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93345</wp:posOffset>
            </wp:positionV>
            <wp:extent cx="15259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203" w:lineRule="exact"/>
        <w:rPr>
          <w:sz w:val="24"/>
          <w:szCs w:val="24"/>
          <w:color w:val="auto"/>
        </w:rPr>
      </w:pPr>
    </w:p>
    <w:p>
      <w:pPr>
        <w:jc w:val="center"/>
        <w:ind w:left="4220" w:right="1520" w:hanging="2692"/>
        <w:spacing w:after="0" w:line="256" w:lineRule="auto"/>
        <w:tabs>
          <w:tab w:leader="none" w:pos="173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ANNUAL REPORT PURSUANT TO THE SECTION 13 OR 15(D) OF THE SECURITIES EXCHANGE ACT OF 1934 For the fiscal year ended December 31, 2010</w:t>
      </w:r>
    </w:p>
    <w:p>
      <w:pPr>
        <w:spacing w:after="0" w:line="1" w:lineRule="exact"/>
        <w:rPr>
          <w:rFonts w:ascii="MS PGothic" w:cs="MS PGothic" w:eastAsia="MS PGothic" w:hAnsi="MS PGothic"/>
          <w:sz w:val="17"/>
          <w:szCs w:val="17"/>
          <w:color w:val="auto"/>
        </w:rPr>
      </w:pPr>
    </w:p>
    <w:p>
      <w:pPr>
        <w:ind w:left="5640"/>
        <w:spacing w:after="0"/>
        <w:rPr>
          <w:rFonts w:ascii="MS PGothic" w:cs="MS PGothic" w:eastAsia="MS PGothic" w:hAnsi="MS PGothic"/>
          <w:sz w:val="17"/>
          <w:szCs w:val="17"/>
          <w:color w:val="auto"/>
        </w:rPr>
      </w:pPr>
      <w:r>
        <w:rPr>
          <w:rFonts w:ascii="Arial" w:cs="Arial" w:eastAsia="Arial" w:hAnsi="Arial"/>
          <w:sz w:val="17"/>
          <w:szCs w:val="17"/>
          <w:color w:val="auto"/>
        </w:rPr>
        <w:t>or</w:t>
      </w:r>
    </w:p>
    <w:p>
      <w:pPr>
        <w:spacing w:after="0" w:line="10" w:lineRule="exact"/>
        <w:rPr>
          <w:rFonts w:ascii="MS PGothic" w:cs="MS PGothic" w:eastAsia="MS PGothic" w:hAnsi="MS PGothic"/>
          <w:sz w:val="17"/>
          <w:szCs w:val="17"/>
          <w:color w:val="auto"/>
        </w:rPr>
      </w:pPr>
    </w:p>
    <w:p>
      <w:pPr>
        <w:ind w:left="1760" w:hanging="197"/>
        <w:spacing w:after="0"/>
        <w:tabs>
          <w:tab w:leader="none" w:pos="1760" w:val="left"/>
        </w:tabs>
        <w:numPr>
          <w:ilvl w:val="1"/>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2865755</wp:posOffset>
            </wp:positionH>
            <wp:positionV relativeFrom="paragraph">
              <wp:posOffset>-538480</wp:posOffset>
            </wp:positionV>
            <wp:extent cx="1525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4100"/>
        <w:spacing w:after="0"/>
        <w:tabs>
          <w:tab w:leader="none" w:pos="664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1-07533</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FEDERAL REALTY INVESTMENT TRUST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Declaration of Trust)</w:t>
      </w:r>
    </w:p>
    <w:p>
      <w:pPr>
        <w:spacing w:after="0" w:line="62" w:lineRule="exact"/>
        <w:rPr>
          <w:sz w:val="24"/>
          <w:szCs w:val="24"/>
          <w:color w:val="auto"/>
        </w:rPr>
      </w:pPr>
    </w:p>
    <w:tbl>
      <w:tblPr>
        <w:tblLayout w:type="fixed"/>
        <w:tblInd w:w="1260" w:type="dxa"/>
        <w:tblCellMar>
          <w:top w:w="0" w:type="dxa"/>
          <w:left w:w="0" w:type="dxa"/>
          <w:bottom w:w="0" w:type="dxa"/>
          <w:right w:w="0" w:type="dxa"/>
        </w:tblCellMar>
      </w:tblPr>
      <w:tr>
        <w:trPr>
          <w:trHeight w:val="201"/>
        </w:trPr>
        <w:tc>
          <w:tcPr>
            <w:tcW w:w="3560" w:type="dxa"/>
            <w:vAlign w:val="bottom"/>
          </w:tcPr>
          <w:p>
            <w:pPr>
              <w:jc w:val="center"/>
              <w:ind w:right="286"/>
              <w:spacing w:after="0"/>
              <w:rPr>
                <w:sz w:val="20"/>
                <w:szCs w:val="20"/>
                <w:color w:val="auto"/>
              </w:rPr>
            </w:pPr>
            <w:r>
              <w:rPr>
                <w:rFonts w:ascii="Arial" w:cs="Arial" w:eastAsia="Arial" w:hAnsi="Arial"/>
                <w:sz w:val="17"/>
                <w:szCs w:val="17"/>
                <w:color w:val="auto"/>
                <w:w w:val="91"/>
              </w:rPr>
              <w:t>Maryland</w:t>
            </w:r>
          </w:p>
        </w:tc>
        <w:tc>
          <w:tcPr>
            <w:tcW w:w="4800" w:type="dxa"/>
            <w:vAlign w:val="bottom"/>
          </w:tcPr>
          <w:p>
            <w:pPr>
              <w:jc w:val="right"/>
              <w:ind w:right="444"/>
              <w:spacing w:after="0"/>
              <w:rPr>
                <w:sz w:val="20"/>
                <w:szCs w:val="20"/>
                <w:color w:val="auto"/>
              </w:rPr>
            </w:pPr>
            <w:r>
              <w:rPr>
                <w:rFonts w:ascii="Arial" w:cs="Arial" w:eastAsia="Arial" w:hAnsi="Arial"/>
                <w:sz w:val="17"/>
                <w:szCs w:val="17"/>
                <w:color w:val="auto"/>
              </w:rPr>
              <w:t>52-0782497</w:t>
            </w:r>
          </w:p>
        </w:tc>
      </w:tr>
      <w:tr>
        <w:trPr>
          <w:trHeight w:val="166"/>
        </w:trPr>
        <w:tc>
          <w:tcPr>
            <w:tcW w:w="3560" w:type="dxa"/>
            <w:vAlign w:val="bottom"/>
          </w:tcPr>
          <w:p>
            <w:pPr>
              <w:jc w:val="center"/>
              <w:ind w:right="266"/>
              <w:spacing w:after="0"/>
              <w:rPr>
                <w:sz w:val="20"/>
                <w:szCs w:val="20"/>
                <w:color w:val="auto"/>
              </w:rPr>
            </w:pPr>
            <w:r>
              <w:rPr>
                <w:rFonts w:ascii="Arial" w:cs="Arial" w:eastAsia="Arial" w:hAnsi="Arial"/>
                <w:sz w:val="13"/>
                <w:szCs w:val="13"/>
                <w:b w:val="1"/>
                <w:bCs w:val="1"/>
                <w:color w:val="auto"/>
                <w:w w:val="90"/>
              </w:rPr>
              <w:t>(State of Organization)</w:t>
            </w:r>
          </w:p>
        </w:tc>
        <w:tc>
          <w:tcPr>
            <w:tcW w:w="4800" w:type="dxa"/>
            <w:vAlign w:val="bottom"/>
          </w:tcPr>
          <w:p>
            <w:pPr>
              <w:jc w:val="center"/>
              <w:ind w:left="2864"/>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86"/>
        </w:trPr>
        <w:tc>
          <w:tcPr>
            <w:tcW w:w="3560" w:type="dxa"/>
            <w:vAlign w:val="bottom"/>
          </w:tcPr>
          <w:p>
            <w:pPr>
              <w:jc w:val="center"/>
              <w:ind w:right="286"/>
              <w:spacing w:after="0"/>
              <w:rPr>
                <w:sz w:val="20"/>
                <w:szCs w:val="20"/>
                <w:color w:val="auto"/>
              </w:rPr>
            </w:pPr>
            <w:r>
              <w:rPr>
                <w:rFonts w:ascii="Arial" w:cs="Arial" w:eastAsia="Arial" w:hAnsi="Arial"/>
                <w:sz w:val="17"/>
                <w:szCs w:val="17"/>
                <w:color w:val="auto"/>
                <w:w w:val="89"/>
              </w:rPr>
              <w:t>1626 East Jefferson Street, Rockville, Maryland</w:t>
            </w:r>
          </w:p>
        </w:tc>
        <w:tc>
          <w:tcPr>
            <w:tcW w:w="4800" w:type="dxa"/>
            <w:vAlign w:val="bottom"/>
          </w:tcPr>
          <w:p>
            <w:pPr>
              <w:jc w:val="right"/>
              <w:ind w:right="644"/>
              <w:spacing w:after="0"/>
              <w:rPr>
                <w:sz w:val="20"/>
                <w:szCs w:val="20"/>
                <w:color w:val="auto"/>
              </w:rPr>
            </w:pPr>
            <w:r>
              <w:rPr>
                <w:rFonts w:ascii="Arial" w:cs="Arial" w:eastAsia="Arial" w:hAnsi="Arial"/>
                <w:sz w:val="17"/>
                <w:szCs w:val="17"/>
                <w:color w:val="auto"/>
              </w:rPr>
              <w:t>20852</w:t>
            </w:r>
          </w:p>
        </w:tc>
      </w:tr>
      <w:tr>
        <w:trPr>
          <w:trHeight w:val="146"/>
        </w:trPr>
        <w:tc>
          <w:tcPr>
            <w:tcW w:w="3560" w:type="dxa"/>
            <w:vAlign w:val="bottom"/>
          </w:tcPr>
          <w:p>
            <w:pPr>
              <w:jc w:val="center"/>
              <w:ind w:right="286"/>
              <w:spacing w:after="0" w:line="146" w:lineRule="exact"/>
              <w:rPr>
                <w:sz w:val="20"/>
                <w:szCs w:val="20"/>
                <w:color w:val="auto"/>
              </w:rPr>
            </w:pPr>
            <w:r>
              <w:rPr>
                <w:rFonts w:ascii="Arial" w:cs="Arial" w:eastAsia="Arial" w:hAnsi="Arial"/>
                <w:sz w:val="13"/>
                <w:szCs w:val="13"/>
                <w:b w:val="1"/>
                <w:bCs w:val="1"/>
                <w:color w:val="auto"/>
                <w:w w:val="89"/>
              </w:rPr>
              <w:t>(Address of Principal Executive Offices)</w:t>
            </w:r>
          </w:p>
        </w:tc>
        <w:tc>
          <w:tcPr>
            <w:tcW w:w="4800" w:type="dxa"/>
            <w:vAlign w:val="bottom"/>
          </w:tcPr>
          <w:p>
            <w:pPr>
              <w:jc w:val="center"/>
              <w:ind w:left="2864"/>
              <w:spacing w:after="0" w:line="146" w:lineRule="exact"/>
              <w:rPr>
                <w:sz w:val="20"/>
                <w:szCs w:val="20"/>
                <w:color w:val="auto"/>
              </w:rPr>
            </w:pPr>
            <w:r>
              <w:rPr>
                <w:rFonts w:ascii="Arial" w:cs="Arial" w:eastAsia="Arial" w:hAnsi="Arial"/>
                <w:sz w:val="13"/>
                <w:szCs w:val="13"/>
                <w:b w:val="1"/>
                <w:bCs w:val="1"/>
                <w:color w:val="auto"/>
                <w:w w:val="90"/>
              </w:rPr>
              <w:t>(Zip Code)</w:t>
            </w:r>
          </w:p>
        </w:tc>
      </w:tr>
      <w:tr>
        <w:trPr>
          <w:trHeight w:val="213"/>
        </w:trPr>
        <w:tc>
          <w:tcPr>
            <w:tcW w:w="3560" w:type="dxa"/>
            <w:vAlign w:val="bottom"/>
          </w:tcPr>
          <w:p>
            <w:pPr>
              <w:spacing w:after="0"/>
              <w:rPr>
                <w:sz w:val="18"/>
                <w:szCs w:val="18"/>
                <w:color w:val="auto"/>
              </w:rPr>
            </w:pPr>
          </w:p>
        </w:tc>
        <w:tc>
          <w:tcPr>
            <w:tcW w:w="4800" w:type="dxa"/>
            <w:vAlign w:val="bottom"/>
          </w:tcPr>
          <w:p>
            <w:pPr>
              <w:jc w:val="right"/>
              <w:ind w:right="3304"/>
              <w:spacing w:after="0"/>
              <w:rPr>
                <w:sz w:val="20"/>
                <w:szCs w:val="20"/>
                <w:color w:val="auto"/>
              </w:rPr>
            </w:pPr>
            <w:r>
              <w:rPr>
                <w:rFonts w:ascii="Arial" w:cs="Arial" w:eastAsia="Arial" w:hAnsi="Arial"/>
                <w:sz w:val="17"/>
                <w:szCs w:val="17"/>
                <w:color w:val="auto"/>
              </w:rPr>
              <w:t>(301) 998-8100</w:t>
            </w:r>
          </w:p>
        </w:tc>
      </w:tr>
    </w:tbl>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7"/>
                <w:szCs w:val="17"/>
                <w:b w:val="1"/>
                <w:bCs w:val="1"/>
                <w:color w:val="auto"/>
              </w:rPr>
              <w:t>Title of Each Class</w:t>
            </w:r>
          </w:p>
        </w:tc>
        <w:tc>
          <w:tcPr>
            <w:tcW w:w="54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190"/>
        </w:trPr>
        <w:tc>
          <w:tcPr>
            <w:tcW w:w="2180" w:type="dxa"/>
            <w:vAlign w:val="bottom"/>
          </w:tcPr>
          <w:p>
            <w:pPr>
              <w:spacing w:after="0" w:line="190" w:lineRule="exact"/>
              <w:rPr>
                <w:sz w:val="20"/>
                <w:szCs w:val="20"/>
                <w:color w:val="auto"/>
              </w:rPr>
            </w:pPr>
            <w:r>
              <w:rPr>
                <w:rFonts w:ascii="Arial" w:cs="Arial" w:eastAsia="Arial" w:hAnsi="Arial"/>
                <w:sz w:val="17"/>
                <w:szCs w:val="17"/>
                <w:color w:val="auto"/>
                <w:w w:val="96"/>
              </w:rPr>
              <w:t>Common Shares of Beneficial</w:t>
            </w:r>
          </w:p>
        </w:tc>
        <w:tc>
          <w:tcPr>
            <w:tcW w:w="1360" w:type="dxa"/>
            <w:vAlign w:val="bottom"/>
            <w:tcBorders>
              <w:top w:val="single" w:sz="8" w:color="auto"/>
            </w:tcBorders>
          </w:tcPr>
          <w:p>
            <w:pPr>
              <w:spacing w:after="0" w:line="190" w:lineRule="exact"/>
              <w:rPr>
                <w:sz w:val="20"/>
                <w:szCs w:val="20"/>
                <w:color w:val="auto"/>
              </w:rPr>
            </w:pPr>
            <w:r>
              <w:rPr>
                <w:rFonts w:ascii="Arial" w:cs="Arial" w:eastAsia="Arial" w:hAnsi="Arial"/>
                <w:sz w:val="17"/>
                <w:szCs w:val="17"/>
                <w:color w:val="auto"/>
                <w:w w:val="77"/>
              </w:rPr>
              <w:t>Interest, $.01 par value</w:t>
            </w:r>
          </w:p>
        </w:tc>
        <w:tc>
          <w:tcPr>
            <w:tcW w:w="2420" w:type="dxa"/>
            <w:vAlign w:val="bottom"/>
          </w:tcPr>
          <w:p>
            <w:pPr>
              <w:ind w:left="100"/>
              <w:spacing w:after="0" w:line="190" w:lineRule="exact"/>
              <w:rPr>
                <w:sz w:val="20"/>
                <w:szCs w:val="20"/>
                <w:color w:val="auto"/>
              </w:rPr>
            </w:pPr>
            <w:r>
              <w:rPr>
                <w:rFonts w:ascii="Arial" w:cs="Arial" w:eastAsia="Arial" w:hAnsi="Arial"/>
                <w:sz w:val="17"/>
                <w:szCs w:val="17"/>
                <w:color w:val="auto"/>
              </w:rPr>
              <w:t>per share, with associated</w:t>
            </w:r>
          </w:p>
        </w:tc>
        <w:tc>
          <w:tcPr>
            <w:tcW w:w="5460" w:type="dxa"/>
            <w:vAlign w:val="bottom"/>
            <w:tcBorders>
              <w:top w:val="single" w:sz="8" w:color="auto"/>
            </w:tcBorders>
            <w:gridSpan w:val="2"/>
          </w:tcPr>
          <w:p>
            <w:pPr>
              <w:jc w:val="center"/>
              <w:spacing w:after="0" w:line="190" w:lineRule="exact"/>
              <w:rPr>
                <w:sz w:val="20"/>
                <w:szCs w:val="20"/>
                <w:color w:val="auto"/>
              </w:rPr>
            </w:pPr>
            <w:r>
              <w:rPr>
                <w:rFonts w:ascii="Arial" w:cs="Arial" w:eastAsia="Arial" w:hAnsi="Arial"/>
                <w:sz w:val="17"/>
                <w:szCs w:val="17"/>
                <w:color w:val="auto"/>
                <w:w w:val="90"/>
              </w:rPr>
              <w:t>New York Stock Exchange</w:t>
            </w:r>
          </w:p>
        </w:tc>
      </w:tr>
      <w:tr>
        <w:trPr>
          <w:trHeight w:val="213"/>
        </w:trPr>
        <w:tc>
          <w:tcPr>
            <w:tcW w:w="5960" w:type="dxa"/>
            <w:vAlign w:val="bottom"/>
            <w:gridSpan w:val="3"/>
          </w:tcPr>
          <w:p>
            <w:pPr>
              <w:ind w:left="200"/>
              <w:spacing w:after="0"/>
              <w:rPr>
                <w:sz w:val="20"/>
                <w:szCs w:val="20"/>
                <w:color w:val="auto"/>
              </w:rPr>
            </w:pPr>
            <w:r>
              <w:rPr>
                <w:rFonts w:ascii="Arial" w:cs="Arial" w:eastAsia="Arial" w:hAnsi="Arial"/>
                <w:sz w:val="17"/>
                <w:szCs w:val="17"/>
                <w:color w:val="auto"/>
              </w:rPr>
              <w:t>Common Share Purchase Rights</w:t>
            </w:r>
          </w:p>
        </w:tc>
        <w:tc>
          <w:tcPr>
            <w:tcW w:w="25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57"/>
        </w:trPr>
        <w:tc>
          <w:tcPr>
            <w:tcW w:w="596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12(g) of the Act: None</w:t>
            </w:r>
          </w:p>
        </w:tc>
        <w:tc>
          <w:tcPr>
            <w:tcW w:w="256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71"/>
        </w:trPr>
        <w:tc>
          <w:tcPr>
            <w:tcW w:w="8520" w:type="dxa"/>
            <w:vAlign w:val="bottom"/>
            <w:gridSpan w:val="4"/>
          </w:tcPr>
          <w:p>
            <w:pPr>
              <w:spacing w:after="0" w:line="196" w:lineRule="exact"/>
              <w:rPr>
                <w:sz w:val="20"/>
                <w:szCs w:val="20"/>
                <w:color w:val="auto"/>
              </w:rPr>
            </w:pPr>
            <w:r>
              <w:rPr>
                <w:rFonts w:ascii="Arial" w:cs="Arial" w:eastAsia="Arial" w:hAnsi="Arial"/>
                <w:sz w:val="17"/>
                <w:szCs w:val="17"/>
                <w:color w:val="auto"/>
                <w:w w:val="90"/>
              </w:rPr>
              <w:t xml:space="preserve">Indicate by check mark if the Registrant is a well-known seasoned issuer, as defined in Rule 405 of the Securities Act. </w:t>
            </w:r>
            <w:r>
              <w:rPr>
                <w:rFonts w:ascii="MS PGothic" w:cs="MS PGothic" w:eastAsia="MS PGothic" w:hAnsi="MS PGothic"/>
                <w:sz w:val="17"/>
                <w:szCs w:val="17"/>
                <w:color w:val="auto"/>
                <w:w w:val="90"/>
              </w:rPr>
              <w:t>☑</w:t>
            </w:r>
            <w:r>
              <w:rPr>
                <w:rFonts w:ascii="Arial" w:cs="Arial" w:eastAsia="Arial" w:hAnsi="Arial"/>
                <w:sz w:val="17"/>
                <w:szCs w:val="17"/>
                <w:color w:val="auto"/>
                <w:w w:val="90"/>
              </w:rPr>
              <w:t xml:space="preserve"> Yes</w:t>
            </w:r>
          </w:p>
        </w:tc>
        <w:tc>
          <w:tcPr>
            <w:tcW w:w="2900" w:type="dxa"/>
            <w:vAlign w:val="bottom"/>
          </w:tcPr>
          <w:p>
            <w:pPr>
              <w:ind w:left="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r>
        <w:trPr>
          <w:trHeight w:val="261"/>
        </w:trPr>
        <w:tc>
          <w:tcPr>
            <w:tcW w:w="8520" w:type="dxa"/>
            <w:vAlign w:val="bottom"/>
            <w:gridSpan w:val="4"/>
          </w:tcPr>
          <w:p>
            <w:pPr>
              <w:spacing w:after="0" w:line="196" w:lineRule="exact"/>
              <w:rPr>
                <w:sz w:val="20"/>
                <w:szCs w:val="20"/>
                <w:color w:val="auto"/>
              </w:rPr>
            </w:pPr>
            <w:r>
              <w:rPr>
                <w:rFonts w:ascii="Arial" w:cs="Arial" w:eastAsia="Arial" w:hAnsi="Arial"/>
                <w:sz w:val="17"/>
                <w:szCs w:val="17"/>
                <w:color w:val="auto"/>
                <w:w w:val="89"/>
              </w:rPr>
              <w:t xml:space="preserve">Indicate by check mark if the Registrant is not required to file reports pursuant to Section 13 or Section 15(d) of the Act. </w:t>
            </w:r>
            <w:r>
              <w:rPr>
                <w:rFonts w:ascii="MS PGothic" w:cs="MS PGothic" w:eastAsia="MS PGothic" w:hAnsi="MS PGothic"/>
                <w:sz w:val="17"/>
                <w:szCs w:val="17"/>
                <w:color w:val="auto"/>
                <w:w w:val="89"/>
              </w:rPr>
              <w:t>☐</w:t>
            </w:r>
            <w:r>
              <w:rPr>
                <w:rFonts w:ascii="Arial" w:cs="Arial" w:eastAsia="Arial" w:hAnsi="Arial"/>
                <w:sz w:val="17"/>
                <w:szCs w:val="17"/>
                <w:color w:val="auto"/>
                <w:w w:val="89"/>
              </w:rPr>
              <w:t xml:space="preserve"> Yes</w:t>
            </w:r>
          </w:p>
        </w:tc>
        <w:tc>
          <w:tcPr>
            <w:tcW w:w="2900" w:type="dxa"/>
            <w:vAlign w:val="bottom"/>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tc>
      </w:tr>
    </w:tbl>
    <w:p>
      <w:pPr>
        <w:spacing w:after="0" w:line="26" w:lineRule="exact"/>
        <w:rPr>
          <w:sz w:val="24"/>
          <w:szCs w:val="24"/>
          <w:color w:val="auto"/>
        </w:rPr>
      </w:pPr>
    </w:p>
    <w:p>
      <w:pPr>
        <w:ind w:right="180"/>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No</w:t>
      </w:r>
    </w:p>
    <w:p>
      <w:pPr>
        <w:spacing w:after="0" w:line="28" w:lineRule="exact"/>
        <w:rPr>
          <w:sz w:val="24"/>
          <w:szCs w:val="24"/>
          <w:color w:val="auto"/>
        </w:rPr>
      </w:pPr>
    </w:p>
    <w:p>
      <w:pPr>
        <w:ind w:right="240"/>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8" w:lineRule="exact"/>
        <w:rPr>
          <w:sz w:val="24"/>
          <w:szCs w:val="24"/>
          <w:color w:val="auto"/>
        </w:rPr>
      </w:pPr>
    </w:p>
    <w:p>
      <w:pPr>
        <w:ind w:right="300"/>
        <w:spacing w:after="0" w:line="21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7" w:lineRule="exact"/>
        <w:rPr>
          <w:sz w:val="24"/>
          <w:szCs w:val="24"/>
          <w:color w:val="auto"/>
        </w:rPr>
      </w:pPr>
    </w:p>
    <w:p>
      <w:pPr>
        <w:ind w:right="240"/>
        <w:spacing w:after="0" w:line="29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31" w:lineRule="exact"/>
        <w:rPr>
          <w:sz w:val="24"/>
          <w:szCs w:val="24"/>
          <w:color w:val="auto"/>
        </w:rPr>
      </w:pPr>
    </w:p>
    <w:p>
      <w:pPr>
        <w:ind w:right="200"/>
        <w:spacing w:after="0" w:line="303"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ectPr>
          <w:pgSz w:w="11900" w:h="16838" w:orient="portrait"/>
          <w:cols w:equalWidth="0" w:num="5">
            <w:col w:w="1780" w:space="720"/>
            <w:col w:w="140" w:space="180"/>
            <w:col w:w="4620" w:space="720"/>
            <w:col w:w="2360" w:space="720"/>
            <w:col w:w="180"/>
          </w:cols>
          <w:pgMar w:left="240" w:top="226" w:right="239" w:bottom="1440" w:gutter="0" w:footer="0" w:header="0"/>
          <w:type w:val="continuous"/>
        </w:sect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84" w:lineRule="exact"/>
        <w:rPr>
          <w:sz w:val="24"/>
          <w:szCs w:val="24"/>
          <w:color w:val="auto"/>
        </w:rPr>
      </w:pPr>
    </w:p>
    <w:p>
      <w:pPr>
        <w:sectPr>
          <w:pgSz w:w="11900" w:h="16838" w:orient="portrait"/>
          <w:cols w:equalWidth="0" w:num="3">
            <w:col w:w="8120" w:space="160"/>
            <w:col w:w="160" w:space="40"/>
            <w:col w:w="2940"/>
          </w:cols>
          <w:pgMar w:left="240" w:top="226" w:right="239" w:bottom="1440" w:gutter="0" w:footer="0" w:header="0"/>
          <w:type w:val="continuous"/>
        </w:sectPr>
      </w:pPr>
    </w:p>
    <w:p>
      <w:pPr>
        <w:ind w:right="340"/>
        <w:spacing w:after="0" w:line="273" w:lineRule="auto"/>
        <w:rPr>
          <w:sz w:val="20"/>
          <w:szCs w:val="20"/>
          <w:color w:val="auto"/>
        </w:rPr>
      </w:pPr>
      <w:r>
        <w:rPr>
          <w:rFonts w:ascii="Arial" w:cs="Arial" w:eastAsia="Arial" w:hAnsi="Arial"/>
          <w:sz w:val="17"/>
          <w:szCs w:val="17"/>
          <w:color w:val="auto"/>
        </w:rPr>
        <w:t>The aggregate market value of the Registrant’s common shares held by non-affiliates of the Registrant, based upon the closing sales price of the Registrant’s common shares on June 30, 2010 was $4.3 billion.</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color w:val="auto"/>
        </w:rPr>
        <w:t>The number of Registrant’s common shares outstanding on February 9, 2011 was 61,537,817.</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ANNUAL REPORT ON FORM 10-K</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FISCAL YEAR ENDED DECEMBER 31, 2010</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Portions of the Registrant’s Proxy Statement to be filed with the Securities and Exchange Commission for the Registrant’s 2011 annual meeting of shareholders to be held in May 2011 will be incorporated by reference into Part III hereof.</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80" w:type="dxa"/>
            <w:vAlign w:val="bottom"/>
            <w:gridSpan w:val="8"/>
          </w:tcPr>
          <w:p>
            <w:pPr>
              <w:ind w:left="500"/>
              <w:spacing w:after="0"/>
              <w:rPr>
                <w:sz w:val="20"/>
                <w:szCs w:val="20"/>
                <w:color w:val="auto"/>
              </w:rPr>
            </w:pPr>
            <w:r>
              <w:rPr>
                <w:rFonts w:ascii="Arial" w:cs="Arial" w:eastAsia="Arial" w:hAnsi="Arial"/>
                <w:sz w:val="17"/>
                <w:szCs w:val="17"/>
                <w:b w:val="1"/>
                <w:bCs w:val="1"/>
                <w:color w:val="auto"/>
              </w:rPr>
              <w:t>TABLE OF CONTENTS</w:t>
            </w:r>
          </w:p>
        </w:tc>
        <w:tc>
          <w:tcPr>
            <w:tcW w:w="1540" w:type="dxa"/>
            <w:vAlign w:val="bottom"/>
          </w:tcPr>
          <w:p>
            <w:pPr>
              <w:spacing w:after="0"/>
              <w:rPr>
                <w:sz w:val="18"/>
                <w:szCs w:val="18"/>
                <w:color w:val="auto"/>
              </w:rPr>
            </w:pPr>
          </w:p>
        </w:tc>
      </w:tr>
      <w:tr>
        <w:trPr>
          <w:trHeight w:val="361"/>
        </w:trPr>
        <w:tc>
          <w:tcPr>
            <w:tcW w:w="500" w:type="dxa"/>
            <w:vAlign w:val="bottom"/>
            <w:tcBorders>
              <w:bottom w:val="single" w:sz="8" w:color="0000EE"/>
            </w:tcBorders>
          </w:tcPr>
          <w:p>
            <w:pPr>
              <w:spacing w:after="0"/>
              <w:rPr>
                <w:rFonts w:ascii="Arial" w:cs="Arial" w:eastAsia="Arial" w:hAnsi="Arial"/>
                <w:sz w:val="17"/>
                <w:szCs w:val="17"/>
                <w:color w:val="0000EE"/>
                <w:w w:val="87"/>
              </w:rPr>
            </w:pPr>
            <w:hyperlink w:anchor="page3">
              <w:r>
                <w:rPr>
                  <w:rFonts w:ascii="Arial" w:cs="Arial" w:eastAsia="Arial" w:hAnsi="Arial"/>
                  <w:sz w:val="17"/>
                  <w:szCs w:val="17"/>
                  <w:color w:val="0000EE"/>
                  <w:w w:val="87"/>
                </w:rPr>
                <w:t>PART I</w:t>
              </w:r>
            </w:hyperlink>
          </w:p>
        </w:tc>
        <w:tc>
          <w:tcPr>
            <w:tcW w:w="74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w:t>
            </w:r>
          </w:p>
        </w:tc>
        <w:tc>
          <w:tcPr>
            <w:tcW w:w="600" w:type="dxa"/>
            <w:vAlign w:val="bottom"/>
            <w:tcBorders>
              <w:bottom w:val="single" w:sz="8" w:color="0000EE"/>
            </w:tcBorders>
          </w:tcPr>
          <w:p>
            <w:pPr>
              <w:spacing w:after="0" w:line="185"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Business</w:t>
              </w:r>
            </w:hyperlink>
          </w:p>
        </w:tc>
        <w:tc>
          <w:tcPr>
            <w:tcW w:w="7960" w:type="dxa"/>
            <w:vAlign w:val="bottom"/>
            <w:gridSpan w:val="20"/>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3</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1A.</w:t>
            </w:r>
          </w:p>
        </w:tc>
        <w:tc>
          <w:tcPr>
            <w:tcW w:w="840" w:type="dxa"/>
            <w:vAlign w:val="bottom"/>
            <w:tcBorders>
              <w:bottom w:val="single" w:sz="8" w:color="0000EE"/>
            </w:tcBorders>
            <w:gridSpan w:val="3"/>
          </w:tcPr>
          <w:p>
            <w:pPr>
              <w:spacing w:after="0" w:line="185" w:lineRule="exact"/>
              <w:rPr>
                <w:rFonts w:ascii="Arial" w:cs="Arial" w:eastAsia="Arial" w:hAnsi="Arial"/>
                <w:sz w:val="17"/>
                <w:szCs w:val="17"/>
                <w:color w:val="0000EE"/>
                <w:w w:val="86"/>
              </w:rPr>
            </w:pPr>
            <w:hyperlink w:anchor="page8">
              <w:r>
                <w:rPr>
                  <w:rFonts w:ascii="Arial" w:cs="Arial" w:eastAsia="Arial" w:hAnsi="Arial"/>
                  <w:sz w:val="17"/>
                  <w:szCs w:val="17"/>
                  <w:color w:val="0000EE"/>
                  <w:w w:val="86"/>
                </w:rPr>
                <w:t>Risk Factors</w:t>
              </w:r>
            </w:hyperlink>
          </w:p>
        </w:tc>
        <w:tc>
          <w:tcPr>
            <w:tcW w:w="7720" w:type="dxa"/>
            <w:vAlign w:val="bottom"/>
            <w:gridSpan w:val="18"/>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8</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1B.</w:t>
            </w:r>
          </w:p>
        </w:tc>
        <w:tc>
          <w:tcPr>
            <w:tcW w:w="1900" w:type="dxa"/>
            <w:vAlign w:val="bottom"/>
            <w:tcBorders>
              <w:bottom w:val="single" w:sz="8" w:color="0000EE"/>
            </w:tcBorders>
            <w:gridSpan w:val="10"/>
          </w:tcPr>
          <w:p>
            <w:pPr>
              <w:spacing w:after="0" w:line="185" w:lineRule="exact"/>
              <w:rPr>
                <w:rFonts w:ascii="Arial" w:cs="Arial" w:eastAsia="Arial" w:hAnsi="Arial"/>
                <w:sz w:val="17"/>
                <w:szCs w:val="17"/>
                <w:color w:val="0000EE"/>
                <w:w w:val="88"/>
              </w:rPr>
            </w:pPr>
            <w:hyperlink w:anchor="page19">
              <w:r>
                <w:rPr>
                  <w:rFonts w:ascii="Arial" w:cs="Arial" w:eastAsia="Arial" w:hAnsi="Arial"/>
                  <w:sz w:val="17"/>
                  <w:szCs w:val="17"/>
                  <w:color w:val="0000EE"/>
                  <w:w w:val="88"/>
                </w:rPr>
                <w:t>Unresolved Staff Comments</w:t>
              </w:r>
            </w:hyperlink>
          </w:p>
        </w:tc>
        <w:tc>
          <w:tcPr>
            <w:tcW w:w="6660" w:type="dxa"/>
            <w:vAlign w:val="bottom"/>
            <w:gridSpan w:val="11"/>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2.</w:t>
            </w:r>
          </w:p>
        </w:tc>
        <w:tc>
          <w:tcPr>
            <w:tcW w:w="680" w:type="dxa"/>
            <w:vAlign w:val="bottom"/>
            <w:tcBorders>
              <w:bottom w:val="single" w:sz="8" w:color="0000EE"/>
            </w:tcBorders>
            <w:gridSpan w:val="2"/>
          </w:tcPr>
          <w:p>
            <w:pPr>
              <w:spacing w:after="0" w:line="185" w:lineRule="exact"/>
              <w:rPr>
                <w:rFonts w:ascii="Arial" w:cs="Arial" w:eastAsia="Arial" w:hAnsi="Arial"/>
                <w:sz w:val="17"/>
                <w:szCs w:val="17"/>
                <w:color w:val="0000EE"/>
                <w:w w:val="85"/>
              </w:rPr>
            </w:pPr>
            <w:hyperlink w:anchor="page19">
              <w:r>
                <w:rPr>
                  <w:rFonts w:ascii="Arial" w:cs="Arial" w:eastAsia="Arial" w:hAnsi="Arial"/>
                  <w:sz w:val="17"/>
                  <w:szCs w:val="17"/>
                  <w:color w:val="0000EE"/>
                  <w:w w:val="85"/>
                </w:rPr>
                <w:t>Properties</w:t>
              </w:r>
            </w:hyperlink>
          </w:p>
        </w:tc>
        <w:tc>
          <w:tcPr>
            <w:tcW w:w="7880" w:type="dxa"/>
            <w:vAlign w:val="bottom"/>
            <w:gridSpan w:val="19"/>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19</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3.</w:t>
            </w:r>
          </w:p>
        </w:tc>
        <w:tc>
          <w:tcPr>
            <w:tcW w:w="1240" w:type="dxa"/>
            <w:vAlign w:val="bottom"/>
            <w:tcBorders>
              <w:bottom w:val="single" w:sz="8" w:color="0000EE"/>
            </w:tcBorders>
            <w:gridSpan w:val="5"/>
          </w:tcPr>
          <w:p>
            <w:pPr>
              <w:spacing w:after="0" w:line="185" w:lineRule="exact"/>
              <w:rPr>
                <w:rFonts w:ascii="Arial" w:cs="Arial" w:eastAsia="Arial" w:hAnsi="Arial"/>
                <w:sz w:val="17"/>
                <w:szCs w:val="17"/>
                <w:color w:val="0000EE"/>
                <w:w w:val="86"/>
              </w:rPr>
            </w:pPr>
            <w:hyperlink w:anchor="page28">
              <w:r>
                <w:rPr>
                  <w:rFonts w:ascii="Arial" w:cs="Arial" w:eastAsia="Arial" w:hAnsi="Arial"/>
                  <w:sz w:val="17"/>
                  <w:szCs w:val="17"/>
                  <w:color w:val="0000EE"/>
                  <w:w w:val="86"/>
                </w:rPr>
                <w:t>Legal Proceedings</w:t>
              </w:r>
            </w:hyperlink>
          </w:p>
        </w:tc>
        <w:tc>
          <w:tcPr>
            <w:tcW w:w="7320" w:type="dxa"/>
            <w:vAlign w:val="bottom"/>
            <w:gridSpan w:val="16"/>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28</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4.</w:t>
            </w:r>
          </w:p>
        </w:tc>
        <w:tc>
          <w:tcPr>
            <w:tcW w:w="8560" w:type="dxa"/>
            <w:vAlign w:val="bottom"/>
            <w:gridSpan w:val="21"/>
          </w:tcPr>
          <w:p>
            <w:pPr>
              <w:spacing w:after="0" w:line="185" w:lineRule="exact"/>
              <w:rPr>
                <w:rFonts w:ascii="Arial" w:cs="Arial" w:eastAsia="Arial" w:hAnsi="Arial"/>
                <w:sz w:val="17"/>
                <w:szCs w:val="17"/>
                <w:color w:val="0000EE"/>
              </w:rPr>
            </w:pPr>
            <w:hyperlink w:anchor="page28">
              <w:r>
                <w:rPr>
                  <w:rFonts w:ascii="Arial" w:cs="Arial" w:eastAsia="Arial" w:hAnsi="Arial"/>
                  <w:sz w:val="17"/>
                  <w:szCs w:val="17"/>
                  <w:color w:val="0000EE"/>
                </w:rPr>
                <w:t>[Removed and Reserved]</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28</w:t>
            </w:r>
          </w:p>
        </w:tc>
      </w:tr>
      <w:tr>
        <w:trPr>
          <w:trHeight w:val="288"/>
        </w:trPr>
        <w:tc>
          <w:tcPr>
            <w:tcW w:w="56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29">
              <w:r>
                <w:rPr>
                  <w:rFonts w:ascii="Arial" w:cs="Arial" w:eastAsia="Arial" w:hAnsi="Arial"/>
                  <w:sz w:val="17"/>
                  <w:szCs w:val="17"/>
                  <w:color w:val="0000EE"/>
                  <w:w w:val="90"/>
                </w:rPr>
                <w:t>PART II</w:t>
              </w:r>
            </w:hyperlink>
          </w:p>
        </w:tc>
        <w:tc>
          <w:tcPr>
            <w:tcW w:w="680" w:type="dxa"/>
            <w:vAlign w:val="bottom"/>
            <w:gridSpan w:val="4"/>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5.</w:t>
            </w:r>
          </w:p>
        </w:tc>
        <w:tc>
          <w:tcPr>
            <w:tcW w:w="8560" w:type="dxa"/>
            <w:vAlign w:val="bottom"/>
            <w:gridSpan w:val="21"/>
          </w:tcPr>
          <w:p>
            <w:pPr>
              <w:spacing w:after="0" w:line="185" w:lineRule="exact"/>
              <w:rPr>
                <w:rFonts w:ascii="Arial" w:cs="Arial" w:eastAsia="Arial" w:hAnsi="Arial"/>
                <w:sz w:val="17"/>
                <w:szCs w:val="17"/>
                <w:color w:val="0000EE"/>
              </w:rPr>
            </w:pPr>
            <w:hyperlink w:anchor="page29">
              <w:r>
                <w:rPr>
                  <w:rFonts w:ascii="Arial" w:cs="Arial" w:eastAsia="Arial" w:hAnsi="Arial"/>
                  <w:sz w:val="17"/>
                  <w:szCs w:val="17"/>
                  <w:color w:val="0000EE"/>
                </w:rPr>
                <w:t>Market for Our Common Equity and Related Shareholder Matters and Issuer Purchases of Equity Securities</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29</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6.</w:t>
            </w:r>
          </w:p>
        </w:tc>
        <w:tc>
          <w:tcPr>
            <w:tcW w:w="7200" w:type="dxa"/>
            <w:vAlign w:val="bottom"/>
            <w:tcBorders>
              <w:top w:val="single" w:sz="8" w:color="0000EE"/>
            </w:tcBorders>
            <w:gridSpan w:val="20"/>
          </w:tcPr>
          <w:p>
            <w:pPr>
              <w:spacing w:after="0" w:line="185" w:lineRule="exact"/>
              <w:rPr>
                <w:rFonts w:ascii="Arial" w:cs="Arial" w:eastAsia="Arial" w:hAnsi="Arial"/>
                <w:sz w:val="17"/>
                <w:szCs w:val="17"/>
                <w:color w:val="0000EE"/>
              </w:rPr>
            </w:pPr>
            <w:hyperlink w:anchor="page31">
              <w:r>
                <w:rPr>
                  <w:rFonts w:ascii="Arial" w:cs="Arial" w:eastAsia="Arial" w:hAnsi="Arial"/>
                  <w:sz w:val="17"/>
                  <w:szCs w:val="17"/>
                  <w:color w:val="0000EE"/>
                </w:rPr>
                <w:t>Selected Financial Data</w:t>
              </w:r>
            </w:hyperlink>
          </w:p>
        </w:tc>
        <w:tc>
          <w:tcPr>
            <w:tcW w:w="1360" w:type="dxa"/>
            <w:vAlign w:val="bottom"/>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31</w:t>
            </w: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7.</w:t>
            </w:r>
          </w:p>
        </w:tc>
        <w:tc>
          <w:tcPr>
            <w:tcW w:w="8560" w:type="dxa"/>
            <w:vAlign w:val="bottom"/>
            <w:gridSpan w:val="21"/>
          </w:tcPr>
          <w:p>
            <w:pPr>
              <w:spacing w:after="0" w:line="185" w:lineRule="exact"/>
              <w:rPr>
                <w:rFonts w:ascii="Arial" w:cs="Arial" w:eastAsia="Arial" w:hAnsi="Arial"/>
                <w:sz w:val="17"/>
                <w:szCs w:val="17"/>
                <w:color w:val="0000EE"/>
              </w:rPr>
            </w:pPr>
            <w:hyperlink w:anchor="page33">
              <w:r>
                <w:rPr>
                  <w:rFonts w:ascii="Arial" w:cs="Arial" w:eastAsia="Arial" w:hAnsi="Arial"/>
                  <w:sz w:val="17"/>
                  <w:szCs w:val="17"/>
                  <w:color w:val="0000EE"/>
                </w:rPr>
                <w:t>Management’s Discussion and Analysis of Financial Condition and Results of Operations</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33</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7A.</w:t>
            </w:r>
          </w:p>
        </w:tc>
        <w:tc>
          <w:tcPr>
            <w:tcW w:w="4000" w:type="dxa"/>
            <w:vAlign w:val="bottom"/>
            <w:tcBorders>
              <w:top w:val="single" w:sz="8" w:color="0000EE"/>
              <w:bottom w:val="single" w:sz="8" w:color="0000EE"/>
            </w:tcBorders>
            <w:gridSpan w:val="15"/>
          </w:tcPr>
          <w:p>
            <w:pPr>
              <w:spacing w:after="0" w:line="185" w:lineRule="exact"/>
              <w:rPr>
                <w:rFonts w:ascii="Arial" w:cs="Arial" w:eastAsia="Arial" w:hAnsi="Arial"/>
                <w:sz w:val="17"/>
                <w:szCs w:val="17"/>
                <w:color w:val="0000EE"/>
                <w:w w:val="89"/>
              </w:rPr>
            </w:pPr>
            <w:hyperlink w:anchor="page58">
              <w:r>
                <w:rPr>
                  <w:rFonts w:ascii="Arial" w:cs="Arial" w:eastAsia="Arial" w:hAnsi="Arial"/>
                  <w:sz w:val="17"/>
                  <w:szCs w:val="17"/>
                  <w:color w:val="0000EE"/>
                  <w:w w:val="89"/>
                </w:rPr>
                <w:t>Quantitative and Qualitative Disclosures about Market Risk</w:t>
              </w:r>
            </w:hyperlink>
          </w:p>
        </w:tc>
        <w:tc>
          <w:tcPr>
            <w:tcW w:w="1980" w:type="dxa"/>
            <w:vAlign w:val="bottom"/>
            <w:tcBorders>
              <w:top w:val="single" w:sz="8" w:color="0000EE"/>
            </w:tcBorders>
            <w:gridSpan w:val="2"/>
          </w:tcPr>
          <w:p>
            <w:pPr>
              <w:spacing w:after="0"/>
              <w:rPr>
                <w:sz w:val="16"/>
                <w:szCs w:val="16"/>
                <w:color w:val="auto"/>
              </w:rPr>
            </w:pPr>
          </w:p>
        </w:tc>
        <w:tc>
          <w:tcPr>
            <w:tcW w:w="2580" w:type="dxa"/>
            <w:vAlign w:val="bottom"/>
            <w:gridSpan w:val="4"/>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58</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8.</w:t>
            </w:r>
          </w:p>
        </w:tc>
        <w:tc>
          <w:tcPr>
            <w:tcW w:w="8560" w:type="dxa"/>
            <w:vAlign w:val="bottom"/>
            <w:gridSpan w:val="21"/>
          </w:tcPr>
          <w:p>
            <w:pPr>
              <w:spacing w:after="0" w:line="185" w:lineRule="exact"/>
              <w:rPr>
                <w:rFonts w:ascii="Arial" w:cs="Arial" w:eastAsia="Arial" w:hAnsi="Arial"/>
                <w:sz w:val="17"/>
                <w:szCs w:val="17"/>
                <w:color w:val="0000EE"/>
              </w:rPr>
            </w:pPr>
            <w:hyperlink w:anchor="page59">
              <w:r>
                <w:rPr>
                  <w:rFonts w:ascii="Arial" w:cs="Arial" w:eastAsia="Arial" w:hAnsi="Arial"/>
                  <w:sz w:val="17"/>
                  <w:szCs w:val="17"/>
                  <w:color w:val="0000EE"/>
                </w:rPr>
                <w:t>Financial Statements and Supplementary Data</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59</w:t>
            </w:r>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9.</w:t>
            </w:r>
          </w:p>
        </w:tc>
        <w:tc>
          <w:tcPr>
            <w:tcW w:w="6020" w:type="dxa"/>
            <w:vAlign w:val="bottom"/>
            <w:tcBorders>
              <w:bottom w:val="single" w:sz="8" w:color="0000EE"/>
            </w:tcBorders>
            <w:gridSpan w:val="18"/>
          </w:tcPr>
          <w:p>
            <w:pPr>
              <w:spacing w:after="0" w:line="185" w:lineRule="exact"/>
              <w:rPr>
                <w:rFonts w:ascii="Arial" w:cs="Arial" w:eastAsia="Arial" w:hAnsi="Arial"/>
                <w:sz w:val="17"/>
                <w:szCs w:val="17"/>
                <w:color w:val="0000EE"/>
                <w:w w:val="88"/>
              </w:rPr>
            </w:pPr>
            <w:hyperlink w:anchor="page59">
              <w:r>
                <w:rPr>
                  <w:rFonts w:ascii="Arial" w:cs="Arial" w:eastAsia="Arial" w:hAnsi="Arial"/>
                  <w:sz w:val="17"/>
                  <w:szCs w:val="17"/>
                  <w:color w:val="0000EE"/>
                  <w:w w:val="88"/>
                </w:rPr>
                <w:t>Changes In and Disagreements with Accountants on Accounting and Financial Disclosure</w:t>
              </w:r>
            </w:hyperlink>
          </w:p>
        </w:tc>
        <w:tc>
          <w:tcPr>
            <w:tcW w:w="2540" w:type="dxa"/>
            <w:vAlign w:val="bottom"/>
            <w:gridSpan w:val="3"/>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59</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9A.</w:t>
            </w:r>
          </w:p>
        </w:tc>
        <w:tc>
          <w:tcPr>
            <w:tcW w:w="1640" w:type="dxa"/>
            <w:vAlign w:val="bottom"/>
            <w:tcBorders>
              <w:bottom w:val="single" w:sz="8" w:color="0000EE"/>
            </w:tcBorders>
            <w:gridSpan w:val="7"/>
          </w:tcPr>
          <w:p>
            <w:pPr>
              <w:spacing w:after="0" w:line="185" w:lineRule="exact"/>
              <w:rPr>
                <w:rFonts w:ascii="Arial" w:cs="Arial" w:eastAsia="Arial" w:hAnsi="Arial"/>
                <w:sz w:val="17"/>
                <w:szCs w:val="17"/>
                <w:color w:val="0000EE"/>
                <w:w w:val="86"/>
              </w:rPr>
            </w:pPr>
            <w:hyperlink w:anchor="page59">
              <w:r>
                <w:rPr>
                  <w:rFonts w:ascii="Arial" w:cs="Arial" w:eastAsia="Arial" w:hAnsi="Arial"/>
                  <w:sz w:val="17"/>
                  <w:szCs w:val="17"/>
                  <w:color w:val="0000EE"/>
                  <w:w w:val="86"/>
                </w:rPr>
                <w:t>Controls and Procedures</w:t>
              </w:r>
            </w:hyperlink>
          </w:p>
        </w:tc>
        <w:tc>
          <w:tcPr>
            <w:tcW w:w="6920" w:type="dxa"/>
            <w:vAlign w:val="bottom"/>
            <w:gridSpan w:val="14"/>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59</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9B.</w:t>
            </w:r>
          </w:p>
        </w:tc>
        <w:tc>
          <w:tcPr>
            <w:tcW w:w="8560" w:type="dxa"/>
            <w:vAlign w:val="bottom"/>
            <w:gridSpan w:val="21"/>
          </w:tcPr>
          <w:p>
            <w:pPr>
              <w:spacing w:after="0" w:line="185" w:lineRule="exact"/>
              <w:rPr>
                <w:rFonts w:ascii="Arial" w:cs="Arial" w:eastAsia="Arial" w:hAnsi="Arial"/>
                <w:sz w:val="17"/>
                <w:szCs w:val="17"/>
                <w:color w:val="0000EE"/>
              </w:rPr>
            </w:pPr>
            <w:hyperlink w:anchor="page61">
              <w:r>
                <w:rPr>
                  <w:rFonts w:ascii="Arial" w:cs="Arial" w:eastAsia="Arial" w:hAnsi="Arial"/>
                  <w:sz w:val="17"/>
                  <w:szCs w:val="17"/>
                  <w:color w:val="0000EE"/>
                </w:rPr>
                <w:t>Other Information</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61</w:t>
            </w:r>
          </w:p>
        </w:tc>
      </w:tr>
      <w:tr>
        <w:trPr>
          <w:trHeight w:val="288"/>
        </w:trPr>
        <w:tc>
          <w:tcPr>
            <w:tcW w:w="1240" w:type="dxa"/>
            <w:vAlign w:val="bottom"/>
            <w:gridSpan w:val="6"/>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PART III</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600" w:type="dxa"/>
            <w:vAlign w:val="bottom"/>
            <w:tcBorders>
              <w:top w:val="single" w:sz="8" w:color="0000EE"/>
            </w:tcBorders>
            <w:gridSpan w:val="3"/>
          </w:tcPr>
          <w:p>
            <w:pPr>
              <w:spacing w:after="0" w:line="185" w:lineRule="exact"/>
              <w:rPr>
                <w:sz w:val="20"/>
                <w:szCs w:val="20"/>
                <w:color w:val="auto"/>
              </w:rPr>
            </w:pPr>
            <w:r>
              <w:rPr>
                <w:rFonts w:ascii="Arial" w:cs="Arial" w:eastAsia="Arial" w:hAnsi="Arial"/>
                <w:sz w:val="17"/>
                <w:szCs w:val="17"/>
                <w:color w:val="auto"/>
                <w:w w:val="94"/>
              </w:rPr>
              <w:t>Item 10.</w:t>
            </w:r>
          </w:p>
        </w:tc>
        <w:tc>
          <w:tcPr>
            <w:tcW w:w="640" w:type="dxa"/>
            <w:vAlign w:val="bottom"/>
            <w:gridSpan w:val="3"/>
          </w:tcPr>
          <w:p>
            <w:pPr>
              <w:spacing w:after="0"/>
              <w:rPr>
                <w:sz w:val="16"/>
                <w:szCs w:val="16"/>
                <w:color w:val="auto"/>
              </w:rPr>
            </w:pPr>
          </w:p>
        </w:tc>
        <w:tc>
          <w:tcPr>
            <w:tcW w:w="3740" w:type="dxa"/>
            <w:vAlign w:val="bottom"/>
            <w:tcBorders>
              <w:bottom w:val="single" w:sz="8" w:color="0000EE"/>
            </w:tcBorders>
            <w:gridSpan w:val="14"/>
          </w:tcPr>
          <w:p>
            <w:pPr>
              <w:spacing w:after="0" w:line="185" w:lineRule="exact"/>
              <w:rPr>
                <w:rFonts w:ascii="Arial" w:cs="Arial" w:eastAsia="Arial" w:hAnsi="Arial"/>
                <w:sz w:val="17"/>
                <w:szCs w:val="17"/>
                <w:color w:val="0000EE"/>
                <w:w w:val="87"/>
              </w:rPr>
            </w:pPr>
            <w:hyperlink w:anchor="page62">
              <w:r>
                <w:rPr>
                  <w:rFonts w:ascii="Arial" w:cs="Arial" w:eastAsia="Arial" w:hAnsi="Arial"/>
                  <w:sz w:val="17"/>
                  <w:szCs w:val="17"/>
                  <w:color w:val="0000EE"/>
                  <w:w w:val="87"/>
                </w:rPr>
                <w:t>Trustees, Executive Officers and Corporate Governance</w:t>
              </w:r>
            </w:hyperlink>
          </w:p>
        </w:tc>
        <w:tc>
          <w:tcPr>
            <w:tcW w:w="4820" w:type="dxa"/>
            <w:vAlign w:val="bottom"/>
            <w:gridSpan w:val="7"/>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62</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11.</w:t>
            </w:r>
          </w:p>
        </w:tc>
        <w:tc>
          <w:tcPr>
            <w:tcW w:w="1680" w:type="dxa"/>
            <w:vAlign w:val="bottom"/>
            <w:tcBorders>
              <w:bottom w:val="single" w:sz="8" w:color="0000EE"/>
            </w:tcBorders>
            <w:gridSpan w:val="8"/>
          </w:tcPr>
          <w:p>
            <w:pPr>
              <w:spacing w:after="0" w:line="185" w:lineRule="exact"/>
              <w:rPr>
                <w:rFonts w:ascii="Arial" w:cs="Arial" w:eastAsia="Arial" w:hAnsi="Arial"/>
                <w:sz w:val="17"/>
                <w:szCs w:val="17"/>
                <w:color w:val="0000EE"/>
                <w:w w:val="88"/>
              </w:rPr>
            </w:pPr>
            <w:hyperlink w:anchor="page62">
              <w:r>
                <w:rPr>
                  <w:rFonts w:ascii="Arial" w:cs="Arial" w:eastAsia="Arial" w:hAnsi="Arial"/>
                  <w:sz w:val="17"/>
                  <w:szCs w:val="17"/>
                  <w:color w:val="0000EE"/>
                  <w:w w:val="88"/>
                </w:rPr>
                <w:t>Executive Compensation</w:t>
              </w:r>
            </w:hyperlink>
          </w:p>
        </w:tc>
        <w:tc>
          <w:tcPr>
            <w:tcW w:w="6880" w:type="dxa"/>
            <w:vAlign w:val="bottom"/>
            <w:gridSpan w:val="13"/>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62</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12.</w:t>
            </w:r>
          </w:p>
        </w:tc>
        <w:tc>
          <w:tcPr>
            <w:tcW w:w="8560" w:type="dxa"/>
            <w:vAlign w:val="bottom"/>
            <w:gridSpan w:val="21"/>
          </w:tcPr>
          <w:p>
            <w:pPr>
              <w:spacing w:after="0" w:line="185" w:lineRule="exact"/>
              <w:rPr>
                <w:rFonts w:ascii="Arial" w:cs="Arial" w:eastAsia="Arial" w:hAnsi="Arial"/>
                <w:sz w:val="17"/>
                <w:szCs w:val="17"/>
                <w:color w:val="0000EE"/>
              </w:rPr>
            </w:pPr>
            <w:hyperlink w:anchor="page62">
              <w:r>
                <w:rPr>
                  <w:rFonts w:ascii="Arial" w:cs="Arial" w:eastAsia="Arial" w:hAnsi="Arial"/>
                  <w:sz w:val="17"/>
                  <w:szCs w:val="17"/>
                  <w:color w:val="0000EE"/>
                </w:rPr>
                <w:t>Security Ownership of Certain Beneficial Owners and Management and Related Shareholder Matters</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62</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13.</w:t>
            </w:r>
          </w:p>
        </w:tc>
        <w:tc>
          <w:tcPr>
            <w:tcW w:w="5000" w:type="dxa"/>
            <w:vAlign w:val="bottom"/>
            <w:tcBorders>
              <w:top w:val="single" w:sz="8" w:color="0000EE"/>
              <w:bottom w:val="single" w:sz="8" w:color="0000EE"/>
            </w:tcBorders>
            <w:gridSpan w:val="16"/>
          </w:tcPr>
          <w:p>
            <w:pPr>
              <w:spacing w:after="0" w:line="185" w:lineRule="exact"/>
              <w:rPr>
                <w:rFonts w:ascii="Arial" w:cs="Arial" w:eastAsia="Arial" w:hAnsi="Arial"/>
                <w:sz w:val="17"/>
                <w:szCs w:val="17"/>
                <w:color w:val="0000EE"/>
                <w:w w:val="86"/>
              </w:rPr>
            </w:pPr>
            <w:hyperlink w:anchor="page62">
              <w:r>
                <w:rPr>
                  <w:rFonts w:ascii="Arial" w:cs="Arial" w:eastAsia="Arial" w:hAnsi="Arial"/>
                  <w:sz w:val="17"/>
                  <w:szCs w:val="17"/>
                  <w:color w:val="0000EE"/>
                  <w:w w:val="86"/>
                </w:rPr>
                <w:t>Certain Relationships and Related Transactions, and Trustee Independence</w:t>
              </w:r>
            </w:hyperlink>
          </w:p>
        </w:tc>
        <w:tc>
          <w:tcPr>
            <w:tcW w:w="1760" w:type="dxa"/>
            <w:vAlign w:val="bottom"/>
            <w:tcBorders>
              <w:top w:val="single" w:sz="8" w:color="0000EE"/>
            </w:tcBorders>
            <w:gridSpan w:val="3"/>
          </w:tcPr>
          <w:p>
            <w:pPr>
              <w:spacing w:after="0"/>
              <w:rPr>
                <w:sz w:val="16"/>
                <w:szCs w:val="16"/>
                <w:color w:val="auto"/>
              </w:rPr>
            </w:pPr>
          </w:p>
        </w:tc>
        <w:tc>
          <w:tcPr>
            <w:tcW w:w="1800" w:type="dxa"/>
            <w:vAlign w:val="bottom"/>
            <w:gridSpan w:val="2"/>
          </w:tcPr>
          <w:p>
            <w:pPr>
              <w:spacing w:after="0"/>
              <w:rPr>
                <w:sz w:val="16"/>
                <w:szCs w:val="16"/>
                <w:color w:val="auto"/>
              </w:rPr>
            </w:pPr>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62</w:t>
            </w: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14.</w:t>
            </w:r>
          </w:p>
        </w:tc>
        <w:tc>
          <w:tcPr>
            <w:tcW w:w="8560" w:type="dxa"/>
            <w:vAlign w:val="bottom"/>
            <w:gridSpan w:val="21"/>
          </w:tcPr>
          <w:p>
            <w:pPr>
              <w:spacing w:after="0" w:line="185" w:lineRule="exact"/>
              <w:rPr>
                <w:rFonts w:ascii="Arial" w:cs="Arial" w:eastAsia="Arial" w:hAnsi="Arial"/>
                <w:sz w:val="17"/>
                <w:szCs w:val="17"/>
                <w:color w:val="0000EE"/>
              </w:rPr>
            </w:pPr>
            <w:hyperlink w:anchor="page62">
              <w:r>
                <w:rPr>
                  <w:rFonts w:ascii="Arial" w:cs="Arial" w:eastAsia="Arial" w:hAnsi="Arial"/>
                  <w:sz w:val="17"/>
                  <w:szCs w:val="17"/>
                  <w:color w:val="0000EE"/>
                </w:rPr>
                <w:t>Principal Accountant Fees and Services</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62</w:t>
            </w:r>
          </w:p>
        </w:tc>
      </w:tr>
      <w:tr>
        <w:trPr>
          <w:trHeight w:val="288"/>
        </w:trPr>
        <w:tc>
          <w:tcPr>
            <w:tcW w:w="62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63">
              <w:r>
                <w:rPr>
                  <w:rFonts w:ascii="Arial" w:cs="Arial" w:eastAsia="Arial" w:hAnsi="Arial"/>
                  <w:sz w:val="17"/>
                  <w:szCs w:val="17"/>
                  <w:color w:val="0000EE"/>
                  <w:w w:val="90"/>
                </w:rPr>
                <w:t>PART IV</w:t>
              </w:r>
            </w:hyperlink>
          </w:p>
        </w:tc>
        <w:tc>
          <w:tcPr>
            <w:tcW w:w="62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6"/>
        </w:trPr>
        <w:tc>
          <w:tcPr>
            <w:tcW w:w="1240" w:type="dxa"/>
            <w:vAlign w:val="bottom"/>
            <w:gridSpan w:val="6"/>
          </w:tcPr>
          <w:p>
            <w:pPr>
              <w:spacing w:after="0" w:line="185" w:lineRule="exact"/>
              <w:rPr>
                <w:sz w:val="20"/>
                <w:szCs w:val="20"/>
                <w:color w:val="auto"/>
              </w:rPr>
            </w:pPr>
            <w:r>
              <w:rPr>
                <w:rFonts w:ascii="Arial" w:cs="Arial" w:eastAsia="Arial" w:hAnsi="Arial"/>
                <w:sz w:val="17"/>
                <w:szCs w:val="17"/>
                <w:color w:val="auto"/>
              </w:rPr>
              <w:t>Item 15.</w:t>
            </w:r>
          </w:p>
        </w:tc>
        <w:tc>
          <w:tcPr>
            <w:tcW w:w="8560" w:type="dxa"/>
            <w:vAlign w:val="bottom"/>
            <w:gridSpan w:val="21"/>
          </w:tcPr>
          <w:p>
            <w:pPr>
              <w:spacing w:after="0" w:line="185" w:lineRule="exact"/>
              <w:rPr>
                <w:rFonts w:ascii="Arial" w:cs="Arial" w:eastAsia="Arial" w:hAnsi="Arial"/>
                <w:sz w:val="17"/>
                <w:szCs w:val="17"/>
                <w:color w:val="0000EE"/>
              </w:rPr>
            </w:pPr>
            <w:hyperlink w:anchor="page63">
              <w:r>
                <w:rPr>
                  <w:rFonts w:ascii="Arial" w:cs="Arial" w:eastAsia="Arial" w:hAnsi="Arial"/>
                  <w:sz w:val="17"/>
                  <w:szCs w:val="17"/>
                  <w:color w:val="0000EE"/>
                </w:rPr>
                <w:t>Exhibits and Financial Statement Schedules</w:t>
              </w:r>
            </w:hyperlink>
          </w:p>
        </w:tc>
        <w:tc>
          <w:tcPr>
            <w:tcW w:w="1540" w:type="dxa"/>
            <w:vAlign w:val="bottom"/>
          </w:tcPr>
          <w:p>
            <w:pPr>
              <w:jc w:val="right"/>
              <w:spacing w:after="0" w:line="185" w:lineRule="exact"/>
              <w:rPr>
                <w:sz w:val="20"/>
                <w:szCs w:val="20"/>
                <w:color w:val="auto"/>
              </w:rPr>
            </w:pPr>
            <w:r>
              <w:rPr>
                <w:rFonts w:ascii="Arial" w:cs="Arial" w:eastAsia="Arial" w:hAnsi="Arial"/>
                <w:sz w:val="17"/>
                <w:szCs w:val="17"/>
                <w:color w:val="auto"/>
              </w:rPr>
              <w:t>63</w:t>
            </w:r>
          </w:p>
        </w:tc>
      </w:tr>
      <w:tr>
        <w:trPr>
          <w:trHeight w:val="288"/>
        </w:trPr>
        <w:tc>
          <w:tcPr>
            <w:tcW w:w="1240" w:type="dxa"/>
            <w:vAlign w:val="bottom"/>
            <w:gridSpan w:val="6"/>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SIGNATURES</w:t>
              </w:r>
            </w:hyperlink>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364"/>
        </w:trPr>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16"/>
          </w:tcPr>
          <w:p>
            <w:pPr>
              <w:ind w:left="4440"/>
              <w:spacing w:after="0"/>
              <w:rPr>
                <w:sz w:val="20"/>
                <w:szCs w:val="20"/>
                <w:color w:val="auto"/>
              </w:rPr>
            </w:pPr>
            <w:r>
              <w:rPr>
                <w:rFonts w:ascii="Arial" w:cs="Arial" w:eastAsia="Arial" w:hAnsi="Arial"/>
                <w:sz w:val="17"/>
                <w:szCs w:val="17"/>
                <w:color w:val="auto"/>
              </w:rPr>
              <w:t>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380"/>
          </w:cols>
          <w:pgMar w:left="240" w:top="445" w:right="27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16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References to “we,” “us,” “our” or the “Trust” refer to Federal Realty Investment Trust and our business and operations conducted through our directly or indirectly owned subsidiaries.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We are an equity real estate investment trust (“REIT”) specializing in the ownership, management, and redevelopment of high quality retail and mixed-use properties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located primarily in densely populated and affluent communities in strategically selected metropolitan markets in the Northeast and Mid-Atlantic regions of the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United States, as well as in California. As of December 31, 2010, we owned or had a majority interest in community and neighborhood shopping centers and mixed-use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properties which are operated as 85 predominantly retail real estate projects comprising approximately 18.3 million square feet. In total, the real estate projects were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93.9% leased and 93.2% occupied at December 31, 2010. A joint venture in which we own a 30% interest owned seven retail real estate projects totaling approximately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1.0 million square feet as of December 31, 2010. In total, the joint venture properties in which we own an interest were 91.0% leased and 90.4% occupied at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have paid quarterly dividends to our shareholders continuously since our founding in 1962 and have increased our dividends per common share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for 43 consecutive years.</w:t>
      </w:r>
    </w:p>
    <w:p>
      <w:pPr>
        <w:spacing w:after="0" w:line="15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Objectives and Strategies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Our primary business objective is to own, manage, acquire and redevelop a portfolio of high quality retail properties that will:</w:t>
      </w:r>
    </w:p>
    <w:p>
      <w:pPr>
        <w:spacing w:after="0" w:line="87" w:lineRule="exact"/>
        <w:rPr>
          <w:sz w:val="20"/>
          <w:szCs w:val="20"/>
          <w:color w:val="auto"/>
        </w:rPr>
      </w:pPr>
    </w:p>
    <w:p>
      <w:pPr>
        <w:ind w:left="780" w:hanging="328"/>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protect investor capital;</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increasing cash flow for distribution to shareholders;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generate higher internal growth than our peers;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potential for capital appreciation.</w:t>
      </w:r>
    </w:p>
    <w:p>
      <w:pPr>
        <w:spacing w:after="0" w:line="164" w:lineRule="exact"/>
        <w:rPr>
          <w:sz w:val="20"/>
          <w:szCs w:val="20"/>
          <w:color w:val="auto"/>
        </w:rPr>
      </w:pPr>
    </w:p>
    <w:p>
      <w:pPr>
        <w:ind w:right="260"/>
        <w:spacing w:after="0" w:line="314" w:lineRule="auto"/>
        <w:rPr>
          <w:sz w:val="20"/>
          <w:szCs w:val="20"/>
          <w:color w:val="auto"/>
        </w:rPr>
      </w:pPr>
      <w:r>
        <w:rPr>
          <w:rFonts w:ascii="Arial" w:cs="Arial" w:eastAsia="Arial" w:hAnsi="Arial"/>
          <w:sz w:val="15"/>
          <w:szCs w:val="15"/>
          <w:color w:val="auto"/>
        </w:rPr>
        <w:t>Our traditional focus has been and remains on regional community and neighborhood shopping centers that generally are anchored by grocery stores. Late in 1994, recognizing a trend of increased consumer acceptance of retailer expansion to main streets, we expanded our investment strategy to include street retail and mixed-use properties. The mixed-use properties are typically centered around a retail component but may also include office, residential and/or hotel components.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Strategies</w:t>
      </w:r>
    </w:p>
    <w:p>
      <w:pPr>
        <w:spacing w:after="0" w:line="8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Our core operating strategy is to actively manage our properties to maximize rents and maintain occupancy levels by attracting and retaining a strong and diverse base of tenants and replacing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25" w:lineRule="exact"/>
        <w:rPr>
          <w:sz w:val="20"/>
          <w:szCs w:val="20"/>
          <w:color w:val="auto"/>
        </w:rPr>
      </w:pPr>
    </w:p>
    <w:p>
      <w:pPr>
        <w:ind w:left="780" w:right="260" w:hanging="328"/>
        <w:spacing w:after="0" w:line="273" w:lineRule="auto"/>
        <w:tabs>
          <w:tab w:leader="none" w:pos="7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increasing rental rates through the renewal of expiring leases or the leasing of space to new tenants at higher rental rates while limiting vacancy and down-time;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445" w:right="2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maintaining a diversified tenant base, thereby limiting exposure to any one tenant’s financial or operating difficulties;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minimizing overhead and operating costs;</w:t>
      </w:r>
    </w:p>
    <w:p>
      <w:pPr>
        <w:spacing w:after="0" w:line="87" w:lineRule="exact"/>
        <w:rPr>
          <w:rFonts w:ascii="Arial" w:cs="Arial" w:eastAsia="Arial" w:hAnsi="Arial"/>
          <w:sz w:val="17"/>
          <w:szCs w:val="17"/>
          <w:color w:val="auto"/>
        </w:rPr>
      </w:pPr>
    </w:p>
    <w:p>
      <w:pPr>
        <w:ind w:left="780" w:right="240" w:hanging="328"/>
        <w:spacing w:after="0" w:line="30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20" w:lineRule="exact"/>
        <w:rPr>
          <w:rFonts w:ascii="Arial" w:cs="Arial" w:eastAsia="Arial" w:hAnsi="Arial"/>
          <w:sz w:val="16"/>
          <w:szCs w:val="16"/>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developing local and regional market expertise in order to capitalize on market and retailing trends;</w:t>
      </w:r>
    </w:p>
    <w:p>
      <w:pPr>
        <w:spacing w:after="0" w:line="87" w:lineRule="exact"/>
        <w:rPr>
          <w:rFonts w:ascii="Arial" w:cs="Arial" w:eastAsia="Arial" w:hAnsi="Arial"/>
          <w:sz w:val="17"/>
          <w:szCs w:val="17"/>
          <w:color w:val="auto"/>
        </w:rPr>
      </w:pPr>
    </w:p>
    <w:p>
      <w:pPr>
        <w:ind w:left="780" w:right="180" w:hanging="328"/>
        <w:spacing w:after="0" w:line="273"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leveraging the contacts and experience of our management team to build and maintain long-term relationships with tenants, investors and financing sources; and</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providing exceptional customer service.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Strategies</w:t>
      </w:r>
    </w:p>
    <w:p>
      <w:pPr>
        <w:spacing w:after="0" w:line="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Our investments primarily fall into one of the following four categories:</w:t>
      </w:r>
    </w:p>
    <w:p>
      <w:pPr>
        <w:spacing w:after="0" w:line="44" w:lineRule="exact"/>
        <w:rPr>
          <w:sz w:val="20"/>
          <w:szCs w:val="20"/>
          <w:color w:val="auto"/>
        </w:rPr>
      </w:pPr>
    </w:p>
    <w:p>
      <w:pPr>
        <w:ind w:left="780" w:right="100" w:hanging="328"/>
        <w:spacing w:after="0" w:line="273"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renovating, expanding, reconfiguring and/or retenanting our existing properties to take advantage of under-utilized land or existing square footage to increase revenue;</w:t>
      </w:r>
    </w:p>
    <w:p>
      <w:pPr>
        <w:spacing w:after="0" w:line="43" w:lineRule="exact"/>
        <w:rPr>
          <w:rFonts w:ascii="Arial" w:cs="Arial" w:eastAsia="Arial" w:hAnsi="Arial"/>
          <w:sz w:val="17"/>
          <w:szCs w:val="17"/>
          <w:color w:val="auto"/>
        </w:rPr>
      </w:pPr>
    </w:p>
    <w:p>
      <w:pPr>
        <w:ind w:left="780" w:hanging="328"/>
        <w:spacing w:after="0" w:line="273"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w:t>
      </w:r>
    </w:p>
    <w:p>
      <w:pPr>
        <w:spacing w:after="0" w:line="43" w:lineRule="exact"/>
        <w:rPr>
          <w:rFonts w:ascii="Arial" w:cs="Arial" w:eastAsia="Arial" w:hAnsi="Arial"/>
          <w:sz w:val="17"/>
          <w:szCs w:val="17"/>
          <w:color w:val="auto"/>
        </w:rPr>
      </w:pPr>
    </w:p>
    <w:p>
      <w:pPr>
        <w:ind w:left="780" w:right="300" w:hanging="328"/>
        <w:spacing w:after="0" w:line="263"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acquiring quality retail properties and other quality properties that have a significant retail component located in densely populated or affluent areas where barriers to entry for further development are high, and that have possibilities for enhancing operating performance through renovation, expansion, reconfiguration and/or retenanting; and</w:t>
      </w:r>
    </w:p>
    <w:p>
      <w:pPr>
        <w:spacing w:after="0" w:line="51" w:lineRule="exact"/>
        <w:rPr>
          <w:rFonts w:ascii="Arial" w:cs="Arial" w:eastAsia="Arial" w:hAnsi="Arial"/>
          <w:sz w:val="17"/>
          <w:szCs w:val="17"/>
          <w:color w:val="auto"/>
        </w:rPr>
      </w:pPr>
    </w:p>
    <w:p>
      <w:pPr>
        <w:ind w:left="780" w:hanging="328"/>
        <w:spacing w:after="0" w:line="273" w:lineRule="auto"/>
        <w:tabs>
          <w:tab w:leader="none" w:pos="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developing the retail portions of mixed-use properties and developing or otherwise investing in other portions of mixed-use properties we already own in order to capitalize on the overall value created in the mixed-use properties.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 Criteria</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When we evaluate potential redevelopment, retenanting, expansion, acquisition and development opportunities, we consider such factors as:</w:t>
      </w:r>
    </w:p>
    <w:p>
      <w:pPr>
        <w:spacing w:after="0" w:line="87" w:lineRule="exact"/>
        <w:rPr>
          <w:sz w:val="20"/>
          <w:szCs w:val="20"/>
          <w:color w:val="auto"/>
        </w:rPr>
      </w:pPr>
    </w:p>
    <w:p>
      <w:pPr>
        <w:ind w:left="780" w:hanging="328"/>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98" w:lineRule="exact"/>
        <w:rPr>
          <w:rFonts w:ascii="Arial" w:cs="Arial" w:eastAsia="Arial" w:hAnsi="Arial"/>
          <w:sz w:val="16"/>
          <w:szCs w:val="16"/>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anticipated growth rate of operating income generated by the property;</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tenant mix at the property, tenant sales performance and the creditworthiness of those tenants;</w:t>
      </w:r>
    </w:p>
    <w:p>
      <w:pPr>
        <w:spacing w:after="0" w:line="87" w:lineRule="exact"/>
        <w:rPr>
          <w:rFonts w:ascii="Arial" w:cs="Arial" w:eastAsia="Arial" w:hAnsi="Arial"/>
          <w:sz w:val="17"/>
          <w:szCs w:val="17"/>
          <w:color w:val="auto"/>
        </w:rPr>
      </w:pPr>
    </w:p>
    <w:p>
      <w:pPr>
        <w:ind w:left="780" w:right="140" w:hanging="328"/>
        <w:spacing w:after="0" w:line="273"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geographic area in which the property is located, including the population density and household incomes, as well as the population and income trends in that geographic area;</w:t>
      </w:r>
    </w:p>
    <w:p>
      <w:pPr>
        <w:spacing w:after="0" w:line="43" w:lineRule="exact"/>
        <w:rPr>
          <w:rFonts w:ascii="Arial" w:cs="Arial" w:eastAsia="Arial" w:hAnsi="Arial"/>
          <w:sz w:val="17"/>
          <w:szCs w:val="17"/>
          <w:color w:val="auto"/>
        </w:rPr>
      </w:pPr>
    </w:p>
    <w:p>
      <w:pPr>
        <w:ind w:left="780" w:right="540" w:hanging="328"/>
        <w:spacing w:after="0" w:line="273"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conditions in the vicinity of the property, including competition for tenants and the ability of others to create competing properties through redevelopment, new construction or renovation;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45" w:right="25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780" w:right="380" w:hanging="328"/>
        <w:spacing w:after="0" w:line="273"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access to and visibility of the property from existing roadways and the potential for new, widened or realigned, roadways within the property’s trade area, which may affect access and commuting and shopping patterns;</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level and success of our existing investments in the market area;</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current market value of the land, buildings and other improvements and the potential for increasing those market values;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physical condition of the land, buildings and other improvements, including the structural and environmental condition.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Strategies</w:t>
      </w:r>
    </w:p>
    <w:p>
      <w:pPr>
        <w:spacing w:after="0" w:line="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44" w:lineRule="exact"/>
        <w:rPr>
          <w:sz w:val="20"/>
          <w:szCs w:val="20"/>
          <w:color w:val="auto"/>
        </w:rPr>
      </w:pPr>
    </w:p>
    <w:p>
      <w:pPr>
        <w:ind w:left="780" w:hanging="328"/>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a prudent level of overall leverage and an appropriate pool of unencumbered properties that is sufficient to support our unsecured borrowings;</w:t>
      </w:r>
    </w:p>
    <w:p>
      <w:pPr>
        <w:spacing w:after="0" w:line="110" w:lineRule="exact"/>
        <w:rPr>
          <w:rFonts w:ascii="Arial" w:cs="Arial" w:eastAsia="Arial" w:hAnsi="Arial"/>
          <w:sz w:val="15"/>
          <w:szCs w:val="15"/>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managing our exposure to variable-rate debt;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maintaining an available line of credit to fund operating and investing needs on a short-term basis;</w:t>
      </w:r>
    </w:p>
    <w:p>
      <w:pPr>
        <w:spacing w:after="0" w:line="87" w:lineRule="exact"/>
        <w:rPr>
          <w:rFonts w:ascii="Arial" w:cs="Arial" w:eastAsia="Arial" w:hAnsi="Arial"/>
          <w:sz w:val="17"/>
          <w:szCs w:val="17"/>
          <w:color w:val="auto"/>
        </w:rPr>
      </w:pPr>
    </w:p>
    <w:p>
      <w:pPr>
        <w:ind w:left="780" w:hanging="328"/>
        <w:spacing w:after="0" w:line="273"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taking advantage of market opportunities to refinance existing debt, reduce interest costs and manage our debt maturity schedule so that a significant portion of our debt does not mature in any one year;</w:t>
      </w:r>
    </w:p>
    <w:p>
      <w:pPr>
        <w:spacing w:after="0" w:line="43" w:lineRule="exact"/>
        <w:rPr>
          <w:rFonts w:ascii="Arial" w:cs="Arial" w:eastAsia="Arial" w:hAnsi="Arial"/>
          <w:sz w:val="17"/>
          <w:szCs w:val="17"/>
          <w:color w:val="auto"/>
        </w:rPr>
      </w:pPr>
    </w:p>
    <w:p>
      <w:pPr>
        <w:ind w:left="780" w:right="140" w:hanging="328"/>
        <w:spacing w:after="0" w:line="273" w:lineRule="auto"/>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98" w:lineRule="exact"/>
        <w:rPr>
          <w:rFonts w:ascii="Arial" w:cs="Arial" w:eastAsia="Arial" w:hAnsi="Arial"/>
          <w:sz w:val="16"/>
          <w:szCs w:val="16"/>
          <w:color w:val="auto"/>
        </w:rPr>
      </w:pPr>
    </w:p>
    <w:p>
      <w:pPr>
        <w:ind w:left="1240" w:hanging="441"/>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sale of our equity or debt securities through public offerings or private placements,</w:t>
      </w:r>
    </w:p>
    <w:p>
      <w:pPr>
        <w:spacing w:after="0" w:line="87" w:lineRule="exact"/>
        <w:rPr>
          <w:rFonts w:ascii="Arial" w:cs="Arial" w:eastAsia="Arial" w:hAnsi="Arial"/>
          <w:sz w:val="17"/>
          <w:szCs w:val="17"/>
          <w:color w:val="auto"/>
        </w:rPr>
      </w:pPr>
    </w:p>
    <w:p>
      <w:pPr>
        <w:ind w:left="1240" w:hanging="441"/>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incurrence of indebtedness through unsecured or secured borrowings,</w:t>
      </w:r>
    </w:p>
    <w:p>
      <w:pPr>
        <w:spacing w:after="0" w:line="87" w:lineRule="exact"/>
        <w:rPr>
          <w:rFonts w:ascii="Arial" w:cs="Arial" w:eastAsia="Arial" w:hAnsi="Arial"/>
          <w:sz w:val="17"/>
          <w:szCs w:val="17"/>
          <w:color w:val="auto"/>
        </w:rPr>
      </w:pPr>
    </w:p>
    <w:p>
      <w:pPr>
        <w:ind w:left="1240" w:right="200" w:hanging="441"/>
        <w:spacing w:after="0" w:line="314" w:lineRule="auto"/>
        <w:tabs>
          <w:tab w:leader="none" w:pos="1240" w:val="left"/>
        </w:tabs>
        <w:numPr>
          <w:ilvl w:val="1"/>
          <w:numId w:val="8"/>
        </w:numPr>
        <w:rPr>
          <w:rFonts w:ascii="Arial" w:cs="Arial" w:eastAsia="Arial" w:hAnsi="Arial"/>
          <w:sz w:val="15"/>
          <w:szCs w:val="15"/>
          <w:color w:val="auto"/>
        </w:rPr>
      </w:pPr>
      <w:r>
        <w:rPr>
          <w:rFonts w:ascii="Arial" w:cs="Arial" w:eastAsia="Arial" w:hAnsi="Arial"/>
          <w:sz w:val="15"/>
          <w:szCs w:val="15"/>
          <w:color w:val="auto"/>
        </w:rPr>
        <w:t>the issuance of operating units in a new or existing “downREIT partnership” that is controlled and consolidated by us (generally operating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16" w:lineRule="exact"/>
        <w:rPr>
          <w:rFonts w:ascii="Arial" w:cs="Arial" w:eastAsia="Arial" w:hAnsi="Arial"/>
          <w:sz w:val="15"/>
          <w:szCs w:val="15"/>
          <w:color w:val="auto"/>
        </w:rPr>
      </w:pPr>
    </w:p>
    <w:p>
      <w:pPr>
        <w:ind w:left="1240" w:hanging="441"/>
        <w:spacing w:after="0"/>
        <w:tabs>
          <w:tab w:leader="none" w:pos="124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use of joint venture arrangements.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91"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At February 9, 2011, we had 238 full-time employees and 123 part-time employees. None of our employees are represented by a collective bargaining unit. We believe that our relationship with our employees is good.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Status</w:t>
      </w:r>
    </w:p>
    <w:p>
      <w:pPr>
        <w:spacing w:after="0" w:line="9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5" w:right="2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In 2010, 2009, and 2008, our TRS incurred net income taxes/(refunds) of approximately $0.4 million, $0.5 million and $(0.8) million, respectively, primarily related to sales of condominiums at Santana Row and our investment in certain restaurant joint ventures at Santana Row.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Regulations Affecting Our Properties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w:t>
      </w:r>
    </w:p>
    <w:p>
      <w:pPr>
        <w:spacing w:after="0" w:line="87" w:lineRule="exact"/>
        <w:rPr>
          <w:sz w:val="20"/>
          <w:szCs w:val="20"/>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Comprehensive Environmental Response, Compensation, and Liability Act of 1980, as amended, which we refer to as CERCLA;</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Resource Conservation &amp; Recovery Act;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Clean Water Act;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Federal Clean Air Act;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Toxic Substances Control Act;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Occupational Safety &amp; Health Act;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Americans with Disabilities Act.</w:t>
      </w:r>
    </w:p>
    <w:p>
      <w:pPr>
        <w:spacing w:after="0" w:line="16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445"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9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51" w:lineRule="exact"/>
        <w:rPr>
          <w:sz w:val="20"/>
          <w:szCs w:val="20"/>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 the number of properties available for acquisition;</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 leading to increased vacancy rates and/or reduced rents;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64"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internet marketing and telemarketing. This competition could contribute to lease defaults and insolvency of tenants.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7"/>
          <w:szCs w:val="17"/>
          <w:i w:val="1"/>
          <w:iCs w:val="1"/>
          <w:color w:val="auto"/>
        </w:rPr>
        <w:t xml:space="preserve">www.federalrealty.com </w:t>
      </w:r>
      <w:r>
        <w:rPr>
          <w:rFonts w:ascii="Arial" w:cs="Arial" w:eastAsia="Arial" w:hAnsi="Arial"/>
          <w:sz w:val="17"/>
          <w:szCs w:val="17"/>
          <w:color w:val="auto"/>
        </w:rPr>
        <w:t>as soon as reasonably practicable after we electronically file the material with, or furnish the material to, the Securities and Exchange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or the SEC.</w:t>
      </w:r>
    </w:p>
    <w:p>
      <w:pPr>
        <w:spacing w:after="0" w:line="133"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8"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Amendments to the Code of Ethics or Code of Business Conduct or waivers that apply to any of our executive officers or our senior financial officers will be disclosed in that section of our website as well.</w:t>
      </w:r>
    </w:p>
    <w:p>
      <w:pPr>
        <w:spacing w:after="0" w:line="121"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You may obtain a printed copy of any of the foregoing materials from us by writing to us at Investor Relations, Federal Realty Investment Trust, 1626 East Jefferson Street, Rockville, Maryland 20852.</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445" w:right="2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1"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w:t>
      </w:r>
    </w:p>
    <w:p>
      <w:pPr>
        <w:spacing w:after="0" w:line="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our properties may be reduced or limited if the retail operations of our tenants are not successful.</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The current economic conditions may impact the success of our tenants’ retail operations and therefore the amount of rent and expense reimbursements we receive from our tenants. We have seen some tenants experiencing declining sales, vacating early, failing to pay rent on a timely basis or filing for bankruptcy, as well as seeking rent relief from us as landlord.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income depends on the success and continued presence of our “anchor” tenants.</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current economic conditions, we have seen a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collect balances due from tenants that file for bankruptcy protection.</w:t>
      </w:r>
    </w:p>
    <w:p>
      <w:pPr>
        <w:spacing w:after="0" w:line="9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difficulty or delay in renewing leases or re-leasing space.</w:t>
      </w:r>
    </w:p>
    <w:p>
      <w:pPr>
        <w:spacing w:after="0" w:line="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derive most of our revenue directly or indirectly from rent received from our tenants. We are subject to the risks that, upon expiration or termination of leases, whether by their terms, as a result of a tenant bankruptcy,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45"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general economic conditions or otherwise, leases for space in our properties may not be renewed, space may not be re-leased, or the terms of renewal or re-lease, including the cost of required renovations or concessions to tenants, may be less favorable than current lease terms which may include decreases in rental rates. As a result, our results of operations and our net income could be reduced.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amount of debt we have and the restrictions imposed by that debt could adversely affect our business and financial condition.</w:t>
      </w:r>
    </w:p>
    <w:p>
      <w:pPr>
        <w:spacing w:after="0" w:line="9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As of December 31, 2010, we had approximately $1.8 billion of debt outstanding. Of that outstanding debt, approximately $506.7 million was secured by all or a portion of 21 of our real estate projects and approximately $59.9 million represented capital lease obligations on three of our properties. In addition, we own a 30% interest in a joint venture that had $57.6 million of debt secured by four properties as of December 31, 2010. Approximately $1.7 billion (95%) of our debt as of December 31, 2010, which includes all of our property secured debt and our capital lease obligations, is fixed rate debt. Our joint venture’s debt of $57.6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60" w:lineRule="exact"/>
        <w:rPr>
          <w:sz w:val="20"/>
          <w:szCs w:val="20"/>
          <w:color w:val="auto"/>
        </w:rPr>
      </w:pPr>
    </w:p>
    <w:p>
      <w:pPr>
        <w:ind w:left="780" w:hanging="328"/>
        <w:spacing w:after="0" w:line="273"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ability to make distributions on our outstanding common shares and preferred shares;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it difficult to satisfy our debt service requirements;</w:t>
      </w:r>
    </w:p>
    <w:p>
      <w:pPr>
        <w:spacing w:after="0" w:line="87" w:lineRule="exact"/>
        <w:rPr>
          <w:rFonts w:ascii="Arial" w:cs="Arial" w:eastAsia="Arial" w:hAnsi="Arial"/>
          <w:sz w:val="17"/>
          <w:szCs w:val="17"/>
          <w:color w:val="auto"/>
        </w:rPr>
      </w:pPr>
    </w:p>
    <w:p>
      <w:pPr>
        <w:ind w:left="780" w:right="320" w:hanging="328"/>
        <w:spacing w:after="0" w:line="273"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require us to dedicate increased amounts of our cash flow from operations to payments on debt upon refinancing or on our variable rate, unhedged debt, if interest rates rise;</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factors that affect the profitability of our business;</w:t>
      </w:r>
    </w:p>
    <w:p>
      <w:pPr>
        <w:spacing w:after="0" w:line="87" w:lineRule="exact"/>
        <w:rPr>
          <w:rFonts w:ascii="Arial" w:cs="Arial" w:eastAsia="Arial" w:hAnsi="Arial"/>
          <w:sz w:val="17"/>
          <w:szCs w:val="17"/>
          <w:color w:val="auto"/>
        </w:rPr>
      </w:pPr>
    </w:p>
    <w:p>
      <w:pPr>
        <w:ind w:left="780" w:right="540" w:hanging="328"/>
        <w:spacing w:after="0" w:line="305"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20" w:lineRule="exact"/>
        <w:rPr>
          <w:rFonts w:ascii="Arial" w:cs="Arial" w:eastAsia="Arial" w:hAnsi="Arial"/>
          <w:sz w:val="16"/>
          <w:szCs w:val="16"/>
          <w:color w:val="auto"/>
        </w:rPr>
      </w:pPr>
    </w:p>
    <w:p>
      <w:pPr>
        <w:ind w:left="780" w:right="380" w:hanging="328"/>
        <w:spacing w:after="0" w:line="273"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limit our flexibility in conducting our business, which may place us at a disadvantage compared to competitors with less debt or debt with less restrictive terms.</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6"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w:t>
      </w:r>
    </w:p>
    <w:p>
      <w:pPr>
        <w:spacing w:after="0" w:line="3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revolving credit facility and certain series of notes include financial covenants that may limit our operating activities in the future. We are also required to comply with additional covenants that include, among other things, provisions:</w:t>
      </w:r>
    </w:p>
    <w:p>
      <w:pPr>
        <w:spacing w:after="0" w:line="44" w:lineRule="exact"/>
        <w:rPr>
          <w:sz w:val="20"/>
          <w:szCs w:val="20"/>
          <w:color w:val="auto"/>
        </w:rPr>
      </w:pPr>
    </w:p>
    <w:p>
      <w:pPr>
        <w:ind w:left="780" w:hanging="328"/>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relating to the maintenance of property securing a mortgage;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445" w:right="2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pledge assets or create liens;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incur additional debt;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amend or modify existing leases at properties securing a mortgage;</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enter into transactions with affiliates;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restricting our ability to consolidate, merge or sell all or substantially all of our assets.</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December 31, 2010,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activities have inherent risks.</w:t>
      </w:r>
    </w:p>
    <w:p>
      <w:pPr>
        <w:spacing w:after="0" w:line="9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ground-up development of improvements on real property, as opposed to the renovation and redevelopment of existing improvements, presents substantial risks. We generally do not intend to undertake on our own construction of any new large-scale mixed-use, ground-up development projects; however, we do intend to complete the development and construction of remaining phases of projects we already have started, such as Santana Row in San Jose, California and Assembly Row in Somerville, Massachusetts, as well as any future redevelopment of Mid-Pike Plaza in Rockville, Maryland. We may undertake development of these and other projects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13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A key component of our development at Assembly Row is the development of public infrastructure. This includes the roads throughout the project as well as the building of a “T-Stop”, which is a stop on the greater Boston area’s subway system, adjacent to our property. While we will contribute significantly to the infrastructure development, we also expect to receive substantial public funding for the project. The final funding decision and amount, however, is out of our control and therefore, there can be no assurance that we will receive the public funding. If we do not receive adequate public funding or necessary government approval for a T-Stop at the property, the project may not provide a justifiable risk- adjusted return resulting in a temporary or permanent hold on the project and a write-off of a portion of the project.</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color w:val="auto"/>
        </w:rPr>
        <w:t>In addition to the risks associated with real estate investment in general as described elsewhere, the risks associated with our remaining development activities include:</w:t>
      </w:r>
    </w:p>
    <w:p>
      <w:pPr>
        <w:spacing w:after="0" w:line="110" w:lineRule="exact"/>
        <w:rPr>
          <w:sz w:val="20"/>
          <w:szCs w:val="20"/>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significant time lag between commencement and stabilization subjects us to greater risks due to fluctuations in the general economy;</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construction or permanent financing on favorable terms;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or inability to obtain public funding from governmental agencies to fund infrastructure projects;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expenditure of money and time on projects that may never be completed;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achieve projected rental rates or anticipated pace of lease-up;</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445"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780" w:hanging="328"/>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higher than estimated construction or operating costs, including labor and material costs; and</w:t>
      </w:r>
    </w:p>
    <w:p>
      <w:pPr>
        <w:spacing w:after="0" w:line="87" w:lineRule="exact"/>
        <w:rPr>
          <w:rFonts w:ascii="Arial" w:cs="Arial" w:eastAsia="Arial" w:hAnsi="Arial"/>
          <w:sz w:val="17"/>
          <w:szCs w:val="17"/>
          <w:color w:val="auto"/>
        </w:rPr>
      </w:pPr>
    </w:p>
    <w:p>
      <w:pPr>
        <w:ind w:left="780" w:right="460" w:hanging="328"/>
        <w:spacing w:after="0" w:line="30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Redevelopments and acquisitions may fail to perform as expected.</w:t>
      </w:r>
    </w:p>
    <w:p>
      <w:pPr>
        <w:spacing w:after="0" w:line="9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investment strategy includes the redevelopment and acquisition of community and neighborhood shopping centers and other properties in densely populated areas with high average household incomes and significant barriers to adding competitive retail supply. The redevelopment and acquisition of properties entails risks that include the following, any of which could adversely affect our results of operations and our ability to meet our obligations:</w:t>
      </w:r>
    </w:p>
    <w:p>
      <w:pPr>
        <w:spacing w:after="0" w:line="36" w:lineRule="exact"/>
        <w:rPr>
          <w:sz w:val="20"/>
          <w:szCs w:val="20"/>
          <w:color w:val="auto"/>
        </w:rPr>
      </w:pPr>
    </w:p>
    <w:p>
      <w:pPr>
        <w:jc w:val="both"/>
        <w:ind w:left="780" w:right="540" w:hanging="328"/>
        <w:spacing w:after="0" w:line="263"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51"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be able to identify suitable properties to acquire or may be unable to complete the acquisition of the properties we identify;</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be able to integrate an acquisition into our existing operations successfully;</w:t>
      </w:r>
    </w:p>
    <w:p>
      <w:pPr>
        <w:spacing w:after="0" w:line="87" w:lineRule="exact"/>
        <w:rPr>
          <w:rFonts w:ascii="Arial" w:cs="Arial" w:eastAsia="Arial" w:hAnsi="Arial"/>
          <w:sz w:val="17"/>
          <w:szCs w:val="17"/>
          <w:color w:val="auto"/>
        </w:rPr>
      </w:pPr>
    </w:p>
    <w:p>
      <w:pPr>
        <w:ind w:left="780" w:right="300" w:hanging="328"/>
        <w:spacing w:after="0" w:line="273"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43" w:lineRule="exact"/>
        <w:rPr>
          <w:rFonts w:ascii="Arial" w:cs="Arial" w:eastAsia="Arial" w:hAnsi="Arial"/>
          <w:sz w:val="17"/>
          <w:szCs w:val="17"/>
          <w:color w:val="auto"/>
        </w:rPr>
      </w:pPr>
    </w:p>
    <w:p>
      <w:pPr>
        <w:ind w:left="780" w:right="420" w:hanging="328"/>
        <w:spacing w:after="0" w:line="30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20" w:lineRule="exact"/>
        <w:rPr>
          <w:rFonts w:ascii="Arial" w:cs="Arial" w:eastAsia="Arial" w:hAnsi="Arial"/>
          <w:sz w:val="16"/>
          <w:szCs w:val="16"/>
          <w:color w:val="auto"/>
        </w:rPr>
      </w:pPr>
    </w:p>
    <w:p>
      <w:pPr>
        <w:ind w:left="780" w:right="220" w:hanging="328"/>
        <w:spacing w:after="0" w:line="273"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grow will be limited if we cannot obtain additional capital.</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While we were able to consummate financings during 2009 and 2010, if economic conditions and conditions in the capital markets are not favorable at the time we need to raise capital, we may need to obtain capital on less favorable terms than in recent years for debt financings.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5"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Rising interest rates could adversely affect our cash flow and the market price of our outstanding debt and preferred shares.</w:t>
      </w:r>
    </w:p>
    <w:p>
      <w:pPr>
        <w:spacing w:after="0" w:line="91"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Of our approximately $1.8 billion of debt outstanding as of December 31, 2010, approximately $86.4 million bears interest at variable rates and was unhedged.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all or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market value of our debt and equity securities is subject to various factors that may cause significant fluctuations or volatility.</w:t>
      </w:r>
    </w:p>
    <w:p>
      <w:pPr>
        <w:spacing w:after="0" w:line="9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51" w:lineRule="exact"/>
        <w:rPr>
          <w:sz w:val="20"/>
          <w:szCs w:val="20"/>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and financial market conditions;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and trend of interest rates;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access the capital markets to raise additional capital;</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issuance of additional equity or debt securities;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funds from operations (“FFO”) or earnings estimates;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debt or analyst ratings;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financial condition and performance;</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perception of our business compared to other REITs; and/or</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market perception of REITs, in general, compared to other investment alternatives.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and value are subject to general risks associated with the real estate industry.</w:t>
      </w:r>
    </w:p>
    <w:p>
      <w:pPr>
        <w:spacing w:after="0" w:line="9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36" w:lineRule="exact"/>
        <w:rPr>
          <w:sz w:val="20"/>
          <w:szCs w:val="20"/>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economic downturns in general, or in the areas where our properties are located;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changes in local real estate market conditions, such as an oversupply or reduction in demand;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tenant preferences that reduce the attractiveness of our properties to tenants;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zoning or regulatory restrictions;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decreases in market rental rates;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weather conditions that may increase or decrease energy costs and other weather-related expenses;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costs associated with the need to periodically repair, renovate and re-lease space;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5"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left="780" w:right="180" w:hanging="328"/>
        <w:spacing w:after="0" w:line="263"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128"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Each of these risks could result in decreases in market rental rates and increases in vacancy rates, which could adversely affect our financial condition and results of operation.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Many real estate costs are fixed, even if income from our properties decreases.</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 may limit our ability to purchase new properties and generate sufficient income from tenants.</w:t>
      </w:r>
    </w:p>
    <w:p>
      <w:pPr>
        <w:spacing w:after="0" w:line="91" w:lineRule="exact"/>
        <w:rPr>
          <w:sz w:val="20"/>
          <w:szCs w:val="20"/>
          <w:color w:val="auto"/>
        </w:rPr>
      </w:pPr>
    </w:p>
    <w:p>
      <w:pPr>
        <w:ind w:right="820"/>
        <w:spacing w:after="0" w:line="273" w:lineRule="auto"/>
        <w:rPr>
          <w:sz w:val="20"/>
          <w:szCs w:val="20"/>
          <w:color w:val="auto"/>
        </w:rPr>
      </w:pPr>
      <w:r>
        <w:rPr>
          <w:rFonts w:ascii="Arial" w:cs="Arial" w:eastAsia="Arial" w:hAnsi="Arial"/>
          <w:sz w:val="17"/>
          <w:szCs w:val="17"/>
          <w:color w:val="auto"/>
        </w:rPr>
        <w:t>Numerous commercial developers and real estate companies compete with us in seeking tenants for our existing properties and properties for acquisition. This competition may:</w:t>
      </w:r>
    </w:p>
    <w:p>
      <w:pPr>
        <w:spacing w:after="0" w:line="44" w:lineRule="exact"/>
        <w:rPr>
          <w:sz w:val="20"/>
          <w:szCs w:val="20"/>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properties available for acquisition;</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 the cost of properties available for acquisition;</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 rents payable to us;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interfere with our ability to attract and retain tenants;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lead to increased vacancy rates at our properties;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adversely affect our ability to minimize expenses of operation.</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sell properties when appropriate because real estate investments are illiquid.</w:t>
      </w:r>
    </w:p>
    <w:p>
      <w:pPr>
        <w:spacing w:after="0" w:line="9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insurance coverage on our properties may be inadequate.</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currently carry comprehensive insurance on all of our properties, including insurance for liability, fire, flood, rental loss and acts of terrorism. We also currently carry earthquake insurance on all of our properties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5"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California and environmental insurance on most of our properties.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28"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have limited flexibility in dealing with our jointly owned investments.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Our organizational documents do not limit the amount of funds that we may invest in properties and assets owned jointly with other persons or entities. As of</w:t>
      </w:r>
    </w:p>
    <w:p>
      <w:pPr>
        <w:spacing w:after="0" w:line="29"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December 31, 2010, we held three predominantly retail real estate projects jointly with other persons in addition to our joint venture with affiliates of a discretionary fund created and advised by ING Clarion Partners (“Clarion”), Taurus Newbury Street JV II Limited Partnership (“Newbury Street Partnership”) and properties owned in a “downREIT” structure.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2010, we held the managing general partnership or membership interest in all of our existing co-investments, except Newbury Street Partnership, we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56" w:lineRule="exact"/>
        <w:rPr>
          <w:sz w:val="20"/>
          <w:szCs w:val="20"/>
          <w:color w:val="auto"/>
        </w:rPr>
      </w:pPr>
    </w:p>
    <w:p>
      <w:pPr>
        <w:ind w:left="780" w:hanging="328"/>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enter into new anchor tenant leases, modify existing anchor tenant leases or enforce remedies against anchor tenants;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make certain repairs, renovations or other changes or improvements to properties;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sell or finance the property with secured debt.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5"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terms of our partnership require that certain acquisition opportunities be presented first to the joint venture, which limits our ability to acquire properties for our own account which could, in turn, limit our ability to grow. 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2010, this joint venture owned seven properties.</w:t>
      </w:r>
    </w:p>
    <w:p>
      <w:pPr>
        <w:spacing w:after="0" w:line="135"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In addition, in May 2010, we formed Newbury Street Partnership, a joint venture limited partnership with an affiliate of Taurus Investment Holdings, LLC (“Taurus”), which plans to acquire, operate and redevelop up to $200 million of properties located primarily in the Back Bay section of Boston, Massachusetts. We do not serve as general partner or manager for this joint venture; however, Taurus must obtain our consent for certain major decisions. Our joint venture with Taurus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 As of December 31, 2010, Newbury Street Partnership owned two mixed-use buildings on Newbury Street.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laws and regulations could reduce the value or profitability of our properties.</w:t>
      </w:r>
    </w:p>
    <w:p>
      <w:pPr>
        <w:spacing w:after="0" w:line="91"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45"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9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9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209"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color w:val="auto"/>
        </w:rPr>
        <w:t>Failure to qualify as a REIT for federal income tax purposes would cause us to be taxed as a corporation, which would substantially reduce funds available for payment of distributions.</w:t>
      </w:r>
    </w:p>
    <w:p>
      <w:pPr>
        <w:spacing w:after="0" w:line="39"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If we fail to qualify as a REIT:</w:t>
      </w:r>
    </w:p>
    <w:p>
      <w:pPr>
        <w:spacing w:after="0" w:line="87" w:lineRule="exact"/>
        <w:rPr>
          <w:sz w:val="20"/>
          <w:szCs w:val="20"/>
          <w:color w:val="auto"/>
        </w:rPr>
      </w:pPr>
    </w:p>
    <w:p>
      <w:pPr>
        <w:ind w:left="780" w:hanging="328"/>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would not be allowed a deduction for distributions to shareholders in computing taxable income;</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would be subject to federal income tax at regular corporate rates;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subject to the federal alternative minimum tax;</w:t>
      </w:r>
    </w:p>
    <w:p>
      <w:pPr>
        <w:spacing w:after="0" w:line="87" w:lineRule="exact"/>
        <w:rPr>
          <w:rFonts w:ascii="Arial" w:cs="Arial" w:eastAsia="Arial" w:hAnsi="Arial"/>
          <w:sz w:val="17"/>
          <w:szCs w:val="17"/>
          <w:color w:val="auto"/>
        </w:rPr>
      </w:pPr>
    </w:p>
    <w:p>
      <w:pPr>
        <w:ind w:left="780" w:right="260" w:hanging="328"/>
        <w:spacing w:after="0" w:line="273"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unless we are entitled to relief under specific statutory provisions, we could not elect to be taxed as a REIT for four taxable years following the year during which we were disqualified;</w:t>
      </w:r>
    </w:p>
    <w:p>
      <w:pPr>
        <w:spacing w:after="0" w:line="43" w:lineRule="exact"/>
        <w:rPr>
          <w:rFonts w:ascii="Arial" w:cs="Arial" w:eastAsia="Arial" w:hAnsi="Arial"/>
          <w:sz w:val="17"/>
          <w:szCs w:val="17"/>
          <w:color w:val="auto"/>
        </w:rPr>
      </w:pPr>
    </w:p>
    <w:p>
      <w:pPr>
        <w:ind w:left="780" w:right="800" w:hanging="328"/>
        <w:spacing w:after="0" w:line="273"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would no longer be required by law to make any distributions to our shareholders.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5"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incur additional debt to qualify as a REIT.</w:t>
      </w:r>
    </w:p>
    <w:p>
      <w:pPr>
        <w:spacing w:after="0" w:line="9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25" w:lineRule="exact"/>
        <w:rPr>
          <w:sz w:val="20"/>
          <w:szCs w:val="20"/>
          <w:color w:val="auto"/>
        </w:rPr>
      </w:pPr>
    </w:p>
    <w:p>
      <w:pPr>
        <w:ind w:left="780" w:hanging="328"/>
        <w:spacing w:after="0"/>
        <w:tabs>
          <w:tab w:leader="none" w:pos="7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10" w:lineRule="exact"/>
        <w:rPr>
          <w:rFonts w:ascii="Arial" w:cs="Arial" w:eastAsia="Arial" w:hAnsi="Arial"/>
          <w:sz w:val="15"/>
          <w:szCs w:val="15"/>
          <w:color w:val="auto"/>
        </w:rPr>
      </w:pPr>
    </w:p>
    <w:p>
      <w:pPr>
        <w:ind w:left="780" w:hanging="328"/>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4"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maintain our status as a REIT, we limit the amount of shares any one shareholder can own.</w:t>
      </w:r>
    </w:p>
    <w:p>
      <w:pPr>
        <w:spacing w:after="0" w:line="9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128" w:lineRule="exact"/>
        <w:rPr>
          <w:sz w:val="20"/>
          <w:szCs w:val="20"/>
          <w:color w:val="auto"/>
        </w:rPr>
      </w:pPr>
    </w:p>
    <w:p>
      <w:pPr>
        <w:ind w:right="320"/>
        <w:spacing w:after="0" w:line="291" w:lineRule="auto"/>
        <w:rPr>
          <w:sz w:val="20"/>
          <w:szCs w:val="20"/>
          <w:color w:val="auto"/>
        </w:rPr>
      </w:pPr>
      <w:r>
        <w:rPr>
          <w:rFonts w:ascii="Arial" w:cs="Arial" w:eastAsia="Arial" w:hAnsi="Arial"/>
          <w:sz w:val="15"/>
          <w:szCs w:val="15"/>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w:t>
      </w:r>
    </w:p>
    <w:p>
      <w:pPr>
        <w:ind w:right="120"/>
        <w:spacing w:after="0" w:line="264" w:lineRule="auto"/>
        <w:rPr>
          <w:sz w:val="20"/>
          <w:szCs w:val="20"/>
          <w:color w:val="auto"/>
        </w:rPr>
      </w:pPr>
      <w:r>
        <w:rPr>
          <w:rFonts w:ascii="Arial" w:cs="Arial" w:eastAsia="Arial" w:hAnsi="Arial"/>
          <w:sz w:val="17"/>
          <w:szCs w:val="17"/>
          <w:color w:val="auto"/>
        </w:rPr>
        <w:t>9.8% ownership restrictions may delay, defer or prevent a transaction or a change of our control that might involve a premium price for the common shares or otherwise be in the shareholders’ best interest.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cannot assure you we will continue to pay dividends at historical rates.</w:t>
      </w:r>
    </w:p>
    <w:p>
      <w:pPr>
        <w:spacing w:after="0" w:line="9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44" w:lineRule="exact"/>
        <w:rPr>
          <w:sz w:val="20"/>
          <w:szCs w:val="20"/>
          <w:color w:val="auto"/>
        </w:rPr>
      </w:pPr>
    </w:p>
    <w:p>
      <w:pPr>
        <w:ind w:left="780" w:hanging="328"/>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financial condition and results of future operations;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performance of lease terms by tenants;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terms of our loan covenants;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acquire, finance, develop or redevelop and lease additional properties at attractive rates.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45" w:right="2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tax and anti-takeover provisions of our declaration of trust and bylaws may inhibit a change of our control.</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56" w:lineRule="exact"/>
        <w:rPr>
          <w:sz w:val="20"/>
          <w:szCs w:val="20"/>
          <w:color w:val="auto"/>
        </w:rPr>
      </w:pPr>
    </w:p>
    <w:p>
      <w:pPr>
        <w:ind w:left="780" w:hanging="328"/>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REIT ownership limit described above;</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authorization of the issuance of our preferred shares with powers, preferences or rights to be determined by the Board of Trustees;</w:t>
      </w:r>
    </w:p>
    <w:p>
      <w:pPr>
        <w:spacing w:after="0" w:line="87" w:lineRule="exact"/>
        <w:rPr>
          <w:rFonts w:ascii="Arial" w:cs="Arial" w:eastAsia="Arial" w:hAnsi="Arial"/>
          <w:sz w:val="17"/>
          <w:szCs w:val="17"/>
          <w:color w:val="auto"/>
        </w:rPr>
      </w:pPr>
    </w:p>
    <w:p>
      <w:pPr>
        <w:ind w:left="780" w:right="100" w:hanging="328"/>
        <w:spacing w:after="0" w:line="273"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43" w:lineRule="exact"/>
        <w:rPr>
          <w:rFonts w:ascii="Arial" w:cs="Arial" w:eastAsia="Arial" w:hAnsi="Arial"/>
          <w:sz w:val="17"/>
          <w:szCs w:val="17"/>
          <w:color w:val="auto"/>
        </w:rPr>
      </w:pPr>
    </w:p>
    <w:p>
      <w:pPr>
        <w:ind w:left="780" w:right="300" w:hanging="328"/>
        <w:spacing w:after="0" w:line="273"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Board of Trustees, without a shareholder vote, can classify or reclassify unissued shares of beneficial interest, including the reclassification of common shares into preferred shares and vice-versa;</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two-thirds shareholder vote is required to approve some amendments to the declaration of trust;</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advance-notice requirements for proposals to be presented at shareholder meetings; and</w:t>
      </w:r>
    </w:p>
    <w:p>
      <w:pPr>
        <w:spacing w:after="0" w:line="87" w:lineRule="exact"/>
        <w:rPr>
          <w:rFonts w:ascii="Arial" w:cs="Arial" w:eastAsia="Arial" w:hAnsi="Arial"/>
          <w:sz w:val="17"/>
          <w:szCs w:val="17"/>
          <w:color w:val="auto"/>
        </w:rPr>
      </w:pPr>
    </w:p>
    <w:p>
      <w:pPr>
        <w:ind w:left="780" w:right="20" w:hanging="328"/>
        <w:spacing w:after="0" w:line="305" w:lineRule="auto"/>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9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3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amend or revise our business policies without your approval.</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5"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The current business plan adopted by our Board of Trustees focuses on our investment in quality retail based properties that are frequently neighborhood and community shopping centers, principally through redevelopments and acquisitions. If this business plan is not successful, it could have a material adverse effect on our financial condition and results of operations.</w:t>
      </w:r>
    </w:p>
    <w:p>
      <w:pPr>
        <w:spacing w:after="0" w:line="128"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91"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As of December 31, 2010, we owned or had a majority ownership interest in community and neighborhood shopping centers and mixed-used properties which are operated as 85 predominantly retail real estate projects comprising approximately 18.3 million square feet. These properties are located primarily in densely populated and affluent communities in strategic metropolitan markets in the Northeast and Mid-Atlantic regions of the United States, as well as California. No single property accounted for over 10% of our 2010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 Diversification</w:t>
      </w:r>
    </w:p>
    <w:p>
      <w:pPr>
        <w:spacing w:after="0" w:line="91"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As of December 31, 2010, we had approximately 2,400 leases, with tenants ranging from sole proprietors to major national and international retailers. No one tenant or affiliated group of tenants accounted for more than 2.6% of our annualized base rent as of December 31, 2010. As a result of our tenant diversification, we believe our exposure to any one bankruptcy filing in the retail sector has not been and will not be significant, however, multiple filings by a number of retailers could have a significant impact.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5"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Geographic Diversification</w:t>
      </w:r>
    </w:p>
    <w:p>
      <w:pPr>
        <w:spacing w:after="0" w:line="91" w:lineRule="exact"/>
        <w:rPr>
          <w:sz w:val="20"/>
          <w:szCs w:val="20"/>
          <w:color w:val="auto"/>
        </w:rPr>
      </w:pPr>
    </w:p>
    <w:p>
      <w:pPr>
        <w:ind w:right="340"/>
        <w:spacing w:after="0" w:line="305" w:lineRule="auto"/>
        <w:rPr>
          <w:sz w:val="20"/>
          <w:szCs w:val="20"/>
          <w:color w:val="auto"/>
        </w:rPr>
      </w:pPr>
      <w:r>
        <w:rPr>
          <w:rFonts w:ascii="Arial" w:cs="Arial" w:eastAsia="Arial" w:hAnsi="Arial"/>
          <w:sz w:val="16"/>
          <w:szCs w:val="16"/>
          <w:color w:val="auto"/>
        </w:rPr>
        <w:t>Our 85 real estate projects are located in 13 states and the District of Columbia. The following table shows the number of projects, the gross leasable area (“GLA”) of commercial space and the percentage of total portfolio gross leasable area of commercial space in each state as of December 31, 2010.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Percentage</w:t>
            </w:r>
          </w:p>
        </w:tc>
      </w:tr>
      <w:tr>
        <w:trPr>
          <w:trHeight w:val="141"/>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5"/>
              </w:rPr>
              <w:t>of Gross</w:t>
            </w:r>
          </w:p>
        </w:tc>
      </w:tr>
      <w:tr>
        <w:trPr>
          <w:trHeight w:val="141"/>
        </w:trPr>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20" w:type="dxa"/>
            <w:vAlign w:val="bottom"/>
            <w:gridSpan w:val="2"/>
          </w:tcPr>
          <w:p>
            <w:pPr>
              <w:jc w:val="right"/>
              <w:ind w:right="720"/>
              <w:spacing w:after="0" w:line="141" w:lineRule="exact"/>
              <w:rPr>
                <w:sz w:val="20"/>
                <w:szCs w:val="20"/>
                <w:color w:val="auto"/>
              </w:rPr>
            </w:pPr>
            <w:r>
              <w:rPr>
                <w:rFonts w:ascii="Arial" w:cs="Arial" w:eastAsia="Arial" w:hAnsi="Arial"/>
                <w:sz w:val="13"/>
                <w:szCs w:val="13"/>
                <w:b w:val="1"/>
                <w:bCs w:val="1"/>
                <w:color w:val="auto"/>
                <w:w w:val="89"/>
              </w:rPr>
              <w:t>Number of</w:t>
            </w:r>
          </w:p>
        </w:tc>
        <w:tc>
          <w:tcPr>
            <w:tcW w:w="1580" w:type="dxa"/>
            <w:vAlign w:val="bottom"/>
            <w:gridSpan w:val="2"/>
          </w:tcPr>
          <w:p>
            <w:pPr>
              <w:jc w:val="center"/>
              <w:ind w:right="740"/>
              <w:spacing w:after="0" w:line="141" w:lineRule="exact"/>
              <w:rPr>
                <w:sz w:val="20"/>
                <w:szCs w:val="20"/>
                <w:color w:val="auto"/>
              </w:rPr>
            </w:pPr>
            <w:r>
              <w:rPr>
                <w:rFonts w:ascii="Arial" w:cs="Arial" w:eastAsia="Arial" w:hAnsi="Arial"/>
                <w:sz w:val="13"/>
                <w:szCs w:val="13"/>
                <w:b w:val="1"/>
                <w:bCs w:val="1"/>
                <w:color w:val="auto"/>
                <w:w w:val="86"/>
              </w:rPr>
              <w:t>Gross Leasable</w:t>
            </w:r>
          </w:p>
        </w:tc>
        <w:tc>
          <w:tcPr>
            <w:tcW w:w="82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6"/>
              </w:rPr>
              <w:t>Leasable</w:t>
            </w:r>
          </w:p>
        </w:tc>
      </w:tr>
      <w:tr>
        <w:trPr>
          <w:trHeight w:val="154"/>
        </w:trPr>
        <w:tc>
          <w:tcPr>
            <w:tcW w:w="7700" w:type="dxa"/>
            <w:vAlign w:val="bottom"/>
            <w:gridSpan w:val="3"/>
          </w:tcPr>
          <w:p>
            <w:pPr>
              <w:spacing w:after="0"/>
              <w:rPr>
                <w:sz w:val="20"/>
                <w:szCs w:val="20"/>
                <w:color w:val="auto"/>
              </w:rPr>
            </w:pPr>
            <w:r>
              <w:rPr>
                <w:rFonts w:ascii="Arial" w:cs="Arial" w:eastAsia="Arial" w:hAnsi="Arial"/>
                <w:sz w:val="13"/>
                <w:szCs w:val="13"/>
                <w:b w:val="1"/>
                <w:bCs w:val="1"/>
                <w:color w:val="auto"/>
              </w:rPr>
              <w:t>State</w:t>
            </w:r>
          </w:p>
        </w:tc>
        <w:tc>
          <w:tcPr>
            <w:tcW w:w="132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7"/>
              </w:rPr>
              <w:t>Projects</w:t>
            </w:r>
          </w:p>
        </w:tc>
        <w:tc>
          <w:tcPr>
            <w:tcW w:w="1580" w:type="dxa"/>
            <w:vAlign w:val="bottom"/>
            <w:gridSpan w:val="2"/>
          </w:tcPr>
          <w:p>
            <w:pPr>
              <w:jc w:val="center"/>
              <w:ind w:right="720"/>
              <w:spacing w:after="0"/>
              <w:rPr>
                <w:sz w:val="20"/>
                <w:szCs w:val="20"/>
                <w:color w:val="auto"/>
              </w:rPr>
            </w:pPr>
            <w:r>
              <w:rPr>
                <w:rFonts w:ascii="Arial" w:cs="Arial" w:eastAsia="Arial" w:hAnsi="Arial"/>
                <w:sz w:val="13"/>
                <w:szCs w:val="13"/>
                <w:b w:val="1"/>
                <w:bCs w:val="1"/>
                <w:color w:val="auto"/>
                <w:w w:val="89"/>
              </w:rPr>
              <w:t>Area</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Area</w:t>
            </w:r>
          </w:p>
        </w:tc>
      </w:tr>
      <w:tr>
        <w:trPr>
          <w:trHeight w:val="134"/>
        </w:trPr>
        <w:tc>
          <w:tcPr>
            <w:tcW w:w="30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0"/>
              </w:rPr>
              <w:t>(In square feet)</w:t>
            </w:r>
          </w:p>
        </w:tc>
        <w:tc>
          <w:tcPr>
            <w:tcW w:w="7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Maryland</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17</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3,706,000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Virginia</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15</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3,616,000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19.8%</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California</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12</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2,497,000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Pennsylvania(1)</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11</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2,405,000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13.1%</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New Jersey</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4</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1,383,000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Massachusetts</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7</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1,382,000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New York</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6</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1,198,000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Illinois</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4</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752,000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Connecticut(1)</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305,000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Florida</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2</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308,000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Michigan</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217,000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Texas</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1</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196,000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District of Columbia</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168,000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w:t>
            </w:r>
          </w:p>
        </w:tc>
      </w:tr>
      <w:tr>
        <w:trPr>
          <w:trHeight w:val="206"/>
        </w:trPr>
        <w:tc>
          <w:tcPr>
            <w:tcW w:w="7700" w:type="dxa"/>
            <w:vAlign w:val="bottom"/>
            <w:gridSpan w:val="3"/>
          </w:tcPr>
          <w:p>
            <w:pPr>
              <w:spacing w:after="0"/>
              <w:rPr>
                <w:sz w:val="20"/>
                <w:szCs w:val="20"/>
                <w:color w:val="auto"/>
              </w:rPr>
            </w:pPr>
            <w:r>
              <w:rPr>
                <w:rFonts w:ascii="Arial" w:cs="Arial" w:eastAsia="Arial" w:hAnsi="Arial"/>
                <w:sz w:val="17"/>
                <w:szCs w:val="17"/>
                <w:color w:val="auto"/>
              </w:rPr>
              <w:t>North Carolina</w:t>
            </w:r>
          </w:p>
        </w:tc>
        <w:tc>
          <w:tcPr>
            <w:tcW w:w="1320" w:type="dxa"/>
            <w:vAlign w:val="bottom"/>
            <w:gridSpan w:val="2"/>
          </w:tcPr>
          <w:p>
            <w:pPr>
              <w:jc w:val="right"/>
              <w:ind w:right="720"/>
              <w:spacing w:after="0"/>
              <w:rPr>
                <w:sz w:val="20"/>
                <w:szCs w:val="20"/>
                <w:color w:val="auto"/>
              </w:rPr>
            </w:pPr>
            <w:r>
              <w:rPr>
                <w:rFonts w:ascii="Arial" w:cs="Arial" w:eastAsia="Arial" w:hAnsi="Arial"/>
                <w:sz w:val="17"/>
                <w:szCs w:val="17"/>
                <w:color w:val="auto"/>
              </w:rPr>
              <w:t>1</w:t>
            </w: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rPr>
              <w:t>153,000</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0.8%</w:t>
            </w:r>
          </w:p>
        </w:tc>
      </w:tr>
      <w:tr>
        <w:trPr>
          <w:trHeight w:val="26"/>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6"/>
        </w:trPr>
        <w:tc>
          <w:tcPr>
            <w:tcW w:w="77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b w:val="1"/>
                <w:bCs w:val="1"/>
                <w:color w:val="auto"/>
              </w:rPr>
              <w:t>85</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b w:val="1"/>
                <w:bCs w:val="1"/>
                <w:color w:val="auto"/>
                <w:w w:val="98"/>
              </w:rPr>
              <w:t>18,286,000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100.0%</w:t>
            </w: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94"/>
        </w:trPr>
        <w:tc>
          <w:tcPr>
            <w:tcW w:w="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7" w:lineRule="exact"/>
        <w:rPr>
          <w:sz w:val="20"/>
          <w:szCs w:val="20"/>
          <w:color w:val="auto"/>
        </w:rPr>
      </w:pPr>
    </w:p>
    <w:p>
      <w:pPr>
        <w:ind w:left="460" w:right="440" w:hanging="457"/>
        <w:spacing w:after="0" w:line="273"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Additionally, we own two participating mortgages totaling approximately $29.4 million secured by multiple buildings in Manayunk, Pennsylvania, and $18.3 million of loans secured by two properties in Norwalk, Connecticut.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Lease Terms and Lease Expirations</w:t>
      </w:r>
    </w:p>
    <w:p>
      <w:pPr>
        <w:spacing w:after="0" w:line="91"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Commercial property leases generally range from 3 to 10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2010, represented approximately 4.1% of total rental income.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5"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following table sets forth the schedule of lease expirations for our commercial leases in place as of December 31, 2010 for each of the 10 years beginning with 2011 and after 2020 in the aggregate assuming that none of the tenants exercise future renewal options. Annualized base rents reflect in-place contractual rents as of December 31, 2010.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Leased</w:t>
            </w:r>
          </w:p>
        </w:tc>
        <w:tc>
          <w:tcPr>
            <w:tcW w:w="860" w:type="dxa"/>
            <w:vAlign w:val="bottom"/>
          </w:tcPr>
          <w:p>
            <w:pPr>
              <w:spacing w:after="0"/>
              <w:rPr>
                <w:sz w:val="13"/>
                <w:szCs w:val="13"/>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6"/>
              </w:rPr>
              <w:t>Percentage of</w:t>
            </w:r>
          </w:p>
        </w:tc>
        <w:tc>
          <w:tcPr>
            <w:tcW w:w="400" w:type="dxa"/>
            <w:vAlign w:val="bottom"/>
          </w:tcPr>
          <w:p>
            <w:pPr>
              <w:spacing w:after="0"/>
              <w:rPr>
                <w:sz w:val="13"/>
                <w:szCs w:val="13"/>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b w:val="1"/>
                <w:bCs w:val="1"/>
                <w:color w:val="auto"/>
                <w:w w:val="92"/>
              </w:rPr>
              <w:t>Annualized</w:t>
            </w: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Square</w:t>
            </w:r>
          </w:p>
        </w:tc>
        <w:tc>
          <w:tcPr>
            <w:tcW w:w="860" w:type="dxa"/>
            <w:vAlign w:val="bottom"/>
          </w:tcPr>
          <w:p>
            <w:pPr>
              <w:spacing w:after="0"/>
              <w:rPr>
                <w:sz w:val="12"/>
                <w:szCs w:val="12"/>
                <w:color w:val="auto"/>
              </w:rPr>
            </w:pPr>
          </w:p>
        </w:tc>
        <w:tc>
          <w:tcPr>
            <w:tcW w:w="1340" w:type="dxa"/>
            <w:vAlign w:val="bottom"/>
            <w:gridSpan w:val="2"/>
          </w:tcPr>
          <w:p>
            <w:pPr>
              <w:jc w:val="center"/>
              <w:ind w:right="540"/>
              <w:spacing w:after="0" w:line="141" w:lineRule="exact"/>
              <w:rPr>
                <w:sz w:val="20"/>
                <w:szCs w:val="20"/>
                <w:color w:val="auto"/>
              </w:rPr>
            </w:pPr>
            <w:r>
              <w:rPr>
                <w:rFonts w:ascii="Arial" w:cs="Arial" w:eastAsia="Arial" w:hAnsi="Arial"/>
                <w:sz w:val="13"/>
                <w:szCs w:val="13"/>
                <w:b w:val="1"/>
                <w:bCs w:val="1"/>
                <w:color w:val="auto"/>
                <w:w w:val="86"/>
              </w:rPr>
              <w:t>Leased Square</w:t>
            </w:r>
          </w:p>
        </w:tc>
        <w:tc>
          <w:tcPr>
            <w:tcW w:w="400" w:type="dxa"/>
            <w:vAlign w:val="bottom"/>
          </w:tcPr>
          <w:p>
            <w:pPr>
              <w:spacing w:after="0"/>
              <w:rPr>
                <w:sz w:val="12"/>
                <w:szCs w:val="12"/>
                <w:color w:val="auto"/>
              </w:rPr>
            </w:pPr>
          </w:p>
        </w:tc>
        <w:tc>
          <w:tcPr>
            <w:tcW w:w="1780" w:type="dxa"/>
            <w:vAlign w:val="bottom"/>
            <w:gridSpan w:val="2"/>
          </w:tcPr>
          <w:p>
            <w:pPr>
              <w:jc w:val="center"/>
              <w:ind w:right="860"/>
              <w:spacing w:after="0" w:line="141" w:lineRule="exact"/>
              <w:rPr>
                <w:sz w:val="20"/>
                <w:szCs w:val="20"/>
                <w:color w:val="auto"/>
              </w:rPr>
            </w:pPr>
            <w:r>
              <w:rPr>
                <w:rFonts w:ascii="Arial" w:cs="Arial" w:eastAsia="Arial" w:hAnsi="Arial"/>
                <w:sz w:val="13"/>
                <w:szCs w:val="13"/>
                <w:b w:val="1"/>
                <w:bCs w:val="1"/>
                <w:color w:val="auto"/>
                <w:w w:val="88"/>
              </w:rPr>
              <w:t>Base Rent</w:t>
            </w:r>
          </w:p>
        </w:tc>
        <w:tc>
          <w:tcPr>
            <w:tcW w:w="15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8"/>
              </w:rPr>
              <w:t>Percentage of Annualized</w:t>
            </w:r>
          </w:p>
        </w:tc>
        <w:tc>
          <w:tcPr>
            <w:tcW w:w="0" w:type="dxa"/>
            <w:vAlign w:val="bottom"/>
          </w:tcPr>
          <w:p>
            <w:pPr>
              <w:spacing w:after="0"/>
              <w:rPr>
                <w:sz w:val="1"/>
                <w:szCs w:val="1"/>
                <w:color w:val="auto"/>
              </w:rPr>
            </w:pPr>
          </w:p>
        </w:tc>
      </w:tr>
      <w:tr>
        <w:trPr>
          <w:trHeight w:val="141"/>
        </w:trPr>
        <w:tc>
          <w:tcPr>
            <w:tcW w:w="14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6"/>
              </w:rPr>
              <w:t>Footage</w:t>
            </w:r>
          </w:p>
        </w:tc>
        <w:tc>
          <w:tcPr>
            <w:tcW w:w="860" w:type="dxa"/>
            <w:vAlign w:val="bottom"/>
          </w:tcPr>
          <w:p>
            <w:pPr>
              <w:spacing w:after="0"/>
              <w:rPr>
                <w:sz w:val="12"/>
                <w:szCs w:val="12"/>
                <w:color w:val="auto"/>
              </w:rPr>
            </w:pPr>
          </w:p>
        </w:tc>
        <w:tc>
          <w:tcPr>
            <w:tcW w:w="1340" w:type="dxa"/>
            <w:vAlign w:val="bottom"/>
            <w:gridSpan w:val="2"/>
          </w:tcPr>
          <w:p>
            <w:pPr>
              <w:jc w:val="center"/>
              <w:ind w:right="540"/>
              <w:spacing w:after="0" w:line="141" w:lineRule="exact"/>
              <w:rPr>
                <w:sz w:val="20"/>
                <w:szCs w:val="20"/>
                <w:color w:val="auto"/>
              </w:rPr>
            </w:pPr>
            <w:r>
              <w:rPr>
                <w:rFonts w:ascii="Arial" w:cs="Arial" w:eastAsia="Arial" w:hAnsi="Arial"/>
                <w:sz w:val="13"/>
                <w:szCs w:val="13"/>
                <w:b w:val="1"/>
                <w:bCs w:val="1"/>
                <w:color w:val="auto"/>
                <w:w w:val="86"/>
              </w:rPr>
              <w:t>Footage</w:t>
            </w:r>
          </w:p>
        </w:tc>
        <w:tc>
          <w:tcPr>
            <w:tcW w:w="400" w:type="dxa"/>
            <w:vAlign w:val="bottom"/>
          </w:tcPr>
          <w:p>
            <w:pPr>
              <w:spacing w:after="0"/>
              <w:rPr>
                <w:sz w:val="12"/>
                <w:szCs w:val="12"/>
                <w:color w:val="auto"/>
              </w:rPr>
            </w:pPr>
          </w:p>
        </w:tc>
        <w:tc>
          <w:tcPr>
            <w:tcW w:w="1780" w:type="dxa"/>
            <w:vAlign w:val="bottom"/>
            <w:gridSpan w:val="2"/>
          </w:tcPr>
          <w:p>
            <w:pPr>
              <w:jc w:val="center"/>
              <w:ind w:right="860"/>
              <w:spacing w:after="0" w:line="141" w:lineRule="exact"/>
              <w:rPr>
                <w:sz w:val="20"/>
                <w:szCs w:val="20"/>
                <w:color w:val="auto"/>
              </w:rPr>
            </w:pPr>
            <w:r>
              <w:rPr>
                <w:rFonts w:ascii="Arial" w:cs="Arial" w:eastAsia="Arial" w:hAnsi="Arial"/>
                <w:sz w:val="13"/>
                <w:szCs w:val="13"/>
                <w:b w:val="1"/>
                <w:bCs w:val="1"/>
                <w:color w:val="auto"/>
                <w:w w:val="86"/>
              </w:rPr>
              <w:t>Represented by</w:t>
            </w:r>
          </w:p>
        </w:tc>
        <w:tc>
          <w:tcPr>
            <w:tcW w:w="158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86"/>
              </w:rPr>
              <w:t>Base Rent Represented</w:t>
            </w:r>
          </w:p>
        </w:tc>
        <w:tc>
          <w:tcPr>
            <w:tcW w:w="0" w:type="dxa"/>
            <w:vAlign w:val="bottom"/>
          </w:tcPr>
          <w:p>
            <w:pPr>
              <w:spacing w:after="0"/>
              <w:rPr>
                <w:sz w:val="1"/>
                <w:szCs w:val="1"/>
                <w:color w:val="auto"/>
              </w:rPr>
            </w:pPr>
          </w:p>
        </w:tc>
      </w:tr>
      <w:tr>
        <w:trPr>
          <w:trHeight w:val="154"/>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Year of Lease Expiration</w:t>
            </w:r>
          </w:p>
        </w:tc>
        <w:tc>
          <w:tcPr>
            <w:tcW w:w="32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Expiring</w:t>
            </w:r>
          </w:p>
        </w:tc>
        <w:tc>
          <w:tcPr>
            <w:tcW w:w="86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Expiring</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Expiring Leases</w:t>
            </w:r>
          </w:p>
        </w:tc>
        <w:tc>
          <w:tcPr>
            <w:tcW w:w="860" w:type="dxa"/>
            <w:vAlign w:val="bottom"/>
          </w:tcPr>
          <w:p>
            <w:pPr>
              <w:spacing w:after="0"/>
              <w:rPr>
                <w:sz w:val="13"/>
                <w:szCs w:val="1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by Expiring Leases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1,412,000</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8%</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34,881,000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2012</w:t>
            </w:r>
          </w:p>
        </w:tc>
        <w:tc>
          <w:tcPr>
            <w:tcW w:w="4000" w:type="dxa"/>
            <w:vAlign w:val="bottom"/>
            <w:gridSpan w:val="2"/>
          </w:tcPr>
          <w:p>
            <w:pPr>
              <w:jc w:val="right"/>
              <w:spacing w:after="0"/>
              <w:rPr>
                <w:sz w:val="20"/>
                <w:szCs w:val="20"/>
                <w:color w:val="auto"/>
              </w:rPr>
            </w:pPr>
            <w:r>
              <w:rPr>
                <w:rFonts w:ascii="Arial" w:cs="Arial" w:eastAsia="Arial" w:hAnsi="Arial"/>
                <w:sz w:val="17"/>
                <w:szCs w:val="17"/>
                <w:color w:val="auto"/>
              </w:rPr>
              <w:t>2,242,000</w:t>
            </w:r>
          </w:p>
        </w:tc>
        <w:tc>
          <w:tcPr>
            <w:tcW w:w="2200" w:type="dxa"/>
            <w:vAlign w:val="bottom"/>
            <w:gridSpan w:val="3"/>
          </w:tcPr>
          <w:p>
            <w:pPr>
              <w:jc w:val="right"/>
              <w:ind w:right="400"/>
              <w:spacing w:after="0"/>
              <w:rPr>
                <w:sz w:val="20"/>
                <w:szCs w:val="20"/>
                <w:color w:val="auto"/>
              </w:rPr>
            </w:pPr>
            <w:r>
              <w:rPr>
                <w:rFonts w:ascii="Arial" w:cs="Arial" w:eastAsia="Arial" w:hAnsi="Arial"/>
                <w:sz w:val="17"/>
                <w:szCs w:val="17"/>
                <w:color w:val="auto"/>
              </w:rPr>
              <w:t>13%</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color w:val="auto"/>
              </w:rPr>
              <w:t>50,088,000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2,070,000</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12%</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49,733,000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2014</w:t>
            </w:r>
          </w:p>
        </w:tc>
        <w:tc>
          <w:tcPr>
            <w:tcW w:w="4000" w:type="dxa"/>
            <w:vAlign w:val="bottom"/>
            <w:gridSpan w:val="2"/>
          </w:tcPr>
          <w:p>
            <w:pPr>
              <w:jc w:val="right"/>
              <w:spacing w:after="0"/>
              <w:rPr>
                <w:sz w:val="20"/>
                <w:szCs w:val="20"/>
                <w:color w:val="auto"/>
              </w:rPr>
            </w:pPr>
            <w:r>
              <w:rPr>
                <w:rFonts w:ascii="Arial" w:cs="Arial" w:eastAsia="Arial" w:hAnsi="Arial"/>
                <w:sz w:val="17"/>
                <w:szCs w:val="17"/>
                <w:color w:val="auto"/>
              </w:rPr>
              <w:t>2,244,000</w:t>
            </w:r>
          </w:p>
        </w:tc>
        <w:tc>
          <w:tcPr>
            <w:tcW w:w="2200" w:type="dxa"/>
            <w:vAlign w:val="bottom"/>
            <w:gridSpan w:val="3"/>
          </w:tcPr>
          <w:p>
            <w:pPr>
              <w:jc w:val="right"/>
              <w:ind w:right="400"/>
              <w:spacing w:after="0"/>
              <w:rPr>
                <w:sz w:val="20"/>
                <w:szCs w:val="20"/>
                <w:color w:val="auto"/>
              </w:rPr>
            </w:pPr>
            <w:r>
              <w:rPr>
                <w:rFonts w:ascii="Arial" w:cs="Arial" w:eastAsia="Arial" w:hAnsi="Arial"/>
                <w:sz w:val="17"/>
                <w:szCs w:val="17"/>
                <w:color w:val="auto"/>
              </w:rPr>
              <w:t>13%</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color w:val="auto"/>
              </w:rPr>
              <w:t>51,217,000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1,789,000</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11%</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41,035,000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2016</w:t>
            </w:r>
          </w:p>
        </w:tc>
        <w:tc>
          <w:tcPr>
            <w:tcW w:w="4000" w:type="dxa"/>
            <w:vAlign w:val="bottom"/>
            <w:gridSpan w:val="2"/>
          </w:tcPr>
          <w:p>
            <w:pPr>
              <w:jc w:val="right"/>
              <w:spacing w:after="0"/>
              <w:rPr>
                <w:sz w:val="20"/>
                <w:szCs w:val="20"/>
                <w:color w:val="auto"/>
              </w:rPr>
            </w:pPr>
            <w:r>
              <w:rPr>
                <w:rFonts w:ascii="Arial" w:cs="Arial" w:eastAsia="Arial" w:hAnsi="Arial"/>
                <w:sz w:val="17"/>
                <w:szCs w:val="17"/>
                <w:color w:val="auto"/>
              </w:rPr>
              <w:t>1,397,000</w:t>
            </w:r>
          </w:p>
        </w:tc>
        <w:tc>
          <w:tcPr>
            <w:tcW w:w="2200" w:type="dxa"/>
            <w:vAlign w:val="bottom"/>
            <w:gridSpan w:val="3"/>
          </w:tcPr>
          <w:p>
            <w:pPr>
              <w:jc w:val="right"/>
              <w:ind w:right="400"/>
              <w:spacing w:after="0"/>
              <w:rPr>
                <w:sz w:val="20"/>
                <w:szCs w:val="20"/>
                <w:color w:val="auto"/>
              </w:rPr>
            </w:pPr>
            <w:r>
              <w:rPr>
                <w:rFonts w:ascii="Arial" w:cs="Arial" w:eastAsia="Arial" w:hAnsi="Arial"/>
                <w:sz w:val="17"/>
                <w:szCs w:val="17"/>
                <w:color w:val="auto"/>
              </w:rPr>
              <w:t>8%</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color w:val="auto"/>
              </w:rPr>
              <w:t>34,708,000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1,125,000</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7%</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24,705,000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2018</w:t>
            </w:r>
          </w:p>
        </w:tc>
        <w:tc>
          <w:tcPr>
            <w:tcW w:w="4000" w:type="dxa"/>
            <w:vAlign w:val="bottom"/>
            <w:gridSpan w:val="2"/>
          </w:tcPr>
          <w:p>
            <w:pPr>
              <w:jc w:val="right"/>
              <w:spacing w:after="0"/>
              <w:rPr>
                <w:sz w:val="20"/>
                <w:szCs w:val="20"/>
                <w:color w:val="auto"/>
              </w:rPr>
            </w:pPr>
            <w:r>
              <w:rPr>
                <w:rFonts w:ascii="Arial" w:cs="Arial" w:eastAsia="Arial" w:hAnsi="Arial"/>
                <w:sz w:val="17"/>
                <w:szCs w:val="17"/>
                <w:color w:val="auto"/>
              </w:rPr>
              <w:t>965,000</w:t>
            </w:r>
          </w:p>
        </w:tc>
        <w:tc>
          <w:tcPr>
            <w:tcW w:w="2200" w:type="dxa"/>
            <w:vAlign w:val="bottom"/>
            <w:gridSpan w:val="3"/>
          </w:tcPr>
          <w:p>
            <w:pPr>
              <w:jc w:val="right"/>
              <w:ind w:right="400"/>
              <w:spacing w:after="0"/>
              <w:rPr>
                <w:sz w:val="20"/>
                <w:szCs w:val="20"/>
                <w:color w:val="auto"/>
              </w:rPr>
            </w:pPr>
            <w:r>
              <w:rPr>
                <w:rFonts w:ascii="Arial" w:cs="Arial" w:eastAsia="Arial" w:hAnsi="Arial"/>
                <w:sz w:val="17"/>
                <w:szCs w:val="17"/>
                <w:color w:val="auto"/>
              </w:rPr>
              <w:t>6%</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color w:val="auto"/>
              </w:rPr>
              <w:t>19,015,000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718,000</w:t>
            </w:r>
          </w:p>
        </w:tc>
        <w:tc>
          <w:tcPr>
            <w:tcW w:w="22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4%</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17,658,000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7"/>
                <w:szCs w:val="17"/>
                <w:color w:val="auto"/>
              </w:rPr>
              <w:t>2020</w:t>
            </w:r>
          </w:p>
        </w:tc>
        <w:tc>
          <w:tcPr>
            <w:tcW w:w="4000" w:type="dxa"/>
            <w:vAlign w:val="bottom"/>
            <w:gridSpan w:val="2"/>
          </w:tcPr>
          <w:p>
            <w:pPr>
              <w:jc w:val="right"/>
              <w:spacing w:after="0"/>
              <w:rPr>
                <w:sz w:val="20"/>
                <w:szCs w:val="20"/>
                <w:color w:val="auto"/>
              </w:rPr>
            </w:pPr>
            <w:r>
              <w:rPr>
                <w:rFonts w:ascii="Arial" w:cs="Arial" w:eastAsia="Arial" w:hAnsi="Arial"/>
                <w:sz w:val="17"/>
                <w:szCs w:val="17"/>
                <w:color w:val="auto"/>
              </w:rPr>
              <w:t>705,000</w:t>
            </w:r>
          </w:p>
        </w:tc>
        <w:tc>
          <w:tcPr>
            <w:tcW w:w="2200" w:type="dxa"/>
            <w:vAlign w:val="bottom"/>
            <w:gridSpan w:val="3"/>
          </w:tcPr>
          <w:p>
            <w:pPr>
              <w:jc w:val="right"/>
              <w:ind w:right="400"/>
              <w:spacing w:after="0"/>
              <w:rPr>
                <w:sz w:val="20"/>
                <w:szCs w:val="20"/>
                <w:color w:val="auto"/>
              </w:rPr>
            </w:pPr>
            <w:r>
              <w:rPr>
                <w:rFonts w:ascii="Arial" w:cs="Arial" w:eastAsia="Arial" w:hAnsi="Arial"/>
                <w:sz w:val="17"/>
                <w:szCs w:val="17"/>
                <w:color w:val="auto"/>
              </w:rPr>
              <w:t>4%</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color w:val="auto"/>
              </w:rPr>
              <w:t>19,185,000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146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3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2,358,000</w:t>
            </w:r>
          </w:p>
        </w:tc>
        <w:tc>
          <w:tcPr>
            <w:tcW w:w="8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w:t>
            </w:r>
          </w:p>
        </w:tc>
        <w:tc>
          <w:tcPr>
            <w:tcW w:w="218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45,448,000</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1460" w:type="dxa"/>
            <w:vAlign w:val="bottom"/>
            <w:vMerge w:val="restart"/>
          </w:tcPr>
          <w:p>
            <w:pPr>
              <w:ind w:left="420"/>
              <w:spacing w:after="0"/>
              <w:rPr>
                <w:sz w:val="20"/>
                <w:szCs w:val="20"/>
                <w:color w:val="auto"/>
              </w:rPr>
            </w:pPr>
            <w:r>
              <w:rPr>
                <w:rFonts w:ascii="Arial" w:cs="Arial" w:eastAsia="Arial" w:hAnsi="Arial"/>
                <w:sz w:val="17"/>
                <w:szCs w:val="17"/>
                <w:color w:val="auto"/>
              </w:rPr>
              <w:t>Total</w:t>
            </w:r>
          </w:p>
        </w:tc>
        <w:tc>
          <w:tcPr>
            <w:tcW w:w="3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17,025,000</w:t>
            </w:r>
          </w:p>
        </w:tc>
        <w:tc>
          <w:tcPr>
            <w:tcW w:w="8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7"/>
                <w:szCs w:val="17"/>
                <w:color w:val="auto"/>
              </w:rPr>
              <w:t>100%</w:t>
            </w:r>
          </w:p>
        </w:tc>
        <w:tc>
          <w:tcPr>
            <w:tcW w:w="2180" w:type="dxa"/>
            <w:vAlign w:val="bottom"/>
            <w:gridSpan w:val="3"/>
          </w:tcPr>
          <w:p>
            <w:pPr>
              <w:jc w:val="right"/>
              <w:ind w:right="8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387,673,000</w:t>
            </w:r>
          </w:p>
        </w:tc>
        <w:tc>
          <w:tcPr>
            <w:tcW w:w="15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vMerge w:val="restart"/>
          </w:tcPr>
          <w:p>
            <w:pPr>
              <w:jc w:val="right"/>
              <w:ind w:right="436"/>
              <w:spacing w:after="0"/>
              <w:rPr>
                <w:sz w:val="20"/>
                <w:szCs w:val="20"/>
                <w:color w:val="auto"/>
              </w:rPr>
            </w:pPr>
            <w:r>
              <w:rPr>
                <w:rFonts w:ascii="Arial" w:cs="Arial" w:eastAsia="Arial" w:hAnsi="Arial"/>
                <w:sz w:val="17"/>
                <w:szCs w:val="17"/>
                <w:color w:val="auto"/>
              </w:rPr>
              <w:t>21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and Residential Properties</w:t>
      </w:r>
    </w:p>
    <w:p>
      <w:pPr>
        <w:spacing w:after="0" w:line="9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2010.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1"/>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/Apartment</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Per Square</w:t>
            </w:r>
          </w:p>
        </w:tc>
        <w:tc>
          <w:tcPr>
            <w:tcW w:w="100" w:type="dxa"/>
            <w:vAlign w:val="bottom"/>
          </w:tcPr>
          <w:p>
            <w:pPr>
              <w:spacing w:after="0"/>
              <w:rPr>
                <w:sz w:val="12"/>
                <w:szCs w:val="12"/>
                <w:color w:val="auto"/>
              </w:rPr>
            </w:pPr>
          </w:p>
        </w:tc>
        <w:tc>
          <w:tcPr>
            <w:tcW w:w="90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7"/>
        </w:trPr>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2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Foot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Tenant(s)</w:t>
            </w:r>
          </w:p>
        </w:tc>
      </w:tr>
      <w:tr>
        <w:trPr>
          <w:trHeight w:val="121"/>
        </w:trPr>
        <w:tc>
          <w:tcPr>
            <w:tcW w:w="18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California</w:t>
            </w:r>
          </w:p>
        </w:tc>
        <w:tc>
          <w:tcPr>
            <w:tcW w:w="2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r>
      <w:tr>
        <w:trPr>
          <w:trHeight w:val="125"/>
        </w:trPr>
        <w:tc>
          <w:tcPr>
            <w:tcW w:w="1820" w:type="dxa"/>
            <w:vAlign w:val="bottom"/>
            <w:gridSpan w:val="3"/>
          </w:tcPr>
          <w:p>
            <w:pPr>
              <w:spacing w:after="0" w:line="126" w:lineRule="exact"/>
              <w:rPr>
                <w:sz w:val="20"/>
                <w:szCs w:val="20"/>
                <w:color w:val="auto"/>
              </w:rPr>
            </w:pPr>
            <w:r>
              <w:rPr>
                <w:rFonts w:ascii="Arial" w:cs="Arial" w:eastAsia="Arial" w:hAnsi="Arial"/>
                <w:sz w:val="13"/>
                <w:szCs w:val="13"/>
                <w:color w:val="auto"/>
              </w:rPr>
              <w:t>150 Post Street</w:t>
            </w:r>
          </w:p>
        </w:tc>
        <w:tc>
          <w:tcPr>
            <w:tcW w:w="3000" w:type="dxa"/>
            <w:vAlign w:val="bottom"/>
            <w:gridSpan w:val="2"/>
          </w:tcPr>
          <w:p>
            <w:pPr>
              <w:jc w:val="center"/>
              <w:ind w:left="2116"/>
              <w:spacing w:after="0" w:line="126" w:lineRule="exact"/>
              <w:rPr>
                <w:sz w:val="20"/>
                <w:szCs w:val="20"/>
                <w:color w:val="auto"/>
              </w:rPr>
            </w:pPr>
            <w:r>
              <w:rPr>
                <w:rFonts w:ascii="Arial" w:cs="Arial" w:eastAsia="Arial" w:hAnsi="Arial"/>
                <w:sz w:val="13"/>
                <w:szCs w:val="13"/>
                <w:color w:val="auto"/>
                <w:w w:val="89"/>
              </w:rPr>
              <w:t>1908, 1965</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2"/>
              </w:rPr>
              <w:t>1997</w:t>
            </w:r>
          </w:p>
        </w:tc>
        <w:tc>
          <w:tcPr>
            <w:tcW w:w="126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9"/>
              </w:rPr>
              <w:t>102,000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$42.36</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Brooks Brothers</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San Francisco, CA 94108</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H &amp; M</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Colorado Blvd</w:t>
            </w:r>
          </w:p>
        </w:tc>
        <w:tc>
          <w:tcPr>
            <w:tcW w:w="3000" w:type="dxa"/>
            <w:vAlign w:val="bottom"/>
            <w:gridSpan w:val="2"/>
            <w:shd w:val="clear" w:color="auto" w:fill="CCEEFF"/>
          </w:tcPr>
          <w:p>
            <w:pPr>
              <w:jc w:val="center"/>
              <w:ind w:left="2136"/>
              <w:spacing w:after="0" w:line="133" w:lineRule="exact"/>
              <w:rPr>
                <w:sz w:val="20"/>
                <w:szCs w:val="20"/>
                <w:color w:val="auto"/>
              </w:rPr>
            </w:pPr>
            <w:r>
              <w:rPr>
                <w:rFonts w:ascii="Arial" w:cs="Arial" w:eastAsia="Arial" w:hAnsi="Arial"/>
                <w:sz w:val="13"/>
                <w:szCs w:val="13"/>
                <w:color w:val="auto"/>
                <w:w w:val="90"/>
              </w:rPr>
              <w:t>1905-1988</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91"/>
              </w:rPr>
              <w:t>1996/1998</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69,000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$37.58</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Pottery Barn</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Pasadena, CA(3)</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Banana Republic</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Crow Canyon Commons</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1980-2006</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91"/>
              </w:rPr>
              <w:t>2005/2007</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242,000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$19.02</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89%</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Lucky</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San Ramon, CA(3)(12)</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Loehmann’s</w:t>
            </w: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Rite Aid</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Escondido Promenade</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1987</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91"/>
              </w:rPr>
              <w:t>1996/2010</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222,000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$23.76</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98%</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Toys R Us</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Escondido, CA 92029(4)(13)</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TJ Maxx</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Fifth Avenue</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1888-1995</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90"/>
              </w:rPr>
              <w:t>1996-1997</w:t>
            </w:r>
          </w:p>
        </w:tc>
        <w:tc>
          <w:tcPr>
            <w:tcW w:w="1260" w:type="dxa"/>
            <w:vAlign w:val="bottom"/>
            <w:gridSpan w:val="2"/>
          </w:tcPr>
          <w:p>
            <w:pPr>
              <w:jc w:val="center"/>
              <w:ind w:left="76"/>
              <w:spacing w:after="0" w:line="133" w:lineRule="exact"/>
              <w:rPr>
                <w:sz w:val="20"/>
                <w:szCs w:val="20"/>
                <w:color w:val="auto"/>
              </w:rPr>
            </w:pPr>
            <w:r>
              <w:rPr>
                <w:rFonts w:ascii="Arial" w:cs="Arial" w:eastAsia="Arial" w:hAnsi="Arial"/>
                <w:sz w:val="13"/>
                <w:szCs w:val="13"/>
                <w:color w:val="auto"/>
                <w:w w:val="90"/>
              </w:rPr>
              <w:t>51,000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$27.46</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93%</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Urban Outfitters</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San Diego, CA</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Hermosa Avenue</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1922</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1997</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23,000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$31.59</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Hermosa Beach, CA</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Hollywood Blvd</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1921-1991</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1999</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153,000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$21.90</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75%</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DSW</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Hollywood, CA(5)</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L.A. Fitness</w:t>
            </w: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Fresh &amp; Easy</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Kings Court</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1960</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1998</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79,000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$28.43</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Lunardi’s Supermarket</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Los Gatos, CA 95032(3)(6)</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CVS</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Old Town Center</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1962, 1998</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1997</w:t>
            </w:r>
          </w:p>
        </w:tc>
        <w:tc>
          <w:tcPr>
            <w:tcW w:w="1260" w:type="dxa"/>
            <w:vAlign w:val="bottom"/>
            <w:gridSpan w:val="2"/>
          </w:tcPr>
          <w:p>
            <w:pPr>
              <w:jc w:val="center"/>
              <w:ind w:left="76"/>
              <w:spacing w:after="0" w:line="133" w:lineRule="exact"/>
              <w:rPr>
                <w:sz w:val="20"/>
                <w:szCs w:val="20"/>
                <w:color w:val="auto"/>
              </w:rPr>
            </w:pPr>
            <w:r>
              <w:rPr>
                <w:rFonts w:ascii="Arial" w:cs="Arial" w:eastAsia="Arial" w:hAnsi="Arial"/>
                <w:sz w:val="13"/>
                <w:szCs w:val="13"/>
                <w:color w:val="auto"/>
                <w:w w:val="90"/>
              </w:rPr>
              <w:t>95,000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$30.04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Borders Books</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Los Gatos, CA 95030</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Gap Kids</w:t>
            </w: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Banana Republic</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Santana Row—Retail</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2002, 2009</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1997</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608,000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$44.31</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Crate &amp; Barrel</w:t>
            </w:r>
          </w:p>
        </w:tc>
      </w:tr>
      <w:tr>
        <w:trPr>
          <w:trHeight w:val="141"/>
        </w:trPr>
        <w:tc>
          <w:tcPr>
            <w:tcW w:w="182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San Jose, CA 95128</w:t>
            </w: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Borders Books</w:t>
            </w:r>
          </w:p>
        </w:tc>
      </w:tr>
      <w:tr>
        <w:trPr>
          <w:trHeight w:val="141"/>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Container Store</w:t>
            </w:r>
          </w:p>
        </w:tc>
      </w:tr>
      <w:tr>
        <w:trPr>
          <w:trHeight w:val="141"/>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Best Buy</w:t>
            </w:r>
          </w:p>
        </w:tc>
      </w:tr>
      <w:tr>
        <w:trPr>
          <w:trHeight w:val="141"/>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CineArts Theatre</w:t>
            </w:r>
          </w:p>
        </w:tc>
      </w:tr>
      <w:tr>
        <w:trPr>
          <w:trHeight w:val="163"/>
        </w:trPr>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Hotel Valencia</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Santana Row—Residential</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2003-2006</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1997</w:t>
            </w: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w w:val="90"/>
              </w:rPr>
              <w:t>295 units</w:t>
            </w:r>
          </w:p>
        </w:tc>
        <w:tc>
          <w:tcPr>
            <w:tcW w:w="1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rPr>
              <w:t>N/A</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96%</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San Jose, CA 95128</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Third Street Promenade</w:t>
            </w:r>
          </w:p>
        </w:tc>
        <w:tc>
          <w:tcPr>
            <w:tcW w:w="3000" w:type="dxa"/>
            <w:vAlign w:val="bottom"/>
            <w:gridSpan w:val="2"/>
            <w:shd w:val="clear" w:color="auto" w:fill="CCEEFF"/>
          </w:tcPr>
          <w:p>
            <w:pPr>
              <w:jc w:val="center"/>
              <w:ind w:left="2136"/>
              <w:spacing w:after="0" w:line="133" w:lineRule="exact"/>
              <w:rPr>
                <w:sz w:val="20"/>
                <w:szCs w:val="20"/>
                <w:color w:val="auto"/>
              </w:rPr>
            </w:pPr>
            <w:r>
              <w:rPr>
                <w:rFonts w:ascii="Arial" w:cs="Arial" w:eastAsia="Arial" w:hAnsi="Arial"/>
                <w:sz w:val="13"/>
                <w:szCs w:val="13"/>
                <w:color w:val="auto"/>
                <w:w w:val="90"/>
              </w:rPr>
              <w:t>1888-2000</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90"/>
              </w:rPr>
              <w:t>1996-2000</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209,000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$61.59</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Abercrombie &amp; Fitch</w:t>
            </w:r>
          </w:p>
        </w:tc>
      </w:tr>
      <w:tr>
        <w:trPr>
          <w:trHeight w:val="141"/>
        </w:trPr>
        <w:tc>
          <w:tcPr>
            <w:tcW w:w="182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Santa Monica, CA</w:t>
            </w: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J. Crew</w:t>
            </w:r>
          </w:p>
        </w:tc>
      </w:tr>
      <w:tr>
        <w:trPr>
          <w:trHeight w:val="141"/>
        </w:trPr>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Old Navy</w:t>
            </w:r>
          </w:p>
        </w:tc>
      </w:tr>
      <w:tr>
        <w:trPr>
          <w:trHeight w:val="163"/>
        </w:trPr>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Banana Republic</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Westgate</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1960-1966</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2004</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644,000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$12.96</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95%</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Safeway</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San Jose, CA</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Target</w:t>
            </w:r>
          </w:p>
        </w:tc>
      </w:tr>
      <w:tr>
        <w:trPr>
          <w:trHeight w:val="141"/>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Burlington Coat</w:t>
            </w:r>
          </w:p>
        </w:tc>
      </w:tr>
      <w:tr>
        <w:trPr>
          <w:trHeight w:val="141"/>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Factory</w:t>
            </w:r>
          </w:p>
        </w:tc>
      </w:tr>
      <w:tr>
        <w:trPr>
          <w:trHeight w:val="141"/>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Barnes &amp; Noble</w:t>
            </w:r>
          </w:p>
        </w:tc>
      </w:tr>
      <w:tr>
        <w:trPr>
          <w:trHeight w:val="141"/>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Ross Dress For Less</w:t>
            </w: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Michaels</w:t>
            </w:r>
          </w:p>
        </w:tc>
      </w:tr>
      <w:tr>
        <w:trPr>
          <w:trHeight w:val="129"/>
        </w:trPr>
        <w:tc>
          <w:tcPr>
            <w:tcW w:w="182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Connecticut</w:t>
            </w:r>
          </w:p>
        </w:tc>
        <w:tc>
          <w:tcPr>
            <w:tcW w:w="2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25"/>
        </w:trPr>
        <w:tc>
          <w:tcPr>
            <w:tcW w:w="6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3"/>
                <w:szCs w:val="13"/>
                <w:color w:val="auto"/>
              </w:rPr>
              <w:t>Bristol</w:t>
            </w:r>
          </w:p>
        </w:tc>
        <w:tc>
          <w:tcPr>
            <w:tcW w:w="1160" w:type="dxa"/>
            <w:vAlign w:val="bottom"/>
            <w:tcBorders>
              <w:top w:val="single" w:sz="8" w:color="CCEEFF"/>
            </w:tcBorders>
          </w:tcPr>
          <w:p>
            <w:pPr>
              <w:spacing w:after="0"/>
              <w:rPr>
                <w:sz w:val="10"/>
                <w:szCs w:val="10"/>
                <w:color w:val="auto"/>
              </w:rPr>
            </w:pPr>
          </w:p>
        </w:tc>
        <w:tc>
          <w:tcPr>
            <w:tcW w:w="3000" w:type="dxa"/>
            <w:vAlign w:val="bottom"/>
            <w:tcBorders>
              <w:top w:val="single" w:sz="8" w:color="CCEEFF"/>
            </w:tcBorders>
            <w:gridSpan w:val="2"/>
          </w:tcPr>
          <w:p>
            <w:pPr>
              <w:jc w:val="center"/>
              <w:ind w:left="2116"/>
              <w:spacing w:after="0" w:line="126" w:lineRule="exact"/>
              <w:rPr>
                <w:sz w:val="20"/>
                <w:szCs w:val="20"/>
                <w:color w:val="auto"/>
              </w:rPr>
            </w:pPr>
            <w:r>
              <w:rPr>
                <w:rFonts w:ascii="Arial" w:cs="Arial" w:eastAsia="Arial" w:hAnsi="Arial"/>
                <w:sz w:val="13"/>
                <w:szCs w:val="13"/>
                <w:color w:val="auto"/>
                <w:w w:val="89"/>
              </w:rPr>
              <w:t>1959</w:t>
            </w:r>
          </w:p>
        </w:tc>
        <w:tc>
          <w:tcPr>
            <w:tcW w:w="920" w:type="dxa"/>
            <w:vAlign w:val="bottom"/>
            <w:tcBorders>
              <w:top w:val="single" w:sz="8" w:color="CCEEFF"/>
            </w:tcBorders>
            <w:gridSpan w:val="2"/>
          </w:tcPr>
          <w:p>
            <w:pPr>
              <w:jc w:val="center"/>
              <w:ind w:left="56"/>
              <w:spacing w:after="0" w:line="126" w:lineRule="exact"/>
              <w:rPr>
                <w:sz w:val="20"/>
                <w:szCs w:val="20"/>
                <w:color w:val="auto"/>
              </w:rPr>
            </w:pPr>
            <w:r>
              <w:rPr>
                <w:rFonts w:ascii="Arial" w:cs="Arial" w:eastAsia="Arial" w:hAnsi="Arial"/>
                <w:sz w:val="13"/>
                <w:szCs w:val="13"/>
                <w:color w:val="auto"/>
                <w:w w:val="82"/>
              </w:rPr>
              <w:t>1995</w:t>
            </w:r>
          </w:p>
        </w:tc>
        <w:tc>
          <w:tcPr>
            <w:tcW w:w="1260" w:type="dxa"/>
            <w:vAlign w:val="bottom"/>
            <w:tcBorders>
              <w:top w:val="single" w:sz="8" w:color="CCEEFF"/>
            </w:tcBorders>
            <w:gridSpan w:val="2"/>
          </w:tcPr>
          <w:p>
            <w:pPr>
              <w:jc w:val="center"/>
              <w:ind w:left="56"/>
              <w:spacing w:after="0" w:line="126" w:lineRule="exact"/>
              <w:rPr>
                <w:sz w:val="20"/>
                <w:szCs w:val="20"/>
                <w:color w:val="auto"/>
              </w:rPr>
            </w:pPr>
            <w:r>
              <w:rPr>
                <w:rFonts w:ascii="Arial" w:cs="Arial" w:eastAsia="Arial" w:hAnsi="Arial"/>
                <w:sz w:val="13"/>
                <w:szCs w:val="13"/>
                <w:color w:val="auto"/>
                <w:w w:val="89"/>
              </w:rPr>
              <w:t>269,000</w:t>
            </w:r>
          </w:p>
        </w:tc>
        <w:tc>
          <w:tcPr>
            <w:tcW w:w="1260" w:type="dxa"/>
            <w:vAlign w:val="bottom"/>
            <w:tcBorders>
              <w:top w:val="single" w:sz="8" w:color="CCEEFF"/>
            </w:tcBorders>
            <w:gridSpan w:val="2"/>
          </w:tcPr>
          <w:p>
            <w:pPr>
              <w:jc w:val="center"/>
              <w:ind w:left="36"/>
              <w:spacing w:after="0" w:line="126" w:lineRule="exact"/>
              <w:rPr>
                <w:sz w:val="20"/>
                <w:szCs w:val="20"/>
                <w:color w:val="auto"/>
              </w:rPr>
            </w:pPr>
            <w:r>
              <w:rPr>
                <w:rFonts w:ascii="Arial" w:cs="Arial" w:eastAsia="Arial" w:hAnsi="Arial"/>
                <w:sz w:val="13"/>
                <w:szCs w:val="13"/>
                <w:color w:val="auto"/>
                <w:w w:val="90"/>
              </w:rPr>
              <w:t>$12.24</w:t>
            </w:r>
          </w:p>
        </w:tc>
        <w:tc>
          <w:tcPr>
            <w:tcW w:w="1000" w:type="dxa"/>
            <w:vAlign w:val="bottom"/>
            <w:tcBorders>
              <w:top w:val="single" w:sz="8" w:color="CCEEFF"/>
            </w:tcBorders>
            <w:gridSpan w:val="2"/>
          </w:tcPr>
          <w:p>
            <w:pPr>
              <w:jc w:val="center"/>
              <w:ind w:left="36"/>
              <w:spacing w:after="0" w:line="126" w:lineRule="exact"/>
              <w:rPr>
                <w:sz w:val="20"/>
                <w:szCs w:val="20"/>
                <w:color w:val="auto"/>
              </w:rPr>
            </w:pPr>
            <w:r>
              <w:rPr>
                <w:rFonts w:ascii="Arial" w:cs="Arial" w:eastAsia="Arial" w:hAnsi="Arial"/>
                <w:sz w:val="13"/>
                <w:szCs w:val="13"/>
                <w:color w:val="auto"/>
                <w:w w:val="84"/>
              </w:rPr>
              <w:t>94%</w:t>
            </w:r>
          </w:p>
        </w:tc>
        <w:tc>
          <w:tcPr>
            <w:tcW w:w="2160" w:type="dxa"/>
            <w:vAlign w:val="bottom"/>
            <w:tcBorders>
              <w:top w:val="single" w:sz="8" w:color="CCEEFF"/>
            </w:tcBorders>
            <w:gridSpan w:val="2"/>
          </w:tcPr>
          <w:p>
            <w:pPr>
              <w:ind w:left="100"/>
              <w:spacing w:after="0" w:line="126" w:lineRule="exact"/>
              <w:rPr>
                <w:sz w:val="20"/>
                <w:szCs w:val="20"/>
                <w:color w:val="auto"/>
              </w:rPr>
            </w:pPr>
            <w:r>
              <w:rPr>
                <w:rFonts w:ascii="Arial" w:cs="Arial" w:eastAsia="Arial" w:hAnsi="Arial"/>
                <w:sz w:val="13"/>
                <w:szCs w:val="13"/>
                <w:color w:val="auto"/>
              </w:rPr>
              <w:t>Stop &amp; Shop</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Bristol, CT 06010</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TJ Maxx</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Greenwich Avenue</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1993</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1995</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36,000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$53.00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Saks Fifth Avenue</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Greenwich Avenue, CT</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Square Feet(1)</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1"/>
        </w:trPr>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/Apartment</w:t>
            </w:r>
          </w:p>
        </w:tc>
        <w:tc>
          <w:tcPr>
            <w:tcW w:w="10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7"/>
              </w:rPr>
              <w:t>Per Square</w:t>
            </w:r>
          </w:p>
        </w:tc>
        <w:tc>
          <w:tcPr>
            <w:tcW w:w="100" w:type="dxa"/>
            <w:vAlign w:val="bottom"/>
          </w:tcPr>
          <w:p>
            <w:pPr>
              <w:spacing w:after="0"/>
              <w:rPr>
                <w:sz w:val="12"/>
                <w:szCs w:val="12"/>
                <w:color w:val="auto"/>
              </w:rPr>
            </w:pPr>
          </w:p>
        </w:tc>
        <w:tc>
          <w:tcPr>
            <w:tcW w:w="90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7"/>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15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Foot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Tenant(s)</w:t>
            </w:r>
          </w:p>
        </w:tc>
      </w:tr>
      <w:tr>
        <w:trPr>
          <w:trHeight w:val="121"/>
        </w:trPr>
        <w:tc>
          <w:tcPr>
            <w:tcW w:w="1140" w:type="dxa"/>
            <w:vAlign w:val="bottom"/>
            <w:tcBorders>
              <w:bottom w:val="single" w:sz="8" w:color="auto"/>
            </w:tcBorders>
            <w:gridSpan w:val="3"/>
          </w:tcPr>
          <w:p>
            <w:pPr>
              <w:spacing w:after="0" w:line="121" w:lineRule="exact"/>
              <w:rPr>
                <w:sz w:val="20"/>
                <w:szCs w:val="20"/>
                <w:color w:val="auto"/>
              </w:rPr>
            </w:pPr>
            <w:r>
              <w:rPr>
                <w:rFonts w:ascii="Arial" w:cs="Arial" w:eastAsia="Arial" w:hAnsi="Arial"/>
                <w:sz w:val="13"/>
                <w:szCs w:val="13"/>
                <w:b w:val="1"/>
                <w:bCs w:val="1"/>
                <w:color w:val="auto"/>
                <w:w w:val="90"/>
              </w:rPr>
              <w:t>District of Columbia</w:t>
            </w:r>
          </w:p>
        </w:tc>
        <w:tc>
          <w:tcPr>
            <w:tcW w:w="6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Pr>
          <w:p>
            <w:pPr>
              <w:spacing w:after="0"/>
              <w:rPr>
                <w:sz w:val="10"/>
                <w:szCs w:val="10"/>
                <w:color w:val="auto"/>
              </w:rPr>
            </w:pPr>
          </w:p>
        </w:tc>
      </w:tr>
      <w:tr>
        <w:trPr>
          <w:trHeight w:val="125"/>
        </w:trPr>
        <w:tc>
          <w:tcPr>
            <w:tcW w:w="1820" w:type="dxa"/>
            <w:vAlign w:val="bottom"/>
            <w:gridSpan w:val="4"/>
            <w:shd w:val="clear" w:color="auto" w:fill="CCEEFF"/>
          </w:tcPr>
          <w:p>
            <w:pPr>
              <w:spacing w:after="0" w:line="126" w:lineRule="exact"/>
              <w:rPr>
                <w:sz w:val="20"/>
                <w:szCs w:val="20"/>
                <w:color w:val="auto"/>
              </w:rPr>
            </w:pPr>
            <w:r>
              <w:rPr>
                <w:rFonts w:ascii="Arial" w:cs="Arial" w:eastAsia="Arial" w:hAnsi="Arial"/>
                <w:sz w:val="13"/>
                <w:szCs w:val="13"/>
                <w:color w:val="auto"/>
              </w:rPr>
              <w:t>Friendship Center</w:t>
            </w:r>
          </w:p>
        </w:tc>
        <w:tc>
          <w:tcPr>
            <w:tcW w:w="2980" w:type="dxa"/>
            <w:vAlign w:val="bottom"/>
            <w:gridSpan w:val="2"/>
            <w:shd w:val="clear" w:color="auto" w:fill="CCEEFF"/>
          </w:tcPr>
          <w:p>
            <w:pPr>
              <w:jc w:val="center"/>
              <w:ind w:left="1456"/>
              <w:spacing w:after="0" w:line="126" w:lineRule="exact"/>
              <w:rPr>
                <w:sz w:val="20"/>
                <w:szCs w:val="20"/>
                <w:color w:val="auto"/>
              </w:rPr>
            </w:pPr>
            <w:r>
              <w:rPr>
                <w:rFonts w:ascii="Arial" w:cs="Arial" w:eastAsia="Arial" w:hAnsi="Arial"/>
                <w:sz w:val="13"/>
                <w:szCs w:val="13"/>
                <w:color w:val="auto"/>
                <w:w w:val="89"/>
              </w:rPr>
              <w:t>1998</w:t>
            </w:r>
          </w:p>
        </w:tc>
        <w:tc>
          <w:tcPr>
            <w:tcW w:w="94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9"/>
              </w:rPr>
              <w:t>2001</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5"/>
              </w:rPr>
              <w:t>119,000</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$33.15</w:t>
            </w:r>
          </w:p>
        </w:tc>
        <w:tc>
          <w:tcPr>
            <w:tcW w:w="100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Maggiano’s</w:t>
            </w:r>
          </w:p>
        </w:tc>
      </w:tr>
      <w:tr>
        <w:trPr>
          <w:trHeight w:val="163"/>
        </w:trPr>
        <w:tc>
          <w:tcPr>
            <w:tcW w:w="18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Washington, DC 20015</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Borders Books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Sam’s Park &amp; Shop</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1930</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1995</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49,000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$38.41</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Petco</w:t>
            </w:r>
          </w:p>
        </w:tc>
      </w:tr>
      <w:tr>
        <w:trPr>
          <w:trHeight w:val="163"/>
        </w:trPr>
        <w:tc>
          <w:tcPr>
            <w:tcW w:w="1820" w:type="dxa"/>
            <w:vAlign w:val="bottom"/>
            <w:gridSpan w:val="4"/>
          </w:tcPr>
          <w:p>
            <w:pPr>
              <w:ind w:left="120"/>
              <w:spacing w:after="0"/>
              <w:rPr>
                <w:sz w:val="20"/>
                <w:szCs w:val="20"/>
                <w:color w:val="auto"/>
              </w:rPr>
            </w:pPr>
            <w:r>
              <w:rPr>
                <w:rFonts w:ascii="Arial" w:cs="Arial" w:eastAsia="Arial" w:hAnsi="Arial"/>
                <w:sz w:val="13"/>
                <w:szCs w:val="13"/>
                <w:color w:val="auto"/>
              </w:rPr>
              <w:t>Washington, DC 20008</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29"/>
        </w:trPr>
        <w:tc>
          <w:tcPr>
            <w:tcW w:w="182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Florida</w:t>
            </w:r>
          </w:p>
        </w:tc>
        <w:tc>
          <w:tcPr>
            <w:tcW w:w="15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r>
      <w:tr>
        <w:trPr>
          <w:trHeight w:val="125"/>
        </w:trPr>
        <w:tc>
          <w:tcPr>
            <w:tcW w:w="1820" w:type="dxa"/>
            <w:vAlign w:val="bottom"/>
            <w:gridSpan w:val="4"/>
          </w:tcPr>
          <w:p>
            <w:pPr>
              <w:spacing w:after="0" w:line="126" w:lineRule="exact"/>
              <w:rPr>
                <w:sz w:val="20"/>
                <w:szCs w:val="20"/>
                <w:color w:val="auto"/>
              </w:rPr>
            </w:pPr>
            <w:r>
              <w:rPr>
                <w:rFonts w:ascii="Arial" w:cs="Arial" w:eastAsia="Arial" w:hAnsi="Arial"/>
                <w:sz w:val="13"/>
                <w:szCs w:val="13"/>
                <w:color w:val="auto"/>
              </w:rPr>
              <w:t>Courtyard Shops</w:t>
            </w:r>
          </w:p>
        </w:tc>
        <w:tc>
          <w:tcPr>
            <w:tcW w:w="2980" w:type="dxa"/>
            <w:vAlign w:val="bottom"/>
            <w:gridSpan w:val="2"/>
          </w:tcPr>
          <w:p>
            <w:pPr>
              <w:jc w:val="center"/>
              <w:ind w:left="1456"/>
              <w:spacing w:after="0" w:line="126" w:lineRule="exact"/>
              <w:rPr>
                <w:sz w:val="20"/>
                <w:szCs w:val="20"/>
                <w:color w:val="auto"/>
              </w:rPr>
            </w:pPr>
            <w:r>
              <w:rPr>
                <w:rFonts w:ascii="Arial" w:cs="Arial" w:eastAsia="Arial" w:hAnsi="Arial"/>
                <w:sz w:val="13"/>
                <w:szCs w:val="13"/>
                <w:color w:val="auto"/>
                <w:w w:val="89"/>
              </w:rPr>
              <w:t>1990, 1998</w:t>
            </w:r>
          </w:p>
        </w:tc>
        <w:tc>
          <w:tcPr>
            <w:tcW w:w="94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9"/>
              </w:rPr>
              <w:t>2008</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5"/>
              </w:rPr>
              <w:t>130,000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$19.28</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88%</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Publix</w:t>
            </w:r>
          </w:p>
        </w:tc>
      </w:tr>
      <w:tr>
        <w:trPr>
          <w:trHeight w:val="163"/>
        </w:trPr>
        <w:tc>
          <w:tcPr>
            <w:tcW w:w="1820" w:type="dxa"/>
            <w:vAlign w:val="bottom"/>
            <w:gridSpan w:val="4"/>
          </w:tcPr>
          <w:p>
            <w:pPr>
              <w:ind w:left="120"/>
              <w:spacing w:after="0"/>
              <w:rPr>
                <w:sz w:val="20"/>
                <w:szCs w:val="20"/>
                <w:color w:val="auto"/>
              </w:rPr>
            </w:pPr>
            <w:r>
              <w:rPr>
                <w:rFonts w:ascii="Arial" w:cs="Arial" w:eastAsia="Arial" w:hAnsi="Arial"/>
                <w:sz w:val="13"/>
                <w:szCs w:val="13"/>
                <w:color w:val="auto"/>
              </w:rPr>
              <w:t>Wellington, FL 33414(12)</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Del Mar Village</w:t>
            </w:r>
          </w:p>
        </w:tc>
        <w:tc>
          <w:tcPr>
            <w:tcW w:w="2980" w:type="dxa"/>
            <w:vAlign w:val="bottom"/>
            <w:gridSpan w:val="2"/>
            <w:shd w:val="clear" w:color="auto" w:fill="CCEEFF"/>
          </w:tcPr>
          <w:p>
            <w:pPr>
              <w:jc w:val="center"/>
              <w:ind w:left="1436"/>
              <w:spacing w:after="0" w:line="133" w:lineRule="exact"/>
              <w:rPr>
                <w:sz w:val="20"/>
                <w:szCs w:val="20"/>
                <w:color w:val="auto"/>
              </w:rPr>
            </w:pPr>
            <w:r>
              <w:rPr>
                <w:rFonts w:ascii="Arial" w:cs="Arial" w:eastAsia="Arial" w:hAnsi="Arial"/>
                <w:sz w:val="13"/>
                <w:szCs w:val="13"/>
                <w:color w:val="auto"/>
                <w:w w:val="90"/>
              </w:rPr>
              <w:t>1982, 1984 &amp; 2007</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2008</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178,000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$17.24</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Winn Dixie</w:t>
            </w:r>
          </w:p>
        </w:tc>
      </w:tr>
      <w:tr>
        <w:trPr>
          <w:trHeight w:val="163"/>
        </w:trPr>
        <w:tc>
          <w:tcPr>
            <w:tcW w:w="18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Boca Raton, FL 33433</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CVS</w:t>
            </w:r>
          </w:p>
        </w:tc>
      </w:tr>
      <w:tr>
        <w:trPr>
          <w:trHeight w:val="128"/>
        </w:trPr>
        <w:tc>
          <w:tcPr>
            <w:tcW w:w="182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Illinois</w:t>
            </w:r>
          </w:p>
        </w:tc>
        <w:tc>
          <w:tcPr>
            <w:tcW w:w="15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25"/>
        </w:trPr>
        <w:tc>
          <w:tcPr>
            <w:tcW w:w="1820" w:type="dxa"/>
            <w:vAlign w:val="bottom"/>
            <w:gridSpan w:val="4"/>
            <w:shd w:val="clear" w:color="auto" w:fill="CCEEFF"/>
          </w:tcPr>
          <w:p>
            <w:pPr>
              <w:spacing w:after="0" w:line="126" w:lineRule="exact"/>
              <w:rPr>
                <w:sz w:val="20"/>
                <w:szCs w:val="20"/>
                <w:color w:val="auto"/>
              </w:rPr>
            </w:pPr>
            <w:r>
              <w:rPr>
                <w:rFonts w:ascii="Arial" w:cs="Arial" w:eastAsia="Arial" w:hAnsi="Arial"/>
                <w:sz w:val="13"/>
                <w:szCs w:val="13"/>
                <w:color w:val="auto"/>
              </w:rPr>
              <w:t>Crossroads</w:t>
            </w:r>
          </w:p>
        </w:tc>
        <w:tc>
          <w:tcPr>
            <w:tcW w:w="2980" w:type="dxa"/>
            <w:vAlign w:val="bottom"/>
            <w:gridSpan w:val="2"/>
            <w:shd w:val="clear" w:color="auto" w:fill="CCEEFF"/>
          </w:tcPr>
          <w:p>
            <w:pPr>
              <w:jc w:val="center"/>
              <w:ind w:left="1456"/>
              <w:spacing w:after="0" w:line="126" w:lineRule="exact"/>
              <w:rPr>
                <w:sz w:val="20"/>
                <w:szCs w:val="20"/>
                <w:color w:val="auto"/>
              </w:rPr>
            </w:pPr>
            <w:r>
              <w:rPr>
                <w:rFonts w:ascii="Arial" w:cs="Arial" w:eastAsia="Arial" w:hAnsi="Arial"/>
                <w:sz w:val="13"/>
                <w:szCs w:val="13"/>
                <w:color w:val="auto"/>
                <w:w w:val="89"/>
              </w:rPr>
              <w:t>1959</w:t>
            </w:r>
          </w:p>
        </w:tc>
        <w:tc>
          <w:tcPr>
            <w:tcW w:w="94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9"/>
              </w:rPr>
              <w:t>1993</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5"/>
              </w:rPr>
              <w:t>168,000</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$17.46</w:t>
            </w:r>
          </w:p>
        </w:tc>
        <w:tc>
          <w:tcPr>
            <w:tcW w:w="100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4"/>
              </w:rPr>
              <w:t>95%</w:t>
            </w:r>
          </w:p>
        </w:tc>
        <w:tc>
          <w:tcPr>
            <w:tcW w:w="216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Golfsmith</w:t>
            </w:r>
          </w:p>
        </w:tc>
      </w:tr>
      <w:tr>
        <w:trPr>
          <w:trHeight w:val="141"/>
        </w:trPr>
        <w:tc>
          <w:tcPr>
            <w:tcW w:w="1820" w:type="dxa"/>
            <w:vAlign w:val="bottom"/>
            <w:gridSpan w:val="4"/>
            <w:shd w:val="clear" w:color="auto" w:fill="CCEEFF"/>
          </w:tcPr>
          <w:p>
            <w:pPr>
              <w:ind w:left="140"/>
              <w:spacing w:after="0" w:line="141" w:lineRule="exact"/>
              <w:rPr>
                <w:sz w:val="20"/>
                <w:szCs w:val="20"/>
                <w:color w:val="auto"/>
              </w:rPr>
            </w:pPr>
            <w:r>
              <w:rPr>
                <w:rFonts w:ascii="Arial" w:cs="Arial" w:eastAsia="Arial" w:hAnsi="Arial"/>
                <w:sz w:val="13"/>
                <w:szCs w:val="13"/>
                <w:color w:val="auto"/>
              </w:rPr>
              <w:t>Highland Park, IL 60035</w:t>
            </w:r>
          </w:p>
        </w:tc>
        <w:tc>
          <w:tcPr>
            <w:tcW w:w="15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Guitar Center</w:t>
            </w:r>
          </w:p>
        </w:tc>
      </w:tr>
      <w:tr>
        <w:trPr>
          <w:trHeight w:val="163"/>
        </w:trPr>
        <w:tc>
          <w:tcPr>
            <w:tcW w:w="3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LA Fitness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Finley Square</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1974</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1995</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315,000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$10.58</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Bed, Bath &amp; Beyond</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Downers Grove, IL 60515</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Petsmart</w:t>
            </w:r>
          </w:p>
        </w:tc>
      </w:tr>
      <w:tr>
        <w:trPr>
          <w:trHeight w:val="163"/>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Buy Buy Baby</w:t>
            </w: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Garden Market</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1958</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1994</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140,000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$12.50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95%</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Dominick’s</w:t>
            </w:r>
          </w:p>
        </w:tc>
      </w:tr>
      <w:tr>
        <w:trPr>
          <w:trHeight w:val="163"/>
        </w:trPr>
        <w:tc>
          <w:tcPr>
            <w:tcW w:w="1820" w:type="dxa"/>
            <w:vAlign w:val="bottom"/>
            <w:gridSpan w:val="4"/>
            <w:shd w:val="clear" w:color="auto" w:fill="CCEEFF"/>
          </w:tcPr>
          <w:p>
            <w:pPr>
              <w:ind w:left="120"/>
              <w:spacing w:after="0"/>
              <w:rPr>
                <w:sz w:val="20"/>
                <w:szCs w:val="20"/>
                <w:color w:val="auto"/>
              </w:rPr>
            </w:pPr>
            <w:r>
              <w:rPr>
                <w:rFonts w:ascii="Arial" w:cs="Arial" w:eastAsia="Arial" w:hAnsi="Arial"/>
                <w:sz w:val="13"/>
                <w:szCs w:val="13"/>
                <w:color w:val="auto"/>
              </w:rPr>
              <w:t>Western Springs, IL 60558</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Walgreens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North Lake Commons</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1989</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1994</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129,000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$12.19</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89%</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Dominick’s</w:t>
            </w:r>
          </w:p>
        </w:tc>
      </w:tr>
      <w:tr>
        <w:trPr>
          <w:trHeight w:val="163"/>
        </w:trPr>
        <w:tc>
          <w:tcPr>
            <w:tcW w:w="1820" w:type="dxa"/>
            <w:vAlign w:val="bottom"/>
            <w:gridSpan w:val="4"/>
          </w:tcPr>
          <w:p>
            <w:pPr>
              <w:ind w:left="140"/>
              <w:spacing w:after="0"/>
              <w:rPr>
                <w:sz w:val="20"/>
                <w:szCs w:val="20"/>
                <w:color w:val="auto"/>
              </w:rPr>
            </w:pPr>
            <w:r>
              <w:rPr>
                <w:rFonts w:ascii="Arial" w:cs="Arial" w:eastAsia="Arial" w:hAnsi="Arial"/>
                <w:sz w:val="13"/>
                <w:szCs w:val="13"/>
                <w:color w:val="auto"/>
              </w:rPr>
              <w:t>Lake Zurich, IL 60047</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29"/>
        </w:trPr>
        <w:tc>
          <w:tcPr>
            <w:tcW w:w="56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Maryland</w:t>
            </w:r>
          </w:p>
        </w:tc>
        <w:tc>
          <w:tcPr>
            <w:tcW w:w="1260" w:type="dxa"/>
            <w:vAlign w:val="bottom"/>
            <w:tcBorders>
              <w:bottom w:val="single" w:sz="8" w:color="CCEEFF"/>
            </w:tcBorders>
            <w:gridSpan w:val="2"/>
            <w:shd w:val="clear" w:color="auto" w:fill="CCEEFF"/>
          </w:tcPr>
          <w:p>
            <w:pPr>
              <w:spacing w:after="0"/>
              <w:rPr>
                <w:sz w:val="11"/>
                <w:szCs w:val="11"/>
                <w:color w:val="auto"/>
              </w:rPr>
            </w:pPr>
          </w:p>
        </w:tc>
        <w:tc>
          <w:tcPr>
            <w:tcW w:w="1500" w:type="dxa"/>
            <w:vAlign w:val="bottom"/>
            <w:tcBorders>
              <w:bottom w:val="single" w:sz="8" w:color="CCEEFF"/>
            </w:tcBorders>
            <w:shd w:val="clear" w:color="auto" w:fill="CCEEFF"/>
          </w:tcPr>
          <w:p>
            <w:pPr>
              <w:spacing w:after="0"/>
              <w:rPr>
                <w:sz w:val="11"/>
                <w:szCs w:val="11"/>
                <w:color w:val="auto"/>
              </w:rPr>
            </w:pPr>
          </w:p>
        </w:tc>
        <w:tc>
          <w:tcPr>
            <w:tcW w:w="14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r>
      <w:tr>
        <w:trPr>
          <w:trHeight w:val="125"/>
        </w:trPr>
        <w:tc>
          <w:tcPr>
            <w:tcW w:w="1820" w:type="dxa"/>
            <w:vAlign w:val="bottom"/>
            <w:gridSpan w:val="4"/>
          </w:tcPr>
          <w:p>
            <w:pPr>
              <w:spacing w:after="0" w:line="126" w:lineRule="exact"/>
              <w:rPr>
                <w:sz w:val="20"/>
                <w:szCs w:val="20"/>
                <w:color w:val="auto"/>
              </w:rPr>
            </w:pPr>
            <w:r>
              <w:rPr>
                <w:rFonts w:ascii="Arial" w:cs="Arial" w:eastAsia="Arial" w:hAnsi="Arial"/>
                <w:sz w:val="13"/>
                <w:szCs w:val="13"/>
                <w:color w:val="auto"/>
              </w:rPr>
              <w:t>Bethesda Row</w:t>
            </w:r>
          </w:p>
        </w:tc>
        <w:tc>
          <w:tcPr>
            <w:tcW w:w="2980" w:type="dxa"/>
            <w:vAlign w:val="bottom"/>
            <w:gridSpan w:val="2"/>
          </w:tcPr>
          <w:p>
            <w:pPr>
              <w:jc w:val="center"/>
              <w:ind w:left="1436"/>
              <w:spacing w:after="0" w:line="126" w:lineRule="exact"/>
              <w:rPr>
                <w:sz w:val="20"/>
                <w:szCs w:val="20"/>
                <w:color w:val="auto"/>
              </w:rPr>
            </w:pPr>
            <w:r>
              <w:rPr>
                <w:rFonts w:ascii="Arial" w:cs="Arial" w:eastAsia="Arial" w:hAnsi="Arial"/>
                <w:sz w:val="13"/>
                <w:szCs w:val="13"/>
                <w:color w:val="auto"/>
                <w:w w:val="90"/>
              </w:rPr>
              <w:t>1945-1991</w:t>
            </w:r>
          </w:p>
        </w:tc>
        <w:tc>
          <w:tcPr>
            <w:tcW w:w="94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7"/>
              </w:rPr>
              <w:t>1993/2006</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5"/>
              </w:rPr>
              <w:t>521,000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$43.21</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96%</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Apple Computer</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Bethesda, MD 20814(3)(12)</w:t>
            </w:r>
          </w:p>
        </w:tc>
        <w:tc>
          <w:tcPr>
            <w:tcW w:w="2980" w:type="dxa"/>
            <w:vAlign w:val="bottom"/>
            <w:gridSpan w:val="2"/>
          </w:tcPr>
          <w:p>
            <w:pPr>
              <w:jc w:val="center"/>
              <w:ind w:left="1456"/>
              <w:spacing w:after="0" w:line="141" w:lineRule="exact"/>
              <w:rPr>
                <w:sz w:val="20"/>
                <w:szCs w:val="20"/>
                <w:color w:val="auto"/>
              </w:rPr>
            </w:pPr>
            <w:r>
              <w:rPr>
                <w:rFonts w:ascii="Arial" w:cs="Arial" w:eastAsia="Arial" w:hAnsi="Arial"/>
                <w:sz w:val="13"/>
                <w:szCs w:val="13"/>
                <w:color w:val="auto"/>
                <w:w w:val="89"/>
              </w:rPr>
              <w:t>2001</w:t>
            </w:r>
          </w:p>
        </w:tc>
        <w:tc>
          <w:tcPr>
            <w:tcW w:w="940" w:type="dxa"/>
            <w:vAlign w:val="bottom"/>
            <w:gridSpan w:val="2"/>
          </w:tcPr>
          <w:p>
            <w:pPr>
              <w:jc w:val="center"/>
              <w:ind w:left="56"/>
              <w:spacing w:after="0" w:line="141" w:lineRule="exact"/>
              <w:rPr>
                <w:sz w:val="20"/>
                <w:szCs w:val="20"/>
                <w:color w:val="auto"/>
              </w:rPr>
            </w:pPr>
            <w:r>
              <w:rPr>
                <w:rFonts w:ascii="Arial" w:cs="Arial" w:eastAsia="Arial" w:hAnsi="Arial"/>
                <w:sz w:val="13"/>
                <w:szCs w:val="13"/>
                <w:color w:val="auto"/>
                <w:w w:val="87"/>
              </w:rPr>
              <w:t>2008/2010</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Barnes &amp; Noble</w:t>
            </w:r>
          </w:p>
        </w:tc>
      </w:tr>
      <w:tr>
        <w:trPr>
          <w:trHeight w:val="141"/>
        </w:trPr>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Giant Food</w:t>
            </w:r>
          </w:p>
        </w:tc>
      </w:tr>
      <w:tr>
        <w:trPr>
          <w:trHeight w:val="163"/>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Landmark Theater</w:t>
            </w: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Bethesda Row Residential</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2008</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1993</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180 units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96%</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63"/>
        </w:trPr>
        <w:tc>
          <w:tcPr>
            <w:tcW w:w="18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Bethesda, MD 20814</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Congressional Plaza</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1965</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1965</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332,000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$31.88</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Buy Buy Baby</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Rockville, MD 20852(8)</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Whole Foods</w:t>
            </w:r>
          </w:p>
        </w:tc>
      </w:tr>
      <w:tr>
        <w:trPr>
          <w:trHeight w:val="163"/>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Container Store</w:t>
            </w: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w w:val="96"/>
              </w:rPr>
              <w:t>Congressional Plaza Residential</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2003</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1965</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146 units</w:t>
            </w: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92%</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63"/>
        </w:trPr>
        <w:tc>
          <w:tcPr>
            <w:tcW w:w="18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Rockville, MD 20852(8)</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Courthouse Center</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1975</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1997</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36,000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$17.67</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93%</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63"/>
        </w:trPr>
        <w:tc>
          <w:tcPr>
            <w:tcW w:w="1820" w:type="dxa"/>
            <w:vAlign w:val="bottom"/>
            <w:gridSpan w:val="4"/>
          </w:tcPr>
          <w:p>
            <w:pPr>
              <w:ind w:left="140"/>
              <w:spacing w:after="0"/>
              <w:rPr>
                <w:sz w:val="20"/>
                <w:szCs w:val="20"/>
                <w:color w:val="auto"/>
              </w:rPr>
            </w:pPr>
            <w:r>
              <w:rPr>
                <w:rFonts w:ascii="Arial" w:cs="Arial" w:eastAsia="Arial" w:hAnsi="Arial"/>
                <w:sz w:val="13"/>
                <w:szCs w:val="13"/>
                <w:color w:val="auto"/>
              </w:rPr>
              <w:t>Rockville, MD 20852</w:t>
            </w: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Federal Plaza</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1970</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1989</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248,000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$32.00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87%</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Micro Center</w:t>
            </w:r>
          </w:p>
        </w:tc>
      </w:tr>
      <w:tr>
        <w:trPr>
          <w:trHeight w:val="141"/>
        </w:trPr>
        <w:tc>
          <w:tcPr>
            <w:tcW w:w="1820" w:type="dxa"/>
            <w:vAlign w:val="bottom"/>
            <w:gridSpan w:val="4"/>
            <w:shd w:val="clear" w:color="auto" w:fill="CCEEFF"/>
          </w:tcPr>
          <w:p>
            <w:pPr>
              <w:ind w:left="140"/>
              <w:spacing w:after="0" w:line="141" w:lineRule="exact"/>
              <w:rPr>
                <w:sz w:val="20"/>
                <w:szCs w:val="20"/>
                <w:color w:val="auto"/>
              </w:rPr>
            </w:pPr>
            <w:r>
              <w:rPr>
                <w:rFonts w:ascii="Arial" w:cs="Arial" w:eastAsia="Arial" w:hAnsi="Arial"/>
                <w:sz w:val="13"/>
                <w:szCs w:val="13"/>
                <w:color w:val="auto"/>
              </w:rPr>
              <w:t>Rockville, MD 20852(12)</w:t>
            </w:r>
          </w:p>
        </w:tc>
        <w:tc>
          <w:tcPr>
            <w:tcW w:w="15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Ross Dress For Less</w:t>
            </w:r>
          </w:p>
        </w:tc>
      </w:tr>
      <w:tr>
        <w:trPr>
          <w:trHeight w:val="141"/>
        </w:trPr>
        <w:tc>
          <w:tcPr>
            <w:tcW w:w="38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TJ Maxx</w:t>
            </w:r>
          </w:p>
        </w:tc>
      </w:tr>
      <w:tr>
        <w:trPr>
          <w:trHeight w:val="163"/>
        </w:trPr>
        <w:tc>
          <w:tcPr>
            <w:tcW w:w="38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Trader Joe’s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Free State Shopping Center</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1970</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279,000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$15.21</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88%</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Bowie, MD 20715(10)</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TJ Maxx</w:t>
            </w:r>
          </w:p>
        </w:tc>
      </w:tr>
      <w:tr>
        <w:trPr>
          <w:trHeight w:val="141"/>
        </w:trPr>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Ross Dress For Less</w:t>
            </w:r>
          </w:p>
        </w:tc>
      </w:tr>
      <w:tr>
        <w:trPr>
          <w:trHeight w:val="163"/>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Office Depot</w:t>
            </w: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Gaithersburg Square</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1966</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1993</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209,000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$25.10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79%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Bed, Bath &amp; Beyond</w:t>
            </w:r>
          </w:p>
        </w:tc>
      </w:tr>
      <w:tr>
        <w:trPr>
          <w:trHeight w:val="163"/>
        </w:trPr>
        <w:tc>
          <w:tcPr>
            <w:tcW w:w="18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Gaithersburg, MD 20878</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Ross Dress For Less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Governor Plaza</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1963</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1985</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268,000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$17.17</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87%</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Bally Total Fitness</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Glen Burnie, MD 21961</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Aldi</w:t>
            </w:r>
          </w:p>
        </w:tc>
      </w:tr>
      <w:tr>
        <w:trPr>
          <w:trHeight w:val="141"/>
        </w:trPr>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Dick’s Sporting</w:t>
            </w:r>
          </w:p>
        </w:tc>
      </w:tr>
      <w:tr>
        <w:trPr>
          <w:trHeight w:val="163"/>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Goods</w:t>
            </w:r>
          </w:p>
        </w:tc>
      </w:tr>
      <w:tr>
        <w:trPr>
          <w:trHeight w:val="133"/>
        </w:trPr>
        <w:tc>
          <w:tcPr>
            <w:tcW w:w="1820" w:type="dxa"/>
            <w:vAlign w:val="bottom"/>
            <w:gridSpan w:val="4"/>
            <w:shd w:val="clear" w:color="auto" w:fill="CCEEFF"/>
          </w:tcPr>
          <w:p>
            <w:pPr>
              <w:spacing w:after="0" w:line="133" w:lineRule="exact"/>
              <w:rPr>
                <w:sz w:val="20"/>
                <w:szCs w:val="20"/>
                <w:color w:val="auto"/>
              </w:rPr>
            </w:pPr>
            <w:r>
              <w:rPr>
                <w:rFonts w:ascii="Arial" w:cs="Arial" w:eastAsia="Arial" w:hAnsi="Arial"/>
                <w:sz w:val="13"/>
                <w:szCs w:val="13"/>
                <w:color w:val="auto"/>
              </w:rPr>
              <w:t>Laurel Centre</w:t>
            </w:r>
          </w:p>
        </w:tc>
        <w:tc>
          <w:tcPr>
            <w:tcW w:w="2980" w:type="dxa"/>
            <w:vAlign w:val="bottom"/>
            <w:gridSpan w:val="2"/>
            <w:shd w:val="clear" w:color="auto" w:fill="CCEEFF"/>
          </w:tcPr>
          <w:p>
            <w:pPr>
              <w:jc w:val="center"/>
              <w:ind w:left="1456"/>
              <w:spacing w:after="0" w:line="133" w:lineRule="exact"/>
              <w:rPr>
                <w:sz w:val="20"/>
                <w:szCs w:val="20"/>
                <w:color w:val="auto"/>
              </w:rPr>
            </w:pPr>
            <w:r>
              <w:rPr>
                <w:rFonts w:ascii="Arial" w:cs="Arial" w:eastAsia="Arial" w:hAnsi="Arial"/>
                <w:sz w:val="13"/>
                <w:szCs w:val="13"/>
                <w:color w:val="auto"/>
                <w:w w:val="89"/>
              </w:rPr>
              <w:t>1956</w:t>
            </w:r>
          </w:p>
        </w:tc>
        <w:tc>
          <w:tcPr>
            <w:tcW w:w="94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1986</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388,000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$18.35</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85%</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63"/>
        </w:trPr>
        <w:tc>
          <w:tcPr>
            <w:tcW w:w="1820" w:type="dxa"/>
            <w:vAlign w:val="bottom"/>
            <w:gridSpan w:val="4"/>
            <w:shd w:val="clear" w:color="auto" w:fill="CCEEFF"/>
          </w:tcPr>
          <w:p>
            <w:pPr>
              <w:ind w:left="140"/>
              <w:spacing w:after="0"/>
              <w:rPr>
                <w:sz w:val="20"/>
                <w:szCs w:val="20"/>
                <w:color w:val="auto"/>
              </w:rPr>
            </w:pPr>
            <w:r>
              <w:rPr>
                <w:rFonts w:ascii="Arial" w:cs="Arial" w:eastAsia="Arial" w:hAnsi="Arial"/>
                <w:sz w:val="13"/>
                <w:szCs w:val="13"/>
                <w:color w:val="auto"/>
              </w:rPr>
              <w:t>Laurel, MD 20707</w:t>
            </w:r>
          </w:p>
        </w:tc>
        <w:tc>
          <w:tcPr>
            <w:tcW w:w="15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Marshalls</w:t>
            </w:r>
          </w:p>
        </w:tc>
      </w:tr>
      <w:tr>
        <w:trPr>
          <w:trHeight w:val="132"/>
        </w:trPr>
        <w:tc>
          <w:tcPr>
            <w:tcW w:w="1820" w:type="dxa"/>
            <w:vAlign w:val="bottom"/>
            <w:gridSpan w:val="4"/>
          </w:tcPr>
          <w:p>
            <w:pPr>
              <w:spacing w:after="0" w:line="133" w:lineRule="exact"/>
              <w:rPr>
                <w:sz w:val="20"/>
                <w:szCs w:val="20"/>
                <w:color w:val="auto"/>
              </w:rPr>
            </w:pPr>
            <w:r>
              <w:rPr>
                <w:rFonts w:ascii="Arial" w:cs="Arial" w:eastAsia="Arial" w:hAnsi="Arial"/>
                <w:sz w:val="13"/>
                <w:szCs w:val="13"/>
                <w:color w:val="auto"/>
              </w:rPr>
              <w:t>Mid-Pike Plaza</w:t>
            </w:r>
          </w:p>
        </w:tc>
        <w:tc>
          <w:tcPr>
            <w:tcW w:w="2980" w:type="dxa"/>
            <w:vAlign w:val="bottom"/>
            <w:gridSpan w:val="2"/>
          </w:tcPr>
          <w:p>
            <w:pPr>
              <w:jc w:val="center"/>
              <w:ind w:left="1456"/>
              <w:spacing w:after="0" w:line="133" w:lineRule="exact"/>
              <w:rPr>
                <w:sz w:val="20"/>
                <w:szCs w:val="20"/>
                <w:color w:val="auto"/>
              </w:rPr>
            </w:pPr>
            <w:r>
              <w:rPr>
                <w:rFonts w:ascii="Arial" w:cs="Arial" w:eastAsia="Arial" w:hAnsi="Arial"/>
                <w:sz w:val="13"/>
                <w:szCs w:val="13"/>
                <w:color w:val="auto"/>
                <w:w w:val="89"/>
              </w:rPr>
              <w:t>1963</w:t>
            </w:r>
          </w:p>
        </w:tc>
        <w:tc>
          <w:tcPr>
            <w:tcW w:w="94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7"/>
              </w:rPr>
              <w:t>1982/2007</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309,000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$27.12</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73%</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Bally Total Fitness</w:t>
            </w:r>
          </w:p>
        </w:tc>
      </w:tr>
      <w:tr>
        <w:trPr>
          <w:trHeight w:val="141"/>
        </w:trPr>
        <w:tc>
          <w:tcPr>
            <w:tcW w:w="1820" w:type="dxa"/>
            <w:vAlign w:val="bottom"/>
            <w:gridSpan w:val="4"/>
          </w:tcPr>
          <w:p>
            <w:pPr>
              <w:ind w:left="140"/>
              <w:spacing w:after="0" w:line="141" w:lineRule="exact"/>
              <w:rPr>
                <w:sz w:val="20"/>
                <w:szCs w:val="20"/>
                <w:color w:val="auto"/>
              </w:rPr>
            </w:pPr>
            <w:r>
              <w:rPr>
                <w:rFonts w:ascii="Arial" w:cs="Arial" w:eastAsia="Arial" w:hAnsi="Arial"/>
                <w:sz w:val="13"/>
                <w:szCs w:val="13"/>
                <w:color w:val="auto"/>
              </w:rPr>
              <w:t>Rockville, MD 20852</w:t>
            </w: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Toys R Us</w:t>
            </w:r>
          </w:p>
        </w:tc>
      </w:tr>
      <w:tr>
        <w:trPr>
          <w:trHeight w:val="162"/>
        </w:trPr>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A.C. Moore</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1"/>
        </w:trPr>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/Apartment</w:t>
            </w:r>
          </w:p>
        </w:tc>
        <w:tc>
          <w:tcPr>
            <w:tcW w:w="10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Per Square</w:t>
            </w:r>
          </w:p>
        </w:tc>
        <w:tc>
          <w:tcPr>
            <w:tcW w:w="100" w:type="dxa"/>
            <w:vAlign w:val="bottom"/>
          </w:tcPr>
          <w:p>
            <w:pPr>
              <w:spacing w:after="0"/>
              <w:rPr>
                <w:sz w:val="12"/>
                <w:szCs w:val="12"/>
                <w:color w:val="auto"/>
              </w:rPr>
            </w:pPr>
          </w:p>
        </w:tc>
        <w:tc>
          <w:tcPr>
            <w:tcW w:w="90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21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Foot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Tenant(s)</w:t>
            </w:r>
          </w:p>
        </w:tc>
      </w:tr>
      <w:tr>
        <w:trPr>
          <w:trHeight w:val="125"/>
        </w:trPr>
        <w:tc>
          <w:tcPr>
            <w:tcW w:w="400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Perring Plaza</w:t>
            </w:r>
          </w:p>
        </w:tc>
        <w:tc>
          <w:tcPr>
            <w:tcW w:w="880" w:type="dxa"/>
            <w:vAlign w:val="bottom"/>
            <w:shd w:val="clear" w:color="auto" w:fill="CCEEFF"/>
          </w:tcPr>
          <w:p>
            <w:pPr>
              <w:jc w:val="center"/>
              <w:spacing w:after="0" w:line="126" w:lineRule="exact"/>
              <w:rPr>
                <w:sz w:val="20"/>
                <w:szCs w:val="20"/>
                <w:color w:val="auto"/>
              </w:rPr>
            </w:pPr>
            <w:r>
              <w:rPr>
                <w:rFonts w:ascii="Arial" w:cs="Arial" w:eastAsia="Arial" w:hAnsi="Arial"/>
                <w:sz w:val="13"/>
                <w:szCs w:val="13"/>
                <w:color w:val="auto"/>
                <w:w w:val="89"/>
              </w:rPr>
              <w:t>1963</w:t>
            </w:r>
          </w:p>
        </w:tc>
        <w:tc>
          <w:tcPr>
            <w:tcW w:w="90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9"/>
              </w:rPr>
              <w:t>1985</w:t>
            </w:r>
          </w:p>
        </w:tc>
        <w:tc>
          <w:tcPr>
            <w:tcW w:w="124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9"/>
              </w:rPr>
              <w:t>401,000</w:t>
            </w:r>
          </w:p>
        </w:tc>
        <w:tc>
          <w:tcPr>
            <w:tcW w:w="1240" w:type="dxa"/>
            <w:vAlign w:val="bottom"/>
            <w:gridSpan w:val="2"/>
            <w:shd w:val="clear" w:color="auto" w:fill="CCEEFF"/>
          </w:tcPr>
          <w:p>
            <w:pPr>
              <w:jc w:val="center"/>
              <w:ind w:left="16"/>
              <w:spacing w:after="0" w:line="126" w:lineRule="exact"/>
              <w:rPr>
                <w:sz w:val="20"/>
                <w:szCs w:val="20"/>
                <w:color w:val="auto"/>
              </w:rPr>
            </w:pPr>
            <w:r>
              <w:rPr>
                <w:rFonts w:ascii="Arial" w:cs="Arial" w:eastAsia="Arial" w:hAnsi="Arial"/>
                <w:sz w:val="13"/>
                <w:szCs w:val="13"/>
                <w:color w:val="auto"/>
                <w:w w:val="90"/>
              </w:rPr>
              <w:t>$12.42</w:t>
            </w:r>
          </w:p>
        </w:tc>
        <w:tc>
          <w:tcPr>
            <w:tcW w:w="100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4"/>
              </w:rPr>
              <w:t>98%</w:t>
            </w:r>
          </w:p>
        </w:tc>
        <w:tc>
          <w:tcPr>
            <w:tcW w:w="216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Burlington Coat Factory</w:t>
            </w:r>
          </w:p>
        </w:tc>
      </w:tr>
      <w:tr>
        <w:trPr>
          <w:trHeight w:val="141"/>
        </w:trPr>
        <w:tc>
          <w:tcPr>
            <w:tcW w:w="400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Baltimore, MD 21134</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Home Depot</w:t>
            </w:r>
          </w:p>
        </w:tc>
      </w:tr>
      <w:tr>
        <w:trPr>
          <w:trHeight w:val="141"/>
        </w:trPr>
        <w:tc>
          <w:tcPr>
            <w:tcW w:w="8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Shoppers Food Warehouse</w:t>
            </w:r>
          </w:p>
        </w:tc>
      </w:tr>
      <w:tr>
        <w:trPr>
          <w:trHeight w:val="163"/>
        </w:trPr>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Jo-Ann Stores</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Plaza Del Mercado</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1969</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2004</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96,000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$19.64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93%</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Silver Spring, MD 20906(10)(12)</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CVS</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Quince Orchard</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1975</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1993</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248,000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$20.07</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63%</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Magruders</w:t>
            </w: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Gaithersburg, MD 20877(3)</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Staples</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Rockville Town Square</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90"/>
              </w:rPr>
              <w:t>2006-2007</w:t>
            </w:r>
          </w:p>
        </w:tc>
        <w:tc>
          <w:tcPr>
            <w:tcW w:w="9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2006-2007</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182,000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$33.13</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78%</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CVS</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Rockville, MD 20852</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Gold’s Gym</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Rollingwood Apartments</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1960</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1971</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282 units</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rPr>
              <w:t>N/A</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41"/>
        </w:trPr>
        <w:tc>
          <w:tcPr>
            <w:tcW w:w="400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Silver Spring, MD 20910</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9 three-story buildings(12)</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THE AVENUE at White Marsh</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1997</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298,000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$21.14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AMC Loews</w:t>
            </w:r>
          </w:p>
        </w:tc>
      </w:tr>
      <w:tr>
        <w:trPr>
          <w:trHeight w:val="141"/>
        </w:trPr>
        <w:tc>
          <w:tcPr>
            <w:tcW w:w="400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Baltimore, MD 21236(9)(12)</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Old Navy</w:t>
            </w:r>
          </w:p>
        </w:tc>
      </w:tr>
      <w:tr>
        <w:trPr>
          <w:trHeight w:val="141"/>
        </w:trPr>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Barnes &amp; Noble</w:t>
            </w:r>
          </w:p>
        </w:tc>
      </w:tr>
      <w:tr>
        <w:trPr>
          <w:trHeight w:val="163"/>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A.C. Moore</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The Shoppes at Nottingham Square</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2005-2006</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52,000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$37.54</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Baltimore, MD 21236</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White Marsh Other</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1985</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49,000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$28.05</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Baltimore, MD 21236</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White Marsh Plaza</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1987</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80,000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$20.12</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Baltimore, MD 21236(12)</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Wildwood</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1958</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1969</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85,000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$82.52</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CVS</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Bethesda, MD 20814(12)</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Balducci’s</w:t>
            </w:r>
          </w:p>
        </w:tc>
      </w:tr>
      <w:tr>
        <w:trPr>
          <w:trHeight w:val="129"/>
        </w:trPr>
        <w:tc>
          <w:tcPr>
            <w:tcW w:w="8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3"/>
              </w:rPr>
              <w:t>Massachusetts</w:t>
            </w:r>
          </w:p>
        </w:tc>
        <w:tc>
          <w:tcPr>
            <w:tcW w:w="3200" w:type="dxa"/>
            <w:vAlign w:val="bottom"/>
            <w:tcBorders>
              <w:bottom w:val="single" w:sz="8" w:color="CCEEFF"/>
            </w:tcBorders>
            <w:gridSpan w:val="2"/>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r>
      <w:tr>
        <w:trPr>
          <w:trHeight w:val="125"/>
        </w:trPr>
        <w:tc>
          <w:tcPr>
            <w:tcW w:w="4000" w:type="dxa"/>
            <w:vAlign w:val="bottom"/>
            <w:gridSpan w:val="3"/>
          </w:tcPr>
          <w:p>
            <w:pPr>
              <w:spacing w:after="0" w:line="126" w:lineRule="exact"/>
              <w:rPr>
                <w:sz w:val="20"/>
                <w:szCs w:val="20"/>
                <w:color w:val="auto"/>
              </w:rPr>
            </w:pPr>
            <w:r>
              <w:rPr>
                <w:rFonts w:ascii="Arial" w:cs="Arial" w:eastAsia="Arial" w:hAnsi="Arial"/>
                <w:sz w:val="13"/>
                <w:szCs w:val="13"/>
                <w:color w:val="auto"/>
              </w:rPr>
              <w:t>Assembly Square Marketplace/Assembly Row</w:t>
            </w:r>
          </w:p>
        </w:tc>
        <w:tc>
          <w:tcPr>
            <w:tcW w:w="880" w:type="dxa"/>
            <w:vAlign w:val="bottom"/>
          </w:tcPr>
          <w:p>
            <w:pPr>
              <w:jc w:val="center"/>
              <w:spacing w:after="0" w:line="126" w:lineRule="exact"/>
              <w:rPr>
                <w:sz w:val="20"/>
                <w:szCs w:val="20"/>
                <w:color w:val="auto"/>
              </w:rPr>
            </w:pPr>
            <w:r>
              <w:rPr>
                <w:rFonts w:ascii="Arial" w:cs="Arial" w:eastAsia="Arial" w:hAnsi="Arial"/>
                <w:sz w:val="13"/>
                <w:szCs w:val="13"/>
                <w:color w:val="auto"/>
                <w:w w:val="89"/>
              </w:rPr>
              <w:t>2005</w:t>
            </w:r>
          </w:p>
        </w:tc>
        <w:tc>
          <w:tcPr>
            <w:tcW w:w="9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2005-2010</w:t>
            </w:r>
          </w:p>
        </w:tc>
        <w:tc>
          <w:tcPr>
            <w:tcW w:w="124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9"/>
              </w:rPr>
              <w:t>332,000</w:t>
            </w:r>
          </w:p>
        </w:tc>
        <w:tc>
          <w:tcPr>
            <w:tcW w:w="1240" w:type="dxa"/>
            <w:vAlign w:val="bottom"/>
            <w:gridSpan w:val="2"/>
          </w:tcPr>
          <w:p>
            <w:pPr>
              <w:jc w:val="center"/>
              <w:ind w:left="16"/>
              <w:spacing w:after="0" w:line="126" w:lineRule="exact"/>
              <w:rPr>
                <w:sz w:val="20"/>
                <w:szCs w:val="20"/>
                <w:color w:val="auto"/>
              </w:rPr>
            </w:pPr>
            <w:r>
              <w:rPr>
                <w:rFonts w:ascii="Arial" w:cs="Arial" w:eastAsia="Arial" w:hAnsi="Arial"/>
                <w:sz w:val="13"/>
                <w:szCs w:val="13"/>
                <w:color w:val="auto"/>
                <w:w w:val="90"/>
              </w:rPr>
              <w:t>$16.42</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Bed, Bath &amp; Beyond</w:t>
            </w:r>
          </w:p>
        </w:tc>
      </w:tr>
      <w:tr>
        <w:trPr>
          <w:trHeight w:val="141"/>
        </w:trPr>
        <w:tc>
          <w:tcPr>
            <w:tcW w:w="400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Somerville, MA 02145</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Christmas Tree Shops</w:t>
            </w:r>
          </w:p>
        </w:tc>
      </w:tr>
      <w:tr>
        <w:trPr>
          <w:trHeight w:val="141"/>
        </w:trPr>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Kmart Staples</w:t>
            </w:r>
          </w:p>
        </w:tc>
      </w:tr>
      <w:tr>
        <w:trPr>
          <w:trHeight w:val="141"/>
        </w:trPr>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TJ Maxx</w:t>
            </w:r>
          </w:p>
        </w:tc>
      </w:tr>
      <w:tr>
        <w:trPr>
          <w:trHeight w:val="141"/>
        </w:trPr>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A.C. Moore</w:t>
            </w:r>
          </w:p>
        </w:tc>
      </w:tr>
      <w:tr>
        <w:trPr>
          <w:trHeight w:val="163"/>
        </w:trPr>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Sports Authority</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Atlantic Plaza</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1960</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2004</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123,000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$17.05</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87%</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Stop &amp; Shop</w:t>
            </w: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North Reading, MA 01864(10)(12)</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Sears</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Campus Plaza</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1970</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2004</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117,000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$12.74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Roche Brothers</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Bridgewater, MA 02324(10)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Burlington Coat Factory</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Chelsea Commons</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1962-1969, 2008</w:t>
            </w:r>
          </w:p>
        </w:tc>
        <w:tc>
          <w:tcPr>
            <w:tcW w:w="9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2006-2008</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222,000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$10.71</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Sav-A-Lot</w:t>
            </w:r>
          </w:p>
        </w:tc>
      </w:tr>
      <w:tr>
        <w:trPr>
          <w:trHeight w:val="141"/>
        </w:trPr>
        <w:tc>
          <w:tcPr>
            <w:tcW w:w="400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Chelsea, MA 02150(12)</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Home Depot</w:t>
            </w:r>
          </w:p>
        </w:tc>
      </w:tr>
      <w:tr>
        <w:trPr>
          <w:trHeight w:val="163"/>
        </w:trPr>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Planet Fitness</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Dedham</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1959</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1993</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243,000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$15.79</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93%</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Star Market</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Dedham, MA 02026</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Linden Square</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1960, 2008</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2006</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218,000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$40.13</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92%</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Roche Brothers Supermarket</w:t>
            </w:r>
          </w:p>
        </w:tc>
      </w:tr>
      <w:tr>
        <w:trPr>
          <w:trHeight w:val="163"/>
        </w:trPr>
        <w:tc>
          <w:tcPr>
            <w:tcW w:w="400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Wellesley, MA 02481</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CVS</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Newbury Street</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90"/>
              </w:rPr>
              <w:t>1877-1929</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2010</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32,000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$80.37</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55%</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Pierre Deux</w:t>
            </w:r>
          </w:p>
        </w:tc>
      </w:tr>
      <w:tr>
        <w:trPr>
          <w:trHeight w:val="163"/>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Boston, MA 02116(10)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Jonathan Adler</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North Dartmouth</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2004</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2006</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48,000</w:t>
            </w:r>
          </w:p>
        </w:tc>
        <w:tc>
          <w:tcPr>
            <w:tcW w:w="1240" w:type="dxa"/>
            <w:vAlign w:val="bottom"/>
            <w:gridSpan w:val="2"/>
            <w:shd w:val="clear" w:color="auto" w:fill="CCEEFF"/>
          </w:tcPr>
          <w:p>
            <w:pPr>
              <w:jc w:val="center"/>
              <w:ind w:left="16"/>
              <w:spacing w:after="0" w:line="133" w:lineRule="exact"/>
              <w:rPr>
                <w:sz w:val="20"/>
                <w:szCs w:val="20"/>
                <w:color w:val="auto"/>
              </w:rPr>
            </w:pPr>
            <w:r>
              <w:rPr>
                <w:rFonts w:ascii="Arial" w:cs="Arial" w:eastAsia="Arial" w:hAnsi="Arial"/>
                <w:sz w:val="13"/>
                <w:szCs w:val="13"/>
                <w:color w:val="auto"/>
                <w:w w:val="90"/>
              </w:rPr>
              <w:t>$13.80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Stop &amp; Shop</w:t>
            </w: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North Dartmouth, MA 02747</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Pleasant Shops</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1974</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2004</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129,000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$13.60</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Foodmaster</w:t>
            </w:r>
          </w:p>
        </w:tc>
      </w:tr>
      <w:tr>
        <w:trPr>
          <w:trHeight w:val="163"/>
        </w:trPr>
        <w:tc>
          <w:tcPr>
            <w:tcW w:w="4000" w:type="dxa"/>
            <w:vAlign w:val="bottom"/>
            <w:gridSpan w:val="3"/>
          </w:tcPr>
          <w:p>
            <w:pPr>
              <w:ind w:left="120"/>
              <w:spacing w:after="0"/>
              <w:rPr>
                <w:sz w:val="20"/>
                <w:szCs w:val="20"/>
                <w:color w:val="auto"/>
              </w:rPr>
            </w:pPr>
            <w:r>
              <w:rPr>
                <w:rFonts w:ascii="Arial" w:cs="Arial" w:eastAsia="Arial" w:hAnsi="Arial"/>
                <w:sz w:val="13"/>
                <w:szCs w:val="13"/>
                <w:color w:val="auto"/>
              </w:rPr>
              <w:t>Weymouth, MA 02190(10)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Marshalls</w:t>
            </w:r>
          </w:p>
        </w:tc>
      </w:tr>
      <w:tr>
        <w:trPr>
          <w:trHeight w:val="133"/>
        </w:trPr>
        <w:tc>
          <w:tcPr>
            <w:tcW w:w="40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Queen Anne Plaza</w:t>
            </w:r>
          </w:p>
        </w:tc>
        <w:tc>
          <w:tcPr>
            <w:tcW w:w="88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9"/>
              </w:rPr>
              <w:t>1967</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1994</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149,000</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$15.11</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TJ Maxx</w:t>
            </w:r>
          </w:p>
        </w:tc>
      </w:tr>
      <w:tr>
        <w:trPr>
          <w:trHeight w:val="163"/>
        </w:trPr>
        <w:tc>
          <w:tcPr>
            <w:tcW w:w="40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Norwell, MA 02061</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Hannaford</w:t>
            </w:r>
          </w:p>
        </w:tc>
      </w:tr>
      <w:tr>
        <w:trPr>
          <w:trHeight w:val="132"/>
        </w:trPr>
        <w:tc>
          <w:tcPr>
            <w:tcW w:w="4000" w:type="dxa"/>
            <w:vAlign w:val="bottom"/>
            <w:gridSpan w:val="3"/>
          </w:tcPr>
          <w:p>
            <w:pPr>
              <w:spacing w:after="0" w:line="133" w:lineRule="exact"/>
              <w:rPr>
                <w:sz w:val="20"/>
                <w:szCs w:val="20"/>
                <w:color w:val="auto"/>
              </w:rPr>
            </w:pPr>
            <w:r>
              <w:rPr>
                <w:rFonts w:ascii="Arial" w:cs="Arial" w:eastAsia="Arial" w:hAnsi="Arial"/>
                <w:sz w:val="13"/>
                <w:szCs w:val="13"/>
                <w:color w:val="auto"/>
              </w:rPr>
              <w:t>Saugus Plaza</w:t>
            </w:r>
          </w:p>
        </w:tc>
        <w:tc>
          <w:tcPr>
            <w:tcW w:w="880" w:type="dxa"/>
            <w:vAlign w:val="bottom"/>
          </w:tcPr>
          <w:p>
            <w:pPr>
              <w:jc w:val="center"/>
              <w:spacing w:after="0" w:line="133" w:lineRule="exact"/>
              <w:rPr>
                <w:sz w:val="20"/>
                <w:szCs w:val="20"/>
                <w:color w:val="auto"/>
              </w:rPr>
            </w:pPr>
            <w:r>
              <w:rPr>
                <w:rFonts w:ascii="Arial" w:cs="Arial" w:eastAsia="Arial" w:hAnsi="Arial"/>
                <w:sz w:val="13"/>
                <w:szCs w:val="13"/>
                <w:color w:val="auto"/>
                <w:w w:val="89"/>
              </w:rPr>
              <w:t>1976</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1996</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170,000</w:t>
            </w:r>
          </w:p>
        </w:tc>
        <w:tc>
          <w:tcPr>
            <w:tcW w:w="1240" w:type="dxa"/>
            <w:vAlign w:val="bottom"/>
            <w:gridSpan w:val="2"/>
          </w:tcPr>
          <w:p>
            <w:pPr>
              <w:jc w:val="center"/>
              <w:ind w:left="16"/>
              <w:spacing w:after="0" w:line="133" w:lineRule="exact"/>
              <w:rPr>
                <w:sz w:val="20"/>
                <w:szCs w:val="20"/>
                <w:color w:val="auto"/>
              </w:rPr>
            </w:pPr>
            <w:r>
              <w:rPr>
                <w:rFonts w:ascii="Arial" w:cs="Arial" w:eastAsia="Arial" w:hAnsi="Arial"/>
                <w:sz w:val="13"/>
                <w:szCs w:val="13"/>
                <w:color w:val="auto"/>
                <w:w w:val="90"/>
              </w:rPr>
              <w:t>$10.81</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Kmart</w:t>
            </w:r>
          </w:p>
        </w:tc>
      </w:tr>
      <w:tr>
        <w:trPr>
          <w:trHeight w:val="162"/>
        </w:trPr>
        <w:tc>
          <w:tcPr>
            <w:tcW w:w="4000" w:type="dxa"/>
            <w:vAlign w:val="bottom"/>
            <w:gridSpan w:val="3"/>
          </w:tcPr>
          <w:p>
            <w:pPr>
              <w:ind w:left="140"/>
              <w:spacing w:after="0"/>
              <w:rPr>
                <w:sz w:val="20"/>
                <w:szCs w:val="20"/>
                <w:color w:val="auto"/>
              </w:rPr>
            </w:pPr>
            <w:r>
              <w:rPr>
                <w:rFonts w:ascii="Arial" w:cs="Arial" w:eastAsia="Arial" w:hAnsi="Arial"/>
                <w:sz w:val="13"/>
                <w:szCs w:val="13"/>
                <w:color w:val="auto"/>
              </w:rPr>
              <w:t>Saugus, MA 01906</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Super Stop &amp; Shop</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/Apartment</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Per Square</w:t>
            </w:r>
          </w:p>
        </w:tc>
        <w:tc>
          <w:tcPr>
            <w:tcW w:w="100" w:type="dxa"/>
            <w:vAlign w:val="bottom"/>
          </w:tcPr>
          <w:p>
            <w:pPr>
              <w:spacing w:after="0"/>
              <w:rPr>
                <w:sz w:val="12"/>
                <w:szCs w:val="12"/>
                <w:color w:val="auto"/>
              </w:rPr>
            </w:pPr>
          </w:p>
        </w:tc>
        <w:tc>
          <w:tcPr>
            <w:tcW w:w="90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Foot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Tenant(s)</w:t>
            </w:r>
          </w:p>
        </w:tc>
        <w:tc>
          <w:tcPr>
            <w:tcW w:w="0" w:type="dxa"/>
            <w:vAlign w:val="bottom"/>
          </w:tcPr>
          <w:p>
            <w:pPr>
              <w:spacing w:after="0"/>
              <w:rPr>
                <w:sz w:val="1"/>
                <w:szCs w:val="1"/>
                <w:color w:val="auto"/>
              </w:rPr>
            </w:pPr>
          </w:p>
        </w:tc>
      </w:tr>
      <w:tr>
        <w:trPr>
          <w:trHeight w:val="121"/>
        </w:trPr>
        <w:tc>
          <w:tcPr>
            <w:tcW w:w="3900" w:type="dxa"/>
            <w:vAlign w:val="bottom"/>
            <w:gridSpan w:val="6"/>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Michigan</w:t>
            </w:r>
          </w:p>
        </w:tc>
        <w:tc>
          <w:tcPr>
            <w:tcW w:w="920" w:type="dxa"/>
            <w:vAlign w:val="bottom"/>
            <w:gridSpan w:val="2"/>
            <w:vMerge w:val="restart"/>
            <w:shd w:val="clear" w:color="auto" w:fill="CCEEFF"/>
          </w:tcPr>
          <w:p>
            <w:pPr>
              <w:jc w:val="center"/>
              <w:ind w:left="36"/>
              <w:spacing w:after="0"/>
              <w:rPr>
                <w:sz w:val="20"/>
                <w:szCs w:val="20"/>
                <w:color w:val="auto"/>
              </w:rPr>
            </w:pPr>
            <w:r>
              <w:rPr>
                <w:rFonts w:ascii="Arial" w:cs="Arial" w:eastAsia="Arial" w:hAnsi="Arial"/>
                <w:sz w:val="13"/>
                <w:szCs w:val="13"/>
                <w:color w:val="auto"/>
                <w:w w:val="89"/>
              </w:rPr>
              <w:t>1964</w:t>
            </w:r>
          </w:p>
        </w:tc>
        <w:tc>
          <w:tcPr>
            <w:tcW w:w="920" w:type="dxa"/>
            <w:vAlign w:val="bottom"/>
            <w:gridSpan w:val="2"/>
            <w:vMerge w:val="restart"/>
            <w:shd w:val="clear" w:color="auto" w:fill="CCEEFF"/>
          </w:tcPr>
          <w:p>
            <w:pPr>
              <w:jc w:val="center"/>
              <w:ind w:left="56"/>
              <w:spacing w:after="0"/>
              <w:rPr>
                <w:sz w:val="20"/>
                <w:szCs w:val="20"/>
                <w:color w:val="auto"/>
              </w:rPr>
            </w:pPr>
            <w:r>
              <w:rPr>
                <w:rFonts w:ascii="Arial" w:cs="Arial" w:eastAsia="Arial" w:hAnsi="Arial"/>
                <w:sz w:val="13"/>
                <w:szCs w:val="13"/>
                <w:color w:val="auto"/>
                <w:w w:val="82"/>
              </w:rPr>
              <w:t>1973</w:t>
            </w:r>
          </w:p>
        </w:tc>
        <w:tc>
          <w:tcPr>
            <w:tcW w:w="1260" w:type="dxa"/>
            <w:vAlign w:val="bottom"/>
            <w:gridSpan w:val="2"/>
            <w:vMerge w:val="restart"/>
            <w:shd w:val="clear" w:color="auto" w:fill="CCEEFF"/>
          </w:tcPr>
          <w:p>
            <w:pPr>
              <w:jc w:val="center"/>
              <w:ind w:left="56"/>
              <w:spacing w:after="0"/>
              <w:rPr>
                <w:sz w:val="20"/>
                <w:szCs w:val="20"/>
                <w:color w:val="auto"/>
              </w:rPr>
            </w:pPr>
            <w:r>
              <w:rPr>
                <w:rFonts w:ascii="Arial" w:cs="Arial" w:eastAsia="Arial" w:hAnsi="Arial"/>
                <w:sz w:val="13"/>
                <w:szCs w:val="13"/>
                <w:color w:val="auto"/>
                <w:w w:val="89"/>
              </w:rPr>
              <w:t>217,000</w:t>
            </w:r>
          </w:p>
        </w:tc>
        <w:tc>
          <w:tcPr>
            <w:tcW w:w="1260" w:type="dxa"/>
            <w:vAlign w:val="bottom"/>
            <w:gridSpan w:val="2"/>
            <w:vMerge w:val="restart"/>
            <w:shd w:val="clear" w:color="auto" w:fill="CCEEFF"/>
          </w:tcPr>
          <w:p>
            <w:pPr>
              <w:jc w:val="center"/>
              <w:ind w:left="56"/>
              <w:spacing w:after="0"/>
              <w:rPr>
                <w:sz w:val="20"/>
                <w:szCs w:val="20"/>
                <w:color w:val="auto"/>
              </w:rPr>
            </w:pPr>
            <w:r>
              <w:rPr>
                <w:rFonts w:ascii="Arial" w:cs="Arial" w:eastAsia="Arial" w:hAnsi="Arial"/>
                <w:sz w:val="13"/>
                <w:szCs w:val="13"/>
                <w:color w:val="auto"/>
                <w:w w:val="85"/>
              </w:rPr>
              <w:t>$11.73</w:t>
            </w:r>
          </w:p>
        </w:tc>
        <w:tc>
          <w:tcPr>
            <w:tcW w:w="1000" w:type="dxa"/>
            <w:vAlign w:val="bottom"/>
            <w:gridSpan w:val="2"/>
            <w:vMerge w:val="restart"/>
            <w:shd w:val="clear" w:color="auto" w:fill="CCEEFF"/>
          </w:tcPr>
          <w:p>
            <w:pPr>
              <w:jc w:val="center"/>
              <w:ind w:left="36"/>
              <w:spacing w:after="0"/>
              <w:rPr>
                <w:sz w:val="20"/>
                <w:szCs w:val="20"/>
                <w:color w:val="auto"/>
              </w:rPr>
            </w:pPr>
            <w:r>
              <w:rPr>
                <w:rFonts w:ascii="Arial" w:cs="Arial" w:eastAsia="Arial" w:hAnsi="Arial"/>
                <w:sz w:val="13"/>
                <w:szCs w:val="13"/>
                <w:color w:val="auto"/>
                <w:w w:val="84"/>
              </w:rPr>
              <w:t>99%</w:t>
            </w:r>
          </w:p>
        </w:tc>
        <w:tc>
          <w:tcPr>
            <w:tcW w:w="2160" w:type="dxa"/>
            <w:vAlign w:val="bottom"/>
            <w:gridSpan w:val="2"/>
            <w:vMerge w:val="restart"/>
            <w:shd w:val="clear" w:color="auto" w:fill="CCEEFF"/>
          </w:tcPr>
          <w:p>
            <w:pPr>
              <w:ind w:left="100"/>
              <w:spacing w:after="0"/>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20"/>
        </w:trPr>
        <w:tc>
          <w:tcPr>
            <w:tcW w:w="5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920" w:type="dxa"/>
            <w:vAlign w:val="bottom"/>
            <w:gridSpan w:val="2"/>
            <w:vMerge w:val="continue"/>
            <w:shd w:val="clear" w:color="auto" w:fill="CCEEFF"/>
          </w:tcPr>
          <w:p>
            <w:pPr>
              <w:spacing w:after="0" w:line="20" w:lineRule="exact"/>
              <w:rPr>
                <w:sz w:val="1"/>
                <w:szCs w:val="1"/>
                <w:color w:val="auto"/>
              </w:rPr>
            </w:pPr>
          </w:p>
        </w:tc>
        <w:tc>
          <w:tcPr>
            <w:tcW w:w="920" w:type="dxa"/>
            <w:vAlign w:val="bottom"/>
            <w:gridSpan w:val="2"/>
            <w:vMerge w:val="continue"/>
            <w:shd w:val="clear" w:color="auto" w:fill="CCEEFF"/>
          </w:tcPr>
          <w:p>
            <w:pPr>
              <w:spacing w:after="0" w:line="20" w:lineRule="exact"/>
              <w:rPr>
                <w:sz w:val="1"/>
                <w:szCs w:val="1"/>
                <w:color w:val="auto"/>
              </w:rPr>
            </w:pPr>
          </w:p>
        </w:tc>
        <w:tc>
          <w:tcPr>
            <w:tcW w:w="1260" w:type="dxa"/>
            <w:vAlign w:val="bottom"/>
            <w:gridSpan w:val="2"/>
            <w:vMerge w:val="continue"/>
            <w:shd w:val="clear" w:color="auto" w:fill="CCEEFF"/>
          </w:tcPr>
          <w:p>
            <w:pPr>
              <w:spacing w:after="0" w:line="20" w:lineRule="exact"/>
              <w:rPr>
                <w:sz w:val="1"/>
                <w:szCs w:val="1"/>
                <w:color w:val="auto"/>
              </w:rPr>
            </w:pPr>
          </w:p>
        </w:tc>
        <w:tc>
          <w:tcPr>
            <w:tcW w:w="1260" w:type="dxa"/>
            <w:vAlign w:val="bottom"/>
            <w:gridSpan w:val="2"/>
            <w:vMerge w:val="continue"/>
            <w:shd w:val="clear" w:color="auto" w:fill="CCEEFF"/>
          </w:tcPr>
          <w:p>
            <w:pPr>
              <w:spacing w:after="0" w:line="20" w:lineRule="exact"/>
              <w:rPr>
                <w:sz w:val="1"/>
                <w:szCs w:val="1"/>
                <w:color w:val="auto"/>
              </w:rPr>
            </w:pPr>
          </w:p>
        </w:tc>
        <w:tc>
          <w:tcPr>
            <w:tcW w:w="1000" w:type="dxa"/>
            <w:vAlign w:val="bottom"/>
            <w:gridSpan w:val="2"/>
            <w:vMerge w:val="continue"/>
            <w:shd w:val="clear" w:color="auto" w:fill="CCEEFF"/>
          </w:tcPr>
          <w:p>
            <w:pPr>
              <w:spacing w:after="0" w:line="20" w:lineRule="exact"/>
              <w:rPr>
                <w:sz w:val="1"/>
                <w:szCs w:val="1"/>
                <w:color w:val="auto"/>
              </w:rPr>
            </w:pPr>
          </w:p>
        </w:tc>
        <w:tc>
          <w:tcPr>
            <w:tcW w:w="216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900" w:type="dxa"/>
            <w:vAlign w:val="bottom"/>
            <w:gridSpan w:val="6"/>
            <w:shd w:val="clear" w:color="auto" w:fill="CCEEFF"/>
          </w:tcPr>
          <w:p>
            <w:pPr>
              <w:spacing w:after="0" w:line="126" w:lineRule="exact"/>
              <w:rPr>
                <w:sz w:val="20"/>
                <w:szCs w:val="20"/>
                <w:color w:val="auto"/>
              </w:rPr>
            </w:pPr>
            <w:r>
              <w:rPr>
                <w:rFonts w:ascii="Arial" w:cs="Arial" w:eastAsia="Arial" w:hAnsi="Arial"/>
                <w:sz w:val="13"/>
                <w:szCs w:val="13"/>
                <w:color w:val="auto"/>
              </w:rPr>
              <w:t>Gratiot Plaza</w:t>
            </w:r>
          </w:p>
        </w:tc>
        <w:tc>
          <w:tcPr>
            <w:tcW w:w="920" w:type="dxa"/>
            <w:vAlign w:val="bottom"/>
            <w:gridSpan w:val="2"/>
            <w:vMerge w:val="continue"/>
            <w:shd w:val="clear" w:color="auto" w:fill="CCEEFF"/>
          </w:tcPr>
          <w:p>
            <w:pPr>
              <w:spacing w:after="0"/>
              <w:rPr>
                <w:sz w:val="10"/>
                <w:szCs w:val="10"/>
                <w:color w:val="auto"/>
              </w:rPr>
            </w:pPr>
          </w:p>
        </w:tc>
        <w:tc>
          <w:tcPr>
            <w:tcW w:w="92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21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00" w:type="dxa"/>
            <w:vAlign w:val="bottom"/>
            <w:gridSpan w:val="6"/>
            <w:shd w:val="clear" w:color="auto" w:fill="CCEEFF"/>
          </w:tcPr>
          <w:p>
            <w:pPr>
              <w:ind w:left="140"/>
              <w:spacing w:after="0" w:line="141" w:lineRule="exact"/>
              <w:rPr>
                <w:sz w:val="20"/>
                <w:szCs w:val="20"/>
                <w:color w:val="auto"/>
              </w:rPr>
            </w:pPr>
            <w:r>
              <w:rPr>
                <w:rFonts w:ascii="Arial" w:cs="Arial" w:eastAsia="Arial" w:hAnsi="Arial"/>
                <w:sz w:val="13"/>
                <w:szCs w:val="13"/>
                <w:color w:val="auto"/>
              </w:rPr>
              <w:t>Roseville, MI 48066</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Beyond</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Best Buy</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Kroger</w:t>
            </w:r>
          </w:p>
        </w:tc>
        <w:tc>
          <w:tcPr>
            <w:tcW w:w="0" w:type="dxa"/>
            <w:vAlign w:val="bottom"/>
          </w:tcPr>
          <w:p>
            <w:pPr>
              <w:spacing w:after="0"/>
              <w:rPr>
                <w:sz w:val="1"/>
                <w:szCs w:val="1"/>
                <w:color w:val="auto"/>
              </w:rPr>
            </w:pPr>
          </w:p>
        </w:tc>
      </w:tr>
      <w:tr>
        <w:trPr>
          <w:trHeight w:val="163"/>
        </w:trPr>
        <w:tc>
          <w:tcPr>
            <w:tcW w:w="5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28"/>
        </w:trPr>
        <w:tc>
          <w:tcPr>
            <w:tcW w:w="390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North Carolina</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840" w:type="dxa"/>
            <w:vAlign w:val="bottom"/>
            <w:tcBorders>
              <w:top w:val="single" w:sz="8" w:color="auto"/>
            </w:tcBorders>
            <w:gridSpan w:val="4"/>
            <w:shd w:val="clear" w:color="auto" w:fill="CCEEFF"/>
          </w:tcPr>
          <w:p>
            <w:pPr>
              <w:spacing w:after="0" w:line="126" w:lineRule="exact"/>
              <w:rPr>
                <w:sz w:val="20"/>
                <w:szCs w:val="20"/>
                <w:color w:val="auto"/>
              </w:rPr>
            </w:pPr>
            <w:r>
              <w:rPr>
                <w:rFonts w:ascii="Arial" w:cs="Arial" w:eastAsia="Arial" w:hAnsi="Arial"/>
                <w:sz w:val="13"/>
                <w:szCs w:val="13"/>
                <w:color w:val="auto"/>
              </w:rPr>
              <w:t>Eastgate</w:t>
            </w:r>
          </w:p>
        </w:tc>
        <w:tc>
          <w:tcPr>
            <w:tcW w:w="3060" w:type="dxa"/>
            <w:vAlign w:val="bottom"/>
            <w:gridSpan w:val="2"/>
            <w:shd w:val="clear" w:color="auto" w:fill="CCEEFF"/>
          </w:tcPr>
          <w:p>
            <w:pPr>
              <w:spacing w:after="0"/>
              <w:rPr>
                <w:sz w:val="10"/>
                <w:szCs w:val="10"/>
                <w:color w:val="auto"/>
              </w:rPr>
            </w:pPr>
          </w:p>
        </w:tc>
        <w:tc>
          <w:tcPr>
            <w:tcW w:w="92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9"/>
              </w:rPr>
              <w:t>1963</w:t>
            </w:r>
          </w:p>
        </w:tc>
        <w:tc>
          <w:tcPr>
            <w:tcW w:w="92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2"/>
              </w:rPr>
              <w:t>1986</w:t>
            </w:r>
          </w:p>
        </w:tc>
        <w:tc>
          <w:tcPr>
            <w:tcW w:w="126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9"/>
              </w:rPr>
              <w:t>153,000</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$20.68</w:t>
            </w:r>
          </w:p>
        </w:tc>
        <w:tc>
          <w:tcPr>
            <w:tcW w:w="100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63"/>
        </w:trPr>
        <w:tc>
          <w:tcPr>
            <w:tcW w:w="390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Chapel Hill, NC 27514</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28"/>
        </w:trPr>
        <w:tc>
          <w:tcPr>
            <w:tcW w:w="3900" w:type="dxa"/>
            <w:vAlign w:val="bottom"/>
            <w:gridSpan w:val="6"/>
          </w:tcPr>
          <w:p>
            <w:pPr>
              <w:spacing w:after="0" w:line="129" w:lineRule="exact"/>
              <w:rPr>
                <w:sz w:val="20"/>
                <w:szCs w:val="20"/>
                <w:color w:val="auto"/>
              </w:rPr>
            </w:pPr>
            <w:r>
              <w:rPr>
                <w:rFonts w:ascii="Arial" w:cs="Arial" w:eastAsia="Arial" w:hAnsi="Arial"/>
                <w:sz w:val="13"/>
                <w:szCs w:val="13"/>
                <w:b w:val="1"/>
                <w:bCs w:val="1"/>
                <w:color w:val="auto"/>
              </w:rPr>
              <w:t>New Jersey</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0" w:type="dxa"/>
            <w:vAlign w:val="bottom"/>
            <w:tcBorders>
              <w:top w:val="single" w:sz="8" w:color="auto"/>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w w:val="92"/>
              </w:rPr>
              <w:t>Brick Plaza</w:t>
            </w:r>
          </w:p>
        </w:tc>
        <w:tc>
          <w:tcPr>
            <w:tcW w:w="3280" w:type="dxa"/>
            <w:vAlign w:val="bottom"/>
            <w:gridSpan w:val="4"/>
            <w:shd w:val="clear" w:color="auto" w:fill="CCEEFF"/>
          </w:tcPr>
          <w:p>
            <w:pPr>
              <w:spacing w:after="0"/>
              <w:rPr>
                <w:sz w:val="10"/>
                <w:szCs w:val="10"/>
                <w:color w:val="auto"/>
              </w:rPr>
            </w:pPr>
          </w:p>
        </w:tc>
        <w:tc>
          <w:tcPr>
            <w:tcW w:w="92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9"/>
              </w:rPr>
              <w:t>1958</w:t>
            </w:r>
          </w:p>
        </w:tc>
        <w:tc>
          <w:tcPr>
            <w:tcW w:w="92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2"/>
              </w:rPr>
              <w:t>1989</w:t>
            </w:r>
          </w:p>
        </w:tc>
        <w:tc>
          <w:tcPr>
            <w:tcW w:w="1260" w:type="dxa"/>
            <w:vAlign w:val="bottom"/>
            <w:gridSpan w:val="2"/>
            <w:shd w:val="clear" w:color="auto" w:fill="CCEEFF"/>
          </w:tcPr>
          <w:p>
            <w:pPr>
              <w:jc w:val="center"/>
              <w:ind w:left="56"/>
              <w:spacing w:after="0" w:line="126" w:lineRule="exact"/>
              <w:rPr>
                <w:sz w:val="20"/>
                <w:szCs w:val="20"/>
                <w:color w:val="auto"/>
              </w:rPr>
            </w:pPr>
            <w:r>
              <w:rPr>
                <w:rFonts w:ascii="Arial" w:cs="Arial" w:eastAsia="Arial" w:hAnsi="Arial"/>
                <w:sz w:val="13"/>
                <w:szCs w:val="13"/>
                <w:color w:val="auto"/>
                <w:w w:val="89"/>
              </w:rPr>
              <w:t>409,000</w:t>
            </w:r>
          </w:p>
        </w:tc>
        <w:tc>
          <w:tcPr>
            <w:tcW w:w="126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90"/>
              </w:rPr>
              <w:t>$15.05</w:t>
            </w:r>
          </w:p>
        </w:tc>
        <w:tc>
          <w:tcPr>
            <w:tcW w:w="1000" w:type="dxa"/>
            <w:vAlign w:val="bottom"/>
            <w:gridSpan w:val="2"/>
            <w:shd w:val="clear" w:color="auto" w:fill="CCEEFF"/>
          </w:tcPr>
          <w:p>
            <w:pPr>
              <w:jc w:val="center"/>
              <w:ind w:left="36"/>
              <w:spacing w:after="0" w:line="126" w:lineRule="exact"/>
              <w:rPr>
                <w:sz w:val="20"/>
                <w:szCs w:val="20"/>
                <w:color w:val="auto"/>
              </w:rPr>
            </w:pPr>
            <w:r>
              <w:rPr>
                <w:rFonts w:ascii="Arial" w:cs="Arial" w:eastAsia="Arial" w:hAnsi="Arial"/>
                <w:sz w:val="13"/>
                <w:szCs w:val="13"/>
                <w:color w:val="auto"/>
                <w:w w:val="84"/>
              </w:rPr>
              <w:t>95%</w:t>
            </w:r>
          </w:p>
        </w:tc>
        <w:tc>
          <w:tcPr>
            <w:tcW w:w="216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3"/>
                <w:szCs w:val="13"/>
                <w:color w:val="auto"/>
              </w:rPr>
              <w:t>A&amp;P Supermarket</w:t>
            </w:r>
          </w:p>
        </w:tc>
        <w:tc>
          <w:tcPr>
            <w:tcW w:w="0" w:type="dxa"/>
            <w:vAlign w:val="bottom"/>
          </w:tcPr>
          <w:p>
            <w:pPr>
              <w:spacing w:after="0"/>
              <w:rPr>
                <w:sz w:val="1"/>
                <w:szCs w:val="1"/>
                <w:color w:val="auto"/>
              </w:rPr>
            </w:pPr>
          </w:p>
        </w:tc>
      </w:tr>
      <w:tr>
        <w:trPr>
          <w:trHeight w:val="141"/>
        </w:trPr>
        <w:tc>
          <w:tcPr>
            <w:tcW w:w="3900" w:type="dxa"/>
            <w:vAlign w:val="bottom"/>
            <w:gridSpan w:val="6"/>
            <w:shd w:val="clear" w:color="auto" w:fill="CCEEFF"/>
          </w:tcPr>
          <w:p>
            <w:pPr>
              <w:ind w:left="140"/>
              <w:spacing w:after="0" w:line="141" w:lineRule="exact"/>
              <w:rPr>
                <w:sz w:val="20"/>
                <w:szCs w:val="20"/>
                <w:color w:val="auto"/>
              </w:rPr>
            </w:pPr>
            <w:r>
              <w:rPr>
                <w:rFonts w:ascii="Arial" w:cs="Arial" w:eastAsia="Arial" w:hAnsi="Arial"/>
                <w:sz w:val="13"/>
                <w:szCs w:val="13"/>
                <w:color w:val="auto"/>
              </w:rPr>
              <w:t>Brick Township, NJ 08723(3)(12)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AMC Loews</w:t>
            </w:r>
          </w:p>
        </w:tc>
        <w:tc>
          <w:tcPr>
            <w:tcW w:w="0" w:type="dxa"/>
            <w:vAlign w:val="bottom"/>
          </w:tcPr>
          <w:p>
            <w:pPr>
              <w:spacing w:after="0"/>
              <w:rPr>
                <w:sz w:val="1"/>
                <w:szCs w:val="1"/>
                <w:color w:val="auto"/>
              </w:rPr>
            </w:pPr>
          </w:p>
        </w:tc>
      </w:tr>
      <w:tr>
        <w:trPr>
          <w:trHeight w:val="163"/>
        </w:trPr>
        <w:tc>
          <w:tcPr>
            <w:tcW w:w="5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32"/>
        </w:trPr>
        <w:tc>
          <w:tcPr>
            <w:tcW w:w="3900" w:type="dxa"/>
            <w:vAlign w:val="bottom"/>
            <w:gridSpan w:val="6"/>
          </w:tcPr>
          <w:p>
            <w:pPr>
              <w:spacing w:after="0" w:line="133" w:lineRule="exact"/>
              <w:rPr>
                <w:sz w:val="20"/>
                <w:szCs w:val="20"/>
                <w:color w:val="auto"/>
              </w:rPr>
            </w:pPr>
            <w:r>
              <w:rPr>
                <w:rFonts w:ascii="Arial" w:cs="Arial" w:eastAsia="Arial" w:hAnsi="Arial"/>
                <w:sz w:val="13"/>
                <w:szCs w:val="13"/>
                <w:color w:val="auto"/>
              </w:rPr>
              <w:t>Ellisburg Circle</w:t>
            </w:r>
          </w:p>
        </w:tc>
        <w:tc>
          <w:tcPr>
            <w:tcW w:w="92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1959</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1992</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267,000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$14.83</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Genuardi’s</w:t>
            </w:r>
          </w:p>
        </w:tc>
        <w:tc>
          <w:tcPr>
            <w:tcW w:w="0" w:type="dxa"/>
            <w:vAlign w:val="bottom"/>
          </w:tcPr>
          <w:p>
            <w:pPr>
              <w:spacing w:after="0"/>
              <w:rPr>
                <w:sz w:val="1"/>
                <w:szCs w:val="1"/>
                <w:color w:val="auto"/>
              </w:rPr>
            </w:pPr>
          </w:p>
        </w:tc>
      </w:tr>
      <w:tr>
        <w:trPr>
          <w:trHeight w:val="141"/>
        </w:trPr>
        <w:tc>
          <w:tcPr>
            <w:tcW w:w="39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Cherry Hill, NJ 08034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33"/>
        </w:trPr>
        <w:tc>
          <w:tcPr>
            <w:tcW w:w="390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Mercer Mall</w:t>
            </w:r>
          </w:p>
        </w:tc>
        <w:tc>
          <w:tcPr>
            <w:tcW w:w="92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1975</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2003</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500,000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$20.30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Raymour &amp;</w:t>
            </w:r>
          </w:p>
        </w:tc>
        <w:tc>
          <w:tcPr>
            <w:tcW w:w="0" w:type="dxa"/>
            <w:vAlign w:val="bottom"/>
          </w:tcPr>
          <w:p>
            <w:pPr>
              <w:spacing w:after="0"/>
              <w:rPr>
                <w:sz w:val="1"/>
                <w:szCs w:val="1"/>
                <w:color w:val="auto"/>
              </w:rPr>
            </w:pPr>
          </w:p>
        </w:tc>
      </w:tr>
      <w:tr>
        <w:trPr>
          <w:trHeight w:val="141"/>
        </w:trPr>
        <w:tc>
          <w:tcPr>
            <w:tcW w:w="3900" w:type="dxa"/>
            <w:vAlign w:val="bottom"/>
            <w:gridSpan w:val="6"/>
            <w:shd w:val="clear" w:color="auto" w:fill="CCEEFF"/>
          </w:tcPr>
          <w:p>
            <w:pPr>
              <w:ind w:left="140"/>
              <w:spacing w:after="0" w:line="141" w:lineRule="exact"/>
              <w:rPr>
                <w:sz w:val="20"/>
                <w:szCs w:val="20"/>
                <w:color w:val="auto"/>
              </w:rPr>
            </w:pPr>
            <w:r>
              <w:rPr>
                <w:rFonts w:ascii="Arial" w:cs="Arial" w:eastAsia="Arial" w:hAnsi="Arial"/>
                <w:sz w:val="13"/>
                <w:szCs w:val="13"/>
                <w:color w:val="auto"/>
              </w:rPr>
              <w:t>Lawrenceville, NJ 08648(3)(7)</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Flanigan</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Beyond</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41"/>
        </w:trPr>
        <w:tc>
          <w:tcPr>
            <w:tcW w:w="5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63"/>
        </w:trPr>
        <w:tc>
          <w:tcPr>
            <w:tcW w:w="5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Shop Rite</w:t>
            </w:r>
          </w:p>
        </w:tc>
        <w:tc>
          <w:tcPr>
            <w:tcW w:w="0" w:type="dxa"/>
            <w:vAlign w:val="bottom"/>
          </w:tcPr>
          <w:p>
            <w:pPr>
              <w:spacing w:after="0"/>
              <w:rPr>
                <w:sz w:val="1"/>
                <w:szCs w:val="1"/>
                <w:color w:val="auto"/>
              </w:rPr>
            </w:pPr>
          </w:p>
        </w:tc>
      </w:tr>
      <w:tr>
        <w:trPr>
          <w:trHeight w:val="132"/>
        </w:trPr>
        <w:tc>
          <w:tcPr>
            <w:tcW w:w="3900" w:type="dxa"/>
            <w:vAlign w:val="bottom"/>
            <w:gridSpan w:val="6"/>
          </w:tcPr>
          <w:p>
            <w:pPr>
              <w:spacing w:after="0" w:line="133" w:lineRule="exact"/>
              <w:rPr>
                <w:sz w:val="20"/>
                <w:szCs w:val="20"/>
                <w:color w:val="auto"/>
              </w:rPr>
            </w:pPr>
            <w:r>
              <w:rPr>
                <w:rFonts w:ascii="Arial" w:cs="Arial" w:eastAsia="Arial" w:hAnsi="Arial"/>
                <w:sz w:val="13"/>
                <w:szCs w:val="13"/>
                <w:color w:val="auto"/>
              </w:rPr>
              <w:t>Troy</w:t>
            </w:r>
          </w:p>
        </w:tc>
        <w:tc>
          <w:tcPr>
            <w:tcW w:w="92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1966</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1980</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207,000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$20.24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Pathmark</w:t>
            </w:r>
          </w:p>
        </w:tc>
        <w:tc>
          <w:tcPr>
            <w:tcW w:w="0" w:type="dxa"/>
            <w:vAlign w:val="bottom"/>
          </w:tcPr>
          <w:p>
            <w:pPr>
              <w:spacing w:after="0"/>
              <w:rPr>
                <w:sz w:val="1"/>
                <w:szCs w:val="1"/>
                <w:color w:val="auto"/>
              </w:rPr>
            </w:pPr>
          </w:p>
        </w:tc>
      </w:tr>
      <w:tr>
        <w:trPr>
          <w:trHeight w:val="163"/>
        </w:trPr>
        <w:tc>
          <w:tcPr>
            <w:tcW w:w="3900" w:type="dxa"/>
            <w:vAlign w:val="bottom"/>
            <w:gridSpan w:val="6"/>
          </w:tcPr>
          <w:p>
            <w:pPr>
              <w:ind w:left="140"/>
              <w:spacing w:after="0"/>
              <w:rPr>
                <w:sz w:val="20"/>
                <w:szCs w:val="20"/>
                <w:color w:val="auto"/>
              </w:rPr>
            </w:pPr>
            <w:r>
              <w:rPr>
                <w:rFonts w:ascii="Arial" w:cs="Arial" w:eastAsia="Arial" w:hAnsi="Arial"/>
                <w:sz w:val="13"/>
                <w:szCs w:val="13"/>
                <w:color w:val="auto"/>
              </w:rPr>
              <w:t>Parsippany-Troy, NJ 07054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29"/>
        </w:trPr>
        <w:tc>
          <w:tcPr>
            <w:tcW w:w="3900" w:type="dxa"/>
            <w:vAlign w:val="bottom"/>
            <w:gridSpan w:val="6"/>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New York</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900" w:type="dxa"/>
            <w:vAlign w:val="bottom"/>
            <w:gridSpan w:val="6"/>
          </w:tcPr>
          <w:p>
            <w:pPr>
              <w:spacing w:after="0" w:line="126" w:lineRule="exact"/>
              <w:rPr>
                <w:sz w:val="20"/>
                <w:szCs w:val="20"/>
                <w:color w:val="auto"/>
              </w:rPr>
            </w:pPr>
            <w:r>
              <w:rPr>
                <w:rFonts w:ascii="Arial" w:cs="Arial" w:eastAsia="Arial" w:hAnsi="Arial"/>
                <w:sz w:val="13"/>
                <w:szCs w:val="13"/>
                <w:color w:val="auto"/>
              </w:rPr>
              <w:t>Forest Hills</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90"/>
              </w:rPr>
              <w:t>1937-1987</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2"/>
              </w:rPr>
              <w:t>1997</w:t>
            </w:r>
          </w:p>
        </w:tc>
        <w:tc>
          <w:tcPr>
            <w:tcW w:w="1260" w:type="dxa"/>
            <w:vAlign w:val="bottom"/>
            <w:gridSpan w:val="2"/>
          </w:tcPr>
          <w:p>
            <w:pPr>
              <w:jc w:val="center"/>
              <w:ind w:left="76"/>
              <w:spacing w:after="0" w:line="126" w:lineRule="exact"/>
              <w:rPr>
                <w:sz w:val="20"/>
                <w:szCs w:val="20"/>
                <w:color w:val="auto"/>
              </w:rPr>
            </w:pPr>
            <w:r>
              <w:rPr>
                <w:rFonts w:ascii="Arial" w:cs="Arial" w:eastAsia="Arial" w:hAnsi="Arial"/>
                <w:sz w:val="13"/>
                <w:szCs w:val="13"/>
                <w:color w:val="auto"/>
                <w:w w:val="90"/>
              </w:rPr>
              <w:t>46,000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$20.04</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96%</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Midway Theatre</w:t>
            </w:r>
          </w:p>
        </w:tc>
        <w:tc>
          <w:tcPr>
            <w:tcW w:w="0" w:type="dxa"/>
            <w:vAlign w:val="bottom"/>
          </w:tcPr>
          <w:p>
            <w:pPr>
              <w:spacing w:after="0"/>
              <w:rPr>
                <w:sz w:val="1"/>
                <w:szCs w:val="1"/>
                <w:color w:val="auto"/>
              </w:rPr>
            </w:pPr>
          </w:p>
        </w:tc>
      </w:tr>
      <w:tr>
        <w:trPr>
          <w:trHeight w:val="163"/>
        </w:trPr>
        <w:tc>
          <w:tcPr>
            <w:tcW w:w="3900" w:type="dxa"/>
            <w:vAlign w:val="bottom"/>
            <w:gridSpan w:val="6"/>
          </w:tcPr>
          <w:p>
            <w:pPr>
              <w:ind w:left="140"/>
              <w:spacing w:after="0"/>
              <w:rPr>
                <w:sz w:val="20"/>
                <w:szCs w:val="20"/>
                <w:color w:val="auto"/>
              </w:rPr>
            </w:pPr>
            <w:r>
              <w:rPr>
                <w:rFonts w:ascii="Arial" w:cs="Arial" w:eastAsia="Arial" w:hAnsi="Arial"/>
                <w:sz w:val="13"/>
                <w:szCs w:val="13"/>
                <w:color w:val="auto"/>
              </w:rPr>
              <w:t>Forest Hills, NY</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Fresh Meadows</w:t>
            </w:r>
          </w:p>
        </w:tc>
        <w:tc>
          <w:tcPr>
            <w:tcW w:w="92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1949</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1997</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405,000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$25.16</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98%</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AMC Loews</w:t>
            </w:r>
          </w:p>
        </w:tc>
        <w:tc>
          <w:tcPr>
            <w:tcW w:w="0" w:type="dxa"/>
            <w:vAlign w:val="bottom"/>
          </w:tcPr>
          <w:p>
            <w:pPr>
              <w:spacing w:after="0"/>
              <w:rPr>
                <w:sz w:val="1"/>
                <w:szCs w:val="1"/>
                <w:color w:val="auto"/>
              </w:rPr>
            </w:pPr>
          </w:p>
        </w:tc>
      </w:tr>
      <w:tr>
        <w:trPr>
          <w:trHeight w:val="163"/>
        </w:trPr>
        <w:tc>
          <w:tcPr>
            <w:tcW w:w="390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Queens, NY 11365</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Kohl’s</w:t>
            </w:r>
          </w:p>
        </w:tc>
        <w:tc>
          <w:tcPr>
            <w:tcW w:w="0" w:type="dxa"/>
            <w:vAlign w:val="bottom"/>
          </w:tcPr>
          <w:p>
            <w:pPr>
              <w:spacing w:after="0"/>
              <w:rPr>
                <w:sz w:val="1"/>
                <w:szCs w:val="1"/>
                <w:color w:val="auto"/>
              </w:rPr>
            </w:pPr>
          </w:p>
        </w:tc>
      </w:tr>
      <w:tr>
        <w:trPr>
          <w:trHeight w:val="132"/>
        </w:trPr>
        <w:tc>
          <w:tcPr>
            <w:tcW w:w="3900" w:type="dxa"/>
            <w:vAlign w:val="bottom"/>
            <w:gridSpan w:val="6"/>
          </w:tcPr>
          <w:p>
            <w:pPr>
              <w:spacing w:after="0" w:line="133" w:lineRule="exact"/>
              <w:rPr>
                <w:sz w:val="20"/>
                <w:szCs w:val="20"/>
                <w:color w:val="auto"/>
              </w:rPr>
            </w:pPr>
            <w:r>
              <w:rPr>
                <w:rFonts w:ascii="Arial" w:cs="Arial" w:eastAsia="Arial" w:hAnsi="Arial"/>
                <w:sz w:val="13"/>
                <w:szCs w:val="13"/>
                <w:color w:val="auto"/>
              </w:rPr>
              <w:t>Greenlawn Plaza</w:t>
            </w:r>
          </w:p>
        </w:tc>
        <w:tc>
          <w:tcPr>
            <w:tcW w:w="92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1975, 2004</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2006</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106,000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$16.00</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Waldbaum’s</w:t>
            </w:r>
          </w:p>
        </w:tc>
        <w:tc>
          <w:tcPr>
            <w:tcW w:w="0" w:type="dxa"/>
            <w:vAlign w:val="bottom"/>
          </w:tcPr>
          <w:p>
            <w:pPr>
              <w:spacing w:after="0"/>
              <w:rPr>
                <w:sz w:val="1"/>
                <w:szCs w:val="1"/>
                <w:color w:val="auto"/>
              </w:rPr>
            </w:pPr>
          </w:p>
        </w:tc>
      </w:tr>
      <w:tr>
        <w:trPr>
          <w:trHeight w:val="163"/>
        </w:trPr>
        <w:tc>
          <w:tcPr>
            <w:tcW w:w="3900" w:type="dxa"/>
            <w:vAlign w:val="bottom"/>
            <w:gridSpan w:val="6"/>
          </w:tcPr>
          <w:p>
            <w:pPr>
              <w:ind w:left="140"/>
              <w:spacing w:after="0"/>
              <w:rPr>
                <w:sz w:val="20"/>
                <w:szCs w:val="20"/>
                <w:color w:val="auto"/>
              </w:rPr>
            </w:pPr>
            <w:r>
              <w:rPr>
                <w:rFonts w:ascii="Arial" w:cs="Arial" w:eastAsia="Arial" w:hAnsi="Arial"/>
                <w:sz w:val="13"/>
                <w:szCs w:val="13"/>
                <w:color w:val="auto"/>
              </w:rPr>
              <w:t>Greenlawn, NY 11743(10)(12)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Tuesday Morning</w:t>
            </w:r>
          </w:p>
        </w:tc>
        <w:tc>
          <w:tcPr>
            <w:tcW w:w="0" w:type="dxa"/>
            <w:vAlign w:val="bottom"/>
          </w:tcPr>
          <w:p>
            <w:pPr>
              <w:spacing w:after="0"/>
              <w:rPr>
                <w:sz w:val="1"/>
                <w:szCs w:val="1"/>
                <w:color w:val="auto"/>
              </w:rPr>
            </w:pPr>
          </w:p>
        </w:tc>
      </w:tr>
      <w:tr>
        <w:trPr>
          <w:trHeight w:val="133"/>
        </w:trPr>
        <w:tc>
          <w:tcPr>
            <w:tcW w:w="390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Hauppauge</w:t>
            </w:r>
          </w:p>
        </w:tc>
        <w:tc>
          <w:tcPr>
            <w:tcW w:w="92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1963</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1998</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133,000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$24.39</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Shop Rite</w:t>
            </w:r>
          </w:p>
        </w:tc>
        <w:tc>
          <w:tcPr>
            <w:tcW w:w="0" w:type="dxa"/>
            <w:vAlign w:val="bottom"/>
          </w:tcPr>
          <w:p>
            <w:pPr>
              <w:spacing w:after="0"/>
              <w:rPr>
                <w:sz w:val="1"/>
                <w:szCs w:val="1"/>
                <w:color w:val="auto"/>
              </w:rPr>
            </w:pPr>
          </w:p>
        </w:tc>
      </w:tr>
      <w:tr>
        <w:trPr>
          <w:trHeight w:val="163"/>
        </w:trPr>
        <w:tc>
          <w:tcPr>
            <w:tcW w:w="390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Hauppauge, NY 11788(12)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A.C. Moore</w:t>
            </w:r>
          </w:p>
        </w:tc>
        <w:tc>
          <w:tcPr>
            <w:tcW w:w="0" w:type="dxa"/>
            <w:vAlign w:val="bottom"/>
          </w:tcPr>
          <w:p>
            <w:pPr>
              <w:spacing w:after="0"/>
              <w:rPr>
                <w:sz w:val="1"/>
                <w:szCs w:val="1"/>
                <w:color w:val="auto"/>
              </w:rPr>
            </w:pPr>
          </w:p>
        </w:tc>
      </w:tr>
      <w:tr>
        <w:trPr>
          <w:trHeight w:val="132"/>
        </w:trPr>
        <w:tc>
          <w:tcPr>
            <w:tcW w:w="3900" w:type="dxa"/>
            <w:vAlign w:val="bottom"/>
            <w:gridSpan w:val="6"/>
          </w:tcPr>
          <w:p>
            <w:pPr>
              <w:spacing w:after="0" w:line="133" w:lineRule="exact"/>
              <w:rPr>
                <w:sz w:val="20"/>
                <w:szCs w:val="20"/>
                <w:color w:val="auto"/>
              </w:rPr>
            </w:pPr>
            <w:r>
              <w:rPr>
                <w:rFonts w:ascii="Arial" w:cs="Arial" w:eastAsia="Arial" w:hAnsi="Arial"/>
                <w:sz w:val="13"/>
                <w:szCs w:val="13"/>
                <w:color w:val="auto"/>
              </w:rPr>
              <w:t>Huntington</w:t>
            </w:r>
          </w:p>
        </w:tc>
        <w:tc>
          <w:tcPr>
            <w:tcW w:w="92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1962</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91"/>
              </w:rPr>
              <w:t>1988/2007</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292,000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$20.94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41"/>
        </w:trPr>
        <w:tc>
          <w:tcPr>
            <w:tcW w:w="39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Huntington, NY 11746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Bed, Bath &amp;</w:t>
            </w: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Beyond</w:t>
            </w: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Michaels</w:t>
            </w:r>
          </w:p>
        </w:tc>
        <w:tc>
          <w:tcPr>
            <w:tcW w:w="0" w:type="dxa"/>
            <w:vAlign w:val="bottom"/>
          </w:tcPr>
          <w:p>
            <w:pPr>
              <w:spacing w:after="0"/>
              <w:rPr>
                <w:sz w:val="1"/>
                <w:szCs w:val="1"/>
                <w:color w:val="auto"/>
              </w:rPr>
            </w:pPr>
          </w:p>
        </w:tc>
      </w:tr>
      <w:tr>
        <w:trPr>
          <w:trHeight w:val="133"/>
        </w:trPr>
        <w:tc>
          <w:tcPr>
            <w:tcW w:w="390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Huntington Square</w:t>
            </w:r>
          </w:p>
        </w:tc>
        <w:tc>
          <w:tcPr>
            <w:tcW w:w="92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1980, 2007</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2010</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74,000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$24.98</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89%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63"/>
        </w:trPr>
        <w:tc>
          <w:tcPr>
            <w:tcW w:w="3900" w:type="dxa"/>
            <w:vAlign w:val="bottom"/>
            <w:gridSpan w:val="6"/>
            <w:shd w:val="clear" w:color="auto" w:fill="CCEEFF"/>
          </w:tcPr>
          <w:p>
            <w:pPr>
              <w:ind w:left="140"/>
              <w:spacing w:after="0"/>
              <w:rPr>
                <w:sz w:val="20"/>
                <w:szCs w:val="20"/>
                <w:color w:val="auto"/>
              </w:rPr>
            </w:pPr>
            <w:r>
              <w:rPr>
                <w:rFonts w:ascii="Arial" w:cs="Arial" w:eastAsia="Arial" w:hAnsi="Arial"/>
                <w:sz w:val="13"/>
                <w:szCs w:val="13"/>
                <w:color w:val="auto"/>
              </w:rPr>
              <w:t>East Northport, NY 11731(3)</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900" w:type="dxa"/>
            <w:vAlign w:val="bottom"/>
            <w:gridSpan w:val="6"/>
          </w:tcPr>
          <w:p>
            <w:pPr>
              <w:spacing w:after="0" w:line="133" w:lineRule="exact"/>
              <w:rPr>
                <w:sz w:val="20"/>
                <w:szCs w:val="20"/>
                <w:color w:val="auto"/>
              </w:rPr>
            </w:pPr>
            <w:r>
              <w:rPr>
                <w:rFonts w:ascii="Arial" w:cs="Arial" w:eastAsia="Arial" w:hAnsi="Arial"/>
                <w:sz w:val="13"/>
                <w:szCs w:val="13"/>
                <w:color w:val="auto"/>
              </w:rPr>
              <w:t>Melville Mall</w:t>
            </w:r>
          </w:p>
        </w:tc>
        <w:tc>
          <w:tcPr>
            <w:tcW w:w="92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1974</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2006</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248,000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$17.98</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Waldbaum’s</w:t>
            </w:r>
          </w:p>
        </w:tc>
        <w:tc>
          <w:tcPr>
            <w:tcW w:w="0" w:type="dxa"/>
            <w:vAlign w:val="bottom"/>
          </w:tcPr>
          <w:p>
            <w:pPr>
              <w:spacing w:after="0"/>
              <w:rPr>
                <w:sz w:val="1"/>
                <w:szCs w:val="1"/>
                <w:color w:val="auto"/>
              </w:rPr>
            </w:pPr>
          </w:p>
        </w:tc>
      </w:tr>
      <w:tr>
        <w:trPr>
          <w:trHeight w:val="141"/>
        </w:trPr>
        <w:tc>
          <w:tcPr>
            <w:tcW w:w="39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Huntington, NY 11747(11)(12)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Kohl’s</w:t>
            </w:r>
          </w:p>
        </w:tc>
        <w:tc>
          <w:tcPr>
            <w:tcW w:w="0" w:type="dxa"/>
            <w:vAlign w:val="bottom"/>
          </w:tcPr>
          <w:p>
            <w:pPr>
              <w:spacing w:after="0"/>
              <w:rPr>
                <w:sz w:val="1"/>
                <w:szCs w:val="1"/>
                <w:color w:val="auto"/>
              </w:rPr>
            </w:pPr>
          </w:p>
        </w:tc>
      </w:tr>
      <w:tr>
        <w:trPr>
          <w:trHeight w:val="129"/>
        </w:trPr>
        <w:tc>
          <w:tcPr>
            <w:tcW w:w="740" w:type="dxa"/>
            <w:vAlign w:val="bottom"/>
            <w:tcBorders>
              <w:bottom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6"/>
              </w:rPr>
              <w:t>Pennsylvania</w:t>
            </w:r>
          </w:p>
        </w:tc>
        <w:tc>
          <w:tcPr>
            <w:tcW w:w="3160" w:type="dxa"/>
            <w:vAlign w:val="bottom"/>
            <w:tcBorders>
              <w:bottom w:val="single" w:sz="8" w:color="CCEEFF"/>
            </w:tcBorders>
            <w:gridSpan w:val="3"/>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900" w:type="dxa"/>
            <w:vAlign w:val="bottom"/>
            <w:gridSpan w:val="6"/>
          </w:tcPr>
          <w:p>
            <w:pPr>
              <w:spacing w:after="0" w:line="126" w:lineRule="exact"/>
              <w:rPr>
                <w:sz w:val="20"/>
                <w:szCs w:val="20"/>
                <w:color w:val="auto"/>
              </w:rPr>
            </w:pPr>
            <w:r>
              <w:rPr>
                <w:rFonts w:ascii="Arial" w:cs="Arial" w:eastAsia="Arial" w:hAnsi="Arial"/>
                <w:sz w:val="13"/>
                <w:szCs w:val="13"/>
                <w:color w:val="auto"/>
              </w:rPr>
              <w:t>Andorra</w:t>
            </w:r>
          </w:p>
        </w:tc>
        <w:tc>
          <w:tcPr>
            <w:tcW w:w="92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9"/>
              </w:rPr>
              <w:t>1953</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2"/>
              </w:rPr>
              <w:t>1988</w:t>
            </w:r>
          </w:p>
        </w:tc>
        <w:tc>
          <w:tcPr>
            <w:tcW w:w="126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9"/>
              </w:rPr>
              <w:t>267,000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$14.05</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95%</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Acme Markets</w:t>
            </w:r>
          </w:p>
        </w:tc>
        <w:tc>
          <w:tcPr>
            <w:tcW w:w="0" w:type="dxa"/>
            <w:vAlign w:val="bottom"/>
          </w:tcPr>
          <w:p>
            <w:pPr>
              <w:spacing w:after="0"/>
              <w:rPr>
                <w:sz w:val="1"/>
                <w:szCs w:val="1"/>
                <w:color w:val="auto"/>
              </w:rPr>
            </w:pPr>
          </w:p>
        </w:tc>
      </w:tr>
      <w:tr>
        <w:trPr>
          <w:trHeight w:val="141"/>
        </w:trPr>
        <w:tc>
          <w:tcPr>
            <w:tcW w:w="390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Philadelphia, PA 19128</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Kohl’s</w:t>
            </w:r>
          </w:p>
        </w:tc>
        <w:tc>
          <w:tcPr>
            <w:tcW w:w="0" w:type="dxa"/>
            <w:vAlign w:val="bottom"/>
          </w:tcPr>
          <w:p>
            <w:pPr>
              <w:spacing w:after="0"/>
              <w:rPr>
                <w:sz w:val="1"/>
                <w:szCs w:val="1"/>
                <w:color w:val="auto"/>
              </w:rPr>
            </w:pPr>
          </w:p>
        </w:tc>
      </w:tr>
      <w:tr>
        <w:trPr>
          <w:trHeight w:val="141"/>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r>
        <w:trPr>
          <w:trHeight w:val="133"/>
        </w:trPr>
        <w:tc>
          <w:tcPr>
            <w:tcW w:w="3900" w:type="dxa"/>
            <w:vAlign w:val="bottom"/>
            <w:gridSpan w:val="6"/>
            <w:shd w:val="clear" w:color="auto" w:fill="CCEEFF"/>
          </w:tcPr>
          <w:p>
            <w:pPr>
              <w:spacing w:after="0" w:line="133" w:lineRule="exact"/>
              <w:rPr>
                <w:sz w:val="20"/>
                <w:szCs w:val="20"/>
                <w:color w:val="auto"/>
              </w:rPr>
            </w:pPr>
            <w:r>
              <w:rPr>
                <w:rFonts w:ascii="Arial" w:cs="Arial" w:eastAsia="Arial" w:hAnsi="Arial"/>
                <w:sz w:val="13"/>
                <w:szCs w:val="13"/>
                <w:color w:val="auto"/>
              </w:rPr>
              <w:t>Bala Cynwyd</w:t>
            </w:r>
          </w:p>
        </w:tc>
        <w:tc>
          <w:tcPr>
            <w:tcW w:w="92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1955</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1993</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282,000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$17.26</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Acme Markets</w:t>
            </w:r>
          </w:p>
        </w:tc>
        <w:tc>
          <w:tcPr>
            <w:tcW w:w="0" w:type="dxa"/>
            <w:vAlign w:val="bottom"/>
          </w:tcPr>
          <w:p>
            <w:pPr>
              <w:spacing w:after="0"/>
              <w:rPr>
                <w:sz w:val="1"/>
                <w:szCs w:val="1"/>
                <w:color w:val="auto"/>
              </w:rPr>
            </w:pPr>
          </w:p>
        </w:tc>
      </w:tr>
      <w:tr>
        <w:trPr>
          <w:trHeight w:val="141"/>
        </w:trPr>
        <w:tc>
          <w:tcPr>
            <w:tcW w:w="3900" w:type="dxa"/>
            <w:vAlign w:val="bottom"/>
            <w:gridSpan w:val="6"/>
            <w:shd w:val="clear" w:color="auto" w:fill="CCEEFF"/>
          </w:tcPr>
          <w:p>
            <w:pPr>
              <w:ind w:left="140"/>
              <w:spacing w:after="0" w:line="141" w:lineRule="exact"/>
              <w:rPr>
                <w:sz w:val="20"/>
                <w:szCs w:val="20"/>
                <w:color w:val="auto"/>
              </w:rPr>
            </w:pPr>
            <w:r>
              <w:rPr>
                <w:rFonts w:ascii="Arial" w:cs="Arial" w:eastAsia="Arial" w:hAnsi="Arial"/>
                <w:sz w:val="13"/>
                <w:szCs w:val="13"/>
                <w:color w:val="auto"/>
              </w:rPr>
              <w:t>Bala Cynwyd, PA 19004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Lord &amp; Taylor</w:t>
            </w:r>
          </w:p>
        </w:tc>
        <w:tc>
          <w:tcPr>
            <w:tcW w:w="0" w:type="dxa"/>
            <w:vAlign w:val="bottom"/>
          </w:tcPr>
          <w:p>
            <w:pPr>
              <w:spacing w:after="0"/>
              <w:rPr>
                <w:sz w:val="1"/>
                <w:szCs w:val="1"/>
                <w:color w:val="auto"/>
              </w:rPr>
            </w:pPr>
          </w:p>
        </w:tc>
      </w:tr>
      <w:tr>
        <w:trPr>
          <w:trHeight w:val="163"/>
        </w:trPr>
        <w:tc>
          <w:tcPr>
            <w:tcW w:w="5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L.A. Fitness</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5" w:right="2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Square Feet(1)</w:t>
            </w: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1"/>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2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4"/>
              </w:rPr>
              <w:t>Year</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/Apartment</w:t>
            </w:r>
          </w:p>
        </w:tc>
        <w:tc>
          <w:tcPr>
            <w:tcW w:w="120" w:type="dxa"/>
            <w:vAlign w:val="bottom"/>
          </w:tcPr>
          <w:p>
            <w:pPr>
              <w:spacing w:after="0"/>
              <w:rPr>
                <w:sz w:val="12"/>
                <w:szCs w:val="12"/>
                <w:color w:val="auto"/>
              </w:rPr>
            </w:pP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Per Square</w:t>
            </w:r>
          </w:p>
        </w:tc>
        <w:tc>
          <w:tcPr>
            <w:tcW w:w="100" w:type="dxa"/>
            <w:vAlign w:val="bottom"/>
          </w:tcPr>
          <w:p>
            <w:pPr>
              <w:spacing w:after="0"/>
              <w:rPr>
                <w:sz w:val="12"/>
                <w:szCs w:val="12"/>
                <w:color w:val="auto"/>
              </w:rPr>
            </w:pPr>
          </w:p>
        </w:tc>
        <w:tc>
          <w:tcPr>
            <w:tcW w:w="900" w:type="dxa"/>
            <w:vAlign w:val="bottom"/>
          </w:tcPr>
          <w:p>
            <w:pPr>
              <w:ind w:left="140"/>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7"/>
        </w:trPr>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2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Acquired</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Foot</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Principal Tenant(s)</w:t>
            </w:r>
          </w:p>
        </w:tc>
      </w:tr>
      <w:tr>
        <w:trPr>
          <w:trHeight w:val="125"/>
        </w:trPr>
        <w:tc>
          <w:tcPr>
            <w:tcW w:w="1820" w:type="dxa"/>
            <w:vAlign w:val="bottom"/>
            <w:gridSpan w:val="3"/>
          </w:tcPr>
          <w:p>
            <w:pPr>
              <w:spacing w:after="0" w:line="126" w:lineRule="exact"/>
              <w:rPr>
                <w:sz w:val="20"/>
                <w:szCs w:val="20"/>
                <w:color w:val="auto"/>
              </w:rPr>
            </w:pPr>
            <w:r>
              <w:rPr>
                <w:rFonts w:ascii="Arial" w:cs="Arial" w:eastAsia="Arial" w:hAnsi="Arial"/>
                <w:sz w:val="13"/>
                <w:szCs w:val="13"/>
                <w:color w:val="auto"/>
              </w:rPr>
              <w:t>Feasterville</w:t>
            </w:r>
          </w:p>
        </w:tc>
        <w:tc>
          <w:tcPr>
            <w:tcW w:w="220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color w:val="auto"/>
                <w:w w:val="89"/>
              </w:rPr>
              <w:t>1958</w:t>
            </w:r>
          </w:p>
        </w:tc>
        <w:tc>
          <w:tcPr>
            <w:tcW w:w="12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color w:val="auto"/>
                <w:w w:val="82"/>
              </w:rPr>
              <w:t>1980</w:t>
            </w:r>
          </w:p>
        </w:tc>
        <w:tc>
          <w:tcPr>
            <w:tcW w:w="12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89"/>
              </w:rPr>
              <w:t>111,000</w:t>
            </w:r>
          </w:p>
        </w:tc>
        <w:tc>
          <w:tcPr>
            <w:tcW w:w="120" w:type="dxa"/>
            <w:vAlign w:val="bottom"/>
          </w:tcPr>
          <w:p>
            <w:pPr>
              <w:spacing w:after="0"/>
              <w:rPr>
                <w:sz w:val="10"/>
                <w:szCs w:val="10"/>
                <w:color w:val="auto"/>
              </w:rPr>
            </w:pPr>
          </w:p>
        </w:tc>
        <w:tc>
          <w:tcPr>
            <w:tcW w:w="1140" w:type="dxa"/>
            <w:vAlign w:val="bottom"/>
          </w:tcPr>
          <w:p>
            <w:pPr>
              <w:jc w:val="center"/>
              <w:spacing w:after="0" w:line="126" w:lineRule="exact"/>
              <w:rPr>
                <w:sz w:val="20"/>
                <w:szCs w:val="20"/>
                <w:color w:val="auto"/>
              </w:rPr>
            </w:pPr>
            <w:r>
              <w:rPr>
                <w:rFonts w:ascii="Arial" w:cs="Arial" w:eastAsia="Arial" w:hAnsi="Arial"/>
                <w:sz w:val="13"/>
                <w:szCs w:val="13"/>
                <w:color w:val="auto"/>
                <w:w w:val="90"/>
              </w:rPr>
              <w:t>$13.81</w:t>
            </w:r>
          </w:p>
        </w:tc>
        <w:tc>
          <w:tcPr>
            <w:tcW w:w="100" w:type="dxa"/>
            <w:vAlign w:val="bottom"/>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0"/>
                <w:szCs w:val="10"/>
                <w:color w:val="auto"/>
              </w:rPr>
            </w:pPr>
          </w:p>
        </w:tc>
        <w:tc>
          <w:tcPr>
            <w:tcW w:w="2060" w:type="dxa"/>
            <w:vAlign w:val="bottom"/>
          </w:tcPr>
          <w:p>
            <w:pPr>
              <w:spacing w:after="0" w:line="126" w:lineRule="exact"/>
              <w:rPr>
                <w:sz w:val="20"/>
                <w:szCs w:val="20"/>
                <w:color w:val="auto"/>
              </w:rPr>
            </w:pPr>
            <w:r>
              <w:rPr>
                <w:rFonts w:ascii="Arial" w:cs="Arial" w:eastAsia="Arial" w:hAnsi="Arial"/>
                <w:sz w:val="13"/>
                <w:szCs w:val="13"/>
                <w:color w:val="auto"/>
              </w:rPr>
              <w:t>Giant Food</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Feasterville, PA 19047</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OfficeMax</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Flourtown</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1957</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1980</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166,000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$22.44</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48%</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Genuardi’s</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Flourtown, PA 19031</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Lancaster</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1958</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1980</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126,000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$17.64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Lancaster, PA 17601(7)</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Michaels</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Langhorne Square</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1966</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1985</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219,000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$14.76</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96%</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Marshalls</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Levittown, PA 19056</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Redner’s Warehouse Market</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Lawrence Park</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1972</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1980</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353,000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$18.37</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98%</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Acme Markets</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Broomall, PA 19008(12)</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TJ Maxx</w:t>
            </w:r>
          </w:p>
        </w:tc>
      </w:tr>
      <w:tr>
        <w:trPr>
          <w:trHeight w:val="141"/>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CHI</w:t>
            </w:r>
          </w:p>
        </w:tc>
      </w:tr>
      <w:tr>
        <w:trPr>
          <w:trHeight w:val="163"/>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HomeGoods</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Northeast</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1959</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1983</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284,000</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5"/>
              </w:rPr>
              <w:t>$11.30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89%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Burlington Coat Factory</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Philadelphia, PA 19114</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Marshalls</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Town Center of New Britain</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1969</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2006</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124,000</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92"/>
              </w:rPr>
              <w:t>$9.09</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86%</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New Britain, PA 18901</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Rite Aid</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Willow Grove</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1953</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1984</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216,000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$19.21</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Barnes &amp; Noble</w:t>
            </w:r>
          </w:p>
        </w:tc>
      </w:tr>
      <w:tr>
        <w:trPr>
          <w:trHeight w:val="141"/>
        </w:trPr>
        <w:tc>
          <w:tcPr>
            <w:tcW w:w="1820" w:type="dxa"/>
            <w:vAlign w:val="bottom"/>
            <w:gridSpan w:val="3"/>
            <w:shd w:val="clear" w:color="auto" w:fill="CCEEFF"/>
          </w:tcPr>
          <w:p>
            <w:pPr>
              <w:ind w:left="120"/>
              <w:spacing w:after="0" w:line="141" w:lineRule="exact"/>
              <w:rPr>
                <w:sz w:val="20"/>
                <w:szCs w:val="20"/>
                <w:color w:val="auto"/>
              </w:rPr>
            </w:pPr>
            <w:r>
              <w:rPr>
                <w:rFonts w:ascii="Arial" w:cs="Arial" w:eastAsia="Arial" w:hAnsi="Arial"/>
                <w:sz w:val="13"/>
                <w:szCs w:val="13"/>
                <w:color w:val="auto"/>
              </w:rPr>
              <w:t>Willow Grove, PA 19090</w:t>
            </w: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HomeGoods</w:t>
            </w:r>
          </w:p>
        </w:tc>
      </w:tr>
      <w:tr>
        <w:trPr>
          <w:trHeight w:val="163"/>
        </w:trPr>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Marshalls</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Wynnewood</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1948</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1996</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257,000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$24.74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96%</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Bed, Bath &amp; Beyond</w:t>
            </w:r>
          </w:p>
        </w:tc>
      </w:tr>
      <w:tr>
        <w:trPr>
          <w:trHeight w:val="141"/>
        </w:trPr>
        <w:tc>
          <w:tcPr>
            <w:tcW w:w="1820" w:type="dxa"/>
            <w:vAlign w:val="bottom"/>
            <w:gridSpan w:val="3"/>
          </w:tcPr>
          <w:p>
            <w:pPr>
              <w:ind w:left="120"/>
              <w:spacing w:after="0" w:line="141" w:lineRule="exact"/>
              <w:rPr>
                <w:sz w:val="20"/>
                <w:szCs w:val="20"/>
                <w:color w:val="auto"/>
              </w:rPr>
            </w:pPr>
            <w:r>
              <w:rPr>
                <w:rFonts w:ascii="Arial" w:cs="Arial" w:eastAsia="Arial" w:hAnsi="Arial"/>
                <w:sz w:val="13"/>
                <w:szCs w:val="13"/>
                <w:color w:val="auto"/>
              </w:rPr>
              <w:t>Wynnewood, PA 19096(12)</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Borders Books</w:t>
            </w:r>
          </w:p>
        </w:tc>
      </w:tr>
      <w:tr>
        <w:trPr>
          <w:trHeight w:val="141"/>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Genuardi’s</w:t>
            </w:r>
          </w:p>
        </w:tc>
      </w:tr>
      <w:tr>
        <w:trPr>
          <w:trHeight w:val="163"/>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Old Navy</w:t>
            </w:r>
          </w:p>
        </w:tc>
      </w:tr>
      <w:tr>
        <w:trPr>
          <w:trHeight w:val="129"/>
        </w:trPr>
        <w:tc>
          <w:tcPr>
            <w:tcW w:w="3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1"/>
              </w:rPr>
              <w:t>Texas</w:t>
            </w:r>
          </w:p>
        </w:tc>
        <w:tc>
          <w:tcPr>
            <w:tcW w:w="1500" w:type="dxa"/>
            <w:vAlign w:val="bottom"/>
            <w:tcBorders>
              <w:bottom w:val="single" w:sz="8" w:color="CCEEFF"/>
            </w:tcBorders>
            <w:gridSpan w:val="2"/>
            <w:shd w:val="clear" w:color="auto" w:fill="CCEEFF"/>
          </w:tcPr>
          <w:p>
            <w:pPr>
              <w:spacing w:after="0"/>
              <w:rPr>
                <w:sz w:val="11"/>
                <w:szCs w:val="11"/>
                <w:color w:val="auto"/>
              </w:rPr>
            </w:pPr>
          </w:p>
        </w:tc>
        <w:tc>
          <w:tcPr>
            <w:tcW w:w="22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r>
      <w:tr>
        <w:trPr>
          <w:trHeight w:val="125"/>
        </w:trPr>
        <w:tc>
          <w:tcPr>
            <w:tcW w:w="1820" w:type="dxa"/>
            <w:vAlign w:val="bottom"/>
            <w:gridSpan w:val="3"/>
          </w:tcPr>
          <w:p>
            <w:pPr>
              <w:spacing w:after="0" w:line="126" w:lineRule="exact"/>
              <w:rPr>
                <w:sz w:val="20"/>
                <w:szCs w:val="20"/>
                <w:color w:val="auto"/>
              </w:rPr>
            </w:pPr>
            <w:r>
              <w:rPr>
                <w:rFonts w:ascii="Arial" w:cs="Arial" w:eastAsia="Arial" w:hAnsi="Arial"/>
                <w:sz w:val="13"/>
                <w:szCs w:val="13"/>
                <w:color w:val="auto"/>
              </w:rPr>
              <w:t>Houston Street</w:t>
            </w:r>
          </w:p>
        </w:tc>
        <w:tc>
          <w:tcPr>
            <w:tcW w:w="3000" w:type="dxa"/>
            <w:vAlign w:val="bottom"/>
            <w:gridSpan w:val="2"/>
          </w:tcPr>
          <w:p>
            <w:pPr>
              <w:jc w:val="center"/>
              <w:ind w:left="2136"/>
              <w:spacing w:after="0" w:line="126" w:lineRule="exact"/>
              <w:rPr>
                <w:sz w:val="20"/>
                <w:szCs w:val="20"/>
                <w:color w:val="auto"/>
              </w:rPr>
            </w:pPr>
            <w:r>
              <w:rPr>
                <w:rFonts w:ascii="Arial" w:cs="Arial" w:eastAsia="Arial" w:hAnsi="Arial"/>
                <w:sz w:val="13"/>
                <w:szCs w:val="13"/>
                <w:color w:val="auto"/>
                <w:w w:val="90"/>
              </w:rPr>
              <w:t>1890-1935</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2"/>
              </w:rPr>
              <w:t>1998</w:t>
            </w:r>
          </w:p>
        </w:tc>
        <w:tc>
          <w:tcPr>
            <w:tcW w:w="126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9"/>
              </w:rPr>
              <w:t>196,000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$22.44</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83%</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Hotel Valencia</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rPr>
              <w:t>San Antonio, TX</w:t>
            </w: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Walgreens</w:t>
            </w:r>
          </w:p>
        </w:tc>
      </w:tr>
      <w:tr>
        <w:trPr>
          <w:trHeight w:val="129"/>
        </w:trPr>
        <w:tc>
          <w:tcPr>
            <w:tcW w:w="46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Virginia</w:t>
            </w:r>
          </w:p>
        </w:tc>
        <w:tc>
          <w:tcPr>
            <w:tcW w:w="1360" w:type="dxa"/>
            <w:vAlign w:val="bottom"/>
            <w:tcBorders>
              <w:bottom w:val="single" w:sz="8" w:color="CCEEFF"/>
            </w:tcBorders>
            <w:shd w:val="clear" w:color="auto" w:fill="CCEEFF"/>
          </w:tcPr>
          <w:p>
            <w:pPr>
              <w:spacing w:after="0"/>
              <w:rPr>
                <w:sz w:val="11"/>
                <w:szCs w:val="11"/>
                <w:color w:val="auto"/>
              </w:rPr>
            </w:pPr>
          </w:p>
        </w:tc>
        <w:tc>
          <w:tcPr>
            <w:tcW w:w="220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060" w:type="dxa"/>
            <w:vAlign w:val="bottom"/>
            <w:tcBorders>
              <w:bottom w:val="single" w:sz="8" w:color="CCEEFF"/>
            </w:tcBorders>
            <w:shd w:val="clear" w:color="auto" w:fill="CCEEFF"/>
          </w:tcPr>
          <w:p>
            <w:pPr>
              <w:spacing w:after="0"/>
              <w:rPr>
                <w:sz w:val="11"/>
                <w:szCs w:val="11"/>
                <w:color w:val="auto"/>
              </w:rPr>
            </w:pPr>
          </w:p>
        </w:tc>
      </w:tr>
      <w:tr>
        <w:trPr>
          <w:trHeight w:val="125"/>
        </w:trPr>
        <w:tc>
          <w:tcPr>
            <w:tcW w:w="1820" w:type="dxa"/>
            <w:vAlign w:val="bottom"/>
            <w:gridSpan w:val="3"/>
          </w:tcPr>
          <w:p>
            <w:pPr>
              <w:spacing w:after="0" w:line="126" w:lineRule="exact"/>
              <w:rPr>
                <w:sz w:val="20"/>
                <w:szCs w:val="20"/>
                <w:color w:val="auto"/>
              </w:rPr>
            </w:pPr>
            <w:r>
              <w:rPr>
                <w:rFonts w:ascii="Arial" w:cs="Arial" w:eastAsia="Arial" w:hAnsi="Arial"/>
                <w:sz w:val="13"/>
                <w:szCs w:val="13"/>
                <w:color w:val="auto"/>
              </w:rPr>
              <w:t>Barcroft Plaza</w:t>
            </w:r>
          </w:p>
        </w:tc>
        <w:tc>
          <w:tcPr>
            <w:tcW w:w="3000" w:type="dxa"/>
            <w:vAlign w:val="bottom"/>
            <w:gridSpan w:val="2"/>
          </w:tcPr>
          <w:p>
            <w:pPr>
              <w:jc w:val="center"/>
              <w:ind w:left="2136"/>
              <w:spacing w:after="0" w:line="126" w:lineRule="exact"/>
              <w:rPr>
                <w:sz w:val="20"/>
                <w:szCs w:val="20"/>
                <w:color w:val="auto"/>
              </w:rPr>
            </w:pPr>
            <w:r>
              <w:rPr>
                <w:rFonts w:ascii="Arial" w:cs="Arial" w:eastAsia="Arial" w:hAnsi="Arial"/>
                <w:sz w:val="13"/>
                <w:szCs w:val="13"/>
                <w:color w:val="auto"/>
                <w:w w:val="93"/>
              </w:rPr>
              <w:t>1963, 1972 &amp;</w:t>
            </w:r>
          </w:p>
        </w:tc>
        <w:tc>
          <w:tcPr>
            <w:tcW w:w="92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90"/>
              </w:rPr>
              <w:t>2006-2007</w:t>
            </w:r>
          </w:p>
        </w:tc>
        <w:tc>
          <w:tcPr>
            <w:tcW w:w="1260" w:type="dxa"/>
            <w:vAlign w:val="bottom"/>
            <w:gridSpan w:val="2"/>
          </w:tcPr>
          <w:p>
            <w:pPr>
              <w:jc w:val="center"/>
              <w:ind w:left="56"/>
              <w:spacing w:after="0" w:line="126" w:lineRule="exact"/>
              <w:rPr>
                <w:sz w:val="20"/>
                <w:szCs w:val="20"/>
                <w:color w:val="auto"/>
              </w:rPr>
            </w:pPr>
            <w:r>
              <w:rPr>
                <w:rFonts w:ascii="Arial" w:cs="Arial" w:eastAsia="Arial" w:hAnsi="Arial"/>
                <w:sz w:val="13"/>
                <w:szCs w:val="13"/>
                <w:color w:val="auto"/>
                <w:w w:val="89"/>
              </w:rPr>
              <w:t>101,000</w:t>
            </w:r>
          </w:p>
        </w:tc>
        <w:tc>
          <w:tcPr>
            <w:tcW w:w="126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90"/>
              </w:rPr>
              <w:t>$22.48</w:t>
            </w:r>
          </w:p>
        </w:tc>
        <w:tc>
          <w:tcPr>
            <w:tcW w:w="1000" w:type="dxa"/>
            <w:vAlign w:val="bottom"/>
            <w:gridSpan w:val="2"/>
          </w:tcPr>
          <w:p>
            <w:pPr>
              <w:jc w:val="center"/>
              <w:ind w:left="36"/>
              <w:spacing w:after="0" w:line="126" w:lineRule="exact"/>
              <w:rPr>
                <w:sz w:val="20"/>
                <w:szCs w:val="20"/>
                <w:color w:val="auto"/>
              </w:rPr>
            </w:pPr>
            <w:r>
              <w:rPr>
                <w:rFonts w:ascii="Arial" w:cs="Arial" w:eastAsia="Arial" w:hAnsi="Arial"/>
                <w:sz w:val="13"/>
                <w:szCs w:val="13"/>
                <w:color w:val="auto"/>
                <w:w w:val="84"/>
              </w:rPr>
              <w:t>88%</w:t>
            </w:r>
          </w:p>
        </w:tc>
        <w:tc>
          <w:tcPr>
            <w:tcW w:w="2160" w:type="dxa"/>
            <w:vAlign w:val="bottom"/>
            <w:gridSpan w:val="2"/>
          </w:tcPr>
          <w:p>
            <w:pPr>
              <w:ind w:left="100"/>
              <w:spacing w:after="0" w:line="126" w:lineRule="exact"/>
              <w:rPr>
                <w:sz w:val="20"/>
                <w:szCs w:val="20"/>
                <w:color w:val="auto"/>
              </w:rPr>
            </w:pPr>
            <w:r>
              <w:rPr>
                <w:rFonts w:ascii="Arial" w:cs="Arial" w:eastAsia="Arial" w:hAnsi="Arial"/>
                <w:sz w:val="13"/>
                <w:szCs w:val="13"/>
                <w:color w:val="auto"/>
              </w:rPr>
              <w:t>Harris Teeter</w:t>
            </w:r>
          </w:p>
        </w:tc>
      </w:tr>
      <w:tr>
        <w:trPr>
          <w:trHeight w:val="163"/>
        </w:trPr>
        <w:tc>
          <w:tcPr>
            <w:tcW w:w="1820" w:type="dxa"/>
            <w:vAlign w:val="bottom"/>
            <w:gridSpan w:val="3"/>
          </w:tcPr>
          <w:p>
            <w:pPr>
              <w:ind w:left="140"/>
              <w:spacing w:after="0"/>
              <w:rPr>
                <w:sz w:val="20"/>
                <w:szCs w:val="20"/>
                <w:color w:val="auto"/>
              </w:rPr>
            </w:pPr>
            <w:r>
              <w:rPr>
                <w:rFonts w:ascii="Arial" w:cs="Arial" w:eastAsia="Arial" w:hAnsi="Arial"/>
                <w:sz w:val="13"/>
                <w:szCs w:val="13"/>
                <w:color w:val="auto"/>
                <w:w w:val="90"/>
              </w:rPr>
              <w:t>Falls Church, VA 22041(10)(12)</w:t>
            </w:r>
          </w:p>
        </w:tc>
        <w:tc>
          <w:tcPr>
            <w:tcW w:w="3000" w:type="dxa"/>
            <w:vAlign w:val="bottom"/>
            <w:gridSpan w:val="2"/>
          </w:tcPr>
          <w:p>
            <w:pPr>
              <w:jc w:val="center"/>
              <w:ind w:left="2116"/>
              <w:spacing w:after="0"/>
              <w:rPr>
                <w:sz w:val="20"/>
                <w:szCs w:val="20"/>
                <w:color w:val="auto"/>
              </w:rPr>
            </w:pPr>
            <w:r>
              <w:rPr>
                <w:rFonts w:ascii="Arial" w:cs="Arial" w:eastAsia="Arial" w:hAnsi="Arial"/>
                <w:sz w:val="13"/>
                <w:szCs w:val="13"/>
                <w:color w:val="auto"/>
                <w:w w:val="89"/>
              </w:rPr>
              <w:t>1990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Bank of America</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Barracks Road</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1958</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1985</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486,000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$21.44</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Anthropologie</w:t>
            </w:r>
          </w:p>
        </w:tc>
      </w:tr>
      <w:tr>
        <w:trPr>
          <w:trHeight w:val="141"/>
        </w:trPr>
        <w:tc>
          <w:tcPr>
            <w:tcW w:w="182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w w:val="98"/>
              </w:rPr>
              <w:t>Charlottesville, VA 22905(12)</w:t>
            </w: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Bed, Bath &amp; Beyond</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Harris Teeter</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Kroger</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Barnes &amp; Noble</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Old Navy</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Michaels</w:t>
            </w:r>
          </w:p>
        </w:tc>
      </w:tr>
      <w:tr>
        <w:trPr>
          <w:trHeight w:val="163"/>
        </w:trPr>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Ulta</w:t>
            </w: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Falls Plaza/Falls Plaza—East</w:t>
            </w:r>
          </w:p>
        </w:tc>
        <w:tc>
          <w:tcPr>
            <w:tcW w:w="300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90"/>
              </w:rPr>
              <w:t>1960-1962</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91"/>
              </w:rPr>
              <w:t>1967/1972</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144,000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$29.82</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Falls Church, VA 22046</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CVS</w:t>
            </w:r>
          </w:p>
        </w:tc>
      </w:tr>
      <w:tr>
        <w:trPr>
          <w:trHeight w:val="163"/>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Staples</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Idylwood Plaza</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1991</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1994</w:t>
            </w:r>
          </w:p>
        </w:tc>
        <w:tc>
          <w:tcPr>
            <w:tcW w:w="1260" w:type="dxa"/>
            <w:vAlign w:val="bottom"/>
            <w:gridSpan w:val="2"/>
            <w:shd w:val="clear" w:color="auto" w:fill="CCEEFF"/>
          </w:tcPr>
          <w:p>
            <w:pPr>
              <w:jc w:val="center"/>
              <w:ind w:left="76"/>
              <w:spacing w:after="0" w:line="133" w:lineRule="exact"/>
              <w:rPr>
                <w:sz w:val="20"/>
                <w:szCs w:val="20"/>
                <w:color w:val="auto"/>
              </w:rPr>
            </w:pPr>
            <w:r>
              <w:rPr>
                <w:rFonts w:ascii="Arial" w:cs="Arial" w:eastAsia="Arial" w:hAnsi="Arial"/>
                <w:sz w:val="13"/>
                <w:szCs w:val="13"/>
                <w:color w:val="auto"/>
                <w:w w:val="90"/>
              </w:rPr>
              <w:t>73,000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$41.81</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Whole Foods</w:t>
            </w:r>
          </w:p>
        </w:tc>
      </w:tr>
      <w:tr>
        <w:trPr>
          <w:trHeight w:val="163"/>
        </w:trPr>
        <w:tc>
          <w:tcPr>
            <w:tcW w:w="18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Falls Church, VA 22030(12)</w:t>
            </w: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gridSpan w:val="3"/>
          </w:tcPr>
          <w:p>
            <w:pPr>
              <w:spacing w:after="0" w:line="133" w:lineRule="exact"/>
              <w:rPr>
                <w:sz w:val="20"/>
                <w:szCs w:val="20"/>
                <w:color w:val="auto"/>
              </w:rPr>
            </w:pPr>
            <w:r>
              <w:rPr>
                <w:rFonts w:ascii="Arial" w:cs="Arial" w:eastAsia="Arial" w:hAnsi="Arial"/>
                <w:sz w:val="13"/>
                <w:szCs w:val="13"/>
                <w:color w:val="auto"/>
              </w:rPr>
              <w:t>Leesburg Plaza</w:t>
            </w:r>
          </w:p>
        </w:tc>
        <w:tc>
          <w:tcPr>
            <w:tcW w:w="3000" w:type="dxa"/>
            <w:vAlign w:val="bottom"/>
            <w:gridSpan w:val="2"/>
          </w:tcPr>
          <w:p>
            <w:pPr>
              <w:jc w:val="center"/>
              <w:ind w:left="2116"/>
              <w:spacing w:after="0" w:line="133" w:lineRule="exact"/>
              <w:rPr>
                <w:sz w:val="20"/>
                <w:szCs w:val="20"/>
                <w:color w:val="auto"/>
              </w:rPr>
            </w:pPr>
            <w:r>
              <w:rPr>
                <w:rFonts w:ascii="Arial" w:cs="Arial" w:eastAsia="Arial" w:hAnsi="Arial"/>
                <w:sz w:val="13"/>
                <w:szCs w:val="13"/>
                <w:color w:val="auto"/>
                <w:w w:val="89"/>
              </w:rPr>
              <w:t>1967</w:t>
            </w:r>
          </w:p>
        </w:tc>
        <w:tc>
          <w:tcPr>
            <w:tcW w:w="92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2"/>
              </w:rPr>
              <w:t>1998</w:t>
            </w:r>
          </w:p>
        </w:tc>
        <w:tc>
          <w:tcPr>
            <w:tcW w:w="126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236,000</w:t>
            </w:r>
          </w:p>
        </w:tc>
        <w:tc>
          <w:tcPr>
            <w:tcW w:w="126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$22.14</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95%</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Giant Food</w:t>
            </w:r>
          </w:p>
        </w:tc>
      </w:tr>
      <w:tr>
        <w:trPr>
          <w:trHeight w:val="141"/>
        </w:trPr>
        <w:tc>
          <w:tcPr>
            <w:tcW w:w="1820" w:type="dxa"/>
            <w:vAlign w:val="bottom"/>
            <w:gridSpan w:val="3"/>
          </w:tcPr>
          <w:p>
            <w:pPr>
              <w:ind w:left="140"/>
              <w:spacing w:after="0" w:line="141" w:lineRule="exact"/>
              <w:rPr>
                <w:sz w:val="20"/>
                <w:szCs w:val="20"/>
                <w:color w:val="auto"/>
              </w:rPr>
            </w:pPr>
            <w:r>
              <w:rPr>
                <w:rFonts w:ascii="Arial" w:cs="Arial" w:eastAsia="Arial" w:hAnsi="Arial"/>
                <w:sz w:val="13"/>
                <w:szCs w:val="13"/>
                <w:color w:val="auto"/>
              </w:rPr>
              <w:t>Leesburg, VA 20176(6)(12)</w:t>
            </w: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Pier 1 Imports</w:t>
            </w:r>
          </w:p>
        </w:tc>
      </w:tr>
      <w:tr>
        <w:trPr>
          <w:trHeight w:val="141"/>
        </w:trPr>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Office Depot</w:t>
            </w:r>
          </w:p>
        </w:tc>
      </w:tr>
      <w:tr>
        <w:trPr>
          <w:trHeight w:val="163"/>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Petsmart</w:t>
            </w:r>
          </w:p>
        </w:tc>
      </w:tr>
      <w:tr>
        <w:trPr>
          <w:trHeight w:val="133"/>
        </w:trPr>
        <w:tc>
          <w:tcPr>
            <w:tcW w:w="18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Loehmann’s Plaza</w:t>
            </w:r>
          </w:p>
        </w:tc>
        <w:tc>
          <w:tcPr>
            <w:tcW w:w="300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1971</w:t>
            </w:r>
          </w:p>
        </w:tc>
        <w:tc>
          <w:tcPr>
            <w:tcW w:w="92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2"/>
              </w:rPr>
              <w:t>1983</w:t>
            </w:r>
          </w:p>
        </w:tc>
        <w:tc>
          <w:tcPr>
            <w:tcW w:w="126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268,000</w:t>
            </w:r>
          </w:p>
        </w:tc>
        <w:tc>
          <w:tcPr>
            <w:tcW w:w="126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90"/>
              </w:rPr>
              <w:t>$26.20</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96%</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Bally Total Fitness</w:t>
            </w:r>
          </w:p>
        </w:tc>
      </w:tr>
      <w:tr>
        <w:trPr>
          <w:trHeight w:val="141"/>
        </w:trPr>
        <w:tc>
          <w:tcPr>
            <w:tcW w:w="182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Fairfax, VA 22042(12)</w:t>
            </w: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Giant Food</w:t>
            </w:r>
          </w:p>
        </w:tc>
      </w:tr>
      <w:tr>
        <w:trPr>
          <w:trHeight w:val="141"/>
        </w:trPr>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Loehmann’s</w:t>
            </w:r>
          </w:p>
        </w:tc>
      </w:tr>
      <w:tr>
        <w:trPr>
          <w:trHeight w:val="163"/>
        </w:trPr>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Dress Shop</w:t>
            </w: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45"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Square Feet(1)</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Average Rent</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141"/>
        </w:trPr>
        <w:tc>
          <w:tcPr>
            <w:tcW w:w="1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8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Year</w:t>
            </w:r>
          </w:p>
        </w:tc>
        <w:tc>
          <w:tcPr>
            <w:tcW w:w="100" w:type="dxa"/>
            <w:vAlign w:val="bottom"/>
          </w:tcPr>
          <w:p>
            <w:pPr>
              <w:spacing w:after="0"/>
              <w:rPr>
                <w:sz w:val="12"/>
                <w:szCs w:val="12"/>
                <w:color w:val="auto"/>
              </w:rPr>
            </w:pPr>
          </w:p>
        </w:tc>
        <w:tc>
          <w:tcPr>
            <w:tcW w:w="12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3"/>
              </w:rPr>
              <w:t>/Apartment</w:t>
            </w:r>
          </w:p>
        </w:tc>
        <w:tc>
          <w:tcPr>
            <w:tcW w:w="11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0"/>
              </w:rPr>
              <w:t>Per Square</w:t>
            </w:r>
          </w:p>
        </w:tc>
        <w:tc>
          <w:tcPr>
            <w:tcW w:w="100" w:type="dxa"/>
            <w:vAlign w:val="bottom"/>
          </w:tcPr>
          <w:p>
            <w:pPr>
              <w:spacing w:after="0"/>
              <w:rPr>
                <w:sz w:val="12"/>
                <w:szCs w:val="12"/>
                <w:color w:val="auto"/>
              </w:rPr>
            </w:pPr>
          </w:p>
        </w:tc>
        <w:tc>
          <w:tcPr>
            <w:tcW w:w="900" w:type="dxa"/>
            <w:vAlign w:val="bottom"/>
          </w:tcPr>
          <w:p>
            <w:pPr>
              <w:jc w:val="right"/>
              <w:ind w:right="76"/>
              <w:spacing w:after="0" w:line="141" w:lineRule="exact"/>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67"/>
        </w:trPr>
        <w:tc>
          <w:tcPr>
            <w:tcW w:w="1820" w:type="dxa"/>
            <w:vAlign w:val="bottom"/>
          </w:tcPr>
          <w:p>
            <w:pPr>
              <w:spacing w:after="0"/>
              <w:rPr>
                <w:sz w:val="20"/>
                <w:szCs w:val="20"/>
                <w:color w:val="auto"/>
              </w:rPr>
            </w:pPr>
            <w:r>
              <w:rPr>
                <w:rFonts w:ascii="Arial" w:cs="Arial" w:eastAsia="Arial" w:hAnsi="Arial"/>
                <w:sz w:val="13"/>
                <w:szCs w:val="13"/>
                <w:b w:val="1"/>
                <w:bCs w:val="1"/>
                <w:color w:val="auto"/>
                <w:w w:val="96"/>
              </w:rPr>
              <w:t>Property, City, State, Zip Code</w:t>
            </w:r>
          </w:p>
        </w:tc>
        <w:tc>
          <w:tcPr>
            <w:tcW w:w="2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Completed</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2"/>
              </w:rPr>
              <w:t>Foot</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Leased(2)</w:t>
            </w:r>
          </w:p>
        </w:tc>
        <w:tc>
          <w:tcPr>
            <w:tcW w:w="100" w:type="dxa"/>
            <w:vAlign w:val="bottom"/>
          </w:tcPr>
          <w:p>
            <w:pPr>
              <w:spacing w:after="0"/>
              <w:rPr>
                <w:sz w:val="14"/>
                <w:szCs w:val="14"/>
                <w:color w:val="auto"/>
              </w:rPr>
            </w:pPr>
          </w:p>
        </w:tc>
        <w:tc>
          <w:tcPr>
            <w:tcW w:w="2060" w:type="dxa"/>
            <w:vAlign w:val="bottom"/>
          </w:tcPr>
          <w:p>
            <w:pPr>
              <w:ind w:left="520"/>
              <w:spacing w:after="0"/>
              <w:rPr>
                <w:sz w:val="20"/>
                <w:szCs w:val="20"/>
                <w:color w:val="auto"/>
              </w:rPr>
            </w:pPr>
            <w:r>
              <w:rPr>
                <w:rFonts w:ascii="Arial" w:cs="Arial" w:eastAsia="Arial" w:hAnsi="Arial"/>
                <w:sz w:val="13"/>
                <w:szCs w:val="13"/>
                <w:b w:val="1"/>
                <w:bCs w:val="1"/>
                <w:color w:val="auto"/>
              </w:rPr>
              <w:t>Principal Tenant(s)</w:t>
            </w:r>
          </w:p>
        </w:tc>
      </w:tr>
      <w:tr>
        <w:trPr>
          <w:trHeight w:val="125"/>
        </w:trPr>
        <w:tc>
          <w:tcPr>
            <w:tcW w:w="182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Mount Vernon/South Valley/</w:t>
            </w:r>
          </w:p>
        </w:tc>
        <w:tc>
          <w:tcPr>
            <w:tcW w:w="2180" w:type="dxa"/>
            <w:vAlign w:val="bottom"/>
          </w:tcPr>
          <w:p>
            <w:pPr>
              <w:spacing w:after="0"/>
              <w:rPr>
                <w:sz w:val="10"/>
                <w:szCs w:val="10"/>
                <w:color w:val="auto"/>
              </w:rPr>
            </w:pPr>
          </w:p>
        </w:tc>
        <w:tc>
          <w:tcPr>
            <w:tcW w:w="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0"/>
              </w:rPr>
              <w:t>1966-1974</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87"/>
              </w:rPr>
              <w:t>2003/2006</w:t>
            </w:r>
          </w:p>
        </w:tc>
        <w:tc>
          <w:tcPr>
            <w:tcW w:w="1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89"/>
              </w:rPr>
              <w:t>565,000</w:t>
            </w:r>
          </w:p>
        </w:tc>
        <w:tc>
          <w:tcPr>
            <w:tcW w:w="10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0"/>
              </w:rPr>
              <w:t>$15.32</w:t>
            </w:r>
          </w:p>
        </w:tc>
        <w:tc>
          <w:tcPr>
            <w:tcW w:w="100" w:type="dxa"/>
            <w:vAlign w:val="bottom"/>
          </w:tcPr>
          <w:p>
            <w:pPr>
              <w:spacing w:after="0"/>
              <w:rPr>
                <w:sz w:val="10"/>
                <w:szCs w:val="10"/>
                <w:color w:val="auto"/>
              </w:rPr>
            </w:pPr>
          </w:p>
        </w:tc>
        <w:tc>
          <w:tcPr>
            <w:tcW w:w="9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84"/>
              </w:rPr>
              <w:t>95%</w:t>
            </w:r>
          </w:p>
        </w:tc>
        <w:tc>
          <w:tcPr>
            <w:tcW w:w="100" w:type="dxa"/>
            <w:vAlign w:val="bottom"/>
          </w:tcPr>
          <w:p>
            <w:pPr>
              <w:spacing w:after="0"/>
              <w:rPr>
                <w:sz w:val="10"/>
                <w:szCs w:val="10"/>
                <w:color w:val="auto"/>
              </w:rPr>
            </w:pPr>
          </w:p>
        </w:tc>
        <w:tc>
          <w:tcPr>
            <w:tcW w:w="206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Shoppers Food Warehouse</w:t>
            </w:r>
          </w:p>
        </w:tc>
      </w:tr>
      <w:tr>
        <w:trPr>
          <w:trHeight w:val="141"/>
        </w:trPr>
        <w:tc>
          <w:tcPr>
            <w:tcW w:w="1820" w:type="dxa"/>
            <w:vAlign w:val="bottom"/>
          </w:tcPr>
          <w:p>
            <w:pPr>
              <w:ind w:left="140"/>
              <w:spacing w:after="0" w:line="141" w:lineRule="exact"/>
              <w:rPr>
                <w:sz w:val="20"/>
                <w:szCs w:val="20"/>
                <w:color w:val="auto"/>
              </w:rPr>
            </w:pPr>
            <w:r>
              <w:rPr>
                <w:rFonts w:ascii="Arial" w:cs="Arial" w:eastAsia="Arial" w:hAnsi="Arial"/>
                <w:sz w:val="13"/>
                <w:szCs w:val="13"/>
                <w:color w:val="auto"/>
              </w:rPr>
              <w:t>7770 Richmond Hwy</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Bed, Bath &amp; Beyond</w:t>
            </w:r>
          </w:p>
        </w:tc>
      </w:tr>
      <w:tr>
        <w:trPr>
          <w:trHeight w:val="141"/>
        </w:trPr>
        <w:tc>
          <w:tcPr>
            <w:tcW w:w="1820" w:type="dxa"/>
            <w:vAlign w:val="bottom"/>
          </w:tcPr>
          <w:p>
            <w:pPr>
              <w:ind w:left="120"/>
              <w:spacing w:after="0" w:line="141" w:lineRule="exact"/>
              <w:rPr>
                <w:sz w:val="20"/>
                <w:szCs w:val="20"/>
                <w:color w:val="auto"/>
              </w:rPr>
            </w:pPr>
            <w:r>
              <w:rPr>
                <w:rFonts w:ascii="Arial" w:cs="Arial" w:eastAsia="Arial" w:hAnsi="Arial"/>
                <w:sz w:val="13"/>
                <w:szCs w:val="13"/>
                <w:color w:val="auto"/>
                <w:w w:val="92"/>
              </w:rPr>
              <w:t>Alexandria, VA 22306(3)(6)(12)</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Michaels</w:t>
            </w:r>
          </w:p>
        </w:tc>
      </w:tr>
      <w:tr>
        <w:trPr>
          <w:trHeight w:val="141"/>
        </w:trPr>
        <w:tc>
          <w:tcPr>
            <w:tcW w:w="1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Home Depot</w:t>
            </w:r>
          </w:p>
        </w:tc>
      </w:tr>
      <w:tr>
        <w:trPr>
          <w:trHeight w:val="141"/>
        </w:trPr>
        <w:tc>
          <w:tcPr>
            <w:tcW w:w="1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TJ Maxx</w:t>
            </w:r>
          </w:p>
        </w:tc>
      </w:tr>
      <w:tr>
        <w:trPr>
          <w:trHeight w:val="163"/>
        </w:trPr>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Gold’s Gym</w:t>
            </w:r>
          </w:p>
        </w:tc>
      </w:tr>
      <w:tr>
        <w:trPr>
          <w:trHeight w:val="133"/>
        </w:trPr>
        <w:tc>
          <w:tcPr>
            <w:tcW w:w="1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Old Keene Mill</w:t>
            </w:r>
          </w:p>
        </w:tc>
        <w:tc>
          <w:tcPr>
            <w:tcW w:w="3060" w:type="dxa"/>
            <w:vAlign w:val="bottom"/>
            <w:gridSpan w:val="2"/>
            <w:shd w:val="clear" w:color="auto" w:fill="CCEEFF"/>
          </w:tcPr>
          <w:p>
            <w:pPr>
              <w:jc w:val="center"/>
              <w:ind w:left="2136"/>
              <w:spacing w:after="0" w:line="133" w:lineRule="exact"/>
              <w:rPr>
                <w:sz w:val="20"/>
                <w:szCs w:val="20"/>
                <w:color w:val="auto"/>
              </w:rPr>
            </w:pPr>
            <w:r>
              <w:rPr>
                <w:rFonts w:ascii="Arial" w:cs="Arial" w:eastAsia="Arial" w:hAnsi="Arial"/>
                <w:sz w:val="13"/>
                <w:szCs w:val="13"/>
                <w:color w:val="auto"/>
                <w:w w:val="89"/>
              </w:rPr>
              <w:t>1968</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1976</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5"/>
              </w:rPr>
              <w:t>92,000</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$33.35</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97%</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Whole Foods</w:t>
            </w:r>
          </w:p>
        </w:tc>
      </w:tr>
      <w:tr>
        <w:trPr>
          <w:trHeight w:val="16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Springfield, VA 22152</w:t>
            </w: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Walgreens</w:t>
            </w:r>
          </w:p>
        </w:tc>
      </w:tr>
      <w:tr>
        <w:trPr>
          <w:trHeight w:val="132"/>
        </w:trPr>
        <w:tc>
          <w:tcPr>
            <w:tcW w:w="1820" w:type="dxa"/>
            <w:vAlign w:val="bottom"/>
          </w:tcPr>
          <w:p>
            <w:pPr>
              <w:spacing w:after="0" w:line="133" w:lineRule="exact"/>
              <w:rPr>
                <w:sz w:val="20"/>
                <w:szCs w:val="20"/>
                <w:color w:val="auto"/>
              </w:rPr>
            </w:pPr>
            <w:r>
              <w:rPr>
                <w:rFonts w:ascii="Arial" w:cs="Arial" w:eastAsia="Arial" w:hAnsi="Arial"/>
                <w:sz w:val="13"/>
                <w:szCs w:val="13"/>
                <w:color w:val="auto"/>
              </w:rPr>
              <w:t>Pan Am</w:t>
            </w:r>
          </w:p>
        </w:tc>
        <w:tc>
          <w:tcPr>
            <w:tcW w:w="306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89"/>
              </w:rPr>
              <w:t>1979</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1993</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227,000</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w w:val="90"/>
              </w:rPr>
              <w:t>$18.41</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Michaels</w:t>
            </w:r>
          </w:p>
        </w:tc>
      </w:tr>
      <w:tr>
        <w:trPr>
          <w:trHeight w:val="141"/>
        </w:trPr>
        <w:tc>
          <w:tcPr>
            <w:tcW w:w="1820" w:type="dxa"/>
            <w:vAlign w:val="bottom"/>
          </w:tcPr>
          <w:p>
            <w:pPr>
              <w:ind w:left="140"/>
              <w:spacing w:after="0" w:line="141" w:lineRule="exact"/>
              <w:rPr>
                <w:sz w:val="20"/>
                <w:szCs w:val="20"/>
                <w:color w:val="auto"/>
              </w:rPr>
            </w:pPr>
            <w:r>
              <w:rPr>
                <w:rFonts w:ascii="Arial" w:cs="Arial" w:eastAsia="Arial" w:hAnsi="Arial"/>
                <w:sz w:val="13"/>
                <w:szCs w:val="13"/>
                <w:color w:val="auto"/>
              </w:rPr>
              <w:t>Fairfax, VA 22031</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Micro Center</w:t>
            </w:r>
          </w:p>
        </w:tc>
      </w:tr>
      <w:tr>
        <w:trPr>
          <w:trHeight w:val="163"/>
        </w:trPr>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Safeway</w:t>
            </w:r>
          </w:p>
        </w:tc>
      </w:tr>
      <w:tr>
        <w:trPr>
          <w:trHeight w:val="133"/>
        </w:trPr>
        <w:tc>
          <w:tcPr>
            <w:tcW w:w="1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Pentagon Row</w:t>
            </w:r>
          </w:p>
        </w:tc>
        <w:tc>
          <w:tcPr>
            <w:tcW w:w="306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90"/>
              </w:rPr>
              <w:t>2001-2002</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7"/>
              </w:rPr>
              <w:t>1998/2010</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296,000</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$33.69</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99%</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Harris Teeter</w:t>
            </w:r>
          </w:p>
        </w:tc>
      </w:tr>
      <w:tr>
        <w:trPr>
          <w:trHeight w:val="141"/>
        </w:trPr>
        <w:tc>
          <w:tcPr>
            <w:tcW w:w="18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Arlington, VA 22202(12)</w:t>
            </w:r>
          </w:p>
        </w:tc>
        <w:tc>
          <w:tcPr>
            <w:tcW w:w="2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Bed, Bath &amp; Beyond</w:t>
            </w:r>
          </w:p>
        </w:tc>
      </w:tr>
      <w:tr>
        <w:trPr>
          <w:trHeight w:val="141"/>
        </w:trPr>
        <w:tc>
          <w:tcPr>
            <w:tcW w:w="18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Bally Total Fitness</w:t>
            </w:r>
          </w:p>
        </w:tc>
      </w:tr>
      <w:tr>
        <w:trPr>
          <w:trHeight w:val="163"/>
        </w:trPr>
        <w:tc>
          <w:tcPr>
            <w:tcW w:w="18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DSW</w:t>
            </w:r>
          </w:p>
        </w:tc>
      </w:tr>
      <w:tr>
        <w:trPr>
          <w:trHeight w:val="132"/>
        </w:trPr>
        <w:tc>
          <w:tcPr>
            <w:tcW w:w="1820" w:type="dxa"/>
            <w:vAlign w:val="bottom"/>
          </w:tcPr>
          <w:p>
            <w:pPr>
              <w:spacing w:after="0" w:line="133" w:lineRule="exact"/>
              <w:rPr>
                <w:sz w:val="20"/>
                <w:szCs w:val="20"/>
                <w:color w:val="auto"/>
              </w:rPr>
            </w:pPr>
            <w:r>
              <w:rPr>
                <w:rFonts w:ascii="Arial" w:cs="Arial" w:eastAsia="Arial" w:hAnsi="Arial"/>
                <w:sz w:val="13"/>
                <w:szCs w:val="13"/>
                <w:color w:val="auto"/>
              </w:rPr>
              <w:t>Pike 7 Plaza</w:t>
            </w:r>
          </w:p>
        </w:tc>
        <w:tc>
          <w:tcPr>
            <w:tcW w:w="306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89"/>
              </w:rPr>
              <w:t>1968</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1997</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164,000</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w w:val="85"/>
              </w:rPr>
              <w:t>$38.11</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DSW</w:t>
            </w:r>
          </w:p>
        </w:tc>
      </w:tr>
      <w:tr>
        <w:trPr>
          <w:trHeight w:val="141"/>
        </w:trPr>
        <w:tc>
          <w:tcPr>
            <w:tcW w:w="1820" w:type="dxa"/>
            <w:vAlign w:val="bottom"/>
          </w:tcPr>
          <w:p>
            <w:pPr>
              <w:ind w:left="120"/>
              <w:spacing w:after="0" w:line="141" w:lineRule="exact"/>
              <w:rPr>
                <w:sz w:val="20"/>
                <w:szCs w:val="20"/>
                <w:color w:val="auto"/>
              </w:rPr>
            </w:pPr>
            <w:r>
              <w:rPr>
                <w:rFonts w:ascii="Arial" w:cs="Arial" w:eastAsia="Arial" w:hAnsi="Arial"/>
                <w:sz w:val="13"/>
                <w:szCs w:val="13"/>
                <w:color w:val="auto"/>
              </w:rPr>
              <w:t>Vienna, VA 22180(6)</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Staples</w:t>
            </w:r>
          </w:p>
        </w:tc>
      </w:tr>
      <w:tr>
        <w:trPr>
          <w:trHeight w:val="163"/>
        </w:trPr>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TJ Maxx</w:t>
            </w:r>
          </w:p>
        </w:tc>
      </w:tr>
      <w:tr>
        <w:trPr>
          <w:trHeight w:val="133"/>
        </w:trPr>
        <w:tc>
          <w:tcPr>
            <w:tcW w:w="1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Shoppers’ World</w:t>
            </w:r>
          </w:p>
        </w:tc>
        <w:tc>
          <w:tcPr>
            <w:tcW w:w="306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90"/>
              </w:rPr>
              <w:t>1975-2001</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2007</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169,000</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85"/>
              </w:rPr>
              <w:t>$11.92</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94%</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Whole Foods</w:t>
            </w:r>
          </w:p>
        </w:tc>
      </w:tr>
      <w:tr>
        <w:trPr>
          <w:trHeight w:val="16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Charlottesville, VA 22091(12)</w:t>
            </w: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Staples</w:t>
            </w:r>
          </w:p>
        </w:tc>
      </w:tr>
      <w:tr>
        <w:trPr>
          <w:trHeight w:val="132"/>
        </w:trPr>
        <w:tc>
          <w:tcPr>
            <w:tcW w:w="1820" w:type="dxa"/>
            <w:vAlign w:val="bottom"/>
          </w:tcPr>
          <w:p>
            <w:pPr>
              <w:spacing w:after="0" w:line="133" w:lineRule="exact"/>
              <w:rPr>
                <w:sz w:val="20"/>
                <w:szCs w:val="20"/>
                <w:color w:val="auto"/>
              </w:rPr>
            </w:pPr>
            <w:r>
              <w:rPr>
                <w:rFonts w:ascii="Arial" w:cs="Arial" w:eastAsia="Arial" w:hAnsi="Arial"/>
                <w:sz w:val="13"/>
                <w:szCs w:val="13"/>
                <w:color w:val="auto"/>
              </w:rPr>
              <w:t>Shops at Willow Lawn</w:t>
            </w:r>
          </w:p>
        </w:tc>
        <w:tc>
          <w:tcPr>
            <w:tcW w:w="306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89"/>
              </w:rPr>
              <w:t>1957</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1983</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9"/>
              </w:rPr>
              <w:t>480,000</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w w:val="90"/>
              </w:rPr>
              <w:t>$16.02</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4"/>
              </w:rPr>
              <w:t>88%</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Kroger</w:t>
            </w:r>
          </w:p>
        </w:tc>
      </w:tr>
      <w:tr>
        <w:trPr>
          <w:trHeight w:val="141"/>
        </w:trPr>
        <w:tc>
          <w:tcPr>
            <w:tcW w:w="1820" w:type="dxa"/>
            <w:vAlign w:val="bottom"/>
          </w:tcPr>
          <w:p>
            <w:pPr>
              <w:ind w:left="140"/>
              <w:spacing w:after="0" w:line="141" w:lineRule="exact"/>
              <w:rPr>
                <w:sz w:val="20"/>
                <w:szCs w:val="20"/>
                <w:color w:val="auto"/>
              </w:rPr>
            </w:pPr>
            <w:r>
              <w:rPr>
                <w:rFonts w:ascii="Arial" w:cs="Arial" w:eastAsia="Arial" w:hAnsi="Arial"/>
                <w:sz w:val="13"/>
                <w:szCs w:val="13"/>
                <w:color w:val="auto"/>
              </w:rPr>
              <w:t>Richmond, VA 23230</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Old Navy</w:t>
            </w:r>
          </w:p>
        </w:tc>
      </w:tr>
      <w:tr>
        <w:trPr>
          <w:trHeight w:val="141"/>
        </w:trPr>
        <w:tc>
          <w:tcPr>
            <w:tcW w:w="18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gridSpan w:val="2"/>
          </w:tcPr>
          <w:p>
            <w:pPr>
              <w:ind w:left="100"/>
              <w:spacing w:after="0" w:line="141" w:lineRule="exact"/>
              <w:rPr>
                <w:sz w:val="20"/>
                <w:szCs w:val="20"/>
                <w:color w:val="auto"/>
              </w:rPr>
            </w:pPr>
            <w:r>
              <w:rPr>
                <w:rFonts w:ascii="Arial" w:cs="Arial" w:eastAsia="Arial" w:hAnsi="Arial"/>
                <w:sz w:val="13"/>
                <w:szCs w:val="13"/>
                <w:color w:val="auto"/>
              </w:rPr>
              <w:t>Ross Dress For Less</w:t>
            </w:r>
          </w:p>
        </w:tc>
      </w:tr>
      <w:tr>
        <w:trPr>
          <w:trHeight w:val="163"/>
        </w:trPr>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2"/>
          </w:tcPr>
          <w:p>
            <w:pPr>
              <w:ind w:left="100"/>
              <w:spacing w:after="0"/>
              <w:rPr>
                <w:sz w:val="20"/>
                <w:szCs w:val="20"/>
                <w:color w:val="auto"/>
              </w:rPr>
            </w:pPr>
            <w:r>
              <w:rPr>
                <w:rFonts w:ascii="Arial" w:cs="Arial" w:eastAsia="Arial" w:hAnsi="Arial"/>
                <w:sz w:val="13"/>
                <w:szCs w:val="13"/>
                <w:color w:val="auto"/>
              </w:rPr>
              <w:t>Staples</w:t>
            </w:r>
          </w:p>
        </w:tc>
      </w:tr>
      <w:tr>
        <w:trPr>
          <w:trHeight w:val="133"/>
        </w:trPr>
        <w:tc>
          <w:tcPr>
            <w:tcW w:w="1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Tower Shopping Center</w:t>
            </w:r>
          </w:p>
        </w:tc>
        <w:tc>
          <w:tcPr>
            <w:tcW w:w="3060" w:type="dxa"/>
            <w:vAlign w:val="bottom"/>
            <w:gridSpan w:val="2"/>
            <w:shd w:val="clear" w:color="auto" w:fill="CCEEFF"/>
          </w:tcPr>
          <w:p>
            <w:pPr>
              <w:jc w:val="center"/>
              <w:ind w:left="2136"/>
              <w:spacing w:after="0" w:line="133" w:lineRule="exact"/>
              <w:rPr>
                <w:sz w:val="20"/>
                <w:szCs w:val="20"/>
                <w:color w:val="auto"/>
              </w:rPr>
            </w:pPr>
            <w:r>
              <w:rPr>
                <w:rFonts w:ascii="Arial" w:cs="Arial" w:eastAsia="Arial" w:hAnsi="Arial"/>
                <w:sz w:val="13"/>
                <w:szCs w:val="13"/>
                <w:color w:val="auto"/>
                <w:w w:val="89"/>
              </w:rPr>
              <w:t>1960</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1998</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112,000</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$24.04</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91%</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Talbots</w:t>
            </w:r>
          </w:p>
        </w:tc>
      </w:tr>
      <w:tr>
        <w:trPr>
          <w:trHeight w:val="163"/>
        </w:trPr>
        <w:tc>
          <w:tcPr>
            <w:tcW w:w="18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Springfield, VA 22150</w:t>
            </w: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r>
      <w:tr>
        <w:trPr>
          <w:trHeight w:val="132"/>
        </w:trPr>
        <w:tc>
          <w:tcPr>
            <w:tcW w:w="1820" w:type="dxa"/>
            <w:vAlign w:val="bottom"/>
          </w:tcPr>
          <w:p>
            <w:pPr>
              <w:spacing w:after="0" w:line="133" w:lineRule="exact"/>
              <w:rPr>
                <w:sz w:val="20"/>
                <w:szCs w:val="20"/>
                <w:color w:val="auto"/>
              </w:rPr>
            </w:pPr>
            <w:r>
              <w:rPr>
                <w:rFonts w:ascii="Arial" w:cs="Arial" w:eastAsia="Arial" w:hAnsi="Arial"/>
                <w:sz w:val="13"/>
                <w:szCs w:val="13"/>
                <w:color w:val="auto"/>
              </w:rPr>
              <w:t>Tyson’s Station</w:t>
            </w:r>
          </w:p>
        </w:tc>
        <w:tc>
          <w:tcPr>
            <w:tcW w:w="3060" w:type="dxa"/>
            <w:vAlign w:val="bottom"/>
            <w:gridSpan w:val="2"/>
          </w:tcPr>
          <w:p>
            <w:pPr>
              <w:jc w:val="center"/>
              <w:ind w:left="2136"/>
              <w:spacing w:after="0" w:line="133" w:lineRule="exact"/>
              <w:rPr>
                <w:sz w:val="20"/>
                <w:szCs w:val="20"/>
                <w:color w:val="auto"/>
              </w:rPr>
            </w:pPr>
            <w:r>
              <w:rPr>
                <w:rFonts w:ascii="Arial" w:cs="Arial" w:eastAsia="Arial" w:hAnsi="Arial"/>
                <w:sz w:val="13"/>
                <w:szCs w:val="13"/>
                <w:color w:val="auto"/>
                <w:w w:val="89"/>
              </w:rPr>
              <w:t>1954</w:t>
            </w:r>
          </w:p>
        </w:tc>
        <w:tc>
          <w:tcPr>
            <w:tcW w:w="900" w:type="dxa"/>
            <w:vAlign w:val="bottom"/>
            <w:gridSpan w:val="2"/>
          </w:tcPr>
          <w:p>
            <w:pPr>
              <w:jc w:val="center"/>
              <w:ind w:left="56"/>
              <w:spacing w:after="0" w:line="133" w:lineRule="exact"/>
              <w:rPr>
                <w:sz w:val="20"/>
                <w:szCs w:val="20"/>
                <w:color w:val="auto"/>
              </w:rPr>
            </w:pPr>
            <w:r>
              <w:rPr>
                <w:rFonts w:ascii="Arial" w:cs="Arial" w:eastAsia="Arial" w:hAnsi="Arial"/>
                <w:sz w:val="13"/>
                <w:szCs w:val="13"/>
                <w:color w:val="auto"/>
                <w:w w:val="89"/>
              </w:rPr>
              <w:t>1978</w:t>
            </w:r>
          </w:p>
        </w:tc>
        <w:tc>
          <w:tcPr>
            <w:tcW w:w="124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85"/>
              </w:rPr>
              <w:t>49,000</w:t>
            </w:r>
          </w:p>
        </w:tc>
        <w:tc>
          <w:tcPr>
            <w:tcW w:w="10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3"/>
                <w:szCs w:val="13"/>
                <w:color w:val="auto"/>
                <w:w w:val="90"/>
              </w:rPr>
              <w:t>$39.43</w:t>
            </w:r>
          </w:p>
        </w:tc>
        <w:tc>
          <w:tcPr>
            <w:tcW w:w="1000" w:type="dxa"/>
            <w:vAlign w:val="bottom"/>
            <w:gridSpan w:val="2"/>
          </w:tcPr>
          <w:p>
            <w:pPr>
              <w:jc w:val="center"/>
              <w:ind w:left="36"/>
              <w:spacing w:after="0" w:line="133" w:lineRule="exact"/>
              <w:rPr>
                <w:sz w:val="20"/>
                <w:szCs w:val="20"/>
                <w:color w:val="auto"/>
              </w:rPr>
            </w:pPr>
            <w:r>
              <w:rPr>
                <w:rFonts w:ascii="Arial" w:cs="Arial" w:eastAsia="Arial" w:hAnsi="Arial"/>
                <w:sz w:val="13"/>
                <w:szCs w:val="13"/>
                <w:color w:val="auto"/>
                <w:w w:val="90"/>
              </w:rPr>
              <w:t>100%</w:t>
            </w:r>
          </w:p>
        </w:tc>
        <w:tc>
          <w:tcPr>
            <w:tcW w:w="2160" w:type="dxa"/>
            <w:vAlign w:val="bottom"/>
            <w:gridSpan w:val="2"/>
          </w:tcPr>
          <w:p>
            <w:pPr>
              <w:ind w:left="100"/>
              <w:spacing w:after="0" w:line="133" w:lineRule="exact"/>
              <w:rPr>
                <w:sz w:val="20"/>
                <w:szCs w:val="20"/>
                <w:color w:val="auto"/>
              </w:rPr>
            </w:pPr>
            <w:r>
              <w:rPr>
                <w:rFonts w:ascii="Arial" w:cs="Arial" w:eastAsia="Arial" w:hAnsi="Arial"/>
                <w:sz w:val="13"/>
                <w:szCs w:val="13"/>
                <w:color w:val="auto"/>
              </w:rPr>
              <w:t>Trader Joe’s</w:t>
            </w:r>
          </w:p>
        </w:tc>
      </w:tr>
      <w:tr>
        <w:trPr>
          <w:trHeight w:val="163"/>
        </w:trPr>
        <w:tc>
          <w:tcPr>
            <w:tcW w:w="1820" w:type="dxa"/>
            <w:vAlign w:val="bottom"/>
          </w:tcPr>
          <w:p>
            <w:pPr>
              <w:ind w:left="140"/>
              <w:spacing w:after="0"/>
              <w:rPr>
                <w:sz w:val="20"/>
                <w:szCs w:val="20"/>
                <w:color w:val="auto"/>
              </w:rPr>
            </w:pPr>
            <w:r>
              <w:rPr>
                <w:rFonts w:ascii="Arial" w:cs="Arial" w:eastAsia="Arial" w:hAnsi="Arial"/>
                <w:sz w:val="13"/>
                <w:szCs w:val="13"/>
                <w:color w:val="auto"/>
              </w:rPr>
              <w:t>Falls Church, VA 22043(12)</w:t>
            </w: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33"/>
        </w:trPr>
        <w:tc>
          <w:tcPr>
            <w:tcW w:w="18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Village at Shirlington</w:t>
            </w:r>
          </w:p>
        </w:tc>
        <w:tc>
          <w:tcPr>
            <w:tcW w:w="3060" w:type="dxa"/>
            <w:vAlign w:val="bottom"/>
            <w:gridSpan w:val="2"/>
            <w:shd w:val="clear" w:color="auto" w:fill="CCEEFF"/>
          </w:tcPr>
          <w:p>
            <w:pPr>
              <w:jc w:val="center"/>
              <w:ind w:left="2116"/>
              <w:spacing w:after="0" w:line="133" w:lineRule="exact"/>
              <w:rPr>
                <w:sz w:val="20"/>
                <w:szCs w:val="20"/>
                <w:color w:val="auto"/>
              </w:rPr>
            </w:pPr>
            <w:r>
              <w:rPr>
                <w:rFonts w:ascii="Arial" w:cs="Arial" w:eastAsia="Arial" w:hAnsi="Arial"/>
                <w:sz w:val="13"/>
                <w:szCs w:val="13"/>
                <w:color w:val="auto"/>
                <w:w w:val="89"/>
              </w:rPr>
              <w:t>1940, 2006-2009</w:t>
            </w:r>
          </w:p>
        </w:tc>
        <w:tc>
          <w:tcPr>
            <w:tcW w:w="900" w:type="dxa"/>
            <w:vAlign w:val="bottom"/>
            <w:gridSpan w:val="2"/>
            <w:shd w:val="clear" w:color="auto" w:fill="CCEEFF"/>
          </w:tcPr>
          <w:p>
            <w:pPr>
              <w:jc w:val="center"/>
              <w:ind w:left="56"/>
              <w:spacing w:after="0" w:line="133" w:lineRule="exact"/>
              <w:rPr>
                <w:sz w:val="20"/>
                <w:szCs w:val="20"/>
                <w:color w:val="auto"/>
              </w:rPr>
            </w:pPr>
            <w:r>
              <w:rPr>
                <w:rFonts w:ascii="Arial" w:cs="Arial" w:eastAsia="Arial" w:hAnsi="Arial"/>
                <w:sz w:val="13"/>
                <w:szCs w:val="13"/>
                <w:color w:val="auto"/>
                <w:w w:val="89"/>
              </w:rPr>
              <w:t>1995</w:t>
            </w:r>
          </w:p>
        </w:tc>
        <w:tc>
          <w:tcPr>
            <w:tcW w:w="124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9"/>
              </w:rPr>
              <w:t>255,000</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center"/>
              <w:spacing w:after="0" w:line="133" w:lineRule="exact"/>
              <w:rPr>
                <w:sz w:val="20"/>
                <w:szCs w:val="20"/>
                <w:color w:val="auto"/>
              </w:rPr>
            </w:pPr>
            <w:r>
              <w:rPr>
                <w:rFonts w:ascii="Arial" w:cs="Arial" w:eastAsia="Arial" w:hAnsi="Arial"/>
                <w:sz w:val="13"/>
                <w:szCs w:val="13"/>
                <w:color w:val="auto"/>
                <w:w w:val="90"/>
              </w:rPr>
              <w:t>$33.22</w:t>
            </w:r>
          </w:p>
        </w:tc>
        <w:tc>
          <w:tcPr>
            <w:tcW w:w="1000" w:type="dxa"/>
            <w:vAlign w:val="bottom"/>
            <w:gridSpan w:val="2"/>
            <w:shd w:val="clear" w:color="auto" w:fill="CCEEFF"/>
          </w:tcPr>
          <w:p>
            <w:pPr>
              <w:jc w:val="center"/>
              <w:ind w:left="36"/>
              <w:spacing w:after="0" w:line="133" w:lineRule="exact"/>
              <w:rPr>
                <w:sz w:val="20"/>
                <w:szCs w:val="20"/>
                <w:color w:val="auto"/>
              </w:rPr>
            </w:pPr>
            <w:r>
              <w:rPr>
                <w:rFonts w:ascii="Arial" w:cs="Arial" w:eastAsia="Arial" w:hAnsi="Arial"/>
                <w:sz w:val="13"/>
                <w:szCs w:val="13"/>
                <w:color w:val="auto"/>
                <w:w w:val="84"/>
              </w:rPr>
              <w:t>98%</w:t>
            </w:r>
          </w:p>
        </w:tc>
        <w:tc>
          <w:tcPr>
            <w:tcW w:w="2160" w:type="dxa"/>
            <w:vAlign w:val="bottom"/>
            <w:gridSpan w:val="2"/>
            <w:shd w:val="clear" w:color="auto" w:fill="CCEEFF"/>
          </w:tcPr>
          <w:p>
            <w:pPr>
              <w:ind w:left="100"/>
              <w:spacing w:after="0" w:line="133" w:lineRule="exact"/>
              <w:rPr>
                <w:sz w:val="20"/>
                <w:szCs w:val="20"/>
                <w:color w:val="auto"/>
              </w:rPr>
            </w:pPr>
            <w:r>
              <w:rPr>
                <w:rFonts w:ascii="Arial" w:cs="Arial" w:eastAsia="Arial" w:hAnsi="Arial"/>
                <w:sz w:val="13"/>
                <w:szCs w:val="13"/>
                <w:color w:val="auto"/>
              </w:rPr>
              <w:t>AMC Loews</w:t>
            </w:r>
          </w:p>
        </w:tc>
      </w:tr>
      <w:tr>
        <w:trPr>
          <w:trHeight w:val="141"/>
        </w:trPr>
        <w:tc>
          <w:tcPr>
            <w:tcW w:w="182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Arlington, VA 22206(7)</w:t>
            </w:r>
          </w:p>
        </w:tc>
        <w:tc>
          <w:tcPr>
            <w:tcW w:w="2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Carlyle Grand Café</w:t>
            </w:r>
          </w:p>
        </w:tc>
      </w:tr>
      <w:tr>
        <w:trPr>
          <w:trHeight w:val="163"/>
        </w:trPr>
        <w:tc>
          <w:tcPr>
            <w:tcW w:w="18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Harris Teeter</w:t>
            </w:r>
          </w:p>
        </w:tc>
      </w:tr>
      <w:tr>
        <w:trPr>
          <w:trHeight w:val="147"/>
        </w:trPr>
        <w:tc>
          <w:tcPr>
            <w:tcW w:w="1820" w:type="dxa"/>
            <w:vAlign w:val="bottom"/>
          </w:tcPr>
          <w:p>
            <w:pPr>
              <w:spacing w:after="0" w:line="148" w:lineRule="exact"/>
              <w:rPr>
                <w:sz w:val="20"/>
                <w:szCs w:val="20"/>
                <w:color w:val="auto"/>
              </w:rPr>
            </w:pPr>
            <w:r>
              <w:rPr>
                <w:rFonts w:ascii="Arial" w:cs="Arial" w:eastAsia="Arial" w:hAnsi="Arial"/>
                <w:sz w:val="13"/>
                <w:szCs w:val="13"/>
                <w:b w:val="1"/>
                <w:bCs w:val="1"/>
                <w:color w:val="auto"/>
              </w:rPr>
              <w:t>Total All Regions—Retail(14)</w:t>
            </w:r>
          </w:p>
        </w:tc>
        <w:tc>
          <w:tcPr>
            <w:tcW w:w="2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3"/>
          </w:tcPr>
          <w:p>
            <w:pPr>
              <w:jc w:val="right"/>
              <w:ind w:right="100"/>
              <w:spacing w:after="0" w:line="148" w:lineRule="exact"/>
              <w:rPr>
                <w:sz w:val="20"/>
                <w:szCs w:val="20"/>
                <w:color w:val="auto"/>
              </w:rPr>
            </w:pPr>
            <w:r>
              <w:rPr>
                <w:rFonts w:ascii="Arial" w:cs="Arial" w:eastAsia="Arial" w:hAnsi="Arial"/>
                <w:sz w:val="13"/>
                <w:szCs w:val="13"/>
                <w:b w:val="1"/>
                <w:bCs w:val="1"/>
                <w:color w:val="auto"/>
              </w:rPr>
              <w:t>18,286,000</w:t>
            </w:r>
          </w:p>
        </w:tc>
        <w:tc>
          <w:tcPr>
            <w:tcW w:w="11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$22.77</w:t>
            </w:r>
          </w:p>
        </w:tc>
        <w:tc>
          <w:tcPr>
            <w:tcW w:w="100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rPr>
              <w:t>94%</w:t>
            </w: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r>
      <w:tr>
        <w:trPr>
          <w:trHeight w:val="141"/>
        </w:trPr>
        <w:tc>
          <w:tcPr>
            <w:tcW w:w="1820" w:type="dxa"/>
            <w:vAlign w:val="bottom"/>
            <w:shd w:val="clear" w:color="auto" w:fill="CCEEFF"/>
          </w:tcPr>
          <w:p>
            <w:pPr>
              <w:spacing w:after="0" w:line="141" w:lineRule="exact"/>
              <w:rPr>
                <w:sz w:val="20"/>
                <w:szCs w:val="20"/>
                <w:color w:val="auto"/>
              </w:rPr>
            </w:pPr>
            <w:r>
              <w:rPr>
                <w:rFonts w:ascii="Arial" w:cs="Arial" w:eastAsia="Arial" w:hAnsi="Arial"/>
                <w:sz w:val="13"/>
                <w:szCs w:val="13"/>
                <w:b w:val="1"/>
                <w:bCs w:val="1"/>
                <w:color w:val="auto"/>
                <w:w w:val="95"/>
              </w:rPr>
              <w:t>Total All Regions—Residential</w:t>
            </w:r>
          </w:p>
        </w:tc>
        <w:tc>
          <w:tcPr>
            <w:tcW w:w="2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b w:val="1"/>
                <w:bCs w:val="1"/>
                <w:color w:val="auto"/>
              </w:rPr>
              <w:t>903 units</w:t>
            </w:r>
          </w:p>
        </w:tc>
        <w:tc>
          <w:tcPr>
            <w:tcW w:w="1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b w:val="1"/>
                <w:bCs w:val="1"/>
                <w:color w:val="auto"/>
              </w:rPr>
              <w:t>95%</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r>
      <w:tr>
        <w:trPr>
          <w:trHeight w:val="20"/>
        </w:trPr>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26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5" w:lineRule="exact"/>
        <w:rPr>
          <w:sz w:val="20"/>
          <w:szCs w:val="20"/>
          <w:color w:val="auto"/>
        </w:rPr>
      </w:pPr>
    </w:p>
    <w:p>
      <w:pPr>
        <w:ind w:left="340" w:right="240" w:hanging="337"/>
        <w:spacing w:after="0" w:line="234"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spacing w:after="0" w:line="1" w:lineRule="exact"/>
        <w:rPr>
          <w:rFonts w:ascii="Arial" w:cs="Arial" w:eastAsia="Arial" w:hAnsi="Arial"/>
          <w:sz w:val="13"/>
          <w:szCs w:val="13"/>
          <w:color w:val="auto"/>
        </w:rPr>
      </w:pPr>
    </w:p>
    <w:p>
      <w:pPr>
        <w:ind w:left="340" w:right="1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spacing w:after="0" w:line="1" w:lineRule="exact"/>
        <w:rPr>
          <w:rFonts w:ascii="Arial" w:cs="Arial" w:eastAsia="Arial" w:hAnsi="Arial"/>
          <w:sz w:val="13"/>
          <w:szCs w:val="13"/>
          <w:color w:val="auto"/>
        </w:rPr>
      </w:pP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or a portion of this property is owned pursuant to a ground lease.</w:t>
      </w: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the controlling interest in this center.</w:t>
      </w: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a 90% general and limited partnership interests in these buildings.</w:t>
      </w: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this property in a “downREIT” partnership, of which a wholly owned subsidiary of the Trust is the sole general partner, with third party partners holding operating partnership units.</w:t>
      </w: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All or a portion of this property is subject to a capital lease obligation.</w:t>
      </w:r>
    </w:p>
    <w:p>
      <w:pPr>
        <w:ind w:left="340" w:hanging="337"/>
        <w:spacing w:after="0" w:line="226"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own a 64.1% membership interest in this property.</w:t>
      </w:r>
    </w:p>
    <w:p>
      <w:pPr>
        <w:ind w:left="340" w:hanging="337"/>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50% of the ownership of this property is in a “downREIT” partnership, of which a wholly owned subsidiary of the Trust is the sole general partner, with third party partners holding operating partnership units.</w:t>
      </w:r>
    </w:p>
    <w:p>
      <w:pPr>
        <w:spacing w:after="0" w:line="3" w:lineRule="exact"/>
        <w:rPr>
          <w:rFonts w:ascii="Arial" w:cs="Arial" w:eastAsia="Arial" w:hAnsi="Arial"/>
          <w:sz w:val="12"/>
          <w:szCs w:val="12"/>
          <w:color w:val="auto"/>
        </w:rPr>
      </w:pPr>
    </w:p>
    <w:p>
      <w:pPr>
        <w:ind w:left="340" w:hanging="337"/>
        <w:spacing w:after="0"/>
        <w:tabs>
          <w:tab w:leader="none" w:pos="3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Properties acquired through the Taurus Newbury Street JV II Limited Partnership or a joint venture arrangement with affiliates of a discretionary fund created and advised by ING Clarion Partners.</w:t>
      </w:r>
    </w:p>
    <w:p>
      <w:pPr>
        <w:spacing w:after="0" w:line="3" w:lineRule="exact"/>
        <w:rPr>
          <w:rFonts w:ascii="Arial" w:cs="Arial" w:eastAsia="Arial" w:hAnsi="Arial"/>
          <w:sz w:val="12"/>
          <w:szCs w:val="12"/>
          <w:color w:val="auto"/>
        </w:rPr>
      </w:pPr>
    </w:p>
    <w:p>
      <w:pPr>
        <w:ind w:left="340" w:right="40" w:hanging="337"/>
        <w:spacing w:after="0" w:line="235"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Trust controls Melville Mall through a 20 year master lease and secondary financing to the owner. Because the Trust controls the activities that most significantly impact this property and retains substantially all of the economic benefit and risk associated with it, we consolidate this property and its operations.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5"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40" w:hanging="337"/>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All or a portion of this property is encumbered by a mortgage loan.</w:t>
      </w:r>
    </w:p>
    <w:p>
      <w:pPr>
        <w:spacing w:after="0" w:line="1" w:lineRule="exact"/>
        <w:rPr>
          <w:rFonts w:ascii="Arial" w:cs="Arial" w:eastAsia="Arial" w:hAnsi="Arial"/>
          <w:sz w:val="13"/>
          <w:szCs w:val="13"/>
          <w:color w:val="auto"/>
        </w:rPr>
      </w:pPr>
    </w:p>
    <w:p>
      <w:pPr>
        <w:ind w:left="340" w:hanging="337"/>
        <w:spacing w:after="0" w:line="226"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On November 10, 2010, we acquired an adjacent site to this property which totaled approximately 75,000 square feet, and we are in the process of preparing the space for lease.</w:t>
      </w:r>
    </w:p>
    <w:p>
      <w:pPr>
        <w:ind w:left="340" w:right="40" w:hanging="337"/>
        <w:spacing w:after="0" w:line="235"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Aggregate information is calculated on a GLA weighted-average basis, excluding properties acquired through the Taurus Newbury Street JV II Limited Partnership and a joint venture arrangement with affiliates of a discretionary fund created and advised by ING Clarion Partners.</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reflected our best estimate of the litigation liability. Oral arguments on the appeal were heard in December 2010. A final ruling on the appeal was issued in February 2011 which rejected both appeals and consequently, affirmed the final judgment against us. Therefore, in December 2010, we adjusted our accrual to $16.2 million which reflects the amount we expect to pay in first quarter 2011.</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net change in our accrual in 2010 and 2009 is included in “litigation provision” in our consolidated statements of operations. The litigation accrual of $16.2 million and $16.4 million at December 31, 2010 and 2009, respectively, is included in the “accounts payable and accrued expenses” line item in our consolidated balance sheets. During 2010 and 2009, we incurred additional legal and other costs related to this lawsuit and appeal process which are also included in the “litigation provision” line item in the consolidated statements of operations.</w:t>
      </w:r>
    </w:p>
    <w:p>
      <w:pPr>
        <w:spacing w:after="0" w:line="20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45"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4" w:lineRule="exact"/>
        <w:rPr>
          <w:sz w:val="20"/>
          <w:szCs w:val="20"/>
          <w:color w:val="auto"/>
        </w:rPr>
      </w:pPr>
    </w:p>
    <w:p>
      <w:pPr>
        <w:ind w:left="900" w:right="900" w:hanging="1027"/>
        <w:spacing w:after="0" w:line="278" w:lineRule="auto"/>
        <w:tabs>
          <w:tab w:leader="none" w:pos="880" w:val="left"/>
        </w:tabs>
        <w:rPr>
          <w:sz w:val="20"/>
          <w:szCs w:val="20"/>
          <w:color w:val="auto"/>
        </w:rPr>
      </w:pPr>
      <w:r>
        <w:rPr>
          <w:rFonts w:ascii="Arial" w:cs="Arial" w:eastAsia="Arial" w:hAnsi="Arial"/>
          <w:sz w:val="17"/>
          <w:szCs w:val="17"/>
          <w:b w:val="1"/>
          <w:bCs w:val="1"/>
          <w:color w:val="auto"/>
        </w:rPr>
        <w:t>ITEM 5.</w:t>
        <w:tab/>
        <w:t>MARKET FOR OUR COMMON EQUITY AND RELATED SHAREHOLDER MATTERS AND ISSUER PURCHASES OF EQUITY SECURITIES</w:t>
      </w:r>
    </w:p>
    <w:p>
      <w:pPr>
        <w:spacing w:after="0" w:line="3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tcPr>
          <w:p>
            <w:pPr>
              <w:spacing w:after="0"/>
              <w:rPr>
                <w:sz w:val="13"/>
                <w:szCs w:val="13"/>
                <w:color w:val="auto"/>
              </w:rPr>
            </w:pPr>
          </w:p>
        </w:tc>
        <w:tc>
          <w:tcPr>
            <w:tcW w:w="2000" w:type="dxa"/>
            <w:vAlign w:val="bottom"/>
            <w:gridSpan w:val="4"/>
            <w:vMerge w:val="restart"/>
          </w:tcPr>
          <w:p>
            <w:pPr>
              <w:ind w:left="300"/>
              <w:spacing w:after="0"/>
              <w:rPr>
                <w:sz w:val="20"/>
                <w:szCs w:val="20"/>
                <w:color w:val="auto"/>
              </w:rPr>
            </w:pPr>
            <w:r>
              <w:rPr>
                <w:rFonts w:ascii="Arial" w:cs="Arial" w:eastAsia="Arial" w:hAnsi="Arial"/>
                <w:sz w:val="13"/>
                <w:szCs w:val="13"/>
                <w:b w:val="1"/>
                <w:bCs w:val="1"/>
                <w:color w:val="auto"/>
              </w:rPr>
              <w:t>Price Per Share</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w w:val="99"/>
              </w:rPr>
              <w:t>Dividends</w:t>
            </w:r>
          </w:p>
        </w:tc>
        <w:tc>
          <w:tcPr>
            <w:tcW w:w="0" w:type="dxa"/>
            <w:vAlign w:val="bottom"/>
          </w:tcPr>
          <w:p>
            <w:pPr>
              <w:spacing w:after="0"/>
              <w:rPr>
                <w:sz w:val="1"/>
                <w:szCs w:val="1"/>
                <w:color w:val="auto"/>
              </w:rPr>
            </w:pPr>
          </w:p>
        </w:tc>
      </w:tr>
      <w:tr>
        <w:trPr>
          <w:trHeight w:val="77"/>
        </w:trPr>
        <w:tc>
          <w:tcPr>
            <w:tcW w:w="87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640" w:type="dxa"/>
            <w:vAlign w:val="bottom"/>
            <w:gridSpan w:val="3"/>
            <w:vMerge w:val="restart"/>
          </w:tcPr>
          <w:p>
            <w:pPr>
              <w:ind w:left="40"/>
              <w:spacing w:after="0" w:line="141" w:lineRule="exact"/>
              <w:rPr>
                <w:sz w:val="20"/>
                <w:szCs w:val="20"/>
                <w:color w:val="auto"/>
              </w:rPr>
            </w:pPr>
            <w:r>
              <w:rPr>
                <w:rFonts w:ascii="Arial" w:cs="Arial" w:eastAsia="Arial" w:hAnsi="Arial"/>
                <w:sz w:val="13"/>
                <w:szCs w:val="13"/>
                <w:b w:val="1"/>
                <w:bCs w:val="1"/>
                <w:color w:val="auto"/>
              </w:rPr>
              <w:t>Declared</w:t>
            </w:r>
          </w:p>
        </w:tc>
        <w:tc>
          <w:tcPr>
            <w:tcW w:w="0" w:type="dxa"/>
            <w:vAlign w:val="bottom"/>
          </w:tcPr>
          <w:p>
            <w:pPr>
              <w:spacing w:after="0"/>
              <w:rPr>
                <w:sz w:val="1"/>
                <w:szCs w:val="1"/>
                <w:color w:val="auto"/>
              </w:rPr>
            </w:pPr>
          </w:p>
        </w:tc>
      </w:tr>
      <w:tr>
        <w:trPr>
          <w:trHeight w:val="44"/>
        </w:trPr>
        <w:tc>
          <w:tcPr>
            <w:tcW w:w="878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8780" w:type="dxa"/>
            <w:vAlign w:val="bottom"/>
          </w:tcPr>
          <w:p>
            <w:pPr>
              <w:spacing w:after="0"/>
              <w:rPr>
                <w:sz w:val="13"/>
                <w:szCs w:val="13"/>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High</w:t>
            </w:r>
          </w:p>
        </w:tc>
        <w:tc>
          <w:tcPr>
            <w:tcW w:w="10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2"/>
              </w:rPr>
              <w:t>Low</w:t>
            </w:r>
          </w:p>
        </w:tc>
        <w:tc>
          <w:tcPr>
            <w:tcW w:w="640" w:type="dxa"/>
            <w:vAlign w:val="bottom"/>
            <w:gridSpan w:val="3"/>
          </w:tcPr>
          <w:p>
            <w:pPr>
              <w:spacing w:after="0"/>
              <w:rPr>
                <w:sz w:val="20"/>
                <w:szCs w:val="20"/>
                <w:color w:val="auto"/>
              </w:rPr>
            </w:pPr>
            <w:r>
              <w:rPr>
                <w:rFonts w:ascii="Arial" w:cs="Arial" w:eastAsia="Arial" w:hAnsi="Arial"/>
                <w:sz w:val="13"/>
                <w:szCs w:val="13"/>
                <w:b w:val="1"/>
                <w:bCs w:val="1"/>
                <w:color w:val="auto"/>
              </w:rPr>
              <w:t>Per Share</w:t>
            </w:r>
          </w:p>
        </w:tc>
        <w:tc>
          <w:tcPr>
            <w:tcW w:w="0" w:type="dxa"/>
            <w:vAlign w:val="bottom"/>
          </w:tcPr>
          <w:p>
            <w:pPr>
              <w:spacing w:after="0"/>
              <w:rPr>
                <w:sz w:val="1"/>
                <w:szCs w:val="1"/>
                <w:color w:val="auto"/>
              </w:rPr>
            </w:pPr>
          </w:p>
        </w:tc>
      </w:tr>
      <w:tr>
        <w:trPr>
          <w:trHeight w:val="198"/>
        </w:trPr>
        <w:tc>
          <w:tcPr>
            <w:tcW w:w="8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2010</w:t>
            </w: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ind w:left="420"/>
              <w:spacing w:after="0"/>
              <w:rPr>
                <w:sz w:val="20"/>
                <w:szCs w:val="20"/>
                <w:color w:val="auto"/>
              </w:rPr>
            </w:pPr>
            <w:r>
              <w:rPr>
                <w:rFonts w:ascii="Arial" w:cs="Arial" w:eastAsia="Arial" w:hAnsi="Arial"/>
                <w:sz w:val="17"/>
                <w:szCs w:val="17"/>
                <w:color w:val="auto"/>
              </w:rPr>
              <w:t>Fourth quarter</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$84.32</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$74.87</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0.670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Third quarter</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$83.32</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$68.91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0.670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ind w:left="420"/>
              <w:spacing w:after="0"/>
              <w:rPr>
                <w:sz w:val="20"/>
                <w:szCs w:val="20"/>
                <w:color w:val="auto"/>
              </w:rPr>
            </w:pPr>
            <w:r>
              <w:rPr>
                <w:rFonts w:ascii="Arial" w:cs="Arial" w:eastAsia="Arial" w:hAnsi="Arial"/>
                <w:sz w:val="17"/>
                <w:szCs w:val="17"/>
                <w:color w:val="auto"/>
              </w:rPr>
              <w:t>Second quarter</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$79.52</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$68.35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0.660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First quarter</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84"/>
              </w:rPr>
              <w:t>$ 74.11</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$63.07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0.660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Fourth quarter</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$70.49</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$57.49</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0.660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tcPr>
          <w:p>
            <w:pPr>
              <w:ind w:left="420"/>
              <w:spacing w:after="0"/>
              <w:rPr>
                <w:sz w:val="20"/>
                <w:szCs w:val="20"/>
                <w:color w:val="auto"/>
              </w:rPr>
            </w:pPr>
            <w:r>
              <w:rPr>
                <w:rFonts w:ascii="Arial" w:cs="Arial" w:eastAsia="Arial" w:hAnsi="Arial"/>
                <w:sz w:val="17"/>
                <w:szCs w:val="17"/>
                <w:color w:val="auto"/>
              </w:rPr>
              <w:t>Third quarter</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$66.03</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$48.24</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0.660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Second quarter</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$59.28</w:t>
            </w:r>
          </w:p>
        </w:tc>
        <w:tc>
          <w:tcPr>
            <w:tcW w:w="1000" w:type="dxa"/>
            <w:vAlign w:val="bottom"/>
            <w:gridSpan w:val="2"/>
            <w:shd w:val="clear" w:color="auto" w:fill="CCEEFF"/>
          </w:tcPr>
          <w:p>
            <w:pPr>
              <w:jc w:val="center"/>
              <w:ind w:right="520"/>
              <w:spacing w:after="0"/>
              <w:rPr>
                <w:sz w:val="20"/>
                <w:szCs w:val="20"/>
                <w:color w:val="auto"/>
              </w:rPr>
            </w:pPr>
            <w:r>
              <w:rPr>
                <w:rFonts w:ascii="Arial" w:cs="Arial" w:eastAsia="Arial" w:hAnsi="Arial"/>
                <w:sz w:val="17"/>
                <w:szCs w:val="17"/>
                <w:color w:val="auto"/>
                <w:w w:val="92"/>
              </w:rPr>
              <w:t>$45.51</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0.650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80" w:type="dxa"/>
            <w:vAlign w:val="bottom"/>
          </w:tcPr>
          <w:p>
            <w:pPr>
              <w:ind w:left="420"/>
              <w:spacing w:after="0"/>
              <w:rPr>
                <w:sz w:val="20"/>
                <w:szCs w:val="20"/>
                <w:color w:val="auto"/>
              </w:rPr>
            </w:pPr>
            <w:r>
              <w:rPr>
                <w:rFonts w:ascii="Arial" w:cs="Arial" w:eastAsia="Arial" w:hAnsi="Arial"/>
                <w:sz w:val="17"/>
                <w:szCs w:val="17"/>
                <w:color w:val="auto"/>
              </w:rPr>
              <w:t>First quarter</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$60.31</w:t>
            </w:r>
          </w:p>
        </w:tc>
        <w:tc>
          <w:tcPr>
            <w:tcW w:w="1000" w:type="dxa"/>
            <w:vAlign w:val="bottom"/>
            <w:gridSpan w:val="2"/>
          </w:tcPr>
          <w:p>
            <w:pPr>
              <w:jc w:val="center"/>
              <w:ind w:right="520"/>
              <w:spacing w:after="0"/>
              <w:rPr>
                <w:sz w:val="20"/>
                <w:szCs w:val="20"/>
                <w:color w:val="auto"/>
              </w:rPr>
            </w:pPr>
            <w:r>
              <w:rPr>
                <w:rFonts w:ascii="Arial" w:cs="Arial" w:eastAsia="Arial" w:hAnsi="Arial"/>
                <w:sz w:val="17"/>
                <w:szCs w:val="17"/>
                <w:color w:val="auto"/>
                <w:w w:val="92"/>
              </w:rPr>
              <w:t>$38.82</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0.650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On February 9, 2011, there were 3,666 holders of record of our common shares.</w:t>
      </w:r>
    </w:p>
    <w:p>
      <w:pPr>
        <w:spacing w:after="0" w:line="164" w:lineRule="exact"/>
        <w:rPr>
          <w:sz w:val="20"/>
          <w:szCs w:val="20"/>
          <w:color w:val="auto"/>
        </w:rPr>
      </w:pPr>
    </w:p>
    <w:p>
      <w:pPr>
        <w:jc w:val="both"/>
        <w:ind w:right="240"/>
        <w:spacing w:after="0" w:line="263" w:lineRule="auto"/>
        <w:rPr>
          <w:sz w:val="20"/>
          <w:szCs w:val="20"/>
          <w:color w:val="auto"/>
        </w:rPr>
      </w:pPr>
      <w:r>
        <w:rPr>
          <w:rFonts w:ascii="Arial" w:cs="Arial" w:eastAsia="Arial" w:hAnsi="Arial"/>
          <w:sz w:val="17"/>
          <w:szCs w:val="17"/>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8"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43 consecutive years.</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Our total annual dividends paid per common share for 2010 and 2009 were $2.65 per share and $2.61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2011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5"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income tax status of distributions per share paid to common shareholders: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59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Year Ended</w:t>
            </w:r>
          </w:p>
        </w:tc>
      </w:tr>
      <w:tr>
        <w:trPr>
          <w:trHeight w:val="154"/>
        </w:trPr>
        <w:tc>
          <w:tcPr>
            <w:tcW w:w="59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87"/>
              </w:rPr>
              <w:t>December 31,</w:t>
            </w:r>
          </w:p>
        </w:tc>
      </w:tr>
      <w:tr>
        <w:trPr>
          <w:trHeight w:val="134"/>
        </w:trPr>
        <w:tc>
          <w:tcPr>
            <w:tcW w:w="59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51"/>
              <w:spacing w:after="0" w:line="134" w:lineRule="exact"/>
              <w:rPr>
                <w:sz w:val="20"/>
                <w:szCs w:val="20"/>
                <w:color w:val="auto"/>
              </w:rPr>
            </w:pPr>
            <w:r>
              <w:rPr>
                <w:rFonts w:ascii="Arial" w:cs="Arial" w:eastAsia="Arial" w:hAnsi="Arial"/>
                <w:sz w:val="13"/>
                <w:szCs w:val="13"/>
                <w:b w:val="1"/>
                <w:bCs w:val="1"/>
                <w:color w:val="auto"/>
              </w:rPr>
              <w:t>2010</w:t>
            </w:r>
          </w:p>
        </w:tc>
        <w:tc>
          <w:tcPr>
            <w:tcW w:w="50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46"/>
              <w:spacing w:after="0" w:line="134" w:lineRule="exact"/>
              <w:rPr>
                <w:sz w:val="20"/>
                <w:szCs w:val="20"/>
                <w:color w:val="auto"/>
              </w:rPr>
            </w:pPr>
            <w:r>
              <w:rPr>
                <w:rFonts w:ascii="Arial" w:cs="Arial" w:eastAsia="Arial" w:hAnsi="Arial"/>
                <w:sz w:val="13"/>
                <w:szCs w:val="13"/>
                <w:b w:val="1"/>
                <w:bCs w:val="1"/>
                <w:color w:val="auto"/>
              </w:rPr>
              <w:t>2009</w:t>
            </w:r>
          </w:p>
        </w:tc>
        <w:tc>
          <w:tcPr>
            <w:tcW w:w="80" w:type="dxa"/>
            <w:vAlign w:val="bottom"/>
          </w:tcPr>
          <w:p>
            <w:pPr>
              <w:spacing w:after="0"/>
              <w:rPr>
                <w:sz w:val="11"/>
                <w:szCs w:val="11"/>
                <w:color w:val="auto"/>
              </w:rPr>
            </w:pPr>
          </w:p>
        </w:tc>
      </w:tr>
      <w:tr>
        <w:trPr>
          <w:trHeight w:val="198"/>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Ordinary dividend</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$2.377</w:t>
            </w: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Ordinary dividend eligible for 15% tax rate</w:t>
            </w:r>
          </w:p>
        </w:tc>
        <w:tc>
          <w:tcPr>
            <w:tcW w:w="3500" w:type="dxa"/>
            <w:vAlign w:val="bottom"/>
            <w:gridSpan w:val="2"/>
          </w:tcPr>
          <w:p>
            <w:pPr>
              <w:jc w:val="right"/>
              <w:spacing w:after="0"/>
              <w:rPr>
                <w:sz w:val="20"/>
                <w:szCs w:val="20"/>
                <w:color w:val="auto"/>
              </w:rPr>
            </w:pPr>
            <w:r>
              <w:rPr>
                <w:rFonts w:ascii="Arial" w:cs="Arial" w:eastAsia="Arial" w:hAnsi="Arial"/>
                <w:sz w:val="17"/>
                <w:szCs w:val="17"/>
                <w:color w:val="auto"/>
              </w:rPr>
              <w:t>0.025</w:t>
            </w:r>
          </w:p>
        </w:tc>
        <w:tc>
          <w:tcPr>
            <w:tcW w:w="1060" w:type="dxa"/>
            <w:vAlign w:val="bottom"/>
            <w:gridSpan w:val="3"/>
          </w:tcPr>
          <w:p>
            <w:pPr>
              <w:jc w:val="right"/>
              <w:ind w:right="80"/>
              <w:spacing w:after="0"/>
              <w:rPr>
                <w:sz w:val="20"/>
                <w:szCs w:val="20"/>
                <w:color w:val="auto"/>
              </w:rPr>
            </w:pPr>
            <w:r>
              <w:rPr>
                <w:rFonts w:ascii="Arial" w:cs="Arial" w:eastAsia="Arial" w:hAnsi="Arial"/>
                <w:sz w:val="17"/>
                <w:szCs w:val="17"/>
                <w:color w:val="auto"/>
              </w:rPr>
              <w:t>0.024</w:t>
            </w: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Return of capital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0.106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0.183</w:t>
            </w:r>
          </w:p>
        </w:tc>
      </w:tr>
      <w:tr>
        <w:trPr>
          <w:trHeight w:val="211"/>
        </w:trPr>
        <w:tc>
          <w:tcPr>
            <w:tcW w:w="5940" w:type="dxa"/>
            <w:vAlign w:val="bottom"/>
          </w:tcPr>
          <w:p>
            <w:pPr>
              <w:spacing w:after="0"/>
              <w:rPr>
                <w:sz w:val="20"/>
                <w:szCs w:val="20"/>
                <w:color w:val="auto"/>
              </w:rPr>
            </w:pPr>
            <w:r>
              <w:rPr>
                <w:rFonts w:ascii="Arial" w:cs="Arial" w:eastAsia="Arial" w:hAnsi="Arial"/>
                <w:sz w:val="17"/>
                <w:szCs w:val="17"/>
                <w:color w:val="auto"/>
              </w:rPr>
              <w:t>Capital gain</w:t>
            </w:r>
          </w:p>
        </w:tc>
        <w:tc>
          <w:tcPr>
            <w:tcW w:w="3020" w:type="dxa"/>
            <w:vAlign w:val="bottom"/>
          </w:tcPr>
          <w:p>
            <w:pPr>
              <w:spacing w:after="0"/>
              <w:rPr>
                <w:sz w:val="18"/>
                <w:szCs w:val="18"/>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0.026</w:t>
            </w:r>
          </w:p>
        </w:tc>
        <w:tc>
          <w:tcPr>
            <w:tcW w:w="80" w:type="dxa"/>
            <w:vAlign w:val="bottom"/>
          </w:tcPr>
          <w:p>
            <w:pPr>
              <w:spacing w:after="0"/>
              <w:rPr>
                <w:sz w:val="18"/>
                <w:szCs w:val="18"/>
                <w:color w:val="auto"/>
              </w:rPr>
            </w:pPr>
          </w:p>
        </w:tc>
      </w:tr>
      <w:tr>
        <w:trPr>
          <w:trHeight w:val="206"/>
        </w:trPr>
        <w:tc>
          <w:tcPr>
            <w:tcW w:w="594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2.650</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2.610</w:t>
            </w:r>
          </w:p>
        </w:tc>
      </w:tr>
      <w:tr>
        <w:trPr>
          <w:trHeight w:val="20"/>
        </w:trPr>
        <w:tc>
          <w:tcPr>
            <w:tcW w:w="59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Shares</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On October 8, 2010 and November 16, 2010, we redeemed 3,473 operating partnership units each for the equivalent number of our common shares. All other equity securities sold by us during 2010 that were not registered have been previously reported in a Quarterly Report on Form 10-Q.</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No equity securities were purchased by us during 2010. However, 495 restricted common shares were forfeited by former employees.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240" w:top="445" w:right="4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1" w:lineRule="exact"/>
        <w:rPr>
          <w:sz w:val="20"/>
          <w:szCs w:val="20"/>
          <w:color w:val="auto"/>
        </w:rPr>
      </w:pPr>
    </w:p>
    <w:p>
      <w:pPr>
        <w:jc w:val="both"/>
        <w:ind w:right="340"/>
        <w:spacing w:after="0" w:line="314" w:lineRule="auto"/>
        <w:rPr>
          <w:sz w:val="20"/>
          <w:szCs w:val="20"/>
          <w:color w:val="auto"/>
        </w:rPr>
      </w:pPr>
      <w:r>
        <w:rPr>
          <w:rFonts w:ascii="Arial" w:cs="Arial" w:eastAsia="Arial" w:hAnsi="Arial"/>
          <w:sz w:val="15"/>
          <w:szCs w:val="15"/>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2006 through 2009 have been reclassified to conform to the 2010 presentation.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8"/>
              </w:rPr>
              <w:t>Year Ended December 31,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2010</w:t>
            </w: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17"/>
              <w:spacing w:after="0" w:line="134" w:lineRule="exact"/>
              <w:rPr>
                <w:sz w:val="20"/>
                <w:szCs w:val="20"/>
                <w:color w:val="auto"/>
              </w:rPr>
            </w:pPr>
            <w:r>
              <w:rPr>
                <w:rFonts w:ascii="Arial" w:cs="Arial" w:eastAsia="Arial" w:hAnsi="Arial"/>
                <w:sz w:val="13"/>
                <w:szCs w:val="13"/>
                <w:b w:val="1"/>
                <w:bCs w:val="1"/>
                <w:color w:val="auto"/>
                <w:w w:val="89"/>
              </w:rPr>
              <w:t>2008</w:t>
            </w: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2007</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0" w:type="dxa"/>
            <w:vAlign w:val="bottom"/>
            <w:gridSpan w:val="9"/>
          </w:tcPr>
          <w:p>
            <w:pPr>
              <w:jc w:val="center"/>
              <w:ind w:right="380"/>
              <w:spacing w:after="0" w:line="134" w:lineRule="exact"/>
              <w:rPr>
                <w:sz w:val="20"/>
                <w:szCs w:val="20"/>
                <w:color w:val="auto"/>
              </w:rPr>
            </w:pPr>
            <w:r>
              <w:rPr>
                <w:rFonts w:ascii="Arial" w:cs="Arial" w:eastAsia="Arial" w:hAnsi="Arial"/>
                <w:sz w:val="13"/>
                <w:szCs w:val="13"/>
                <w:b w:val="1"/>
                <w:bCs w:val="1"/>
                <w:color w:val="auto"/>
                <w:w w:val="88"/>
              </w:rPr>
              <w:t>(In thousands, except per share data and ratios)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Data:</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Rental income</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525,528</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512,725</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501,055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464,884</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413,719</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Property operating income(1)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374,532</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363,782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354,731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336,434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301,229</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127,107</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102,379</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120,616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99,430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94,276</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12,572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94,768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128,237</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103,872</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135,153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201,127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123,065</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122,790</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98,304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129,787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195,537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118,712</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Net income available for common shareholders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122,249</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97,763</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129,246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195,095</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103,514</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256,735</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256,765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228,285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214,209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186,654</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w w:val="87"/>
              </w:rPr>
              <w:t>(187,088)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(127,341)</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w w:val="87"/>
              </w:rPr>
              <w:t>(207,567)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(151,439)</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(317,429)</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7"/>
              </w:rPr>
              <w:t>(189,239)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(9,258)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(56,186)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133,631</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Dividends declared on common shares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163,382</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157,638</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148,444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135,102</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133,066</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2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61,182</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59,704</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58,665</w:t>
            </w:r>
          </w:p>
        </w:tc>
        <w:tc>
          <w:tcPr>
            <w:tcW w:w="10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56,108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53,469</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61,324</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59,830</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58,889</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56,473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53,858</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Earnings per common share, basic:</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6"/>
        </w:trPr>
        <w:tc>
          <w:tcPr>
            <w:tcW w:w="5620" w:type="dxa"/>
            <w:vAlign w:val="bottom"/>
          </w:tcPr>
          <w:p>
            <w:pPr>
              <w:ind w:left="420"/>
              <w:spacing w:after="0"/>
              <w:rPr>
                <w:sz w:val="20"/>
                <w:szCs w:val="20"/>
                <w:color w:val="auto"/>
              </w:rPr>
            </w:pPr>
            <w:r>
              <w:rPr>
                <w:rFonts w:ascii="Arial" w:cs="Arial" w:eastAsia="Arial" w:hAnsi="Arial"/>
                <w:sz w:val="17"/>
                <w:szCs w:val="17"/>
                <w:color w:val="auto"/>
              </w:rPr>
              <w:t>Discontinued operations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0.01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0.03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3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620" w:type="dxa"/>
            <w:vAlign w:val="bottom"/>
          </w:tcPr>
          <w:p>
            <w:pPr>
              <w:ind w:left="420"/>
              <w:spacing w:after="0"/>
              <w:rPr>
                <w:sz w:val="20"/>
                <w:szCs w:val="20"/>
                <w:color w:val="auto"/>
              </w:rPr>
            </w:pPr>
            <w:r>
              <w:rPr>
                <w:rFonts w:ascii="Arial" w:cs="Arial" w:eastAsia="Arial" w:hAnsi="Arial"/>
                <w:sz w:val="17"/>
                <w:szCs w:val="17"/>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1.99</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1.63</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2.19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3.47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diluted:</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20"/>
              <w:spacing w:after="0"/>
              <w:rPr>
                <w:sz w:val="20"/>
                <w:szCs w:val="20"/>
                <w:color w:val="auto"/>
              </w:rPr>
            </w:pPr>
            <w:r>
              <w:rPr>
                <w:rFonts w:ascii="Arial" w:cs="Arial" w:eastAsia="Arial" w:hAnsi="Arial"/>
                <w:sz w:val="17"/>
                <w:szCs w:val="17"/>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1.96</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1.60</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1.94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1.65</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0.03</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11"/>
        </w:trPr>
        <w:tc>
          <w:tcPr>
            <w:tcW w:w="562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3.45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7"/>
                <w:szCs w:val="17"/>
                <w:color w:val="auto"/>
              </w:rPr>
              <w:t>Dividends declared per common share(2)</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2.66</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2.62</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2.52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rPr>
              <w:t>2.37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104"/>
        </w:trPr>
        <w:tc>
          <w:tcPr>
            <w:tcW w:w="5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Funds from operations available to common shareholders(3)(4)(5)</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239,210</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211,065</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228,397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206,037</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176,419</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EBITDA(4)(6)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352,481</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4"/>
              </w:rPr>
              <w:t>328,491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4"/>
              </w:rPr>
              <w:t>344,465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4"/>
              </w:rPr>
              <w:t>423,150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321,136</w:t>
            </w:r>
          </w:p>
        </w:tc>
        <w:tc>
          <w:tcPr>
            <w:tcW w:w="0" w:type="dxa"/>
            <w:vAlign w:val="bottom"/>
          </w:tcPr>
          <w:p>
            <w:pPr>
              <w:spacing w:after="0"/>
              <w:rPr>
                <w:sz w:val="1"/>
                <w:szCs w:val="1"/>
                <w:color w:val="auto"/>
              </w:rPr>
            </w:pPr>
          </w:p>
        </w:tc>
      </w:tr>
      <w:tr>
        <w:trPr>
          <w:trHeight w:val="206"/>
        </w:trPr>
        <w:tc>
          <w:tcPr>
            <w:tcW w:w="5620" w:type="dxa"/>
            <w:vAlign w:val="bottom"/>
          </w:tcPr>
          <w:p>
            <w:pPr>
              <w:spacing w:after="0"/>
              <w:rPr>
                <w:sz w:val="20"/>
                <w:szCs w:val="20"/>
                <w:color w:val="auto"/>
              </w:rPr>
            </w:pPr>
            <w:r>
              <w:rPr>
                <w:rFonts w:ascii="Arial" w:cs="Arial" w:eastAsia="Arial" w:hAnsi="Arial"/>
                <w:sz w:val="17"/>
                <w:szCs w:val="17"/>
                <w:color w:val="auto"/>
              </w:rPr>
              <w:t>Adjusted EBITDA(4)(6)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351,071</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327,193</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w w:val="94"/>
              </w:rPr>
              <w:t>331,893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328,382</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297,180</w:t>
            </w:r>
          </w:p>
        </w:tc>
        <w:tc>
          <w:tcPr>
            <w:tcW w:w="0" w:type="dxa"/>
            <w:vAlign w:val="bottom"/>
          </w:tcPr>
          <w:p>
            <w:pPr>
              <w:spacing w:after="0"/>
              <w:rPr>
                <w:sz w:val="1"/>
                <w:szCs w:val="1"/>
                <w:color w:val="auto"/>
              </w:rPr>
            </w:pPr>
          </w:p>
        </w:tc>
      </w:tr>
      <w:tr>
        <w:trPr>
          <w:trHeight w:val="206"/>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w w:val="90"/>
              </w:rPr>
              <w:t>Ratio of EBITDA to combined fixed charges and preferred share dividends(4)(6)(7)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3.1x</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2.8x</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3.2x</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3.3x</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2.6x</w:t>
            </w:r>
          </w:p>
        </w:tc>
        <w:tc>
          <w:tcPr>
            <w:tcW w:w="0" w:type="dxa"/>
            <w:vAlign w:val="bottom"/>
          </w:tcPr>
          <w:p>
            <w:pPr>
              <w:spacing w:after="0"/>
              <w:rPr>
                <w:sz w:val="1"/>
                <w:szCs w:val="1"/>
                <w:color w:val="auto"/>
              </w:rPr>
            </w:pPr>
          </w:p>
        </w:tc>
      </w:tr>
      <w:tr>
        <w:trPr>
          <w:trHeight w:val="197"/>
        </w:trPr>
        <w:tc>
          <w:tcPr>
            <w:tcW w:w="5620" w:type="dxa"/>
            <w:vAlign w:val="bottom"/>
          </w:tcPr>
          <w:p>
            <w:pPr>
              <w:spacing w:after="0"/>
              <w:rPr>
                <w:sz w:val="20"/>
                <w:szCs w:val="20"/>
                <w:color w:val="auto"/>
              </w:rPr>
            </w:pPr>
            <w:r>
              <w:rPr>
                <w:rFonts w:ascii="Arial" w:cs="Arial" w:eastAsia="Arial" w:hAnsi="Arial"/>
                <w:sz w:val="17"/>
                <w:szCs w:val="17"/>
                <w:color w:val="auto"/>
              </w:rPr>
              <w:t>Ratio of Adjusted EBITDA to combined fixed charges and preferred share</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00"/>
              <w:spacing w:after="0"/>
              <w:rPr>
                <w:sz w:val="20"/>
                <w:szCs w:val="20"/>
                <w:color w:val="auto"/>
              </w:rPr>
            </w:pPr>
            <w:r>
              <w:rPr>
                <w:rFonts w:ascii="Arial" w:cs="Arial" w:eastAsia="Arial" w:hAnsi="Arial"/>
                <w:sz w:val="17"/>
                <w:szCs w:val="17"/>
                <w:color w:val="auto"/>
              </w:rPr>
              <w:t>dividends(4)(6)(7)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3.1x</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2.7x</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3.1x</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2.6x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2.4x</w:t>
            </w:r>
          </w:p>
        </w:tc>
        <w:tc>
          <w:tcPr>
            <w:tcW w:w="0" w:type="dxa"/>
            <w:vAlign w:val="bottom"/>
          </w:tcPr>
          <w:p>
            <w:pPr>
              <w:spacing w:after="0"/>
              <w:rPr>
                <w:sz w:val="1"/>
                <w:szCs w:val="1"/>
                <w:color w:val="auto"/>
              </w:rPr>
            </w:pPr>
          </w:p>
        </w:tc>
      </w:tr>
      <w:tr>
        <w:trPr>
          <w:trHeight w:val="347"/>
        </w:trPr>
        <w:tc>
          <w:tcPr>
            <w:tcW w:w="5620" w:type="dxa"/>
            <w:vAlign w:val="bottom"/>
          </w:tcPr>
          <w:p>
            <w:pPr>
              <w:spacing w:after="0"/>
              <w:rPr>
                <w:sz w:val="24"/>
                <w:szCs w:val="24"/>
                <w:color w:val="auto"/>
              </w:rPr>
            </w:pPr>
          </w:p>
        </w:tc>
        <w:tc>
          <w:tcPr>
            <w:tcW w:w="360" w:type="dxa"/>
            <w:vAlign w:val="bottom"/>
          </w:tcPr>
          <w:p>
            <w:pPr>
              <w:jc w:val="right"/>
              <w:ind w:right="96"/>
              <w:spacing w:after="0"/>
              <w:rPr>
                <w:sz w:val="20"/>
                <w:szCs w:val="20"/>
                <w:color w:val="auto"/>
              </w:rPr>
            </w:pPr>
            <w:r>
              <w:rPr>
                <w:rFonts w:ascii="Arial" w:cs="Arial" w:eastAsia="Arial" w:hAnsi="Arial"/>
                <w:sz w:val="17"/>
                <w:szCs w:val="17"/>
                <w:color w:val="auto"/>
                <w:w w:val="84"/>
              </w:rPr>
              <w:t>31</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9"/>
              </w:rPr>
              <w:t>As of December 31,</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4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9"/>
              <w:spacing w:after="0" w:line="134" w:lineRule="exact"/>
              <w:rPr>
                <w:sz w:val="20"/>
                <w:szCs w:val="20"/>
                <w:color w:val="auto"/>
              </w:rPr>
            </w:pPr>
            <w:r>
              <w:rPr>
                <w:rFonts w:ascii="Arial" w:cs="Arial" w:eastAsia="Arial" w:hAnsi="Arial"/>
                <w:sz w:val="13"/>
                <w:szCs w:val="13"/>
                <w:b w:val="1"/>
                <w:bCs w:val="1"/>
                <w:color w:val="auto"/>
              </w:rPr>
              <w:t>2010</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0"/>
              <w:spacing w:after="0" w:line="134"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9"/>
              <w:spacing w:after="0" w:line="134" w:lineRule="exact"/>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9"/>
              <w:spacing w:after="0" w:line="134" w:lineRule="exact"/>
              <w:rPr>
                <w:sz w:val="20"/>
                <w:szCs w:val="20"/>
                <w:color w:val="auto"/>
              </w:rPr>
            </w:pPr>
            <w:r>
              <w:rPr>
                <w:rFonts w:ascii="Arial" w:cs="Arial" w:eastAsia="Arial" w:hAnsi="Arial"/>
                <w:sz w:val="13"/>
                <w:szCs w:val="13"/>
                <w:b w:val="1"/>
                <w:bCs w:val="1"/>
                <w:color w:val="auto"/>
              </w:rPr>
              <w:t>2007</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3"/>
                <w:szCs w:val="13"/>
                <w:b w:val="1"/>
                <w:bCs w:val="1"/>
                <w:color w:val="auto"/>
              </w:rPr>
              <w:t>2006</w:t>
            </w:r>
          </w:p>
        </w:tc>
        <w:tc>
          <w:tcPr>
            <w:tcW w:w="120" w:type="dxa"/>
            <w:vAlign w:val="bottom"/>
          </w:tcPr>
          <w:p>
            <w:pPr>
              <w:spacing w:after="0"/>
              <w:rPr>
                <w:sz w:val="11"/>
                <w:szCs w:val="11"/>
                <w:color w:val="auto"/>
              </w:rPr>
            </w:pPr>
          </w:p>
        </w:tc>
      </w:tr>
      <w:tr>
        <w:trPr>
          <w:trHeight w:val="134"/>
        </w:trPr>
        <w:tc>
          <w:tcPr>
            <w:tcW w:w="4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20"/>
              <w:spacing w:after="0" w:line="134" w:lineRule="exact"/>
              <w:rPr>
                <w:sz w:val="20"/>
                <w:szCs w:val="20"/>
                <w:color w:val="auto"/>
              </w:rPr>
            </w:pPr>
            <w:r>
              <w:rPr>
                <w:rFonts w:ascii="Arial" w:cs="Arial" w:eastAsia="Arial" w:hAnsi="Arial"/>
                <w:sz w:val="13"/>
                <w:szCs w:val="13"/>
                <w:b w:val="1"/>
                <w:bCs w:val="1"/>
                <w:color w:val="auto"/>
              </w:rPr>
              <w:t>(In</w:t>
            </w:r>
          </w:p>
        </w:tc>
        <w:tc>
          <w:tcPr>
            <w:tcW w:w="1140" w:type="dxa"/>
            <w:vAlign w:val="bottom"/>
            <w:gridSpan w:val="4"/>
          </w:tcPr>
          <w:p>
            <w:pPr>
              <w:jc w:val="right"/>
              <w:spacing w:after="0" w:line="134" w:lineRule="exact"/>
              <w:rPr>
                <w:sz w:val="20"/>
                <w:szCs w:val="20"/>
                <w:color w:val="auto"/>
              </w:rPr>
            </w:pPr>
            <w:r>
              <w:rPr>
                <w:rFonts w:ascii="Arial" w:cs="Arial" w:eastAsia="Arial" w:hAnsi="Arial"/>
                <w:sz w:val="13"/>
                <w:szCs w:val="13"/>
                <w:b w:val="1"/>
                <w:bCs w:val="1"/>
                <w:color w:val="auto"/>
                <w:w w:val="79"/>
              </w:rPr>
              <w:t>thousands, except per</w:t>
            </w:r>
          </w:p>
        </w:tc>
        <w:tc>
          <w:tcPr>
            <w:tcW w:w="300" w:type="dxa"/>
            <w:vAlign w:val="bottom"/>
          </w:tcPr>
          <w:p>
            <w:pPr>
              <w:ind w:left="20"/>
              <w:spacing w:after="0" w:line="134" w:lineRule="exact"/>
              <w:rPr>
                <w:sz w:val="20"/>
                <w:szCs w:val="20"/>
                <w:color w:val="auto"/>
              </w:rPr>
            </w:pPr>
            <w:r>
              <w:rPr>
                <w:rFonts w:ascii="Arial" w:cs="Arial" w:eastAsia="Arial" w:hAnsi="Arial"/>
                <w:sz w:val="13"/>
                <w:szCs w:val="13"/>
                <w:b w:val="1"/>
                <w:bCs w:val="1"/>
                <w:color w:val="auto"/>
                <w:w w:val="74"/>
              </w:rPr>
              <w:t>share</w:t>
            </w:r>
          </w:p>
        </w:tc>
        <w:tc>
          <w:tcPr>
            <w:tcW w:w="840" w:type="dxa"/>
            <w:vAlign w:val="bottom"/>
            <w:gridSpan w:val="2"/>
          </w:tcPr>
          <w:p>
            <w:pPr>
              <w:jc w:val="right"/>
              <w:ind w:right="419"/>
              <w:spacing w:after="0" w:line="134" w:lineRule="exact"/>
              <w:rPr>
                <w:sz w:val="20"/>
                <w:szCs w:val="20"/>
                <w:color w:val="auto"/>
              </w:rPr>
            </w:pPr>
            <w:r>
              <w:rPr>
                <w:rFonts w:ascii="Arial" w:cs="Arial" w:eastAsia="Arial" w:hAnsi="Arial"/>
                <w:sz w:val="13"/>
                <w:szCs w:val="13"/>
                <w:b w:val="1"/>
                <w:bCs w:val="1"/>
                <w:color w:val="auto"/>
              </w:rPr>
              <w:t>data)</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Real estate, at cost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3,895,942</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w w:val="89"/>
              </w:rPr>
              <w:t>3,759,234</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3,673,685</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w w:val="89"/>
              </w:rPr>
              <w:t>3,452,847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3,204,258</w:t>
            </w: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3,159,553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w w:val="89"/>
              </w:rPr>
              <w:t>3,222,309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3,092,776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2,989,297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2,688,606</w:t>
            </w: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Mortgages payable and capital lease obligations</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589,441</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601,884</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452,810</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450,084</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460,398</w:t>
            </w: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Notes payable</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97,881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261,745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336,391</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210,820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109,024</w:t>
            </w: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Senior notes and debentures</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1,079,827</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rPr>
              <w:t>930,219</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956,584</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977,556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2"/>
              </w:rPr>
              <w:t>1,127,508</w:t>
            </w: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9,997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9,997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4560" w:type="dxa"/>
            <w:vAlign w:val="bottom"/>
          </w:tcPr>
          <w:p>
            <w:pPr>
              <w:spacing w:after="0"/>
              <w:rPr>
                <w:sz w:val="20"/>
                <w:szCs w:val="20"/>
                <w:color w:val="auto"/>
              </w:rPr>
            </w:pPr>
            <w:r>
              <w:rPr>
                <w:rFonts w:ascii="Arial" w:cs="Arial" w:eastAsia="Arial" w:hAnsi="Arial"/>
                <w:sz w:val="17"/>
                <w:szCs w:val="17"/>
                <w:color w:val="auto"/>
              </w:rPr>
              <w:t>Shareholders’ equity</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1,181,130</w:t>
            </w: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56"/>
              <w:spacing w:after="0"/>
              <w:rPr>
                <w:sz w:val="20"/>
                <w:szCs w:val="20"/>
                <w:color w:val="auto"/>
              </w:rPr>
            </w:pPr>
            <w:r>
              <w:rPr>
                <w:rFonts w:ascii="Arial" w:cs="Arial" w:eastAsia="Arial" w:hAnsi="Arial"/>
                <w:sz w:val="17"/>
                <w:szCs w:val="17"/>
                <w:color w:val="auto"/>
                <w:w w:val="89"/>
              </w:rPr>
              <w:t>1,209,063</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1,146,954</w:t>
            </w:r>
          </w:p>
        </w:tc>
        <w:tc>
          <w:tcPr>
            <w:tcW w:w="3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w w:val="89"/>
              </w:rPr>
              <w:t>1,146,450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806,269</w:t>
            </w:r>
          </w:p>
        </w:tc>
      </w:tr>
      <w:tr>
        <w:trPr>
          <w:trHeight w:val="206"/>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Number of common shares outstanding</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61,526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61,242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58,986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58,646</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7264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13" w:lineRule="exact"/>
        <w:rPr>
          <w:sz w:val="20"/>
          <w:szCs w:val="20"/>
          <w:color w:val="auto"/>
        </w:rPr>
      </w:pPr>
    </w:p>
    <w:p>
      <w:pPr>
        <w:ind w:left="460" w:right="240" w:hanging="457"/>
        <w:spacing w:after="0" w:line="289"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ind w:left="460" w:hanging="457"/>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2006 dividends declared per common share include a special dividend of $0.20 resulting from the sales of condominiums at Santana Row.</w:t>
      </w:r>
    </w:p>
    <w:p>
      <w:pPr>
        <w:spacing w:after="0" w:line="10" w:lineRule="exact"/>
        <w:rPr>
          <w:rFonts w:ascii="Arial" w:cs="Arial" w:eastAsia="Arial" w:hAnsi="Arial"/>
          <w:sz w:val="17"/>
          <w:szCs w:val="17"/>
          <w:color w:val="auto"/>
        </w:rPr>
      </w:pPr>
    </w:p>
    <w:p>
      <w:pPr>
        <w:ind w:left="460" w:right="100" w:hanging="457"/>
        <w:spacing w:after="0" w:line="256"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FFO is a supplemental non-GAAP financial measure of real estate companies’ operating performances. The National Association of Real Estate Investment Trusts (“NAREIT”) defines FFO as follows: net income, computed in accordance with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58" w:lineRule="exact"/>
        <w:rPr>
          <w:rFonts w:ascii="Arial" w:cs="Arial" w:eastAsia="Arial" w:hAnsi="Arial"/>
          <w:sz w:val="17"/>
          <w:szCs w:val="17"/>
          <w:color w:val="auto"/>
        </w:rPr>
      </w:pPr>
    </w:p>
    <w:p>
      <w:pPr>
        <w:ind w:left="460" w:right="40"/>
        <w:spacing w:after="0" w:line="256" w:lineRule="auto"/>
        <w:rPr>
          <w:rFonts w:ascii="Arial" w:cs="Arial" w:eastAsia="Arial" w:hAnsi="Arial"/>
          <w:sz w:val="17"/>
          <w:szCs w:val="17"/>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3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reconciliation of net income to funds from operations available for common shareholders is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6000" w:type="dxa"/>
            <w:vAlign w:val="bottom"/>
          </w:tcPr>
          <w:p>
            <w:pPr>
              <w:spacing w:after="0"/>
              <w:rPr>
                <w:sz w:val="13"/>
                <w:szCs w:val="13"/>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300" w:type="dxa"/>
            <w:vAlign w:val="bottom"/>
          </w:tcPr>
          <w:p>
            <w:pPr>
              <w:spacing w:after="0"/>
              <w:rPr>
                <w:sz w:val="13"/>
                <w:szCs w:val="13"/>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rPr>
              <w:t>2007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w w:val="87"/>
              </w:rPr>
              <w:t>(In thousands)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$128,237</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$103,872</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$135,153</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$201,127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(5,447)</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(5,568)</w:t>
            </w: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(5,366)</w:t>
            </w: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(5,590)</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(1,410)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(1,298)</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(12,572)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(94,768)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Depreciation and amortization of real estate assets</w:t>
            </w:r>
          </w:p>
        </w:tc>
        <w:tc>
          <w:tcPr>
            <w:tcW w:w="640" w:type="dxa"/>
            <w:vAlign w:val="bottom"/>
          </w:tcPr>
          <w:p>
            <w:pPr>
              <w:jc w:val="right"/>
              <w:spacing w:after="0"/>
              <w:rPr>
                <w:sz w:val="20"/>
                <w:szCs w:val="20"/>
                <w:color w:val="auto"/>
              </w:rPr>
            </w:pPr>
            <w:r>
              <w:rPr>
                <w:rFonts w:ascii="Arial" w:cs="Arial" w:eastAsia="Arial" w:hAnsi="Arial"/>
                <w:sz w:val="17"/>
                <w:szCs w:val="17"/>
                <w:color w:val="auto"/>
              </w:rPr>
              <w:t>107,187</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103,104</w:t>
            </w:r>
          </w:p>
        </w:tc>
        <w:tc>
          <w:tcPr>
            <w:tcW w:w="140" w:type="dxa"/>
            <w:vAlign w:val="bottom"/>
          </w:tcPr>
          <w:p>
            <w:pPr>
              <w:spacing w:after="0"/>
              <w:rPr>
                <w:sz w:val="17"/>
                <w:szCs w:val="17"/>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7"/>
                <w:szCs w:val="17"/>
                <w:color w:val="auto"/>
              </w:rPr>
              <w:t>101,450</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95,565</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88,649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8,771</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8,473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Depreciation of joint venture real estate assets</w:t>
            </w:r>
          </w:p>
        </w:tc>
        <w:tc>
          <w:tcPr>
            <w:tcW w:w="640" w:type="dxa"/>
            <w:vAlign w:val="bottom"/>
          </w:tcPr>
          <w:p>
            <w:pPr>
              <w:jc w:val="right"/>
              <w:spacing w:after="0"/>
              <w:rPr>
                <w:sz w:val="20"/>
                <w:szCs w:val="20"/>
                <w:color w:val="auto"/>
              </w:rPr>
            </w:pPr>
            <w:r>
              <w:rPr>
                <w:rFonts w:ascii="Arial" w:cs="Arial" w:eastAsia="Arial" w:hAnsi="Arial"/>
                <w:sz w:val="17"/>
                <w:szCs w:val="17"/>
                <w:color w:val="auto"/>
              </w:rPr>
              <w:t>1,499</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1,388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1,331</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1,241</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Funds from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239,618</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211,319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228,767</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206,048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Dividends on preferred shares</w:t>
            </w: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(541)</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(541)</w:t>
            </w:r>
          </w:p>
        </w:tc>
        <w:tc>
          <w:tcPr>
            <w:tcW w:w="1000" w:type="dxa"/>
            <w:vAlign w:val="bottom"/>
            <w:gridSpan w:val="3"/>
          </w:tcPr>
          <w:p>
            <w:pPr>
              <w:jc w:val="right"/>
              <w:ind w:right="140"/>
              <w:spacing w:after="0"/>
              <w:rPr>
                <w:sz w:val="20"/>
                <w:szCs w:val="20"/>
                <w:color w:val="auto"/>
              </w:rPr>
            </w:pPr>
            <w:r>
              <w:rPr>
                <w:rFonts w:ascii="Arial" w:cs="Arial" w:eastAsia="Arial" w:hAnsi="Arial"/>
                <w:sz w:val="17"/>
                <w:szCs w:val="17"/>
                <w:color w:val="auto"/>
              </w:rPr>
              <w:t>(541)</w:t>
            </w:r>
          </w:p>
        </w:tc>
        <w:tc>
          <w:tcPr>
            <w:tcW w:w="920" w:type="dxa"/>
            <w:vAlign w:val="bottom"/>
            <w:gridSpan w:val="3"/>
          </w:tcPr>
          <w:p>
            <w:pPr>
              <w:jc w:val="right"/>
              <w:ind w:right="120"/>
              <w:spacing w:after="0"/>
              <w:rPr>
                <w:sz w:val="20"/>
                <w:szCs w:val="20"/>
                <w:color w:val="auto"/>
              </w:rPr>
            </w:pPr>
            <w:r>
              <w:rPr>
                <w:rFonts w:ascii="Arial" w:cs="Arial" w:eastAsia="Arial" w:hAnsi="Arial"/>
                <w:sz w:val="17"/>
                <w:szCs w:val="17"/>
                <w:color w:val="auto"/>
              </w:rPr>
              <w:t>(442)</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(10,423)</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1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950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Preferred share redemption costs</w:t>
            </w:r>
          </w:p>
        </w:tc>
        <w:tc>
          <w:tcPr>
            <w:tcW w:w="9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7"/>
                <w:szCs w:val="17"/>
                <w:color w:val="auto"/>
              </w:rPr>
              <w:t>(4,775)</w:t>
            </w: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Income attributable to unvested shares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(847)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(779)</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(725)</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(694)</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7"/>
                <w:szCs w:val="17"/>
                <w:color w:val="auto"/>
              </w:rPr>
              <w:t>Funds from operations available for common shareholders</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0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239,210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81"/>
              </w:rPr>
              <w:t>$ 211,065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228,397</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206,037</w:t>
            </w:r>
          </w:p>
        </w:tc>
        <w:tc>
          <w:tcPr>
            <w:tcW w:w="7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176,419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260" w:hanging="457"/>
        <w:spacing w:after="0" w:line="263"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a charge of $0.3 million and $16.4 million in 2010 and 2009, respectively, for adjusting the accrual for litigation regarding a parcel of land located adjacent to Santana Row as well as other costs related to the litigation and appeal process. The matter is further discussed in Note 8 to the consolidated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5"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hanging="457"/>
        <w:spacing w:after="0" w:line="256"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a charge of $1.6 million in 2008 related to the settlement of a litigation matter relating to a shopping center in New Jersey. The matter is further discussed in Note 8 to the consolidated financial statements.</w:t>
      </w:r>
    </w:p>
    <w:p>
      <w:pPr>
        <w:spacing w:after="0" w:line="1" w:lineRule="exact"/>
        <w:rPr>
          <w:rFonts w:ascii="Arial" w:cs="Arial" w:eastAsia="Arial" w:hAnsi="Arial"/>
          <w:sz w:val="17"/>
          <w:szCs w:val="17"/>
          <w:color w:val="auto"/>
        </w:rPr>
      </w:pPr>
    </w:p>
    <w:p>
      <w:pPr>
        <w:ind w:left="460" w:right="140" w:hanging="457"/>
        <w:spacing w:after="0" w:line="255"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The reconciliation of net income to EBITDA and adjusted EBITDA for the periods presented is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4780" w:type="dxa"/>
            <w:vAlign w:val="bottom"/>
          </w:tcPr>
          <w:p>
            <w:pPr>
              <w:spacing w:after="0"/>
              <w:rPr>
                <w:sz w:val="13"/>
                <w:szCs w:val="13"/>
                <w:color w:val="auto"/>
              </w:rPr>
            </w:pPr>
          </w:p>
        </w:tc>
        <w:tc>
          <w:tcPr>
            <w:tcW w:w="640" w:type="dxa"/>
            <w:vAlign w:val="bottom"/>
          </w:tcPr>
          <w:p>
            <w:pPr>
              <w:jc w:val="right"/>
              <w:ind w:right="119"/>
              <w:spacing w:after="0"/>
              <w:rPr>
                <w:sz w:val="20"/>
                <w:szCs w:val="20"/>
                <w:color w:val="auto"/>
              </w:rPr>
            </w:pPr>
            <w:r>
              <w:rPr>
                <w:rFonts w:ascii="Arial" w:cs="Arial" w:eastAsia="Arial" w:hAnsi="Arial"/>
                <w:sz w:val="13"/>
                <w:szCs w:val="13"/>
                <w:b w:val="1"/>
                <w:bCs w:val="1"/>
                <w:color w:val="auto"/>
              </w:rPr>
              <w:t>2010</w:t>
            </w:r>
          </w:p>
        </w:tc>
        <w:tc>
          <w:tcPr>
            <w:tcW w:w="580" w:type="dxa"/>
            <w:vAlign w:val="bottom"/>
          </w:tcPr>
          <w:p>
            <w:pPr>
              <w:spacing w:after="0"/>
              <w:rPr>
                <w:sz w:val="13"/>
                <w:szCs w:val="13"/>
                <w:color w:val="auto"/>
              </w:rPr>
            </w:pPr>
          </w:p>
        </w:tc>
        <w:tc>
          <w:tcPr>
            <w:tcW w:w="640" w:type="dxa"/>
            <w:vAlign w:val="bottom"/>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3"/>
                <w:szCs w:val="13"/>
                <w:color w:val="auto"/>
              </w:rPr>
            </w:pPr>
          </w:p>
        </w:tc>
        <w:tc>
          <w:tcPr>
            <w:tcW w:w="920" w:type="dxa"/>
            <w:vAlign w:val="bottom"/>
            <w:gridSpan w:val="2"/>
          </w:tcPr>
          <w:p>
            <w:pPr>
              <w:jc w:val="right"/>
              <w:ind w:right="125"/>
              <w:spacing w:after="0"/>
              <w:rPr>
                <w:sz w:val="20"/>
                <w:szCs w:val="20"/>
                <w:color w:val="auto"/>
              </w:rPr>
            </w:pPr>
            <w:r>
              <w:rPr>
                <w:rFonts w:ascii="Arial" w:cs="Arial" w:eastAsia="Arial" w:hAnsi="Arial"/>
                <w:sz w:val="13"/>
                <w:szCs w:val="13"/>
                <w:b w:val="1"/>
                <w:bCs w:val="1"/>
                <w:color w:val="auto"/>
              </w:rPr>
              <w:t>2008</w:t>
            </w:r>
          </w:p>
        </w:tc>
        <w:tc>
          <w:tcPr>
            <w:tcW w:w="340" w:type="dxa"/>
            <w:vAlign w:val="bottom"/>
          </w:tcPr>
          <w:p>
            <w:pPr>
              <w:spacing w:after="0"/>
              <w:rPr>
                <w:sz w:val="13"/>
                <w:szCs w:val="13"/>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2007</w:t>
            </w:r>
          </w:p>
        </w:tc>
        <w:tc>
          <w:tcPr>
            <w:tcW w:w="360" w:type="dxa"/>
            <w:vAlign w:val="bottom"/>
          </w:tcPr>
          <w:p>
            <w:pPr>
              <w:spacing w:after="0"/>
              <w:rPr>
                <w:sz w:val="13"/>
                <w:szCs w:val="13"/>
                <w:color w:val="auto"/>
              </w:rPr>
            </w:pPr>
          </w:p>
        </w:tc>
        <w:tc>
          <w:tcPr>
            <w:tcW w:w="9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b w:val="1"/>
                <w:bCs w:val="1"/>
                <w:color w:val="auto"/>
                <w:w w:val="74"/>
              </w:rPr>
              <w:t>(In thousands)</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$128,237</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$103,872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$135,153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$201,127</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$123,065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640" w:type="dxa"/>
            <w:vAlign w:val="bottom"/>
          </w:tcPr>
          <w:p>
            <w:pPr>
              <w:jc w:val="right"/>
              <w:spacing w:after="0"/>
              <w:rPr>
                <w:sz w:val="20"/>
                <w:szCs w:val="20"/>
                <w:color w:val="auto"/>
              </w:rPr>
            </w:pPr>
            <w:r>
              <w:rPr>
                <w:rFonts w:ascii="Arial" w:cs="Arial" w:eastAsia="Arial" w:hAnsi="Arial"/>
                <w:sz w:val="17"/>
                <w:szCs w:val="17"/>
                <w:color w:val="auto"/>
              </w:rPr>
              <w:t>119,817</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115,093</w:t>
            </w:r>
          </w:p>
        </w:tc>
        <w:tc>
          <w:tcPr>
            <w:tcW w:w="3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111,068</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105,966</w:t>
            </w:r>
          </w:p>
        </w:tc>
        <w:tc>
          <w:tcPr>
            <w:tcW w:w="3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97,879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101,882</w:t>
            </w: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108,781</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99,163</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117,394</w:t>
            </w:r>
          </w:p>
        </w:tc>
        <w:tc>
          <w:tcPr>
            <w:tcW w:w="3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tcPr>
          <w:p>
            <w:pPr>
              <w:spacing w:after="0"/>
              <w:rPr>
                <w:sz w:val="20"/>
                <w:szCs w:val="20"/>
                <w:color w:val="auto"/>
              </w:rPr>
            </w:pPr>
            <w:r>
              <w:rPr>
                <w:rFonts w:ascii="Arial" w:cs="Arial" w:eastAsia="Arial" w:hAnsi="Arial"/>
                <w:sz w:val="17"/>
                <w:szCs w:val="17"/>
                <w:color w:val="auto"/>
              </w:rPr>
              <w:t>Early extinguishment of debt</w:t>
            </w:r>
          </w:p>
        </w:tc>
        <w:tc>
          <w:tcPr>
            <w:tcW w:w="640" w:type="dxa"/>
            <w:vAlign w:val="bottom"/>
          </w:tcPr>
          <w:p>
            <w:pPr>
              <w:jc w:val="right"/>
              <w:spacing w:after="0"/>
              <w:rPr>
                <w:sz w:val="20"/>
                <w:szCs w:val="20"/>
                <w:color w:val="auto"/>
              </w:rPr>
            </w:pPr>
            <w:r>
              <w:rPr>
                <w:rFonts w:ascii="Arial" w:cs="Arial" w:eastAsia="Arial" w:hAnsi="Arial"/>
                <w:sz w:val="17"/>
                <w:szCs w:val="17"/>
                <w:color w:val="auto"/>
              </w:rPr>
              <w:t>2,801</w:t>
            </w:r>
          </w:p>
        </w:tc>
        <w:tc>
          <w:tcPr>
            <w:tcW w:w="5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2,639</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(1,894)</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(919)</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(1,337)</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Arial" w:cs="Arial" w:eastAsia="Arial" w:hAnsi="Arial"/>
                <w:sz w:val="17"/>
                <w:szCs w:val="17"/>
                <w:color w:val="auto"/>
              </w:rPr>
              <w:t>EBITDA</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352,481</w:t>
            </w:r>
          </w:p>
        </w:tc>
        <w:tc>
          <w:tcPr>
            <w:tcW w:w="5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328,491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344,465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423,150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321,136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(1,410)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(1,298)</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(12,572)</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7"/>
                <w:szCs w:val="17"/>
                <w:color w:val="auto"/>
              </w:rPr>
              <w:t>(94,768)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(23,956)</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351,071</w:t>
            </w:r>
          </w:p>
        </w:tc>
        <w:tc>
          <w:tcPr>
            <w:tcW w:w="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327,193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331,893</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328,382</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297,180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60" w:hanging="457"/>
        <w:spacing w:after="0" w:line="263"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and expense and the portion of rent expense representing an interest factor. Preferred share dividends consist of dividends paid on preferred shares and preferred share redemption costs. Our Series B preferred shares were redeemed in full in November 2006.</w:t>
      </w:r>
    </w:p>
    <w:p>
      <w:pPr>
        <w:spacing w:after="0" w:line="201"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9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We are an equity real estate investment trust specializing in the ownership, management and redevelopment of high quality retail and mixed-use properties located primarily in densely populated and affluent communities in strategic metropolitan markets in the Mid-Atlantic and Northeast regions of the United States, as well as in California. As of December 31, 2010, we owned or had a majority interest in community and neighborhood shopping centers and mixed-use properties which are operated as 85 predominantly retail real estate projects comprising approximately 18.3 million square feet. In total, the real estate projects were 93.9% leased and 93.2% occupied at December 31, 2010. A joint venture in which we own a 30% interest owned seven retail real estate projects totaling approximately 1.0 million square feet as of December 31, 2010. In total, the joint venture properties in which we own an interest were 91.0% leased and 90.4% occupied at December 31, 2010. We have paid quarterly dividends to our shareholders continuously since our founding in 1962 and have increased our dividends per common share for 43 consecutive years.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91" w:lineRule="exact"/>
        <w:rPr>
          <w:sz w:val="20"/>
          <w:szCs w:val="20"/>
          <w:color w:val="auto"/>
        </w:rPr>
      </w:pPr>
    </w:p>
    <w:p>
      <w:pPr>
        <w:ind w:right="240"/>
        <w:spacing w:after="0" w:line="29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09" w:lineRule="exact"/>
        <w:rPr>
          <w:sz w:val="20"/>
          <w:szCs w:val="20"/>
          <w:color w:val="auto"/>
        </w:rPr>
      </w:pPr>
    </w:p>
    <w:p>
      <w:pPr>
        <w:ind w:right="300"/>
        <w:spacing w:after="0" w:line="342" w:lineRule="auto"/>
        <w:rPr>
          <w:sz w:val="20"/>
          <w:szCs w:val="20"/>
          <w:color w:val="auto"/>
        </w:rPr>
      </w:pPr>
      <w:r>
        <w:rPr>
          <w:rFonts w:ascii="Arial" w:cs="Arial" w:eastAsia="Arial" w:hAnsi="Arial"/>
          <w:sz w:val="15"/>
          <w:szCs w:val="15"/>
          <w:color w:val="auto"/>
        </w:rPr>
        <w:t>Our significant accounting policies are more fully described in Note 1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8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2010 and 2009, our allowance for doubtful accounts was $18.7 million and $16.1 million, respectively. Historically, we have recognized bad debt expense between 0.4% and 1.3% of rental income and it was 1.2% in 2010 reflecting economic changes and their impact to our tenants. A change in the estimate of collectability of a receivable would result in a change to our allowance for doubtful accounts and correspondingly bad debt expense and net income. For example, in the event our estimates were not accurate and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5"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we were required to increase our allowance by 1% of rental income, our bad debt expense would have increased and our net income would have decreased by $5.3 million.</w:t>
      </w:r>
    </w:p>
    <w:p>
      <w:pPr>
        <w:spacing w:after="0" w:line="121"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2010 and 2009, accounts receivable include approximately $45.6 million and $41.8 million, respectively, related to straight-line rents. Correspondingly, these estimates of collectability have a direct impact on our net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8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requires significant management judgment.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3 to 20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360"/>
          </w:cols>
          <w:pgMar w:left="240" w:top="445" w:right="2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Acquisitions</w:t>
      </w:r>
    </w:p>
    <w:p>
      <w:pPr>
        <w:spacing w:after="0" w:line="87"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Upon acquisition of operating real estate properties, we estimate the fair value of acquired tangible assets (consisting of land, building and improvements), identified intangible assets and liabilities (consisting of above-market and below-market leases, in-place leases and tenant relationships), and assumed debt.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Long-Lived Assets and Impairment</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23"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Contingencies</w:t>
      </w:r>
    </w:p>
    <w:p>
      <w:pPr>
        <w:spacing w:after="0" w:line="87" w:lineRule="exact"/>
        <w:rPr>
          <w:sz w:val="20"/>
          <w:szCs w:val="20"/>
          <w:color w:val="auto"/>
        </w:rPr>
      </w:pPr>
    </w:p>
    <w:p>
      <w:pPr>
        <w:ind w:right="260"/>
        <w:spacing w:after="0" w:line="342" w:lineRule="auto"/>
        <w:rPr>
          <w:sz w:val="20"/>
          <w:szCs w:val="20"/>
          <w:color w:val="auto"/>
        </w:rPr>
      </w:pPr>
      <w:r>
        <w:rPr>
          <w:rFonts w:ascii="Arial" w:cs="Arial" w:eastAsia="Arial" w:hAnsi="Arial"/>
          <w:sz w:val="15"/>
          <w:szCs w:val="15"/>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5"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1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As further discussed in Note 8 to the Consolidated Financial Statements, we are party to a litigation matter related to a parcel of land adjacent to our Santana Row property. During 2009, the judge awarded damages to the plaintiff including interest and costs of suit resulting in us increasing our litigation accrual to $16.4 million. We and the plaintiff both appealed the ruling and oral arguments on the appeal were heard in December 2010. A final ruling on the appeal was issued in February 2011 which rejected both appeals and consequently, affirmed the final judgment against us. Therefore, in December 2010, we adjusted our accrual to $16.2 million which reflects the amount we expect to pay in first quarter 2011.</w:t>
      </w:r>
    </w:p>
    <w:p>
      <w:pPr>
        <w:spacing w:after="0" w:line="1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w:t>
      </w:r>
    </w:p>
    <w:p>
      <w:pPr>
        <w:spacing w:after="0" w:line="8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9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3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 our balance sheet. These parenthetical amounts relate to Melville Mall in Huntington, New York, a shopping center and adjacent commercial building in Norwalk, Connecticut, which is further discussed in Note 3 to the consolidated financial statements in this Form 10-K, and Huntington Square in East Northport, New York, which is further discussed in Note 1 to the consolidated financial statements in this Form 10-K. Although the adoption of this standard did not have a material impact to our financial statements, this standard could impact future consolidation of entities based on the specific facts and circumstances of those entities.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445"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July 2010, the FASB issued a new accounting standard that requires enhanced disclosures about financing receivables, including the allowance for credit losses, credit quality, and impaired loans. This standard is effective for fiscal years ending after December 15, 2010. We adopted the standard in the fourth quarter 2010 and it did not have a material impact to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Acquisitions and Dispositions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 Significant Acquisitions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acquisitions in 2010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gridSpan w:val="2"/>
            <w:vMerge w:val="restart"/>
          </w:tcPr>
          <w:p>
            <w:pPr>
              <w:ind w:left="920"/>
              <w:spacing w:after="0"/>
              <w:rPr>
                <w:sz w:val="20"/>
                <w:szCs w:val="20"/>
                <w:color w:val="auto"/>
              </w:rPr>
            </w:pPr>
            <w:r>
              <w:rPr>
                <w:rFonts w:ascii="Arial" w:cs="Arial" w:eastAsia="Arial" w:hAnsi="Arial"/>
                <w:sz w:val="13"/>
                <w:szCs w:val="13"/>
                <w:b w:val="1"/>
                <w:bCs w:val="1"/>
                <w:color w:val="auto"/>
              </w:rPr>
              <w:t>Date</w:t>
            </w:r>
          </w:p>
        </w:tc>
        <w:tc>
          <w:tcPr>
            <w:tcW w:w="440" w:type="dxa"/>
            <w:vAlign w:val="bottom"/>
          </w:tcPr>
          <w:p>
            <w:pPr>
              <w:spacing w:after="0"/>
              <w:rPr>
                <w:sz w:val="13"/>
                <w:szCs w:val="13"/>
                <w:color w:val="auto"/>
              </w:rPr>
            </w:pPr>
          </w:p>
        </w:tc>
        <w:tc>
          <w:tcPr>
            <w:tcW w:w="4340" w:type="dxa"/>
            <w:vAlign w:val="bottom"/>
            <w:vMerge w:val="restart"/>
          </w:tcPr>
          <w:p>
            <w:pPr>
              <w:ind w:left="1940"/>
              <w:spacing w:after="0"/>
              <w:rPr>
                <w:sz w:val="20"/>
                <w:szCs w:val="20"/>
                <w:color w:val="auto"/>
              </w:rPr>
            </w:pPr>
            <w:r>
              <w:rPr>
                <w:rFonts w:ascii="Arial" w:cs="Arial" w:eastAsia="Arial" w:hAnsi="Arial"/>
                <w:sz w:val="13"/>
                <w:szCs w:val="13"/>
                <w:b w:val="1"/>
                <w:bCs w:val="1"/>
                <w:color w:val="auto"/>
              </w:rPr>
              <w:t>Property</w:t>
            </w:r>
          </w:p>
        </w:tc>
        <w:tc>
          <w:tcPr>
            <w:tcW w:w="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84"/>
              </w:rPr>
              <w:t>Gross Leasable</w:t>
            </w:r>
          </w:p>
        </w:tc>
        <w:tc>
          <w:tcPr>
            <w:tcW w:w="80" w:type="dxa"/>
            <w:vAlign w:val="bottom"/>
          </w:tcPr>
          <w:p>
            <w:pPr>
              <w:spacing w:after="0"/>
              <w:rPr>
                <w:sz w:val="13"/>
                <w:szCs w:val="13"/>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85"/>
              </w:rPr>
              <w:t>Purchase</w:t>
            </w:r>
          </w:p>
        </w:tc>
        <w:tc>
          <w:tcPr>
            <w:tcW w:w="0" w:type="dxa"/>
            <w:vAlign w:val="bottom"/>
          </w:tcPr>
          <w:p>
            <w:pPr>
              <w:spacing w:after="0"/>
              <w:rPr>
                <w:sz w:val="1"/>
                <w:szCs w:val="1"/>
                <w:color w:val="auto"/>
              </w:rPr>
            </w:pPr>
          </w:p>
        </w:tc>
      </w:tr>
      <w:tr>
        <w:trPr>
          <w:trHeight w:val="154"/>
        </w:trPr>
        <w:tc>
          <w:tcPr>
            <w:tcW w:w="210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tcPr>
          <w:p>
            <w:pPr>
              <w:ind w:left="380"/>
              <w:spacing w:after="0"/>
              <w:rPr>
                <w:sz w:val="20"/>
                <w:szCs w:val="20"/>
                <w:color w:val="auto"/>
              </w:rPr>
            </w:pPr>
            <w:r>
              <w:rPr>
                <w:rFonts w:ascii="Arial" w:cs="Arial" w:eastAsia="Arial" w:hAnsi="Arial"/>
                <w:sz w:val="13"/>
                <w:szCs w:val="13"/>
                <w:b w:val="1"/>
                <w:bCs w:val="1"/>
                <w:color w:val="auto"/>
              </w:rPr>
              <w:t>City, State</w:t>
            </w:r>
          </w:p>
        </w:tc>
        <w:tc>
          <w:tcPr>
            <w:tcW w:w="460" w:type="dxa"/>
            <w:vAlign w:val="bottom"/>
          </w:tcPr>
          <w:p>
            <w:pPr>
              <w:spacing w:after="0"/>
              <w:rPr>
                <w:sz w:val="13"/>
                <w:szCs w:val="13"/>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Area</w:t>
            </w:r>
          </w:p>
        </w:tc>
        <w:tc>
          <w:tcPr>
            <w:tcW w:w="80" w:type="dxa"/>
            <w:vAlign w:val="bottom"/>
          </w:tcPr>
          <w:p>
            <w:pPr>
              <w:spacing w:after="0"/>
              <w:rPr>
                <w:sz w:val="13"/>
                <w:szCs w:val="13"/>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34"/>
        </w:trPr>
        <w:tc>
          <w:tcPr>
            <w:tcW w:w="1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3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7"/>
              </w:rPr>
              <w:t>(In square feet)</w:t>
            </w:r>
          </w:p>
        </w:tc>
        <w:tc>
          <w:tcPr>
            <w:tcW w:w="540" w:type="dxa"/>
            <w:vAlign w:val="bottom"/>
          </w:tcPr>
          <w:p>
            <w:pPr>
              <w:spacing w:after="0"/>
              <w:rPr>
                <w:sz w:val="11"/>
                <w:szCs w:val="11"/>
                <w:color w:val="auto"/>
              </w:rPr>
            </w:pPr>
          </w:p>
        </w:tc>
        <w:tc>
          <w:tcPr>
            <w:tcW w:w="68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w w:val="90"/>
              </w:rPr>
              <w:t>(In millions)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16</w:t>
            </w: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Huntington Square</w:t>
            </w: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1"/>
              </w:rPr>
              <w:t>East Northport, NY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206"/>
        </w:trPr>
        <w:tc>
          <w:tcPr>
            <w:tcW w:w="2100" w:type="dxa"/>
            <w:vAlign w:val="bottom"/>
            <w:gridSpan w:val="2"/>
          </w:tcPr>
          <w:p>
            <w:pPr>
              <w:spacing w:after="0"/>
              <w:rPr>
                <w:sz w:val="20"/>
                <w:szCs w:val="20"/>
                <w:color w:val="auto"/>
              </w:rPr>
            </w:pPr>
            <w:r>
              <w:rPr>
                <w:rFonts w:ascii="Arial" w:cs="Arial" w:eastAsia="Arial" w:hAnsi="Arial"/>
                <w:sz w:val="17"/>
                <w:szCs w:val="17"/>
                <w:color w:val="auto"/>
              </w:rPr>
              <w:t>November 10</w:t>
            </w:r>
          </w:p>
        </w:tc>
        <w:tc>
          <w:tcPr>
            <w:tcW w:w="4780" w:type="dxa"/>
            <w:vAlign w:val="bottom"/>
            <w:gridSpan w:val="2"/>
          </w:tcPr>
          <w:p>
            <w:pPr>
              <w:ind w:left="440"/>
              <w:spacing w:after="0"/>
              <w:rPr>
                <w:sz w:val="20"/>
                <w:szCs w:val="20"/>
                <w:color w:val="auto"/>
              </w:rPr>
            </w:pPr>
            <w:r>
              <w:rPr>
                <w:rFonts w:ascii="Arial" w:cs="Arial" w:eastAsia="Arial" w:hAnsi="Arial"/>
                <w:sz w:val="17"/>
                <w:szCs w:val="17"/>
                <w:color w:val="auto"/>
              </w:rPr>
              <w:t>Former Mervyn’s Parcel (Escondido Promenade)</w:t>
            </w:r>
          </w:p>
        </w:tc>
        <w:tc>
          <w:tcPr>
            <w:tcW w:w="46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Escondido, CA</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75,000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06"/>
        </w:trPr>
        <w:tc>
          <w:tcPr>
            <w:tcW w:w="2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22</w:t>
            </w:r>
          </w:p>
        </w:tc>
        <w:tc>
          <w:tcPr>
            <w:tcW w:w="4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Pentagon Row</w:t>
            </w: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Arlington, VA</w:t>
            </w:r>
          </w:p>
        </w:tc>
        <w:tc>
          <w:tcPr>
            <w:tcW w:w="4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8.5(3)</w:t>
            </w:r>
          </w:p>
        </w:tc>
        <w:tc>
          <w:tcPr>
            <w:tcW w:w="0" w:type="dxa"/>
            <w:vAlign w:val="bottom"/>
          </w:tcPr>
          <w:p>
            <w:pPr>
              <w:spacing w:after="0"/>
              <w:rPr>
                <w:sz w:val="1"/>
                <w:szCs w:val="1"/>
                <w:color w:val="auto"/>
              </w:rPr>
            </w:pPr>
          </w:p>
        </w:tc>
      </w:tr>
      <w:tr>
        <w:trPr>
          <w:trHeight w:val="211"/>
        </w:trPr>
        <w:tc>
          <w:tcPr>
            <w:tcW w:w="2100" w:type="dxa"/>
            <w:vAlign w:val="bottom"/>
            <w:gridSpan w:val="2"/>
          </w:tcPr>
          <w:p>
            <w:pPr>
              <w:spacing w:after="0"/>
              <w:rPr>
                <w:sz w:val="20"/>
                <w:szCs w:val="20"/>
                <w:color w:val="auto"/>
              </w:rPr>
            </w:pPr>
            <w:r>
              <w:rPr>
                <w:rFonts w:ascii="Arial" w:cs="Arial" w:eastAsia="Arial" w:hAnsi="Arial"/>
                <w:sz w:val="17"/>
                <w:szCs w:val="17"/>
                <w:color w:val="auto"/>
              </w:rPr>
              <w:t>December 27</w:t>
            </w:r>
          </w:p>
        </w:tc>
        <w:tc>
          <w:tcPr>
            <w:tcW w:w="4780" w:type="dxa"/>
            <w:vAlign w:val="bottom"/>
            <w:gridSpan w:val="2"/>
          </w:tcPr>
          <w:p>
            <w:pPr>
              <w:ind w:left="440"/>
              <w:spacing w:after="0"/>
              <w:rPr>
                <w:sz w:val="20"/>
                <w:szCs w:val="20"/>
                <w:color w:val="auto"/>
              </w:rPr>
            </w:pPr>
            <w:r>
              <w:rPr>
                <w:rFonts w:ascii="Arial" w:cs="Arial" w:eastAsia="Arial" w:hAnsi="Arial"/>
                <w:sz w:val="17"/>
                <w:szCs w:val="17"/>
                <w:color w:val="auto"/>
              </w:rPr>
              <w:t>Bethesda Row</w:t>
            </w:r>
          </w:p>
        </w:tc>
        <w:tc>
          <w:tcPr>
            <w:tcW w:w="4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Bethesda, MD</w:t>
            </w:r>
          </w:p>
        </w:tc>
        <w:tc>
          <w:tcPr>
            <w:tcW w:w="46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9.4(4)</w:t>
            </w: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both"/>
        <w:ind w:left="460" w:right="40" w:hanging="457"/>
        <w:spacing w:after="0" w:line="271"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acquired the leasehold interest in this property. Approximately $9.2 million of net assets acquired were allocated to other assets for “above market leases” and a “below market ground lease” for which we are the lessee. Approximately $1.7 million of net assets acquired were allocated to liabilities for “below market leases”. We incurred approximately $0.3 million of acquisition costs which are included in “general and administrative expenses”.</w:t>
      </w:r>
    </w:p>
    <w:p>
      <w:pPr>
        <w:ind w:left="460" w:hanging="457"/>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property is adjacent to and operated as part of Escondido Promenade which is owned through a partnership in which we own the controlling interest.</w:t>
      </w:r>
    </w:p>
    <w:p>
      <w:pPr>
        <w:spacing w:after="0" w:line="21" w:lineRule="exact"/>
        <w:rPr>
          <w:rFonts w:ascii="Arial" w:cs="Arial" w:eastAsia="Arial" w:hAnsi="Arial"/>
          <w:sz w:val="16"/>
          <w:szCs w:val="16"/>
          <w:color w:val="auto"/>
        </w:rPr>
      </w:pPr>
    </w:p>
    <w:p>
      <w:pPr>
        <w:ind w:left="460" w:right="180" w:hanging="457"/>
        <w:spacing w:after="0" w:line="286"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and a subsidiary of Post Properties, Inc. (“Post”) purchased the fee interest in the land under Pentagon Row. The land was purchased as a result of a favorable outcome to litigation. In September 2008, we and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Vornado appealed the ruling, however, the appeal was denied in November 2010. As part of the acquisition of the land and termination of the respective ground lease, we were relieved of our deferred ground rent liability for approximately $8.8 million. The liability was offset against the net purchase price with the excess of the liability over the purchase price of $0.3 million included in the statement of operations as an adjustment to rental expense.</w:t>
      </w:r>
    </w:p>
    <w:p>
      <w:pPr>
        <w:ind w:left="460" w:right="100" w:hanging="457"/>
        <w:spacing w:after="0" w:line="264"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acquired the fee interest in approximately 2.1 acres of land under Bethesda Row. Prior to the transaction, the land parcel was owned pursuant to a ground lease and encumbered by a capital lease obligation which were terminated as part of the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 Assets Held for Sale</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December 2010, we committed to a plan of sale for two buildings on Fifth Avenue in San Diego, California. As the buildings met the criteria to be classified as held for sale, we recognized a $0.4 million loss to write down one of the buildings to its expected sales price less cost to sell. We expect the sales will be completed in 2011. The operations of the buildings have been reclassified as discontinued operations in the consolidated statements of operations for all years presented and included in “assets held for sale” in our consolidated balance sheets.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2009 Significant Transactions</w:t>
      </w:r>
    </w:p>
    <w:p>
      <w:pPr>
        <w:spacing w:after="0" w:line="87" w:lineRule="exact"/>
        <w:rPr>
          <w:sz w:val="20"/>
          <w:szCs w:val="20"/>
          <w:color w:val="auto"/>
        </w:rPr>
      </w:pPr>
    </w:p>
    <w:p>
      <w:pPr>
        <w:ind w:right="460"/>
        <w:spacing w:after="0" w:line="342"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included an option for the tenant to purchase the fee interest. The sales price was $2.1 million and resulted in a gain of $0.4 million.</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On October 16, 2009, we acquired 16.6 acres of riverfront property at Assembly Row in Somerville, Massachusetts, for use in future development, in exchange for the sale of 12.4 acres of adjacent inland land, $3 million in cash, and the assumption of a $5 million liability. The purchase price of the riverfront parcel was determined to be $33.1 million based on current fair value calculations. The sale of the inland land resulted in no gain or loss on sale as the fair value of the consideration exchanged equaled the cost basis of the land sold.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Significant Debt, Equity and Other Transactions</w:t>
      </w:r>
    </w:p>
    <w:p>
      <w:pPr>
        <w:spacing w:after="0" w:line="91" w:lineRule="exact"/>
        <w:rPr>
          <w:sz w:val="20"/>
          <w:szCs w:val="20"/>
          <w:color w:val="auto"/>
        </w:rPr>
      </w:pPr>
    </w:p>
    <w:p>
      <w:pPr>
        <w:jc w:val="both"/>
        <w:ind w:right="420"/>
        <w:spacing w:after="0" w:line="342" w:lineRule="auto"/>
        <w:rPr>
          <w:sz w:val="20"/>
          <w:szCs w:val="20"/>
          <w:color w:val="auto"/>
        </w:rPr>
      </w:pPr>
      <w:r>
        <w:rPr>
          <w:rFonts w:ascii="Arial" w:cs="Arial" w:eastAsia="Arial" w:hAnsi="Arial"/>
          <w:sz w:val="15"/>
          <w:szCs w:val="15"/>
          <w:color w:val="auto"/>
        </w:rPr>
        <w:t>On January 28, 2010, we delivered notice exercising our option to extend the maturity date by one year to July 27, 2011 on our revolving credit facility, which bears interest at LIBOR plus 42.5 basis points. We paid an extension fee of $0.5 million which is being amortized over the remaining term of the revolving credit facility.</w:t>
      </w:r>
    </w:p>
    <w:p>
      <w:pPr>
        <w:spacing w:after="0" w:line="7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2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March 30, 2010, we acquired the first mortgage loan on a shopping center located in Norwalk, Connecticut. The first mortgage loan bears interest at 7.25%, matures on September 1, 2032, and as of December 31, 2010, had an outstanding contractual principal balance of $11.3 million. Since November 5, 2008, we have held the second mortgage on this shopping center and a first mortgage on an adjacent commercial building which had an outstanding balance of $7.4 million at December 31, 2010. All of these loans are currently in default and foreclosure proceedings have been filed.</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reached an agreement with the borrower whereby the borrower would repay the loans by March 29, 2011, and are currently in negotiations with the borrower to modify the loans. If the loans are not modified or the borrower fails to repay the loans at that time, we will be entitled to receive a deed-in-lieu of foreclosure for both properties. If we acquire the properties through exercise of the deed-in-lieu of foreclosure, we believe the fair value of the properties approximates our carrying amount of these loans which are on non-accrual status.</w:t>
      </w:r>
    </w:p>
    <w:p>
      <w:pPr>
        <w:spacing w:after="0" w:line="133"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Because the loans are in default, we have certain rights under the first mortgage loan agreement that give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of approximately $18.3 million is included in “real estate” in the consolidated balance sheet as of December 31, 2010.</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45"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October 2010, Donald C. Wood, our Chief Executive Officer, was granted 60,931 shares of restricted stock valued at approximately $5,000,000, which will vest on October 12, 2015. Additionally, Mr. Wood’s annual base pay was increased from $700,000 to $850,000 per year effective November 1, 2010, his target bonus was increased from 100% of his base salary to 150% of his base salary beginning with his 2010 bonus, and his target amount for potential equity to be issued in February 2011 under our 2010 Performance Incentive Plan, as amended (“2010 Plan”), was increased from $2.0 million to $4.0 million. Grants under the 2010 Plan generally vest over three to six years.</w:t>
      </w:r>
    </w:p>
    <w:p>
      <w:pPr>
        <w:spacing w:after="0" w:line="13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Compensation Committee of the Board of Trustees determined that these compensation adjustments were prudent, consistent with the Trust’s compensation philosophy and in the best interest of the Trust’s shareholders after considering four primary factors: (a) the appropriate market value for Mr. Wood’s services after retaining a consultant to benchmark comparable real estate companies and make recommendations; (b) the historical outperformance of the company over the last decade in terms of shareholder value creation and the prospects for continued outperformance in the future; (c) the active recruiting for Mr. Wood’s services in the marketplace and the related strong desire to retain him and his senior management team at the Trust; and (d) the ability of the current senior management team to take advantage of future opportunities to increase shareholder value.</w:t>
      </w:r>
    </w:p>
    <w:p>
      <w:pPr>
        <w:spacing w:after="0" w:line="13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December 27, 2010, we acquired the fee interest in approximately 2.1 acres of land under our Bethesda Row property. Prior to the transaction, we had a capital lease obligation of $1.0 million on the land parcel which was extinguished as part of the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Joint Venture</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May 2010, we formed Taurus Newbury Street JV II Limited Partnership (“Newbury Street Partnership”), a joint venture limited partnership with an affiliate of Taurus Investment Holdings, LLC (“Taurus”), which plans 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2010, we recorded expenses of approximately $0.2 million related to our share of formation costs of Newbury Street Partnership.</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8"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On May 26, 2010, Newbury Street Partnership acquired the fee interest in two buildings located on Newbury Street in Boston, Massachusetts for a purchase price of $17.5 million. The properties include approximately 32,000 square feet of retail and office space. A significant portion of the office space was vacant when the properties were acquired and are currently being leased up. We contributed $7.8 million towards this acquisition and provided an $8.8 million interest-only loan secured by the two buildings. The loan matures in May 2012, subject to a one-year extension option, and bears interest at 30-day LIBOR plus 400 basis points. All amounts contributed and advanced to Newbury Street Partnership are included in “Investment in real estate partnerships” in the consolidated balance sheet. Intercompany profit generated from interest income on the loan is eliminated in consolidation. Due to the timing of receiving financial information from the general partner, our share of operating earnings is recorded one quarter in arrears. During 2010, we recorded approximately $0.2 million related to our share of acquisition related costs.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Provision</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reflected our best estimate of the litigation liability. Oral arguments on the appeal were heard in December 2010. A final ruling on the appeal was issued in February 2011 which rejected both appeals and consequently, affirmed the final judgment against us. Therefore, in December 2010, we adjusted our accrual to $16.2 million which reflects the amount we expect to pay in first quarter 2011.</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net change in our accrual in 2010 and 2009 is included in “litigation provision” in our consolidated statements of operations. The litigation accrual of $16.2 million and $16.4 million at December 31, 2010 and 2009, respectively, is included in the “accounts payable and accrued expenses” line item in our consolidated balance sheets. During 2010 and 2009, we incurred additional legal and other costs related to this lawsuit and appeal process which are also included in the “litigation provision” line item in the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w:t>
      </w:r>
    </w:p>
    <w:p>
      <w:pPr>
        <w:spacing w:after="0" w:line="9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January 19, 2011, we acquired the fee interest in Tower Shops located in Davie, Florida for a net purchase price of approximately $66.1 million which includes the assumption of a mortgage loan of approximately $41.0 million. The mortgage loan bears interest at 6.52%, is interest only until July 2011 at which time it converts to a 30-year amortization schedule and matures in July 2015. The loan is pre-payable after June 2011 and we expect to repay the loan during 2011 which will include a 3% prepayment premium on the outstanding loan balance. The property contains approximately 372,000 square feet of gross leasable area and is shadow-anchored by Home Depot and Costco.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We seek growth in earnings, funds from operations, and cash flows primarily through a combination of the following:</w:t>
      </w:r>
    </w:p>
    <w:p>
      <w:pPr>
        <w:spacing w:after="0" w:line="87" w:lineRule="exact"/>
        <w:rPr>
          <w:sz w:val="20"/>
          <w:szCs w:val="20"/>
          <w:color w:val="auto"/>
        </w:rPr>
      </w:pPr>
    </w:p>
    <w:p>
      <w:pPr>
        <w:ind w:left="780" w:hanging="328"/>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growth in our portfolio from property redevelopments,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expansion of our portfolio through property acquisitions,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growth in our same-center portfolio.</w:t>
      </w:r>
    </w:p>
    <w:p>
      <w:pPr>
        <w:spacing w:after="0" w:line="164" w:lineRule="exact"/>
        <w:rPr>
          <w:sz w:val="20"/>
          <w:szCs w:val="20"/>
          <w:color w:val="auto"/>
        </w:rPr>
      </w:pPr>
    </w:p>
    <w:p>
      <w:pPr>
        <w:ind w:right="60"/>
        <w:spacing w:after="0" w:line="342" w:lineRule="auto"/>
        <w:rPr>
          <w:sz w:val="20"/>
          <w:szCs w:val="20"/>
          <w:color w:val="auto"/>
        </w:rPr>
      </w:pPr>
      <w:r>
        <w:rPr>
          <w:rFonts w:ascii="Arial" w:cs="Arial" w:eastAsia="Arial" w:hAnsi="Arial"/>
          <w:sz w:val="15"/>
          <w:szCs w:val="15"/>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types of opportunities. In 2010, redevelopment projects totaling $27 million stabilized. In 2011 and 2012, we expect to have redevelopment projects stabilizing with projected costs of approximately $48 million and $50 million, respectively.</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Additionally, we continue to invest in the development at Assembly Row which is a long-term development project we expect to be involved in over the coming years. The project currently has zoning entitlements to build 2.3 million square feet of commercial-use buildings, 2,100 residential units, and a 200 room hotel. We expect that we will structure any future development in a manner designed to mitigate our risk which may include transfers of entitlements or co-developing with other real estate companies. We have entered into a preliminary agreement with a residential developer for the first phase of development and continue our current predevelopment and infrastructure work. We received approximately $10 million in public funding in April 2010, which is included in “notes payable” in the consolidated balance sheet, related to the infrastructure work we have completed and we expect the state will complete certain additional infrastructure work using government stimulus funds. We incurred approximately $16 million related to the development in 2010, net of the public funding discussed above, and expect to incur between $10 million and $30 million in 2011, net of expected public funding.</w:t>
      </w:r>
    </w:p>
    <w:p>
      <w:pPr>
        <w:spacing w:after="0" w:line="125"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We continue to review acquisition opportunities in our primary markets that complement our portfolio and provide long term opportunities. Generally, our acquisitions do not initially contribute significantly to earnings growth; however,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On occasion we also finance our acquisitions through the issuance of common shares, preferred shares, or downREIT units as well as through assumed or new mortgages.</w:t>
      </w:r>
    </w:p>
    <w:p>
      <w:pPr>
        <w:spacing w:after="0" w:line="10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us to decrease some rental rates. This will have a long-term impact over the contractual term of the lease agreement, which on average is between five and ten years. We expect to continue to see small changes in occupancy over the short term and expect increases in occupancy to be a driver of our same-center growth over the long term as we are able to re-lease these vacant spaces. We seek to maintain a mix of strong national, regional, and local retailers. At December 31, 2010, no single tenant accounted for more than 2.6% of annualized base rent.</w:t>
      </w:r>
    </w:p>
    <w:p>
      <w:pPr>
        <w:spacing w:after="0" w:line="107"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current economic environment has impacted the success of our tenants’ retail operations and therefore the amount of rent and expense reimbursements we receive from our tenants. Since 2008, we have seen tenants experiencing declining sales, vacating early, or filing for bankruptcy, as well as seeking rent relief from us as landlord. Any reduction in our tenants’ abilities to pay base rent, percentage rent or other charges, will adversely affect our financial condition and results of operations. While we believe the locations of our centers and diverse tenant base mitigates the negative impact of the economic environment, we may see an increase in vacancy over the short term that could have a negative impact on our revenue and bad debt expense. During the latter part of 2010, we saw positive signs of improvement for some of our tenants as well as increased interest for our retail spaces; however, there can be no assurance that these positive signs will continue. We continue to monitor our tenants’ operating performances as well as trends in the retail industry to evaluate any future impact.</w:t>
      </w:r>
    </w:p>
    <w:p>
      <w:pPr>
        <w:spacing w:after="0" w:line="123"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At December 31, 2010, the leasable square feet in our properties was 93.2% occupied and 93.9% leased. The leased rate is higher than the occupied rate due to leased spaces that are being redeveloped or improved or that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5"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700"/>
        <w:spacing w:after="0" w:line="305" w:lineRule="auto"/>
        <w:rPr>
          <w:sz w:val="20"/>
          <w:szCs w:val="20"/>
          <w:color w:val="auto"/>
        </w:rPr>
      </w:pPr>
      <w:r>
        <w:rPr>
          <w:rFonts w:ascii="Arial" w:cs="Arial" w:eastAsia="Arial" w:hAnsi="Arial"/>
          <w:sz w:val="16"/>
          <w:szCs w:val="16"/>
          <w:color w:val="auto"/>
        </w:rPr>
        <w:t>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9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2010 COMPARED TO YEAR ENDED DECEMBER 31, 2009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520" w:type="dxa"/>
            <w:vAlign w:val="bottom"/>
          </w:tcPr>
          <w:p>
            <w:pPr>
              <w:spacing w:after="0"/>
              <w:rPr>
                <w:sz w:val="13"/>
                <w:szCs w:val="13"/>
                <w:color w:val="auto"/>
              </w:rPr>
            </w:pPr>
          </w:p>
        </w:tc>
        <w:tc>
          <w:tcPr>
            <w:tcW w:w="2020" w:type="dxa"/>
            <w:vAlign w:val="bottom"/>
            <w:vMerge w:val="restart"/>
          </w:tcPr>
          <w:p>
            <w:pPr>
              <w:spacing w:after="0"/>
              <w:rPr>
                <w:sz w:val="13"/>
                <w:szCs w:val="13"/>
                <w:color w:val="auto"/>
              </w:rPr>
            </w:pPr>
          </w:p>
        </w:tc>
        <w:tc>
          <w:tcPr>
            <w:tcW w:w="680" w:type="dxa"/>
            <w:vAlign w:val="bottom"/>
            <w:vMerge w:val="restart"/>
          </w:tcPr>
          <w:p>
            <w:pPr>
              <w:jc w:val="right"/>
              <w:ind w:right="138"/>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420" w:type="dxa"/>
            <w:vAlign w:val="bottom"/>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Change</w:t>
            </w:r>
          </w:p>
        </w:tc>
        <w:tc>
          <w:tcPr>
            <w:tcW w:w="5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Dollars</w:t>
            </w:r>
          </w:p>
        </w:tc>
        <w:tc>
          <w:tcPr>
            <w:tcW w:w="420" w:type="dxa"/>
            <w:vAlign w:val="bottom"/>
          </w:tcPr>
          <w:p>
            <w:pPr>
              <w:spacing w:after="0"/>
              <w:rPr>
                <w:sz w:val="11"/>
                <w:szCs w:val="11"/>
                <w:color w:val="auto"/>
              </w:rPr>
            </w:pPr>
          </w:p>
        </w:tc>
        <w:tc>
          <w:tcPr>
            <w:tcW w:w="50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w w:val="90"/>
              </w:rPr>
              <w:t>(Dollar amounts</w:t>
            </w:r>
          </w:p>
        </w:tc>
        <w:tc>
          <w:tcPr>
            <w:tcW w:w="980" w:type="dxa"/>
            <w:vAlign w:val="bottom"/>
            <w:gridSpan w:val="2"/>
          </w:tcPr>
          <w:p>
            <w:pPr>
              <w:jc w:val="right"/>
              <w:ind w:right="18"/>
              <w:spacing w:after="0" w:line="134" w:lineRule="exact"/>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$ 525,528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w w:val="94"/>
              </w:rPr>
              <w:t>512,725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$12,803</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Other property income</w:t>
            </w:r>
          </w:p>
        </w:tc>
        <w:tc>
          <w:tcPr>
            <w:tcW w:w="2900" w:type="dxa"/>
            <w:vAlign w:val="bottom"/>
            <w:gridSpan w:val="3"/>
          </w:tcPr>
          <w:p>
            <w:pPr>
              <w:jc w:val="right"/>
              <w:ind w:right="200"/>
              <w:spacing w:after="0"/>
              <w:rPr>
                <w:sz w:val="20"/>
                <w:szCs w:val="20"/>
                <w:color w:val="auto"/>
              </w:rPr>
            </w:pPr>
            <w:r>
              <w:rPr>
                <w:rFonts w:ascii="Arial" w:cs="Arial" w:eastAsia="Arial" w:hAnsi="Arial"/>
                <w:sz w:val="17"/>
                <w:szCs w:val="17"/>
                <w:color w:val="auto"/>
              </w:rPr>
              <w:t>14,545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rPr>
              <w:t>12,850</w:t>
            </w:r>
          </w:p>
        </w:tc>
        <w:tc>
          <w:tcPr>
            <w:tcW w:w="560" w:type="dxa"/>
            <w:vAlign w:val="bottom"/>
          </w:tcPr>
          <w:p>
            <w:pPr>
              <w:jc w:val="right"/>
              <w:spacing w:after="0"/>
              <w:rPr>
                <w:sz w:val="20"/>
                <w:szCs w:val="20"/>
                <w:color w:val="auto"/>
              </w:rPr>
            </w:pPr>
            <w:r>
              <w:rPr>
                <w:rFonts w:ascii="Arial" w:cs="Arial" w:eastAsia="Arial" w:hAnsi="Arial"/>
                <w:sz w:val="17"/>
                <w:szCs w:val="17"/>
                <w:color w:val="auto"/>
              </w:rPr>
              <w:t>1,695</w:t>
            </w:r>
          </w:p>
        </w:tc>
        <w:tc>
          <w:tcPr>
            <w:tcW w:w="4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4,601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4,943</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(342)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
              <w:spacing w:after="0"/>
              <w:rPr>
                <w:sz w:val="20"/>
                <w:szCs w:val="20"/>
                <w:color w:val="auto"/>
              </w:rPr>
            </w:pPr>
            <w:r>
              <w:rPr>
                <w:rFonts w:ascii="Arial" w:cs="Arial" w:eastAsia="Arial" w:hAnsi="Arial"/>
                <w:sz w:val="17"/>
                <w:szCs w:val="17"/>
                <w:color w:val="auto"/>
              </w:rPr>
              <w:t>Total property revenue</w:t>
            </w:r>
          </w:p>
        </w:tc>
        <w:tc>
          <w:tcPr>
            <w:tcW w:w="2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line="20" w:lineRule="exact"/>
              <w:rPr>
                <w:sz w:val="1"/>
                <w:szCs w:val="1"/>
                <w:color w:val="auto"/>
              </w:rPr>
            </w:pPr>
          </w:p>
        </w:tc>
      </w:tr>
      <w:tr>
        <w:trPr>
          <w:trHeight w:val="211"/>
        </w:trPr>
        <w:tc>
          <w:tcPr>
            <w:tcW w:w="55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544,674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w w:val="94"/>
              </w:rPr>
              <w:t>530,518</w:t>
            </w:r>
          </w:p>
        </w:tc>
        <w:tc>
          <w:tcPr>
            <w:tcW w:w="560" w:type="dxa"/>
            <w:vAlign w:val="bottom"/>
          </w:tcPr>
          <w:p>
            <w:pPr>
              <w:jc w:val="right"/>
              <w:spacing w:after="0"/>
              <w:rPr>
                <w:sz w:val="20"/>
                <w:szCs w:val="20"/>
                <w:color w:val="auto"/>
              </w:rPr>
            </w:pPr>
            <w:r>
              <w:rPr>
                <w:rFonts w:ascii="Arial" w:cs="Arial" w:eastAsia="Arial" w:hAnsi="Arial"/>
                <w:sz w:val="17"/>
                <w:szCs w:val="17"/>
                <w:color w:val="auto"/>
              </w:rPr>
              <w:t>14,156</w:t>
            </w:r>
          </w:p>
        </w:tc>
        <w:tc>
          <w:tcPr>
            <w:tcW w:w="4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111,034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w w:val="94"/>
              </w:rPr>
              <w:t>108,627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2,407</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Real estate taxes</w:t>
            </w:r>
          </w:p>
        </w:tc>
        <w:tc>
          <w:tcPr>
            <w:tcW w:w="20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59,108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rPr>
              <w:t>58,109</w:t>
            </w:r>
          </w:p>
        </w:tc>
        <w:tc>
          <w:tcPr>
            <w:tcW w:w="560" w:type="dxa"/>
            <w:vAlign w:val="bottom"/>
          </w:tcPr>
          <w:p>
            <w:pPr>
              <w:jc w:val="right"/>
              <w:spacing w:after="0"/>
              <w:rPr>
                <w:sz w:val="20"/>
                <w:szCs w:val="20"/>
                <w:color w:val="auto"/>
              </w:rPr>
            </w:pPr>
            <w:r>
              <w:rPr>
                <w:rFonts w:ascii="Arial" w:cs="Arial" w:eastAsia="Arial" w:hAnsi="Arial"/>
                <w:sz w:val="17"/>
                <w:szCs w:val="17"/>
                <w:color w:val="auto"/>
              </w:rPr>
              <w:t>999</w:t>
            </w:r>
          </w:p>
        </w:tc>
        <w:tc>
          <w:tcPr>
            <w:tcW w:w="4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170,142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w w:val="94"/>
              </w:rPr>
              <w:t>166,736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20"/>
              <w:spacing w:after="0"/>
              <w:rPr>
                <w:sz w:val="20"/>
                <w:szCs w:val="20"/>
                <w:color w:val="auto"/>
              </w:rPr>
            </w:pPr>
            <w:r>
              <w:rPr>
                <w:rFonts w:ascii="Arial" w:cs="Arial" w:eastAsia="Arial" w:hAnsi="Arial"/>
                <w:sz w:val="17"/>
                <w:szCs w:val="17"/>
                <w:color w:val="auto"/>
              </w:rPr>
              <w:t>Property operating income</w:t>
            </w:r>
          </w:p>
        </w:tc>
        <w:tc>
          <w:tcPr>
            <w:tcW w:w="2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line="20" w:lineRule="exact"/>
              <w:rPr>
                <w:sz w:val="1"/>
                <w:szCs w:val="1"/>
                <w:color w:val="auto"/>
              </w:rPr>
            </w:pPr>
          </w:p>
        </w:tc>
      </w:tr>
      <w:tr>
        <w:trPr>
          <w:trHeight w:val="211"/>
        </w:trPr>
        <w:tc>
          <w:tcPr>
            <w:tcW w:w="55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374,532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w w:val="94"/>
              </w:rPr>
              <w:t>363,782</w:t>
            </w:r>
          </w:p>
        </w:tc>
        <w:tc>
          <w:tcPr>
            <w:tcW w:w="560" w:type="dxa"/>
            <w:vAlign w:val="bottom"/>
          </w:tcPr>
          <w:p>
            <w:pPr>
              <w:jc w:val="right"/>
              <w:spacing w:after="0"/>
              <w:rPr>
                <w:sz w:val="20"/>
                <w:szCs w:val="20"/>
                <w:color w:val="auto"/>
              </w:rPr>
            </w:pPr>
            <w:r>
              <w:rPr>
                <w:rFonts w:ascii="Arial" w:cs="Arial" w:eastAsia="Arial" w:hAnsi="Arial"/>
                <w:sz w:val="17"/>
                <w:szCs w:val="17"/>
                <w:color w:val="auto"/>
              </w:rPr>
              <w:t>10,750</w:t>
            </w:r>
          </w:p>
        </w:tc>
        <w:tc>
          <w:tcPr>
            <w:tcW w:w="4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1,894</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(1,638)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Income from real estate partnerships</w:t>
            </w:r>
          </w:p>
        </w:tc>
        <w:tc>
          <w:tcPr>
            <w:tcW w:w="2900" w:type="dxa"/>
            <w:vAlign w:val="bottom"/>
            <w:gridSpan w:val="3"/>
          </w:tcPr>
          <w:p>
            <w:pPr>
              <w:jc w:val="right"/>
              <w:ind w:right="200"/>
              <w:spacing w:after="0"/>
              <w:rPr>
                <w:sz w:val="20"/>
                <w:szCs w:val="20"/>
                <w:color w:val="auto"/>
              </w:rPr>
            </w:pPr>
            <w:r>
              <w:rPr>
                <w:rFonts w:ascii="Arial" w:cs="Arial" w:eastAsia="Arial" w:hAnsi="Arial"/>
                <w:sz w:val="17"/>
                <w:szCs w:val="17"/>
                <w:color w:val="auto"/>
              </w:rPr>
              <w:t>1,060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rPr>
              <w:t>1,322</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(262)</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(101,882)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w w:val="87"/>
              </w:rPr>
              <w:t>(108,781)</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Early extinguishment of debt</w:t>
            </w:r>
          </w:p>
        </w:tc>
        <w:tc>
          <w:tcPr>
            <w:tcW w:w="2900" w:type="dxa"/>
            <w:vAlign w:val="bottom"/>
            <w:gridSpan w:val="3"/>
          </w:tcPr>
          <w:p>
            <w:pPr>
              <w:jc w:val="right"/>
              <w:ind w:right="140"/>
              <w:spacing w:after="0"/>
              <w:rPr>
                <w:sz w:val="20"/>
                <w:szCs w:val="20"/>
                <w:color w:val="auto"/>
              </w:rPr>
            </w:pPr>
            <w:r>
              <w:rPr>
                <w:rFonts w:ascii="Arial" w:cs="Arial" w:eastAsia="Arial" w:hAnsi="Arial"/>
                <w:sz w:val="17"/>
                <w:szCs w:val="17"/>
                <w:color w:val="auto"/>
              </w:rPr>
              <w:t>(2,801)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96"/>
              <w:spacing w:after="0"/>
              <w:rPr>
                <w:sz w:val="20"/>
                <w:szCs w:val="20"/>
                <w:color w:val="auto"/>
              </w:rPr>
            </w:pPr>
            <w:r>
              <w:rPr>
                <w:rFonts w:ascii="Arial" w:cs="Arial" w:eastAsia="Arial" w:hAnsi="Arial"/>
                <w:sz w:val="17"/>
                <w:szCs w:val="17"/>
                <w:color w:val="auto"/>
              </w:rPr>
              <w:t>(2,639)</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(162)</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2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(24,189)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rPr>
              <w:t>(22,032)</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(2,157)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Litigation provision</w:t>
            </w:r>
          </w:p>
        </w:tc>
        <w:tc>
          <w:tcPr>
            <w:tcW w:w="2900" w:type="dxa"/>
            <w:vAlign w:val="bottom"/>
            <w:gridSpan w:val="3"/>
          </w:tcPr>
          <w:p>
            <w:pPr>
              <w:jc w:val="right"/>
              <w:ind w:right="140"/>
              <w:spacing w:after="0"/>
              <w:rPr>
                <w:sz w:val="20"/>
                <w:szCs w:val="20"/>
                <w:color w:val="auto"/>
              </w:rPr>
            </w:pPr>
            <w:r>
              <w:rPr>
                <w:rFonts w:ascii="Arial" w:cs="Arial" w:eastAsia="Arial" w:hAnsi="Arial"/>
                <w:sz w:val="17"/>
                <w:szCs w:val="17"/>
                <w:color w:val="auto"/>
              </w:rPr>
              <w:t>(330)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96"/>
              <w:spacing w:after="0"/>
              <w:rPr>
                <w:sz w:val="20"/>
                <w:szCs w:val="20"/>
                <w:color w:val="auto"/>
              </w:rPr>
            </w:pPr>
            <w:r>
              <w:rPr>
                <w:rFonts w:ascii="Arial" w:cs="Arial" w:eastAsia="Arial" w:hAnsi="Arial"/>
                <w:sz w:val="17"/>
                <w:szCs w:val="17"/>
                <w:color w:val="auto"/>
              </w:rPr>
              <w:t>(16,355)</w:t>
            </w:r>
          </w:p>
        </w:tc>
        <w:tc>
          <w:tcPr>
            <w:tcW w:w="560" w:type="dxa"/>
            <w:vAlign w:val="bottom"/>
          </w:tcPr>
          <w:p>
            <w:pPr>
              <w:jc w:val="right"/>
              <w:spacing w:after="0"/>
              <w:rPr>
                <w:sz w:val="20"/>
                <w:szCs w:val="20"/>
                <w:color w:val="auto"/>
              </w:rPr>
            </w:pPr>
            <w:r>
              <w:rPr>
                <w:rFonts w:ascii="Arial" w:cs="Arial" w:eastAsia="Arial" w:hAnsi="Arial"/>
                <w:sz w:val="17"/>
                <w:szCs w:val="17"/>
                <w:color w:val="auto"/>
              </w:rPr>
              <w:t>16,025</w:t>
            </w:r>
          </w:p>
        </w:tc>
        <w:tc>
          <w:tcPr>
            <w:tcW w:w="4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-98.0%</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(119,539)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96"/>
              <w:spacing w:after="0"/>
              <w:rPr>
                <w:sz w:val="20"/>
                <w:szCs w:val="20"/>
                <w:color w:val="auto"/>
              </w:rPr>
            </w:pPr>
            <w:r>
              <w:rPr>
                <w:rFonts w:ascii="Arial" w:cs="Arial" w:eastAsia="Arial" w:hAnsi="Arial"/>
                <w:sz w:val="17"/>
                <w:szCs w:val="17"/>
                <w:color w:val="auto"/>
                <w:w w:val="87"/>
              </w:rPr>
              <w:t>(114,812)</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(4,727)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Total other, net</w:t>
            </w:r>
          </w:p>
        </w:tc>
        <w:tc>
          <w:tcPr>
            <w:tcW w:w="20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-5.3%</w:t>
            </w:r>
          </w:p>
        </w:tc>
        <w:tc>
          <w:tcPr>
            <w:tcW w:w="0" w:type="dxa"/>
            <w:vAlign w:val="bottom"/>
          </w:tcPr>
          <w:p>
            <w:pPr>
              <w:spacing w:after="0" w:line="20" w:lineRule="exact"/>
              <w:rPr>
                <w:sz w:val="1"/>
                <w:szCs w:val="1"/>
                <w:color w:val="auto"/>
              </w:rPr>
            </w:pPr>
          </w:p>
        </w:tc>
      </w:tr>
      <w:tr>
        <w:trPr>
          <w:trHeight w:val="211"/>
        </w:trPr>
        <w:tc>
          <w:tcPr>
            <w:tcW w:w="55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(247,425)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96"/>
              <w:spacing w:after="0"/>
              <w:rPr>
                <w:sz w:val="20"/>
                <w:szCs w:val="20"/>
                <w:color w:val="auto"/>
              </w:rPr>
            </w:pPr>
            <w:r>
              <w:rPr>
                <w:rFonts w:ascii="Arial" w:cs="Arial" w:eastAsia="Arial" w:hAnsi="Arial"/>
                <w:sz w:val="17"/>
                <w:szCs w:val="17"/>
                <w:color w:val="auto"/>
                <w:w w:val="87"/>
              </w:rPr>
              <w:t>(261,403)</w:t>
            </w:r>
          </w:p>
        </w:tc>
        <w:tc>
          <w:tcPr>
            <w:tcW w:w="560" w:type="dxa"/>
            <w:vAlign w:val="bottom"/>
          </w:tcPr>
          <w:p>
            <w:pPr>
              <w:jc w:val="right"/>
              <w:spacing w:after="0"/>
              <w:rPr>
                <w:sz w:val="20"/>
                <w:szCs w:val="20"/>
                <w:color w:val="auto"/>
              </w:rPr>
            </w:pPr>
            <w:r>
              <w:rPr>
                <w:rFonts w:ascii="Arial" w:cs="Arial" w:eastAsia="Arial" w:hAnsi="Arial"/>
                <w:sz w:val="17"/>
                <w:szCs w:val="17"/>
                <w:color w:val="auto"/>
              </w:rPr>
              <w:t>13,978</w:t>
            </w:r>
          </w:p>
        </w:tc>
        <w:tc>
          <w:tcPr>
            <w:tcW w:w="4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127,107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w w:val="94"/>
              </w:rPr>
              <w:t>102,379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24,728</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Discontinued operations—(loss) income</w:t>
            </w:r>
          </w:p>
        </w:tc>
        <w:tc>
          <w:tcPr>
            <w:tcW w:w="2900" w:type="dxa"/>
            <w:vAlign w:val="bottom"/>
            <w:gridSpan w:val="3"/>
          </w:tcPr>
          <w:p>
            <w:pPr>
              <w:jc w:val="right"/>
              <w:ind w:right="140"/>
              <w:spacing w:after="0"/>
              <w:rPr>
                <w:sz w:val="20"/>
                <w:szCs w:val="20"/>
                <w:color w:val="auto"/>
              </w:rPr>
            </w:pPr>
            <w:r>
              <w:rPr>
                <w:rFonts w:ascii="Arial" w:cs="Arial" w:eastAsia="Arial" w:hAnsi="Arial"/>
                <w:sz w:val="17"/>
                <w:szCs w:val="17"/>
                <w:color w:val="auto"/>
              </w:rPr>
              <w:t>(280)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56"/>
              <w:spacing w:after="0"/>
              <w:rPr>
                <w:sz w:val="20"/>
                <w:szCs w:val="20"/>
                <w:color w:val="auto"/>
              </w:rPr>
            </w:pPr>
            <w:r>
              <w:rPr>
                <w:rFonts w:ascii="Arial" w:cs="Arial" w:eastAsia="Arial" w:hAnsi="Arial"/>
                <w:sz w:val="17"/>
                <w:szCs w:val="17"/>
                <w:color w:val="auto"/>
              </w:rPr>
              <w:t>195</w:t>
            </w:r>
          </w:p>
        </w:tc>
        <w:tc>
          <w:tcPr>
            <w:tcW w:w="980" w:type="dxa"/>
            <w:vAlign w:val="bottom"/>
            <w:gridSpan w:val="2"/>
          </w:tcPr>
          <w:p>
            <w:pPr>
              <w:jc w:val="right"/>
              <w:ind w:right="360"/>
              <w:spacing w:after="0"/>
              <w:rPr>
                <w:sz w:val="20"/>
                <w:szCs w:val="20"/>
                <w:color w:val="auto"/>
              </w:rPr>
            </w:pPr>
            <w:r>
              <w:rPr>
                <w:rFonts w:ascii="Arial" w:cs="Arial" w:eastAsia="Arial" w:hAnsi="Arial"/>
                <w:sz w:val="17"/>
                <w:szCs w:val="17"/>
                <w:color w:val="auto"/>
              </w:rPr>
              <w:t>(475)</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-243.6%</w:t>
            </w:r>
          </w:p>
        </w:tc>
        <w:tc>
          <w:tcPr>
            <w:tcW w:w="0" w:type="dxa"/>
            <w:vAlign w:val="bottom"/>
          </w:tcPr>
          <w:p>
            <w:pPr>
              <w:spacing w:after="0"/>
              <w:rPr>
                <w:sz w:val="1"/>
                <w:szCs w:val="1"/>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operations—gain on sale of real estate</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1,298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20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36"/>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410</w:t>
            </w:r>
          </w:p>
        </w:tc>
        <w:tc>
          <w:tcPr>
            <w:tcW w:w="4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w:t>
            </w:r>
          </w:p>
        </w:tc>
        <w:tc>
          <w:tcPr>
            <w:tcW w:w="20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128,237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w w:val="94"/>
              </w:rPr>
              <w:t>103,872</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24,365</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7"/>
                <w:szCs w:val="17"/>
                <w:color w:val="auto"/>
              </w:rPr>
              <w:t>Net income attributable to noncontrolling interests</w:t>
            </w:r>
          </w:p>
        </w:tc>
        <w:tc>
          <w:tcPr>
            <w:tcW w:w="20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(5,447)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96"/>
              <w:spacing w:after="0"/>
              <w:rPr>
                <w:sz w:val="20"/>
                <w:szCs w:val="20"/>
                <w:color w:val="auto"/>
              </w:rPr>
            </w:pPr>
            <w:r>
              <w:rPr>
                <w:rFonts w:ascii="Arial" w:cs="Arial" w:eastAsia="Arial" w:hAnsi="Arial"/>
                <w:sz w:val="17"/>
                <w:szCs w:val="17"/>
                <w:color w:val="auto"/>
              </w:rPr>
              <w:t>(5,568)</w:t>
            </w:r>
          </w:p>
        </w:tc>
        <w:tc>
          <w:tcPr>
            <w:tcW w:w="560" w:type="dxa"/>
            <w:vAlign w:val="bottom"/>
          </w:tcPr>
          <w:p>
            <w:pPr>
              <w:jc w:val="right"/>
              <w:spacing w:after="0"/>
              <w:rPr>
                <w:sz w:val="20"/>
                <w:szCs w:val="20"/>
                <w:color w:val="auto"/>
              </w:rPr>
            </w:pPr>
            <w:r>
              <w:rPr>
                <w:rFonts w:ascii="Arial" w:cs="Arial" w:eastAsia="Arial" w:hAnsi="Arial"/>
                <w:sz w:val="17"/>
                <w:szCs w:val="17"/>
                <w:color w:val="auto"/>
              </w:rPr>
              <w:t>121</w:t>
            </w:r>
          </w:p>
        </w:tc>
        <w:tc>
          <w:tcPr>
            <w:tcW w:w="42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income attributable to the Trust</w:t>
            </w:r>
          </w:p>
        </w:tc>
        <w:tc>
          <w:tcPr>
            <w:tcW w:w="29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$ 122,790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56"/>
              <w:spacing w:after="0"/>
              <w:rPr>
                <w:sz w:val="20"/>
                <w:szCs w:val="20"/>
                <w:color w:val="auto"/>
              </w:rPr>
            </w:pPr>
            <w:r>
              <w:rPr>
                <w:rFonts w:ascii="Arial" w:cs="Arial" w:eastAsia="Arial" w:hAnsi="Arial"/>
                <w:sz w:val="17"/>
                <w:szCs w:val="17"/>
                <w:color w:val="auto"/>
              </w:rPr>
              <w:t>98,304</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24,486</w:t>
            </w:r>
          </w:p>
        </w:tc>
        <w:tc>
          <w:tcPr>
            <w:tcW w:w="4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1"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auto"/>
        </w:rPr>
        <w:t>Total property revenue increased $14.2 million, or 2.7%, to $544.7 million in 2010 compared to $530.5 million in 2009. The percentage occupied at our shopping centers remained unchanged at 93.2% at December 31, 2010 and 2009. Changes in the components of property revenue are discussed below.</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45"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87" w:lineRule="exact"/>
        <w:rPr>
          <w:sz w:val="20"/>
          <w:szCs w:val="20"/>
          <w:color w:val="auto"/>
        </w:rPr>
      </w:pPr>
    </w:p>
    <w:p>
      <w:pPr>
        <w:ind w:right="780"/>
        <w:spacing w:after="0" w:line="273" w:lineRule="auto"/>
        <w:rPr>
          <w:sz w:val="20"/>
          <w:szCs w:val="20"/>
          <w:color w:val="auto"/>
        </w:rPr>
      </w:pPr>
      <w:r>
        <w:rPr>
          <w:rFonts w:ascii="Arial" w:cs="Arial" w:eastAsia="Arial" w:hAnsi="Arial"/>
          <w:sz w:val="17"/>
          <w:szCs w:val="17"/>
          <w:color w:val="auto"/>
        </w:rPr>
        <w:t>Rental income consists primarily of minimum rent, cost reimbursements from tenants and percentage rent. Rental income increased $12.8 million, or 2.5%, to $525.5 million in 2010 compared to $512.7 million in 2009 due primarily to the following:</w:t>
      </w:r>
    </w:p>
    <w:p>
      <w:pPr>
        <w:spacing w:after="0" w:line="44" w:lineRule="exact"/>
        <w:rPr>
          <w:sz w:val="20"/>
          <w:szCs w:val="20"/>
          <w:color w:val="auto"/>
        </w:rPr>
      </w:pPr>
    </w:p>
    <w:p>
      <w:pPr>
        <w:ind w:left="780" w:right="420" w:hanging="328"/>
        <w:spacing w:after="0" w:line="273"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$8.6 million at same-center properties due primarily to higher rental rates on new and renewal leases, increased cost reimbursements, and increased temporary tenant income,</w:t>
      </w:r>
    </w:p>
    <w:p>
      <w:pPr>
        <w:spacing w:after="0" w:line="43" w:lineRule="exact"/>
        <w:rPr>
          <w:rFonts w:ascii="Arial" w:cs="Arial" w:eastAsia="Arial" w:hAnsi="Arial"/>
          <w:sz w:val="17"/>
          <w:szCs w:val="17"/>
          <w:color w:val="auto"/>
        </w:rPr>
      </w:pPr>
    </w:p>
    <w:p>
      <w:pPr>
        <w:ind w:left="780" w:right="80" w:hanging="328"/>
        <w:spacing w:after="0" w:line="273" w:lineRule="auto"/>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$2.6 million at redevelopment properties due primarily to increased occupancy and rental rates on new leases and higher cost reimbursements, and</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increase of $0.8 million attributable to a property acquired in 2010.</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8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Other property income increased $1.7 million, or 13.2%, to $14.5 million in 2010 compared to $12.9 million in 2009. Included in other property income are items which, although recurring, tend to fluctuate more than rental income from period to period, such as lease termination fees. This increase is primarily due to an increase in lease termination fees.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property expenses increased $3.4 million, or 2.0%, to $170.1 million in 2010 compared to $166.7 million in 2009. Changes in the components of property expenses are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$2.4 million, or 2.2%, to $111.0 million in 2010 compared to $108.6 million in 2009. This increase is due primarily to the following:</w:t>
      </w:r>
    </w:p>
    <w:p>
      <w:pPr>
        <w:spacing w:after="0" w:line="99" w:lineRule="exact"/>
        <w:rPr>
          <w:sz w:val="20"/>
          <w:szCs w:val="20"/>
          <w:color w:val="auto"/>
        </w:rPr>
      </w:pPr>
    </w:p>
    <w:p>
      <w:pPr>
        <w:ind w:left="780" w:hanging="328"/>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of $1.9 million in repairs and maintenance due primarily to snow removal costs,</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of $1.0 million in other operating costs at same-center properties due primarily to higher demolition costs,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 increase of $0.6 million in utility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right="380" w:hanging="328"/>
        <w:spacing w:after="0" w:line="273"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decrease of $1.4 million in ground rent expense due to the purchase of the fee interest in the land under Pentagon Row resulting from the settlement of certain litigation.</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As a result of the changes in rental income, other property income and rental expenses as discussed above, rental expenses as a percentage of rental income plus other property income decreased slightly to 20.6% in 2010 from 20.7% in 2009.</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Real estate tax expense increased $1.0 million, or 1.7%, to $59.1 million in 2010 compared to $58.1 million in 2009 due primarily to annual increases in tax assessments partially offset by lower assessments and refunds of taxes at certain properties due primarily to successful tax appeals..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Property operating income increased $10.8 million, or 3.0%, to $374.5 million in 2010 compared to $363.8 million in 2009. This increase is primarily due to growth in earnings at same-center and redevelopment properties.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340"/>
          </w:cols>
          <w:pgMar w:left="240" w:top="445" w:right="3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Interest Income</w:t>
      </w:r>
    </w:p>
    <w:p>
      <w:pPr>
        <w:spacing w:after="0" w:line="87"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Other interest income decreased $1.6 million, or 86.5%, to $0.3 million in 2010 compared to $1.9 million in 2009. This decrease is due primarily to decreased short-term investing. During 2009, we invested the funds from our 2009 debt and equity transactions on a short-term basis in money market and other highly liquid investments.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from Real Estate Partnerships</w:t>
      </w:r>
    </w:p>
    <w:p>
      <w:pPr>
        <w:spacing w:after="0" w:line="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Income from real estate partnerships decreased $0.3 million, or 19.8%, to $1.1 million in 2010 compared to $1.3 million in 2009. The decrease is due primarily to $0.4 million of formation and acquisition related expenses from our Newbury Street Partnership.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$6.9 million, or 6.3%, to $101.9 million in 2010 compared to $108.8 million in 2009. This decrease is due primarily to the following:</w:t>
      </w:r>
    </w:p>
    <w:p>
      <w:pPr>
        <w:spacing w:after="0" w:line="99" w:lineRule="exact"/>
        <w:rPr>
          <w:sz w:val="20"/>
          <w:szCs w:val="20"/>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decrease of $8.2 million due to lower borrowings,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increase of $0.7 million in capitalized interest,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hanging="328"/>
        <w:spacing w:after="0"/>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$2.1 million due to a higher overall weighted average borrowing rate.</w:t>
      </w:r>
    </w:p>
    <w:p>
      <w:pPr>
        <w:spacing w:after="0" w:line="16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Gross interest costs were $108.2 million and $114.3 million in 2010 and 2009, respectively. Capitalized interest was $6.3 million and $5.5 million in 2010 and 2009,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$2.8 million early extinguishment of debt expense in 2010 is due to the write-off of unamortized debt fees related to the $250.0 million payoff of the term loan prior to its maturity date. The $2.6 million early extinguishment of debt for 2009 consists of $1.7 million due to the write-off of unamortized debt fees related to the $122.0 million pay down of the term loan in the fourth quarter 2009 and $1.0 million related to a cash tender offer for $40.3 million of our 8.75% senior notes due December 1, 2009, which were purchased and retired at a 2% premium to par value.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87"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General and administrative expense increased $2.2 million, or 9.8%, to $24.2 million in 2010 compared to $22.0 million in 2009. The increase is primarily due to higher personnel related costs, higher acquisition costs as a result of expensing all transaction costs, and higher legal fees, as a result of the litigation regarding certain rights to acquire the land under Pentagon Row further discussed in Note 2 to the consolidated financial statements in this Form 10-K.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 Provision</w:t>
      </w:r>
    </w:p>
    <w:p>
      <w:pPr>
        <w:spacing w:after="0" w:line="8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$0.3 million litigation provision in 2010 is due to certain costs related to the litigation and appeal process over a parcel of land located adjacent to Santana Row partially offset by the adjustment of the litigation provision to $16.2 million based on the rejection of both parties appeals in February 2011. The $16.4 million litigation provision in 2009 relates to increasing the accrual as well as costs related to the litigation and appeal process for such litigation matter. See Note 8 to the consolidated financial statements in this Form 10-K for further discussion on the litigation.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300"/>
          </w:cols>
          <w:pgMar w:left="240" w:top="445" w:right="3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87" w:lineRule="exact"/>
        <w:rPr>
          <w:sz w:val="20"/>
          <w:szCs w:val="20"/>
          <w:color w:val="auto"/>
        </w:rPr>
      </w:pPr>
    </w:p>
    <w:p>
      <w:pPr>
        <w:ind w:right="200"/>
        <w:spacing w:after="0" w:line="342" w:lineRule="auto"/>
        <w:rPr>
          <w:sz w:val="20"/>
          <w:szCs w:val="20"/>
          <w:color w:val="auto"/>
        </w:rPr>
      </w:pPr>
      <w:r>
        <w:rPr>
          <w:rFonts w:ascii="Arial" w:cs="Arial" w:eastAsia="Arial" w:hAnsi="Arial"/>
          <w:sz w:val="15"/>
          <w:szCs w:val="15"/>
          <w:color w:val="auto"/>
        </w:rPr>
        <w:t>Depreciation and amortization expense increased $4.7 million, or 4.1%, to $119.5 million in 2010 from $114.8 million in 2009. This increase is due primarily to capital improvements at same-center and redevelopment properties and accelerated depreciation related to the change in use of certain redevelopment buildings.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Operations—(Loss) Income</w:t>
      </w:r>
    </w:p>
    <w:p>
      <w:pPr>
        <w:spacing w:after="0" w:line="8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(Loss) income from discontinued operations represents the operating (loss) income of properties that have been disposed or will be disposed, which is required to be reported separately from results of ongoing operations. The decrease relates to a $0.4 million expense in 2010 to write down one of the properties to be sold in 2011 to fair value less cost to sell.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The $1.0 million gain on sale of real estate from discontinued operations for 2010 relates to the final settlement reached with the contractors responsible for performing defective work in previous years related to the work done in connection with the sale of certain condominium units at Santana Row. The $1.3 million gain on sale of real estate from discontinued operations for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Sale of Real Estate</w:t>
      </w:r>
    </w:p>
    <w:p>
      <w:pPr>
        <w:spacing w:after="0" w:line="8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The $0.4 million gain on sale of real estate in 2010 is due to condemnation proceeds, net of costs, at one of our Northern Virginia properties in order to expand a local road.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45"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2009 COMPARED TO YEAR ENDED DECEMBER 31, 2008</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3"/>
                <w:szCs w:val="13"/>
                <w:color w:val="auto"/>
              </w:rPr>
            </w:pPr>
          </w:p>
        </w:tc>
        <w:tc>
          <w:tcPr>
            <w:tcW w:w="920" w:type="dxa"/>
            <w:vAlign w:val="bottom"/>
            <w:gridSpan w:val="2"/>
            <w:vMerge w:val="restart"/>
          </w:tcPr>
          <w:p>
            <w:pPr>
              <w:jc w:val="right"/>
              <w:ind w:right="139"/>
              <w:spacing w:after="0"/>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Change</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540"/>
              <w:spacing w:after="0" w:line="134" w:lineRule="exact"/>
              <w:rPr>
                <w:sz w:val="20"/>
                <w:szCs w:val="20"/>
                <w:color w:val="auto"/>
              </w:rPr>
            </w:pPr>
            <w:r>
              <w:rPr>
                <w:rFonts w:ascii="Arial" w:cs="Arial" w:eastAsia="Arial" w:hAnsi="Arial"/>
                <w:sz w:val="13"/>
                <w:szCs w:val="13"/>
                <w:b w:val="1"/>
                <w:bCs w:val="1"/>
                <w:color w:val="auto"/>
                <w:w w:val="90"/>
              </w:rPr>
              <w:t>Dollars</w:t>
            </w:r>
          </w:p>
        </w:tc>
        <w:tc>
          <w:tcPr>
            <w:tcW w:w="440" w:type="dxa"/>
            <w:vAlign w:val="bottom"/>
          </w:tcPr>
          <w:p>
            <w:pPr>
              <w:jc w:val="right"/>
              <w:ind w:right="77"/>
              <w:spacing w:after="0" w:line="13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b w:val="1"/>
                <w:bCs w:val="1"/>
                <w:color w:val="auto"/>
                <w:w w:val="74"/>
              </w:rPr>
              <w:t>(Dollar amounts</w:t>
            </w:r>
          </w:p>
        </w:tc>
        <w:tc>
          <w:tcPr>
            <w:tcW w:w="42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in</w:t>
            </w:r>
          </w:p>
        </w:tc>
        <w:tc>
          <w:tcPr>
            <w:tcW w:w="620" w:type="dxa"/>
            <w:vAlign w:val="bottom"/>
            <w:tcBorders>
              <w:top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w w:val="85"/>
              </w:rPr>
              <w:t>thousands)</w:t>
            </w:r>
          </w:p>
        </w:tc>
        <w:tc>
          <w:tcPr>
            <w:tcW w:w="4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512,725</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$ 501,055</w:t>
            </w:r>
          </w:p>
        </w:tc>
        <w:tc>
          <w:tcPr>
            <w:tcW w:w="2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11,670</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Other property income</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12,850</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14,008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(1,158)</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Mortgage interest income</w:t>
            </w: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7"/>
        </w:trPr>
        <w:tc>
          <w:tcPr>
            <w:tcW w:w="7540" w:type="dxa"/>
            <w:vAlign w:val="bottom"/>
          </w:tcPr>
          <w:p>
            <w:pPr>
              <w:ind w:left="420"/>
              <w:spacing w:after="0"/>
              <w:rPr>
                <w:sz w:val="20"/>
                <w:szCs w:val="20"/>
                <w:color w:val="auto"/>
              </w:rPr>
            </w:pPr>
            <w:r>
              <w:rPr>
                <w:rFonts w:ascii="Arial" w:cs="Arial" w:eastAsia="Arial" w:hAnsi="Arial"/>
                <w:sz w:val="17"/>
                <w:szCs w:val="17"/>
                <w:color w:val="auto"/>
              </w:rPr>
              <w:t>Total property revenue</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530,518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519,611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10,907</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108,627</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109,463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1"/>
        </w:trPr>
        <w:tc>
          <w:tcPr>
            <w:tcW w:w="7540" w:type="dxa"/>
            <w:vAlign w:val="bottom"/>
          </w:tcPr>
          <w:p>
            <w:pPr>
              <w:spacing w:after="0"/>
              <w:rPr>
                <w:sz w:val="20"/>
                <w:szCs w:val="20"/>
                <w:color w:val="auto"/>
              </w:rPr>
            </w:pPr>
            <w:r>
              <w:rPr>
                <w:rFonts w:ascii="Arial" w:cs="Arial" w:eastAsia="Arial" w:hAnsi="Arial"/>
                <w:sz w:val="17"/>
                <w:szCs w:val="17"/>
                <w:color w:val="auto"/>
              </w:rPr>
              <w:t>Real estate taxes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58,109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2,692</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property expenses</w:t>
            </w: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166,736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164,880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7540" w:type="dxa"/>
            <w:vAlign w:val="bottom"/>
          </w:tcPr>
          <w:p>
            <w:pPr>
              <w:ind w:left="420"/>
              <w:spacing w:after="0"/>
              <w:rPr>
                <w:sz w:val="20"/>
                <w:szCs w:val="20"/>
                <w:color w:val="auto"/>
              </w:rPr>
            </w:pPr>
            <w:r>
              <w:rPr>
                <w:rFonts w:ascii="Arial" w:cs="Arial" w:eastAsia="Arial" w:hAnsi="Arial"/>
                <w:sz w:val="17"/>
                <w:szCs w:val="17"/>
                <w:color w:val="auto"/>
              </w:rPr>
              <w:t>Property operating income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363,782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354,731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9,051</w:t>
            </w:r>
          </w:p>
        </w:tc>
        <w:tc>
          <w:tcPr>
            <w:tcW w:w="4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Other interest income</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106.8%</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Income from real estate partnership</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1,322</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1,612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(290)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(108,781)</w:t>
            </w:r>
          </w:p>
        </w:tc>
        <w:tc>
          <w:tcPr>
            <w:tcW w:w="1160" w:type="dxa"/>
            <w:vAlign w:val="bottom"/>
            <w:gridSpan w:val="3"/>
            <w:shd w:val="clear" w:color="auto" w:fill="CCEEFF"/>
          </w:tcPr>
          <w:p>
            <w:pPr>
              <w:jc w:val="right"/>
              <w:ind w:right="136"/>
              <w:spacing w:after="0"/>
              <w:rPr>
                <w:sz w:val="20"/>
                <w:szCs w:val="20"/>
                <w:color w:val="auto"/>
              </w:rPr>
            </w:pPr>
            <w:r>
              <w:rPr>
                <w:rFonts w:ascii="Arial" w:cs="Arial" w:eastAsia="Arial" w:hAnsi="Arial"/>
                <w:sz w:val="17"/>
                <w:szCs w:val="17"/>
                <w:color w:val="auto"/>
              </w:rPr>
              <w:t>(99,163)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(9,618)</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Early extinguishment of debt</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(2,639)</w:t>
            </w:r>
          </w:p>
        </w:tc>
        <w:tc>
          <w:tcPr>
            <w:tcW w:w="220" w:type="dxa"/>
            <w:vAlign w:val="bottom"/>
          </w:tcPr>
          <w:p>
            <w:pPr>
              <w:spacing w:after="0"/>
              <w:rPr>
                <w:sz w:val="17"/>
                <w:szCs w:val="17"/>
                <w:color w:val="auto"/>
              </w:rPr>
            </w:pPr>
          </w:p>
        </w:tc>
        <w:tc>
          <w:tcPr>
            <w:tcW w:w="94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(2,639)</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(22,032)</w:t>
            </w:r>
          </w:p>
        </w:tc>
        <w:tc>
          <w:tcPr>
            <w:tcW w:w="1160" w:type="dxa"/>
            <w:vAlign w:val="bottom"/>
            <w:gridSpan w:val="3"/>
            <w:shd w:val="clear" w:color="auto" w:fill="CCEEFF"/>
          </w:tcPr>
          <w:p>
            <w:pPr>
              <w:jc w:val="right"/>
              <w:ind w:right="136"/>
              <w:spacing w:after="0"/>
              <w:rPr>
                <w:sz w:val="20"/>
                <w:szCs w:val="20"/>
                <w:color w:val="auto"/>
              </w:rPr>
            </w:pPr>
            <w:r>
              <w:rPr>
                <w:rFonts w:ascii="Arial" w:cs="Arial" w:eastAsia="Arial" w:hAnsi="Arial"/>
                <w:sz w:val="17"/>
                <w:szCs w:val="17"/>
                <w:color w:val="auto"/>
              </w:rPr>
              <w:t>(26,732)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4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Litigation provision</w:t>
            </w:r>
          </w:p>
        </w:tc>
        <w:tc>
          <w:tcPr>
            <w:tcW w:w="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(16,355)</w:t>
            </w:r>
          </w:p>
        </w:tc>
        <w:tc>
          <w:tcPr>
            <w:tcW w:w="220" w:type="dxa"/>
            <w:vAlign w:val="bottom"/>
          </w:tcPr>
          <w:p>
            <w:pPr>
              <w:spacing w:after="0"/>
              <w:rPr>
                <w:sz w:val="17"/>
                <w:szCs w:val="17"/>
                <w:color w:val="auto"/>
              </w:rPr>
            </w:pPr>
          </w:p>
        </w:tc>
        <w:tc>
          <w:tcPr>
            <w:tcW w:w="940" w:type="dxa"/>
            <w:vAlign w:val="bottom"/>
            <w:gridSpan w:val="2"/>
          </w:tcPr>
          <w:p>
            <w:pPr>
              <w:jc w:val="right"/>
              <w:ind w:right="27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(16,355)</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100.0%</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(114,812)</w:t>
            </w:r>
          </w:p>
        </w:tc>
        <w:tc>
          <w:tcPr>
            <w:tcW w:w="1160" w:type="dxa"/>
            <w:vAlign w:val="bottom"/>
            <w:gridSpan w:val="3"/>
            <w:shd w:val="clear" w:color="auto" w:fill="CCEEFF"/>
          </w:tcPr>
          <w:p>
            <w:pPr>
              <w:jc w:val="right"/>
              <w:ind w:right="136"/>
              <w:spacing w:after="0"/>
              <w:rPr>
                <w:sz w:val="20"/>
                <w:szCs w:val="20"/>
                <w:color w:val="auto"/>
              </w:rPr>
            </w:pPr>
            <w:r>
              <w:rPr>
                <w:rFonts w:ascii="Arial" w:cs="Arial" w:eastAsia="Arial" w:hAnsi="Arial"/>
                <w:sz w:val="17"/>
                <w:szCs w:val="17"/>
                <w:color w:val="auto"/>
              </w:rPr>
              <w:t>(110,748)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(4,064)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Total other, net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line="20" w:lineRule="exact"/>
              <w:rPr>
                <w:sz w:val="1"/>
                <w:szCs w:val="1"/>
                <w:color w:val="auto"/>
              </w:rPr>
            </w:pPr>
          </w:p>
        </w:tc>
      </w:tr>
      <w:tr>
        <w:trPr>
          <w:trHeight w:val="211"/>
        </w:trPr>
        <w:tc>
          <w:tcPr>
            <w:tcW w:w="7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(261,403)</w:t>
            </w:r>
          </w:p>
        </w:tc>
        <w:tc>
          <w:tcPr>
            <w:tcW w:w="1160" w:type="dxa"/>
            <w:vAlign w:val="bottom"/>
            <w:gridSpan w:val="3"/>
          </w:tcPr>
          <w:p>
            <w:pPr>
              <w:jc w:val="right"/>
              <w:ind w:right="136"/>
              <w:spacing w:after="0"/>
              <w:rPr>
                <w:sz w:val="20"/>
                <w:szCs w:val="20"/>
                <w:color w:val="auto"/>
              </w:rPr>
            </w:pPr>
            <w:r>
              <w:rPr>
                <w:rFonts w:ascii="Arial" w:cs="Arial" w:eastAsia="Arial" w:hAnsi="Arial"/>
                <w:sz w:val="17"/>
                <w:szCs w:val="17"/>
                <w:color w:val="auto"/>
              </w:rPr>
              <w:t>(234,115)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(27,288)</w:t>
            </w: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5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continuing operations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102,379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8"/>
              </w:rPr>
              <w:t>(18,237)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Discontinued operations-income</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195</w:t>
            </w:r>
          </w:p>
        </w:tc>
        <w:tc>
          <w:tcPr>
            <w:tcW w:w="2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1,965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(1,770)</w:t>
            </w: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-90.1%</w:t>
            </w: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operations-gain on sale of real estate</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8"/>
              </w:rPr>
              <w:t>(11,274)</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-89.7%</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20"/>
              <w:spacing w:after="0"/>
              <w:rPr>
                <w:sz w:val="20"/>
                <w:szCs w:val="20"/>
                <w:color w:val="auto"/>
              </w:rPr>
            </w:pPr>
            <w:r>
              <w:rPr>
                <w:rFonts w:ascii="Arial" w:cs="Arial" w:eastAsia="Arial" w:hAnsi="Arial"/>
                <w:sz w:val="17"/>
                <w:szCs w:val="17"/>
                <w:color w:val="auto"/>
              </w:rPr>
              <w:t>Net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-23.1%</w:t>
            </w:r>
          </w:p>
        </w:tc>
        <w:tc>
          <w:tcPr>
            <w:tcW w:w="0" w:type="dxa"/>
            <w:vAlign w:val="bottom"/>
          </w:tcPr>
          <w:p>
            <w:pPr>
              <w:spacing w:after="0" w:line="20" w:lineRule="exact"/>
              <w:rPr>
                <w:sz w:val="1"/>
                <w:szCs w:val="1"/>
                <w:color w:val="auto"/>
              </w:rPr>
            </w:pPr>
          </w:p>
        </w:tc>
      </w:tr>
      <w:tr>
        <w:trPr>
          <w:trHeight w:val="211"/>
        </w:trPr>
        <w:tc>
          <w:tcPr>
            <w:tcW w:w="7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103,872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135,153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(31,281)</w:t>
            </w: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(5,568)</w:t>
            </w:r>
          </w:p>
        </w:tc>
        <w:tc>
          <w:tcPr>
            <w:tcW w:w="1160" w:type="dxa"/>
            <w:vAlign w:val="bottom"/>
            <w:gridSpan w:val="3"/>
            <w:shd w:val="clear" w:color="auto" w:fill="CCEEFF"/>
          </w:tcPr>
          <w:p>
            <w:pPr>
              <w:jc w:val="right"/>
              <w:ind w:right="136"/>
              <w:spacing w:after="0"/>
              <w:rPr>
                <w:sz w:val="20"/>
                <w:szCs w:val="20"/>
                <w:color w:val="auto"/>
              </w:rPr>
            </w:pPr>
            <w:r>
              <w:rPr>
                <w:rFonts w:ascii="Arial" w:cs="Arial" w:eastAsia="Arial" w:hAnsi="Arial"/>
                <w:sz w:val="17"/>
                <w:szCs w:val="17"/>
                <w:color w:val="auto"/>
              </w:rPr>
              <w:t>(5,366)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(202)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420"/>
              <w:spacing w:after="0"/>
              <w:rPr>
                <w:sz w:val="20"/>
                <w:szCs w:val="20"/>
                <w:color w:val="auto"/>
              </w:rPr>
            </w:pPr>
            <w:r>
              <w:rPr>
                <w:rFonts w:ascii="Arial" w:cs="Arial" w:eastAsia="Arial" w:hAnsi="Arial"/>
                <w:sz w:val="17"/>
                <w:szCs w:val="17"/>
                <w:color w:val="auto"/>
              </w:rPr>
              <w:t>Net income attributable to the Trust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line="20" w:lineRule="exact"/>
              <w:rPr>
                <w:sz w:val="1"/>
                <w:szCs w:val="1"/>
                <w:color w:val="auto"/>
              </w:rPr>
            </w:pPr>
          </w:p>
        </w:tc>
      </w:tr>
      <w:tr>
        <w:trPr>
          <w:trHeight w:val="211"/>
        </w:trPr>
        <w:tc>
          <w:tcPr>
            <w:tcW w:w="75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98,304</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$ 129,787</w:t>
            </w:r>
          </w:p>
        </w:tc>
        <w:tc>
          <w:tcPr>
            <w:tcW w:w="24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w w:val="88"/>
              </w:rPr>
              <w:t>(31,483)</w:t>
            </w: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Revenues</w:t>
      </w:r>
    </w:p>
    <w:p>
      <w:pPr>
        <w:spacing w:after="0" w:line="91" w:lineRule="exact"/>
        <w:rPr>
          <w:sz w:val="20"/>
          <w:szCs w:val="20"/>
          <w:color w:val="auto"/>
        </w:rPr>
      </w:pPr>
    </w:p>
    <w:p>
      <w:pPr>
        <w:ind w:right="100"/>
        <w:spacing w:after="0" w:line="342" w:lineRule="auto"/>
        <w:rPr>
          <w:sz w:val="20"/>
          <w:szCs w:val="20"/>
          <w:color w:val="auto"/>
        </w:rPr>
      </w:pPr>
      <w:r>
        <w:rPr>
          <w:rFonts w:ascii="Arial" w:cs="Arial" w:eastAsia="Arial" w:hAnsi="Arial"/>
          <w:sz w:val="15"/>
          <w:szCs w:val="15"/>
          <w:color w:val="auto"/>
        </w:rPr>
        <w:t>Total property revenue increased $10.9 million, or 2.1%, to $530.5 million in 2009 compared to $519.6 million in 2008. The percentage occupied at our shopping centers decreased to 93.2% at December 31, 2009 compared to 94.3% at December 31, 2008. Changes in the components of property revenue are discussed below.</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Income</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color w:val="auto"/>
        </w:rPr>
        <w:t>Rental income consists primarily of minimum rent, cost recoveries from tenants and percentage rent. Rental income increased $11.7 million, or 2.3%, to $512.7 million in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2009 compared to $501.1 million in 2008, due primarily to the following:</w:t>
      </w:r>
    </w:p>
    <w:p>
      <w:pPr>
        <w:spacing w:after="0" w:line="80" w:lineRule="exact"/>
        <w:rPr>
          <w:sz w:val="20"/>
          <w:szCs w:val="20"/>
          <w:color w:val="auto"/>
        </w:rPr>
      </w:pPr>
    </w:p>
    <w:p>
      <w:pPr>
        <w:ind w:left="780" w:right="360" w:hanging="328"/>
        <w:spacing w:after="0" w:line="273"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$7.0 million at redevelopment properties due primarily to increased rental rates on new leases including newly created retail and residential spaces generating revenue and increased cost reimbursements,</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$4.8 million attributable to properties acquired in 2008, and</w:t>
      </w:r>
    </w:p>
    <w:p>
      <w:pPr>
        <w:spacing w:after="0" w:line="87" w:lineRule="exact"/>
        <w:rPr>
          <w:rFonts w:ascii="Arial" w:cs="Arial" w:eastAsia="Arial" w:hAnsi="Arial"/>
          <w:sz w:val="17"/>
          <w:szCs w:val="17"/>
          <w:color w:val="auto"/>
        </w:rPr>
      </w:pPr>
    </w:p>
    <w:p>
      <w:pPr>
        <w:ind w:left="780" w:right="140" w:hanging="328"/>
        <w:spacing w:after="0" w:line="273"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increase of $0.9 million at same-center properties due to increased rental rates on new and renewal leases and increased temporary tenant income partially offset by lower occupancy, percentage rent and recoveries,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5640" w:right="2620" w:hanging="5188"/>
        <w:spacing w:after="0" w:line="447" w:lineRule="auto"/>
        <w:tabs>
          <w:tab w:leader="none" w:pos="78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decrease of $1.1 million as a result of having demolished an operating property in 2008 for use in future development. 47</w:t>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Property Income</w:t>
      </w:r>
    </w:p>
    <w:p>
      <w:pPr>
        <w:spacing w:after="0" w:line="87" w:lineRule="exact"/>
        <w:rPr>
          <w:sz w:val="20"/>
          <w:szCs w:val="20"/>
          <w:color w:val="auto"/>
        </w:rPr>
      </w:pPr>
    </w:p>
    <w:p>
      <w:pPr>
        <w:jc w:val="both"/>
        <w:ind w:right="60"/>
        <w:spacing w:after="0" w:line="263" w:lineRule="auto"/>
        <w:rPr>
          <w:sz w:val="20"/>
          <w:szCs w:val="20"/>
          <w:color w:val="auto"/>
        </w:rPr>
      </w:pPr>
      <w:r>
        <w:rPr>
          <w:rFonts w:ascii="Arial" w:cs="Arial" w:eastAsia="Arial" w:hAnsi="Arial"/>
          <w:sz w:val="17"/>
          <w:szCs w:val="17"/>
          <w:color w:val="auto"/>
        </w:rPr>
        <w:t>Other property income decreased $1.2 million, or 8.3%, to $12.9 million in 2009 compared to $14.0 million in 2008. Included in other property income are items which, although recurring, tend to fluctuate more than rental income from period to period, such as lease termination fees. In 2009, the decrease is primarily due to a decrease in lease termination fees partially offset by an increase in income from our restaurant joint ventures.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Expenses</w:t>
      </w:r>
    </w:p>
    <w:p>
      <w:pPr>
        <w:spacing w:after="0" w:line="9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Total property expenses increased $1.9 million, or 1.1%, to $166.7 million in 2009 compared to $164.9 million in 2008. Changes in the components of property expenses are discussed below.</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Rental Expenses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decreased $0.8 million, or 0.8%, to $108.6 million in 2009 compared to $109.5 million in 2008. This decrease is due primarily to the following:</w:t>
      </w:r>
    </w:p>
    <w:p>
      <w:pPr>
        <w:spacing w:after="0" w:line="99" w:lineRule="exact"/>
        <w:rPr>
          <w:sz w:val="20"/>
          <w:szCs w:val="20"/>
          <w:color w:val="auto"/>
        </w:rPr>
      </w:pPr>
    </w:p>
    <w:p>
      <w:pPr>
        <w:ind w:left="780" w:right="100" w:hanging="328"/>
        <w:spacing w:after="0" w:line="273"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$1.4 million in ground rent expense at same-center properties due primarily to the acquisition of the fee interest in two land parcels at Bethesda Row in 2008,</w:t>
      </w:r>
    </w:p>
    <w:p>
      <w:pPr>
        <w:spacing w:after="0" w:line="43" w:lineRule="exact"/>
        <w:rPr>
          <w:rFonts w:ascii="Arial" w:cs="Arial" w:eastAsia="Arial" w:hAnsi="Arial"/>
          <w:sz w:val="17"/>
          <w:szCs w:val="17"/>
          <w:color w:val="auto"/>
        </w:rPr>
      </w:pPr>
    </w:p>
    <w:p>
      <w:pPr>
        <w:ind w:left="780" w:hanging="328"/>
        <w:spacing w:after="0" w:line="273" w:lineRule="auto"/>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$1.1 million in marketing expense at same-center and redevelopment properties, primarily due to costs related to Arlington East (Bethesda Row) which opened during 2008,</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$0.7 million in insurance expense at same-center properties,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decrease of $0.3 million in payroll expense at same-center and redevelopment properties,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hanging="328"/>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increase of $2.0 million in repairs and maintenance at same-center and redevelopment properties primarily due to higher snow removal costs, and</w:t>
      </w:r>
    </w:p>
    <w:p>
      <w:pPr>
        <w:spacing w:after="0" w:line="98" w:lineRule="exact"/>
        <w:rPr>
          <w:rFonts w:ascii="Arial" w:cs="Arial" w:eastAsia="Arial" w:hAnsi="Arial"/>
          <w:sz w:val="16"/>
          <w:szCs w:val="16"/>
          <w:color w:val="auto"/>
        </w:rPr>
      </w:pPr>
    </w:p>
    <w:p>
      <w:pPr>
        <w:ind w:left="780" w:hanging="328"/>
        <w:spacing w:after="0"/>
        <w:tabs>
          <w:tab w:leader="none" w:pos="7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increase of $0.9 million attributable to properties acquired in 2008,</w:t>
      </w:r>
    </w:p>
    <w:p>
      <w:pPr>
        <w:spacing w:after="0" w:line="164"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As a result of the changes in rental income, rental expenses and other property income described above, rental expenses as a percentage of rental income plus other property income decreased to 20.7% in 2009 from 21.3% in 2008.</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 Taxes</w:t>
      </w:r>
    </w:p>
    <w:p>
      <w:pPr>
        <w:spacing w:after="0" w:line="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Real estate tax expense increased $2.7 million, or 4.9%, to $58.1 million in 2009 compared to $55.4 million in 2008. This increase is due primarily to an increase of $1.8 million related to higher assessments at redevelopment properties and $0.8 million related to properties acquired in 2008.</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Operating Income</w:t>
      </w:r>
    </w:p>
    <w:p>
      <w:pPr>
        <w:spacing w:after="0" w:line="9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Property operating income increased $9.1 million, or 2.6%, to $363.8 million in 2009 compared to $354.7 million in 2008. As discussed above, this increase is due primarily to growth in earnings at redevelopment properties, earnings attributable to properties acquired in 2008, partially offset by lower earnings in our same-center portfolio as discussed above.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Interest Income</w:t>
      </w:r>
    </w:p>
    <w:p>
      <w:pPr>
        <w:spacing w:after="0" w:line="8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Other interest income increased $1.0 million to $1.9 million in 2009 compared to $0.9 million in 2008. This increase is due primarily to investing the funds from our second quarter and August 2009 debt and equity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60"/>
          </w:cols>
          <w:pgMar w:left="240" w:top="445" w:right="2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560"/>
        <w:spacing w:after="0" w:line="342" w:lineRule="auto"/>
        <w:rPr>
          <w:sz w:val="20"/>
          <w:szCs w:val="20"/>
          <w:color w:val="auto"/>
        </w:rPr>
      </w:pPr>
      <w:r>
        <w:rPr>
          <w:rFonts w:ascii="Arial" w:cs="Arial" w:eastAsia="Arial" w:hAnsi="Arial"/>
          <w:sz w:val="15"/>
          <w:szCs w:val="15"/>
          <w:color w:val="auto"/>
        </w:rPr>
        <w:t>transactions on a short-term basis in money market and other highly liquid investments while we evaluate the current environment to determine the best use of the proceeds in addition to repaying the 8.75% senior notes that matured in December 2009 and paying down the term loan in October and December 2009.</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$9.6 million, or 9.7%, to $108.8 million in 2009 compared to $99.2 million in 2008. This increase is primarily due to the following:</w:t>
      </w:r>
    </w:p>
    <w:p>
      <w:pPr>
        <w:spacing w:after="0" w:line="99" w:lineRule="exact"/>
        <w:rPr>
          <w:sz w:val="20"/>
          <w:szCs w:val="20"/>
          <w:color w:val="auto"/>
        </w:rPr>
      </w:pPr>
    </w:p>
    <w:p>
      <w:pPr>
        <w:ind w:left="780" w:hanging="328"/>
        <w:spacing w:after="0"/>
        <w:tabs>
          <w:tab w:leader="none" w:pos="7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increase of $10.4 million due to higher borrowings,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hanging="328"/>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decrease of $0.6 million due to a lower overall weighted average borrowing rate,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of $0.2 million in capitalized interest.</w:t>
      </w:r>
    </w:p>
    <w:p>
      <w:pPr>
        <w:spacing w:after="0" w:line="164"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Gross interest costs were $114.3 million and $104.5 million in 2009 and 2008, respectively. Capitalized interest amounted to $5.5 million and $5.3 million in 2009 and 2008,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Early Extinguishment of Debt</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$2.6 million early extinguishment of debt in 2009 consists of $1.7 million due to the write-off of unamortized debt fees related to the $122.0 million pay down of the term loan in the fourth quarter 2009 and $1.0 million related to a cash tender offer for $40.3 million of our 8.75% senior notes due December 1, 2009, which were purchased and retired at a 2% premium to par value.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General and administrative expense decreased $4.7 million, or 17.6%, to $22.0 million in 2009 from $26.7 million in 2008. The decrease is primarily due to a $1.6 million litigation settlement in 2008 related to a shopping center in New Jersey, $1.5 million lower legal fees related to litigation over a parcel of land located adjacent to Santana Row and other legal matters, and overall cost reduction efforts partially offset by expensing previously capitalized predevelopment costs.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 Provision</w:t>
      </w:r>
    </w:p>
    <w:p>
      <w:pPr>
        <w:spacing w:after="0" w:line="87" w:lineRule="exact"/>
        <w:rPr>
          <w:sz w:val="20"/>
          <w:szCs w:val="20"/>
          <w:color w:val="auto"/>
        </w:rPr>
      </w:pPr>
    </w:p>
    <w:p>
      <w:pPr>
        <w:ind w:right="280"/>
        <w:spacing w:after="0" w:line="342" w:lineRule="auto"/>
        <w:rPr>
          <w:sz w:val="20"/>
          <w:szCs w:val="20"/>
          <w:color w:val="auto"/>
        </w:rPr>
      </w:pPr>
      <w:r>
        <w:rPr>
          <w:rFonts w:ascii="Arial" w:cs="Arial" w:eastAsia="Arial" w:hAnsi="Arial"/>
          <w:sz w:val="15"/>
          <w:szCs w:val="15"/>
          <w:color w:val="auto"/>
        </w:rPr>
        <w:t>The $16.4 million litigation provision in 2009 is due to increasing the accrual for litigation regarding a parcel of land located adjacent to Santana Row as well as other costs related to the litigation and appeal process. See Note 8 to the consolidated financial statements in this Form 10-K for further discussion on the litigation.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8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Depreciation and amortization expense increased $4.1 million, or 3.7%, to $114.8 million in 2009 from $110.7 million in 2008. This increase is due primarily to capital improvements at same-center and redevelopment properties and 2008 acquisitions as well as accelerated depreciation for tenant improvements where the tenant vacated prior to the end of their lease term. This increase is partially offset by accelerated depreciation in 2008 related to the change in use of a redevelopment building which was later demolished.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Operations-Income</w:t>
      </w:r>
    </w:p>
    <w:p>
      <w:pPr>
        <w:spacing w:after="0" w:line="87"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Income from discontinued operations represents the operating income of properties that have been disposed, or will be disposed, which is required to be reported separately from results of ongoing operations. The reported income of $0.2 million and $2.0 million in 2009 and 2008, respectively, represents the income for the period during which we owned properties held for sale in 2010 or sold in 2009 and 2008.</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445"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Operations-Gain on Sale of Real Estate</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$1.3 million gain on sale of real estate from discontinued operations for 2009 consists primarily of $0.9 million in insurance proceeds received related to repairs we performed on certain condominium units sold at Santana Row as the result of defective work done by third party contractors in prior years and $0.4 million on the sale of our fee interest in a land parcel in White Marsh, Maryland, that was subject to a long-term ground lease.</w:t>
      </w:r>
    </w:p>
    <w:p>
      <w:pPr>
        <w:spacing w:after="0" w:line="128" w:lineRule="exact"/>
        <w:rPr>
          <w:sz w:val="20"/>
          <w:szCs w:val="20"/>
          <w:color w:val="auto"/>
        </w:rPr>
      </w:pPr>
    </w:p>
    <w:p>
      <w:pPr>
        <w:jc w:val="both"/>
        <w:ind w:right="40"/>
        <w:spacing w:after="0" w:line="314" w:lineRule="auto"/>
        <w:rPr>
          <w:sz w:val="20"/>
          <w:szCs w:val="20"/>
          <w:color w:val="auto"/>
        </w:rPr>
      </w:pPr>
      <w:r>
        <w:rPr>
          <w:rFonts w:ascii="Arial" w:cs="Arial" w:eastAsia="Arial" w:hAnsi="Arial"/>
          <w:sz w:val="15"/>
          <w:szCs w:val="15"/>
          <w:color w:val="auto"/>
        </w:rPr>
        <w:t>The $12.6 million gain on sale of real estate from discontinued operations for 2008 is due to a $5.2 million gain on the sale of one property in Connecticut, a $5.2 million decrease in the warranty reserve for condominium units sold at Santana Row in 2005 and 2006, $1.1 million of accrued state tax refunds applied for in 2008 related to the initial sales of the condominium units at Santana Row, and a $0.9 million gain on the sale of four land parcels in Maryland and Massachusetts.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9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8"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March 2010, we took advantage of lower long-term interest rates and issued $150 million of 10-year senior notes at a 5.90% interest rate. Using funds from the senior note offering as well as cash on hand, we repaid the outstanding $250 million balance on our term loan in advance of it maturing in July 2011. Cash and cash equivalents were $15.8 million at December 31, 2010, which is a $119.6 million decrease from the $135.4 million balance at December 31, 2009. The significant decrease is due primarily to the debt transactions discussed above and capital investments during 2010; however, cash and cash equivalents are not the only indicator of our liquidity. We also have a $300 million unsecured revolving credit facility that matures July 27, 2011, which had an outstanding balance of $77.0 million at December 31, 2010. During 2010, the maximum amount of borrowings outstanding under our revolving credit facility was $82.0 million, the weighted average amount of borrowings outstanding was $23.4 million, and the weighted average interest rate, before amortization of debt fees, was 0.7%.</w:t>
      </w:r>
    </w:p>
    <w:p>
      <w:pPr>
        <w:spacing w:after="0" w:line="12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During 2011, we have approximately $112.3 million of debt maturities related to mortgages payable and senior notes. Additionally, our $300 million revolving credit facility matures in July 2011. We are currently working with lenders to refinance our revolving credit facility and anticipate being able to obtain at least similar levels of commitments under a new facility. We expect the interest rate to be higher than our current revolving credit facility consistent with current market rates for similar facilities. We currently believe that cash flows from operations, cash on hand and our revolving credit facility will be sufficient to finance our operations, debt maturities, litigation settlement, and recurring capital expenditures.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45" w:right="2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overall capital requirements in 2011 will depend upon acquisition opportunities, the level of improvements and redevelopments on existing properties and the timing and cost of development of future phases of existing properties. While the amount of future expenditures will depend on numerous factors, we expect to incur at least similar levels of capital expenditures in 2011 compared to prior periods which will be funded on a short-term basis with cash flow from operations, cash on hand, and/or the revolving credit facility, and on a long-term basis, with long-term debt or equity.</w:t>
      </w:r>
    </w:p>
    <w:p>
      <w:pPr>
        <w:spacing w:after="0" w:line="13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If necessary, we may access the debt or equity capital markets to finance significant acquisitions. Given our past success as well as the status of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13"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color w:val="auto"/>
        </w:rPr>
        <w:t>In addition to the conditions in the capital markets which could affect our ability to access those markets, the following factors could affect our ability to meet our liquidity requirements:</w:t>
      </w:r>
    </w:p>
    <w:p>
      <w:pPr>
        <w:spacing w:after="0" w:line="44" w:lineRule="exact"/>
        <w:rPr>
          <w:sz w:val="20"/>
          <w:szCs w:val="20"/>
          <w:color w:val="auto"/>
        </w:rPr>
      </w:pPr>
    </w:p>
    <w:p>
      <w:pPr>
        <w:ind w:left="780" w:right="200" w:hanging="328"/>
        <w:spacing w:after="0" w:line="273" w:lineRule="auto"/>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restrictions in our debt instruments or preferred shares may limit us from incurring debt or issuing equity at all, or on acceptable terms under then-prevailing market conditions and</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may be unable to service additional or replacement debt due to increases in interest rates or a decline in our operating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 for 2010 and 2009</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54"/>
        </w:trPr>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74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3"/>
              <w:spacing w:after="0" w:line="134" w:lineRule="exact"/>
              <w:rPr>
                <w:sz w:val="20"/>
                <w:szCs w:val="20"/>
                <w:color w:val="auto"/>
              </w:rPr>
            </w:pPr>
            <w:r>
              <w:rPr>
                <w:rFonts w:ascii="Arial" w:cs="Arial" w:eastAsia="Arial" w:hAnsi="Arial"/>
                <w:sz w:val="13"/>
                <w:szCs w:val="13"/>
                <w:b w:val="1"/>
                <w:bCs w:val="1"/>
                <w:color w:val="auto"/>
              </w:rPr>
              <w:t>2010</w:t>
            </w:r>
          </w:p>
        </w:tc>
        <w:tc>
          <w:tcPr>
            <w:tcW w:w="3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66"/>
              <w:spacing w:after="0" w:line="134"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5"/>
          </w:tcPr>
          <w:p>
            <w:pPr>
              <w:jc w:val="right"/>
              <w:ind w:right="740"/>
              <w:spacing w:after="0" w:line="134" w:lineRule="exact"/>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256,735</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$ 256,765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10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(187,088)</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(127,341)</w:t>
            </w:r>
          </w:p>
        </w:tc>
        <w:tc>
          <w:tcPr>
            <w:tcW w:w="0" w:type="dxa"/>
            <w:vAlign w:val="bottom"/>
          </w:tcPr>
          <w:p>
            <w:pPr>
              <w:spacing w:after="0"/>
              <w:rPr>
                <w:sz w:val="1"/>
                <w:szCs w:val="1"/>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used in financing activities</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7"/>
              </w:rPr>
              <w:t>(189,239)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(9,258)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w w:val="87"/>
              </w:rPr>
              <w:t>(119,592)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120,166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beginning of year</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135,389</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Cash and 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15,797</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$ 135,389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Net cash provided by operating activities was $256.7 million during 2010 and $256.8 million during 2009. The minimal change was primarily attributable to increases in net income before the litigation provision offset by timing of interest payments on our senior notes and term loan as a result of changes in the debt outstanding in 2009 and 2010 and timing of payments related to operating expenses.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investing activities increased $59.7 million to $187.1 million during 2010 from $127.3 million during 2009. The increase was primarily attributable to:</w:t>
      </w:r>
    </w:p>
    <w:p>
      <w:pPr>
        <w:spacing w:after="0" w:line="110" w:lineRule="exact"/>
        <w:rPr>
          <w:sz w:val="20"/>
          <w:szCs w:val="20"/>
          <w:color w:val="auto"/>
        </w:rPr>
      </w:pPr>
    </w:p>
    <w:p>
      <w:pPr>
        <w:ind w:left="780" w:right="180" w:hanging="328"/>
        <w:spacing w:after="0" w:line="273"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$57.1 million of acquisitions in 2010 primarily related to Huntington Square, the former Mervyn’s outparcel at Escondido Promenade, and the fee interest in Pentagon Row and a portion of Bethesda Row,</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$16.7 million investment in the Newbury Street Partnership,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$10.5 million acquisition of a first mortgage loan in March 2010,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hanging="328"/>
        <w:spacing w:after="0"/>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$13.0 million decrease in capital investments, and</w:t>
      </w:r>
    </w:p>
    <w:p>
      <w:pPr>
        <w:spacing w:after="0" w:line="87" w:lineRule="exact"/>
        <w:rPr>
          <w:rFonts w:ascii="Arial" w:cs="Arial" w:eastAsia="Arial" w:hAnsi="Arial"/>
          <w:sz w:val="17"/>
          <w:szCs w:val="17"/>
          <w:color w:val="auto"/>
        </w:rPr>
      </w:pPr>
    </w:p>
    <w:p>
      <w:pPr>
        <w:ind w:left="780" w:right="380" w:hanging="328"/>
        <w:spacing w:after="0" w:line="273"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$7.0 million contribution in 2009, to our real estate partnership with a discretionary fund created and advised by ING Clarion Partners, which was used to repay property level debt which came due in December 1, 2009.</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45"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financing activities increased $180.0 million to $189.2 million during 2010 from $9.3 million during 2009. The increase was primarily attributable to:</w:t>
      </w:r>
    </w:p>
    <w:p>
      <w:pPr>
        <w:spacing w:after="0" w:line="110" w:lineRule="exact"/>
        <w:rPr>
          <w:sz w:val="20"/>
          <w:szCs w:val="20"/>
          <w:color w:val="auto"/>
        </w:rPr>
      </w:pPr>
    </w:p>
    <w:p>
      <w:pPr>
        <w:ind w:left="780" w:right="480" w:hanging="328"/>
        <w:spacing w:after="0" w:line="273"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$516.7 million decrease in net proceeds from the issuance of mortgages, capital leases and notes payable due primarily to the 2009 issuance of our $372 million term loan and $163.1 million in new mortgage loans,</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$108.9 million decrease in net proceeds from the issuance of common shares due primarily to the 2009 issuance of 2.0 million shares in August 2009, and</w:t>
      </w:r>
    </w:p>
    <w:p>
      <w:pPr>
        <w:spacing w:after="0" w:line="110" w:lineRule="exact"/>
        <w:rPr>
          <w:rFonts w:ascii="Arial" w:cs="Arial" w:eastAsia="Arial" w:hAnsi="Arial"/>
          <w:sz w:val="15"/>
          <w:szCs w:val="15"/>
          <w:color w:val="auto"/>
        </w:rPr>
      </w:pPr>
    </w:p>
    <w:p>
      <w:pPr>
        <w:ind w:left="780" w:right="220" w:hanging="328"/>
        <w:spacing w:after="0" w:line="273"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$7.0 million increase in dividends paid to common and preferred shareholders due to an increase in the dividend rate as well as an increase in the number of shares outstanding primarily as a result of the August 2009 issuance of 2.0 million shares,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partially offset by</w:t>
      </w:r>
    </w:p>
    <w:p>
      <w:pPr>
        <w:spacing w:after="0" w:line="87" w:lineRule="exact"/>
        <w:rPr>
          <w:sz w:val="20"/>
          <w:szCs w:val="20"/>
          <w:color w:val="auto"/>
        </w:rPr>
      </w:pPr>
    </w:p>
    <w:p>
      <w:pPr>
        <w:ind w:left="780" w:hanging="328"/>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$175.9 million decrease in repayment of senior notes as our 8.75% senior notes due December 1, 2009, were repaid in 2009,</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$200.1 million increase in net borrowings on our revolving credit facility, and</w:t>
      </w:r>
    </w:p>
    <w:p>
      <w:pPr>
        <w:spacing w:after="0" w:line="87" w:lineRule="exact"/>
        <w:rPr>
          <w:rFonts w:ascii="Arial" w:cs="Arial" w:eastAsia="Arial" w:hAnsi="Arial"/>
          <w:sz w:val="17"/>
          <w:szCs w:val="17"/>
          <w:color w:val="auto"/>
        </w:rPr>
      </w:pPr>
    </w:p>
    <w:p>
      <w:pPr>
        <w:ind w:left="780" w:right="100" w:hanging="328"/>
        <w:spacing w:after="0" w:line="342" w:lineRule="auto"/>
        <w:tabs>
          <w:tab w:leader="none" w:pos="7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$74.9 million decrease in repayment of mortgages, capital leases and notes payable due substantially to the payoff of our $200 million term loan in May 2009 and $122 million of pay-downs on our new term loan in the fourth quarter 2009 partially offset by the $250 million payoff of our term loan in 2010.</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our fixed, noncancelable obligations as of December 31,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9"/>
          </w:tcPr>
          <w:p>
            <w:pPr>
              <w:ind w:left="540"/>
              <w:spacing w:after="0"/>
              <w:rPr>
                <w:sz w:val="20"/>
                <w:szCs w:val="20"/>
                <w:color w:val="auto"/>
              </w:rPr>
            </w:pPr>
            <w:r>
              <w:rPr>
                <w:rFonts w:ascii="Arial" w:cs="Arial" w:eastAsia="Arial" w:hAnsi="Arial"/>
                <w:sz w:val="13"/>
                <w:szCs w:val="13"/>
                <w:b w:val="1"/>
                <w:bCs w:val="1"/>
                <w:color w:val="auto"/>
              </w:rPr>
              <w:t>Commitments Due by Period</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1"/>
        </w:trPr>
        <w:tc>
          <w:tcPr>
            <w:tcW w:w="11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3"/>
                <w:szCs w:val="13"/>
                <w:b w:val="1"/>
                <w:bCs w:val="1"/>
                <w:color w:val="auto"/>
                <w:w w:val="96"/>
              </w:rPr>
              <w:t>Less Than</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80"/>
              <w:spacing w:after="0" w:line="121" w:lineRule="exact"/>
              <w:rPr>
                <w:sz w:val="20"/>
                <w:szCs w:val="20"/>
                <w:color w:val="auto"/>
              </w:rPr>
            </w:pPr>
            <w:r>
              <w:rPr>
                <w:rFonts w:ascii="Arial" w:cs="Arial" w:eastAsia="Arial" w:hAnsi="Arial"/>
                <w:sz w:val="13"/>
                <w:szCs w:val="13"/>
                <w:b w:val="1"/>
                <w:bCs w:val="1"/>
                <w:color w:val="auto"/>
              </w:rPr>
              <w:t>After 5</w:t>
            </w:r>
          </w:p>
        </w:tc>
        <w:tc>
          <w:tcPr>
            <w:tcW w:w="120" w:type="dxa"/>
            <w:vAlign w:val="bottom"/>
          </w:tcPr>
          <w:p>
            <w:pPr>
              <w:spacing w:after="0"/>
              <w:rPr>
                <w:sz w:val="10"/>
                <w:szCs w:val="10"/>
                <w:color w:val="auto"/>
              </w:rPr>
            </w:pPr>
          </w:p>
        </w:tc>
      </w:tr>
      <w:tr>
        <w:trPr>
          <w:trHeight w:val="154"/>
        </w:trPr>
        <w:tc>
          <w:tcPr>
            <w:tcW w:w="11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3"/>
                <w:szCs w:val="13"/>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1 Year</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2"/>
              </w:rPr>
              <w:t>1-3 Years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6"/>
              </w:rPr>
              <w:t>3-5 Years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Years</w:t>
            </w:r>
          </w:p>
        </w:tc>
        <w:tc>
          <w:tcPr>
            <w:tcW w:w="120" w:type="dxa"/>
            <w:vAlign w:val="bottom"/>
          </w:tcPr>
          <w:p>
            <w:pPr>
              <w:spacing w:after="0"/>
              <w:rPr>
                <w:sz w:val="13"/>
                <w:szCs w:val="13"/>
                <w:color w:val="auto"/>
              </w:rPr>
            </w:pPr>
          </w:p>
        </w:tc>
      </w:tr>
      <w:tr>
        <w:trPr>
          <w:trHeight w:val="134"/>
        </w:trPr>
        <w:tc>
          <w:tcPr>
            <w:tcW w:w="11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6"/>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rate debt (principal and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$ 2,126,400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$ 219,961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581,791</w:t>
            </w:r>
          </w:p>
        </w:tc>
        <w:tc>
          <w:tcPr>
            <w:tcW w:w="1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619,858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704,790</w:t>
            </w:r>
          </w:p>
        </w:tc>
      </w:tr>
      <w:tr>
        <w:trPr>
          <w:trHeight w:val="206"/>
        </w:trPr>
        <w:tc>
          <w:tcPr>
            <w:tcW w:w="6380" w:type="dxa"/>
            <w:vAlign w:val="bottom"/>
            <w:gridSpan w:val="2"/>
          </w:tcPr>
          <w:p>
            <w:pPr>
              <w:spacing w:after="0"/>
              <w:rPr>
                <w:sz w:val="20"/>
                <w:szCs w:val="20"/>
                <w:color w:val="auto"/>
              </w:rPr>
            </w:pPr>
            <w:r>
              <w:rPr>
                <w:rFonts w:ascii="Arial" w:cs="Arial" w:eastAsia="Arial" w:hAnsi="Arial"/>
                <w:sz w:val="17"/>
                <w:szCs w:val="17"/>
                <w:color w:val="auto"/>
              </w:rPr>
              <w:t>Capital lease obligations (principal and interest)</w:t>
            </w:r>
          </w:p>
        </w:tc>
        <w:tc>
          <w:tcPr>
            <w:tcW w:w="840" w:type="dxa"/>
            <w:vAlign w:val="bottom"/>
          </w:tcPr>
          <w:p>
            <w:pPr>
              <w:jc w:val="right"/>
              <w:spacing w:after="0"/>
              <w:rPr>
                <w:sz w:val="20"/>
                <w:szCs w:val="20"/>
                <w:color w:val="auto"/>
              </w:rPr>
            </w:pPr>
            <w:r>
              <w:rPr>
                <w:rFonts w:ascii="Arial" w:cs="Arial" w:eastAsia="Arial" w:hAnsi="Arial"/>
                <w:sz w:val="17"/>
                <w:szCs w:val="17"/>
                <w:color w:val="auto"/>
              </w:rPr>
              <w:t>165,342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5,475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10,972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10,975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137,920</w:t>
            </w:r>
          </w:p>
        </w:tc>
      </w:tr>
      <w:tr>
        <w:trPr>
          <w:trHeight w:val="206"/>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Variable rate debt (principal only)(1)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77,000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9,400</w:t>
            </w:r>
          </w:p>
        </w:tc>
      </w:tr>
      <w:tr>
        <w:trPr>
          <w:trHeight w:val="206"/>
        </w:trPr>
        <w:tc>
          <w:tcPr>
            <w:tcW w:w="6380" w:type="dxa"/>
            <w:vAlign w:val="bottom"/>
            <w:gridSpan w:val="2"/>
          </w:tcPr>
          <w:p>
            <w:pPr>
              <w:spacing w:after="0"/>
              <w:rPr>
                <w:sz w:val="20"/>
                <w:szCs w:val="20"/>
                <w:color w:val="auto"/>
              </w:rPr>
            </w:pPr>
            <w:r>
              <w:rPr>
                <w:rFonts w:ascii="Arial" w:cs="Arial" w:eastAsia="Arial" w:hAnsi="Arial"/>
                <w:sz w:val="17"/>
                <w:szCs w:val="17"/>
                <w:color w:val="auto"/>
              </w:rPr>
              <w:t>Operating leases</w:t>
            </w:r>
          </w:p>
        </w:tc>
        <w:tc>
          <w:tcPr>
            <w:tcW w:w="840" w:type="dxa"/>
            <w:vAlign w:val="bottom"/>
          </w:tcPr>
          <w:p>
            <w:pPr>
              <w:jc w:val="right"/>
              <w:spacing w:after="0"/>
              <w:rPr>
                <w:sz w:val="20"/>
                <w:szCs w:val="20"/>
                <w:color w:val="auto"/>
              </w:rPr>
            </w:pPr>
            <w:r>
              <w:rPr>
                <w:rFonts w:ascii="Arial" w:cs="Arial" w:eastAsia="Arial" w:hAnsi="Arial"/>
                <w:sz w:val="17"/>
                <w:szCs w:val="17"/>
                <w:color w:val="auto"/>
              </w:rPr>
              <w:t>59,924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1,467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2,556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53,281</w:t>
            </w:r>
          </w:p>
        </w:tc>
      </w:tr>
      <w:tr>
        <w:trPr>
          <w:trHeight w:val="206"/>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 commitments(2)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67,500</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67,500</w:t>
            </w:r>
          </w:p>
        </w:tc>
      </w:tr>
      <w:tr>
        <w:trPr>
          <w:trHeight w:val="206"/>
        </w:trPr>
        <w:tc>
          <w:tcPr>
            <w:tcW w:w="6380" w:type="dxa"/>
            <w:vAlign w:val="bottom"/>
            <w:gridSpan w:val="2"/>
          </w:tcPr>
          <w:p>
            <w:pPr>
              <w:spacing w:after="0"/>
              <w:rPr>
                <w:sz w:val="20"/>
                <w:szCs w:val="20"/>
                <w:color w:val="auto"/>
              </w:rPr>
            </w:pPr>
            <w:r>
              <w:rPr>
                <w:rFonts w:ascii="Arial" w:cs="Arial" w:eastAsia="Arial" w:hAnsi="Arial"/>
                <w:sz w:val="17"/>
                <w:szCs w:val="17"/>
                <w:color w:val="auto"/>
              </w:rPr>
              <w:t>Development, redevelopment, and capital improvement obligations</w:t>
            </w:r>
          </w:p>
        </w:tc>
        <w:tc>
          <w:tcPr>
            <w:tcW w:w="840" w:type="dxa"/>
            <w:vAlign w:val="bottom"/>
          </w:tcPr>
          <w:p>
            <w:pPr>
              <w:jc w:val="right"/>
              <w:spacing w:after="0"/>
              <w:rPr>
                <w:sz w:val="20"/>
                <w:szCs w:val="20"/>
                <w:color w:val="auto"/>
              </w:rPr>
            </w:pPr>
            <w:r>
              <w:rPr>
                <w:rFonts w:ascii="Arial" w:cs="Arial" w:eastAsia="Arial" w:hAnsi="Arial"/>
                <w:sz w:val="17"/>
                <w:szCs w:val="17"/>
                <w:color w:val="auto"/>
              </w:rPr>
              <w:t>54,378</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54,243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6"/>
        </w:trPr>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Contractual operating obligations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11,700</w:t>
            </w:r>
          </w:p>
        </w:tc>
        <w:tc>
          <w:tcPr>
            <w:tcW w:w="3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7,509</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11"/>
        </w:trPr>
        <w:tc>
          <w:tcPr>
            <w:tcW w:w="6380" w:type="dxa"/>
            <w:vAlign w:val="bottom"/>
            <w:gridSpan w:val="2"/>
          </w:tcPr>
          <w:p>
            <w:pPr>
              <w:spacing w:after="0"/>
              <w:rPr>
                <w:sz w:val="20"/>
                <w:szCs w:val="20"/>
                <w:color w:val="auto"/>
              </w:rPr>
            </w:pPr>
            <w:r>
              <w:rPr>
                <w:rFonts w:ascii="Arial" w:cs="Arial" w:eastAsia="Arial" w:hAnsi="Arial"/>
                <w:sz w:val="17"/>
                <w:szCs w:val="17"/>
                <w:color w:val="auto"/>
              </w:rPr>
              <w:t>Total contractual obligations</w:t>
            </w:r>
          </w:p>
        </w:tc>
        <w:tc>
          <w:tcPr>
            <w:tcW w:w="840" w:type="dxa"/>
            <w:vAlign w:val="bottom"/>
          </w:tcPr>
          <w:p>
            <w:pPr>
              <w:jc w:val="right"/>
              <w:spacing w:after="0"/>
              <w:rPr>
                <w:sz w:val="20"/>
                <w:szCs w:val="20"/>
                <w:color w:val="auto"/>
              </w:rPr>
            </w:pPr>
            <w:r>
              <w:rPr>
                <w:rFonts w:ascii="Arial" w:cs="Arial" w:eastAsia="Arial" w:hAnsi="Arial"/>
                <w:sz w:val="17"/>
                <w:szCs w:val="17"/>
                <w:color w:val="auto"/>
                <w:w w:val="91"/>
              </w:rPr>
              <w:t>$ 2,571,644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$ 365,655</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599,448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633,650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972,891</w:t>
            </w:r>
          </w:p>
        </w:tc>
      </w:tr>
      <w:tr>
        <w:trPr>
          <w:trHeight w:val="20"/>
        </w:trPr>
        <w:tc>
          <w:tcPr>
            <w:tcW w:w="1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5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7" w:lineRule="exact"/>
        <w:rPr>
          <w:sz w:val="20"/>
          <w:szCs w:val="20"/>
          <w:color w:val="auto"/>
        </w:rPr>
      </w:pPr>
    </w:p>
    <w:p>
      <w:pPr>
        <w:ind w:left="460" w:right="320" w:hanging="457"/>
        <w:spacing w:after="0" w:line="256"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Variable rate debt includes a $9.4 million bond that had an interest rate of 0.51% at December 31, 2010 and our revolving credit facility, which currently has an outstanding balance of $77.0 million that bears interest at LIBOR plus 0.425%.</w:t>
      </w:r>
    </w:p>
    <w:p>
      <w:pPr>
        <w:spacing w:after="0" w:line="1" w:lineRule="exact"/>
        <w:rPr>
          <w:rFonts w:ascii="Arial" w:cs="Arial" w:eastAsia="Arial" w:hAnsi="Arial"/>
          <w:sz w:val="17"/>
          <w:szCs w:val="17"/>
          <w:color w:val="auto"/>
        </w:rPr>
      </w:pPr>
    </w:p>
    <w:p>
      <w:pPr>
        <w:ind w:left="460" w:right="80" w:hanging="457"/>
        <w:spacing w:after="0" w:line="256"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master lease on Melville Mall includes a fixed price put option requiring us to purchase the property for $5 million plus the assumption of the owners’ debt. The current mortgage loan matures in September 2014, is expected to be refinanced at maturity, and has an outstanding contractual balance of $23.1 million at December 31, 2010. The real estate commitments currently include the fixed $5 million and all payments related to the current mortgage loan are included in fixed rate debt.</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87" w:lineRule="exact"/>
        <w:rPr>
          <w:sz w:val="20"/>
          <w:szCs w:val="20"/>
          <w:color w:val="auto"/>
        </w:rPr>
      </w:pPr>
    </w:p>
    <w:p>
      <w:pPr>
        <w:ind w:left="460" w:right="100"/>
        <w:spacing w:after="0" w:line="273" w:lineRule="auto"/>
        <w:tabs>
          <w:tab w:leader="none" w:pos="687"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5"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100"/>
        <w:spacing w:after="0" w:line="339" w:lineRule="auto"/>
        <w:rPr>
          <w:sz w:val="20"/>
          <w:szCs w:val="20"/>
          <w:color w:val="auto"/>
        </w:rPr>
      </w:pPr>
      <w:r>
        <w:rPr>
          <w:rFonts w:ascii="Arial" w:cs="Arial" w:eastAsia="Arial" w:hAnsi="Arial"/>
          <w:sz w:val="15"/>
          <w:szCs w:val="15"/>
          <w:color w:val="auto"/>
        </w:rPr>
        <w:t>one-half to all of its 29.47% interest in Congressional Plaza at the interest’s then-current fair market value. Based on management’s current estimate of fair market value as of December 31, 2010, our estimated liability upon exercise of the put option would range from approximately $44 million to $51 million.</w:t>
      </w:r>
    </w:p>
    <w:p>
      <w:pPr>
        <w:spacing w:after="0" w:line="1" w:lineRule="exact"/>
        <w:rPr>
          <w:sz w:val="20"/>
          <w:szCs w:val="20"/>
          <w:color w:val="auto"/>
        </w:rPr>
      </w:pPr>
    </w:p>
    <w:p>
      <w:pPr>
        <w:ind w:left="460" w:right="120"/>
        <w:spacing w:after="0" w:line="259" w:lineRule="auto"/>
        <w:tabs>
          <w:tab w:leader="none" w:pos="6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Under the terms of one other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55" w:lineRule="exact"/>
        <w:rPr>
          <w:rFonts w:ascii="Arial" w:cs="Arial" w:eastAsia="Arial" w:hAnsi="Arial"/>
          <w:sz w:val="17"/>
          <w:szCs w:val="17"/>
          <w:color w:val="auto"/>
        </w:rPr>
      </w:pPr>
    </w:p>
    <w:p>
      <w:pPr>
        <w:ind w:left="460" w:right="520"/>
        <w:spacing w:after="0" w:line="273" w:lineRule="auto"/>
        <w:tabs>
          <w:tab w:leader="none" w:pos="687"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Under the terms of various other partnership agreements, the partners have the right to exchange their operating units for cash or the same number of our common shares, at our option. As of December 31, 2010, a total of 362,314 operating units are outstanding.</w:t>
      </w:r>
    </w:p>
    <w:p>
      <w:pPr>
        <w:spacing w:after="0" w:line="43" w:lineRule="exact"/>
        <w:rPr>
          <w:rFonts w:ascii="Arial" w:cs="Arial" w:eastAsia="Arial" w:hAnsi="Arial"/>
          <w:sz w:val="17"/>
          <w:szCs w:val="17"/>
          <w:color w:val="auto"/>
        </w:rPr>
      </w:pPr>
    </w:p>
    <w:p>
      <w:pPr>
        <w:ind w:left="460" w:right="120"/>
        <w:spacing w:after="0" w:line="273" w:lineRule="auto"/>
        <w:tabs>
          <w:tab w:leader="none" w:pos="696"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December 31, 2010, we had letters of credit outstanding of approximately $14.0 million which are collateral for existing indebtedness and other obligations of the Trust.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87"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2010, the Partnership owned seven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these provisions at any time, which could result in either the sale of our interest or the use of available cash or borrowings to acquire Clarion’s interest. At December 31, 2010 and 2009, the Partnership had $57.6 million and $57.8 million, respectively, of mortgages payable outstanding and our investment in the Partnership was $35.5 million and $35.6 million, respectively.</w:t>
      </w:r>
    </w:p>
    <w:p>
      <w:pPr>
        <w:spacing w:after="0" w:line="10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May 2010, we formed Taurus Newbury Street JV II Limited Partnership (“Newbury Street Partnership”), a joint venture limited partnership with an affiliate of Taurus Investment Holdings, LLC (“Taurus”), which plans to acquire, operate and redevelop up to $200 million in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The entity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 At December 31, 2010, we had invested approximately $16.7 million in Newbury Street Partnership including an $8.8 million mortgage loan.</w:t>
      </w:r>
    </w:p>
    <w:p>
      <w:pPr>
        <w:spacing w:after="0" w:line="12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Other than the joint venture described above and items disclosed in the Contractual Commitments Table, we have no off-balance sheet arrangements as of December 31, 2010 that are reasonably likely to have a current or future material effect on our financial condition, revenues or expenses, results of operations, liquidity, capital expenditures or capital resources.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5"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Financing Arrangements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40" w:type="dxa"/>
            <w:vAlign w:val="bottom"/>
            <w:gridSpan w:val="2"/>
          </w:tcPr>
          <w:p>
            <w:pPr>
              <w:jc w:val="center"/>
              <w:ind w:right="436"/>
              <w:spacing w:after="0"/>
              <w:rPr>
                <w:sz w:val="20"/>
                <w:szCs w:val="20"/>
                <w:color w:val="auto"/>
              </w:rPr>
            </w:pPr>
            <w:r>
              <w:rPr>
                <w:rFonts w:ascii="Arial" w:cs="Arial" w:eastAsia="Arial" w:hAnsi="Arial"/>
                <w:sz w:val="13"/>
                <w:szCs w:val="13"/>
                <w:b w:val="1"/>
                <w:bCs w:val="1"/>
                <w:color w:val="auto"/>
                <w:w w:val="93"/>
              </w:rPr>
              <w:t>Original</w:t>
            </w:r>
          </w:p>
        </w:tc>
        <w:tc>
          <w:tcPr>
            <w:tcW w:w="16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90"/>
              </w:rPr>
              <w:t>Principal Balance</w:t>
            </w:r>
          </w:p>
        </w:tc>
        <w:tc>
          <w:tcPr>
            <w:tcW w:w="176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90"/>
              </w:rPr>
              <w:t>Stated Interest Rate</w:t>
            </w: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11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40" w:type="dxa"/>
            <w:vAlign w:val="bottom"/>
            <w:gridSpan w:val="2"/>
          </w:tcPr>
          <w:p>
            <w:pPr>
              <w:jc w:val="center"/>
              <w:ind w:right="436"/>
              <w:spacing w:after="0" w:line="141" w:lineRule="exact"/>
              <w:rPr>
                <w:sz w:val="20"/>
                <w:szCs w:val="20"/>
                <w:color w:val="auto"/>
              </w:rPr>
            </w:pPr>
            <w:r>
              <w:rPr>
                <w:rFonts w:ascii="Arial" w:cs="Arial" w:eastAsia="Arial" w:hAnsi="Arial"/>
                <w:sz w:val="13"/>
                <w:szCs w:val="13"/>
                <w:b w:val="1"/>
                <w:bCs w:val="1"/>
                <w:color w:val="auto"/>
                <w:w w:val="89"/>
              </w:rPr>
              <w:t>Debt</w:t>
            </w:r>
          </w:p>
        </w:tc>
        <w:tc>
          <w:tcPr>
            <w:tcW w:w="260" w:type="dxa"/>
            <w:vAlign w:val="bottom"/>
          </w:tcPr>
          <w:p>
            <w:pPr>
              <w:spacing w:after="0"/>
              <w:rPr>
                <w:sz w:val="12"/>
                <w:szCs w:val="12"/>
                <w:color w:val="auto"/>
              </w:rPr>
            </w:pPr>
          </w:p>
        </w:tc>
        <w:tc>
          <w:tcPr>
            <w:tcW w:w="1360" w:type="dxa"/>
            <w:vAlign w:val="bottom"/>
            <w:gridSpan w:val="2"/>
          </w:tcPr>
          <w:p>
            <w:pPr>
              <w:jc w:val="center"/>
              <w:ind w:right="780"/>
              <w:spacing w:after="0" w:line="141" w:lineRule="exact"/>
              <w:rPr>
                <w:sz w:val="20"/>
                <w:szCs w:val="20"/>
                <w:color w:val="auto"/>
              </w:rPr>
            </w:pPr>
            <w:r>
              <w:rPr>
                <w:rFonts w:ascii="Arial" w:cs="Arial" w:eastAsia="Arial" w:hAnsi="Arial"/>
                <w:sz w:val="13"/>
                <w:szCs w:val="13"/>
                <w:b w:val="1"/>
                <w:bCs w:val="1"/>
                <w:color w:val="auto"/>
                <w:w w:val="85"/>
              </w:rPr>
              <w:t>as of</w:t>
            </w:r>
          </w:p>
        </w:tc>
        <w:tc>
          <w:tcPr>
            <w:tcW w:w="1760" w:type="dxa"/>
            <w:vAlign w:val="bottom"/>
            <w:gridSpan w:val="2"/>
          </w:tcPr>
          <w:p>
            <w:pPr>
              <w:jc w:val="center"/>
              <w:ind w:right="580"/>
              <w:spacing w:after="0" w:line="141" w:lineRule="exact"/>
              <w:rPr>
                <w:sz w:val="20"/>
                <w:szCs w:val="20"/>
                <w:color w:val="auto"/>
              </w:rPr>
            </w:pPr>
            <w:r>
              <w:rPr>
                <w:rFonts w:ascii="Arial" w:cs="Arial" w:eastAsia="Arial" w:hAnsi="Arial"/>
                <w:sz w:val="13"/>
                <w:szCs w:val="13"/>
                <w:b w:val="1"/>
                <w:bCs w:val="1"/>
                <w:color w:val="auto"/>
                <w:w w:val="85"/>
              </w:rPr>
              <w:t>as of</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4"/>
        </w:trPr>
        <w:tc>
          <w:tcPr>
            <w:tcW w:w="5700" w:type="dxa"/>
            <w:vAlign w:val="bottom"/>
            <w:gridSpan w:val="2"/>
          </w:tcPr>
          <w:p>
            <w:pPr>
              <w:spacing w:after="0"/>
              <w:rPr>
                <w:sz w:val="20"/>
                <w:szCs w:val="20"/>
                <w:color w:val="auto"/>
              </w:rPr>
            </w:pPr>
            <w:r>
              <w:rPr>
                <w:rFonts w:ascii="Arial" w:cs="Arial" w:eastAsia="Arial" w:hAnsi="Arial"/>
                <w:sz w:val="13"/>
                <w:szCs w:val="13"/>
                <w:b w:val="1"/>
                <w:bCs w:val="1"/>
                <w:color w:val="auto"/>
              </w:rPr>
              <w:t>Description of Debt</w:t>
            </w:r>
          </w:p>
        </w:tc>
        <w:tc>
          <w:tcPr>
            <w:tcW w:w="1040" w:type="dxa"/>
            <w:vAlign w:val="bottom"/>
            <w:gridSpan w:val="2"/>
          </w:tcPr>
          <w:p>
            <w:pPr>
              <w:jc w:val="center"/>
              <w:ind w:right="456"/>
              <w:spacing w:after="0"/>
              <w:rPr>
                <w:sz w:val="20"/>
                <w:szCs w:val="20"/>
                <w:color w:val="auto"/>
              </w:rPr>
            </w:pPr>
            <w:r>
              <w:rPr>
                <w:rFonts w:ascii="Arial" w:cs="Arial" w:eastAsia="Arial" w:hAnsi="Arial"/>
                <w:sz w:val="13"/>
                <w:szCs w:val="13"/>
                <w:b w:val="1"/>
                <w:bCs w:val="1"/>
                <w:color w:val="auto"/>
                <w:w w:val="87"/>
              </w:rPr>
              <w:t>Issued</w:t>
            </w:r>
          </w:p>
        </w:tc>
        <w:tc>
          <w:tcPr>
            <w:tcW w:w="162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88"/>
              </w:rPr>
              <w:t>December 31, 2010</w:t>
            </w:r>
          </w:p>
        </w:tc>
        <w:tc>
          <w:tcPr>
            <w:tcW w:w="1760" w:type="dxa"/>
            <w:vAlign w:val="bottom"/>
            <w:gridSpan w:val="2"/>
          </w:tcPr>
          <w:p>
            <w:pPr>
              <w:jc w:val="center"/>
              <w:ind w:right="600"/>
              <w:spacing w:after="0"/>
              <w:rPr>
                <w:sz w:val="20"/>
                <w:szCs w:val="20"/>
                <w:color w:val="auto"/>
              </w:rPr>
            </w:pPr>
            <w:r>
              <w:rPr>
                <w:rFonts w:ascii="Arial" w:cs="Arial" w:eastAsia="Arial" w:hAnsi="Arial"/>
                <w:sz w:val="13"/>
                <w:szCs w:val="13"/>
                <w:b w:val="1"/>
                <w:bCs w:val="1"/>
                <w:color w:val="auto"/>
                <w:w w:val="88"/>
              </w:rPr>
              <w:t>December 31, 2010</w:t>
            </w:r>
          </w:p>
        </w:tc>
        <w:tc>
          <w:tcPr>
            <w:tcW w:w="13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Maturity Date</w:t>
            </w:r>
          </w:p>
        </w:tc>
      </w:tr>
      <w:tr>
        <w:trPr>
          <w:trHeight w:val="134"/>
        </w:trPr>
        <w:tc>
          <w:tcPr>
            <w:tcW w:w="1140" w:type="dxa"/>
            <w:vAlign w:val="bottom"/>
            <w:tcBorders>
              <w:top w:val="single" w:sz="8" w:color="auto"/>
            </w:tcBorders>
          </w:tcPr>
          <w:p>
            <w:pPr>
              <w:spacing w:after="0"/>
              <w:rPr>
                <w:sz w:val="11"/>
                <w:szCs w:val="11"/>
                <w:color w:val="auto"/>
              </w:rPr>
            </w:pPr>
          </w:p>
        </w:tc>
        <w:tc>
          <w:tcPr>
            <w:tcW w:w="45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3"/>
                <w:szCs w:val="13"/>
                <w:b w:val="1"/>
                <w:bCs w:val="1"/>
                <w:color w:val="auto"/>
                <w:w w:val="75"/>
              </w:rPr>
              <w:t>(Dollars in</w:t>
            </w:r>
          </w:p>
        </w:tc>
        <w:tc>
          <w:tcPr>
            <w:tcW w:w="1100" w:type="dxa"/>
            <w:vAlign w:val="bottom"/>
            <w:tcBorders>
              <w:top w:val="single" w:sz="8" w:color="auto"/>
            </w:tcBorders>
            <w:gridSpan w:val="2"/>
          </w:tcPr>
          <w:p>
            <w:pPr>
              <w:jc w:val="right"/>
              <w:ind w:right="396"/>
              <w:spacing w:after="0" w:line="134" w:lineRule="exact"/>
              <w:rPr>
                <w:sz w:val="20"/>
                <w:szCs w:val="20"/>
                <w:color w:val="auto"/>
              </w:rPr>
            </w:pPr>
            <w:r>
              <w:rPr>
                <w:rFonts w:ascii="Arial" w:cs="Arial" w:eastAsia="Arial" w:hAnsi="Arial"/>
                <w:sz w:val="13"/>
                <w:szCs w:val="13"/>
                <w:b w:val="1"/>
                <w:bCs w:val="1"/>
                <w:color w:val="auto"/>
                <w:w w:val="88"/>
              </w:rPr>
              <w:t>thousands)</w:t>
            </w:r>
          </w:p>
        </w:tc>
        <w:tc>
          <w:tcPr>
            <w:tcW w:w="5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1"/>
        </w:trPr>
        <w:tc>
          <w:tcPr>
            <w:tcW w:w="570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Mortgages payable(1)</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5700" w:type="dxa"/>
            <w:vAlign w:val="bottom"/>
            <w:gridSpan w:val="2"/>
          </w:tcPr>
          <w:p>
            <w:pPr>
              <w:ind w:left="200"/>
              <w:spacing w:after="0" w:line="141" w:lineRule="exact"/>
              <w:rPr>
                <w:sz w:val="20"/>
                <w:szCs w:val="20"/>
                <w:color w:val="auto"/>
              </w:rPr>
            </w:pPr>
            <w:r>
              <w:rPr>
                <w:rFonts w:ascii="Arial" w:cs="Arial" w:eastAsia="Arial" w:hAnsi="Arial"/>
                <w:sz w:val="13"/>
                <w:szCs w:val="13"/>
                <w:i w:val="1"/>
                <w:iCs w:val="1"/>
                <w:color w:val="auto"/>
              </w:rPr>
              <w:t>Secured fixed rate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Federal Plaza</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36,500</w:t>
            </w:r>
          </w:p>
        </w:tc>
        <w:tc>
          <w:tcPr>
            <w:tcW w:w="260" w:type="dxa"/>
            <w:vAlign w:val="bottom"/>
            <w:shd w:val="clear" w:color="auto" w:fill="CCEEFF"/>
          </w:tcPr>
          <w:p>
            <w:pPr>
              <w:jc w:val="right"/>
              <w:ind w:right="116"/>
              <w:spacing w:after="0" w:line="141"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31,901</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6.75%</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June 1, 2011</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Tysons Station</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7,000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5,713</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7.40%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September 1, 2011</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Courtyard Shops</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7,289</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6.87%</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July 1, 2012</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Bethesda Row</w:t>
            </w:r>
          </w:p>
        </w:tc>
        <w:tc>
          <w:tcPr>
            <w:tcW w:w="1040" w:type="dxa"/>
            <w:vAlign w:val="bottom"/>
            <w:gridSpan w:val="2"/>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19,994</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5.37%</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January 1, 2013</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Bethesda Row</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4,163</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5.05%</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February 1, 2013</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White Marsh Plaza(2)</w:t>
            </w:r>
          </w:p>
        </w:tc>
        <w:tc>
          <w:tcPr>
            <w:tcW w:w="1040" w:type="dxa"/>
            <w:vAlign w:val="bottom"/>
            <w:gridSpan w:val="2"/>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9,580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6.04%</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April 1, 2013</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Crow Canyon</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20,395</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5.40%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August 11, 2013</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Idylwood Plaza</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16,910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16,544</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7.50%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June 5, 2014</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Leesburg Plaza</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29,423</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28,786</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7.50%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June 5, 2014</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Loehmann’s Plaza</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38,047</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37,224</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7.50%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June 5, 2014</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Pentagon Row</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54,619</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53,437</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7.50%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June 5, 2014</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Melville Mall(3)</w:t>
            </w:r>
          </w:p>
        </w:tc>
        <w:tc>
          <w:tcPr>
            <w:tcW w:w="1040" w:type="dxa"/>
            <w:vAlign w:val="bottom"/>
            <w:gridSpan w:val="2"/>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23,073</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5.25%</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September 1, 2014</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THE AVENUE at White Marsh</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57,803</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5.46%</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January 1, 2015</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Barracks Road</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44,300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39,850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7.95%</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Hauppauge</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16,700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15,022</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7.95%</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Lawrence Park</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31,400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28,246</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7.95%</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Wildwood</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27,600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24,827</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7.95%</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Wynnewood</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32,000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28,785</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7.95%</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Brick Plaza</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33,000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29,429</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7.42%</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November 1, 2015</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Rollingwood Apartments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24,050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23,567</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5.54%</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May 1, 2019</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Shoppers’ World</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5,593</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5.91%</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January 31, 2021</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Mount Vernon(4)</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13,250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10,937</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5.66%</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April 15, 2028</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Chelsea</w:t>
            </w:r>
          </w:p>
        </w:tc>
        <w:tc>
          <w:tcPr>
            <w:tcW w:w="1040" w:type="dxa"/>
            <w:vAlign w:val="bottom"/>
            <w:gridSpan w:val="2"/>
            <w:shd w:val="clear" w:color="auto" w:fill="CCEEFF"/>
          </w:tcPr>
          <w:p>
            <w:pPr>
              <w:ind w:left="60"/>
              <w:spacing w:after="0" w:line="141" w:lineRule="exact"/>
              <w:rPr>
                <w:sz w:val="20"/>
                <w:szCs w:val="20"/>
                <w:color w:val="auto"/>
              </w:rPr>
            </w:pPr>
            <w:r>
              <w:rPr>
                <w:rFonts w:ascii="Arial" w:cs="Arial" w:eastAsia="Arial" w:hAnsi="Arial"/>
                <w:sz w:val="13"/>
                <w:szCs w:val="13"/>
                <w:color w:val="auto"/>
              </w:rPr>
              <w:t>Acquired</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7,795</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5.36%</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January 15, 2031</w:t>
            </w:r>
          </w:p>
        </w:tc>
      </w:tr>
      <w:tr>
        <w:trPr>
          <w:trHeight w:val="147"/>
        </w:trPr>
        <w:tc>
          <w:tcPr>
            <w:tcW w:w="5700" w:type="dxa"/>
            <w:vAlign w:val="bottom"/>
            <w:gridSpan w:val="2"/>
          </w:tcPr>
          <w:p>
            <w:pPr>
              <w:ind w:left="820"/>
              <w:spacing w:after="0" w:line="148" w:lineRule="exact"/>
              <w:rPr>
                <w:sz w:val="20"/>
                <w:szCs w:val="20"/>
                <w:color w:val="auto"/>
              </w:rPr>
            </w:pPr>
            <w:r>
              <w:rPr>
                <w:rFonts w:ascii="Arial" w:cs="Arial" w:eastAsia="Arial" w:hAnsi="Arial"/>
                <w:sz w:val="13"/>
                <w:szCs w:val="13"/>
                <w:color w:val="auto"/>
              </w:rPr>
              <w:t>Subtotal</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8" w:lineRule="exact"/>
              <w:rPr>
                <w:sz w:val="20"/>
                <w:szCs w:val="20"/>
                <w:color w:val="auto"/>
              </w:rPr>
            </w:pPr>
            <w:r>
              <w:rPr>
                <w:rFonts w:ascii="Arial" w:cs="Arial" w:eastAsia="Arial" w:hAnsi="Arial"/>
                <w:sz w:val="13"/>
                <w:szCs w:val="13"/>
                <w:color w:val="auto"/>
              </w:rPr>
              <w:t>529,953</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820"/>
              <w:spacing w:after="0" w:line="141" w:lineRule="exact"/>
              <w:rPr>
                <w:sz w:val="20"/>
                <w:szCs w:val="20"/>
                <w:color w:val="auto"/>
              </w:rPr>
            </w:pPr>
            <w:r>
              <w:rPr>
                <w:rFonts w:ascii="Arial" w:cs="Arial" w:eastAsia="Arial" w:hAnsi="Arial"/>
                <w:sz w:val="13"/>
                <w:szCs w:val="13"/>
                <w:color w:val="auto"/>
              </w:rPr>
              <w:t>Net unamortized discount</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(452)</w:t>
            </w: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5700" w:type="dxa"/>
            <w:vAlign w:val="bottom"/>
            <w:gridSpan w:val="2"/>
          </w:tcPr>
          <w:p>
            <w:pPr>
              <w:ind w:left="820"/>
              <w:spacing w:after="0" w:line="148" w:lineRule="exact"/>
              <w:rPr>
                <w:sz w:val="20"/>
                <w:szCs w:val="20"/>
                <w:color w:val="auto"/>
              </w:rPr>
            </w:pPr>
            <w:r>
              <w:rPr>
                <w:rFonts w:ascii="Arial" w:cs="Arial" w:eastAsia="Arial" w:hAnsi="Arial"/>
                <w:sz w:val="13"/>
                <w:szCs w:val="13"/>
                <w:color w:val="auto"/>
              </w:rPr>
              <w:t>Total mortgages payable</w:t>
            </w: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529,501</w:t>
            </w: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570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Notes payable</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5700" w:type="dxa"/>
            <w:vAlign w:val="bottom"/>
            <w:gridSpan w:val="2"/>
          </w:tcPr>
          <w:p>
            <w:pPr>
              <w:ind w:left="200"/>
              <w:spacing w:after="0" w:line="141" w:lineRule="exact"/>
              <w:rPr>
                <w:sz w:val="20"/>
                <w:szCs w:val="20"/>
                <w:color w:val="auto"/>
              </w:rPr>
            </w:pPr>
            <w:r>
              <w:rPr>
                <w:rFonts w:ascii="Arial" w:cs="Arial" w:eastAsia="Arial" w:hAnsi="Arial"/>
                <w:sz w:val="13"/>
                <w:szCs w:val="13"/>
                <w:i w:val="1"/>
                <w:iCs w:val="1"/>
                <w:color w:val="auto"/>
              </w:rPr>
              <w:t>Unsecured fixed rate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Various(5)</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15,308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11,481</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3.57%</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w w:val="96"/>
              </w:rPr>
              <w:t>Various through 2013</w:t>
            </w:r>
          </w:p>
        </w:tc>
      </w:tr>
      <w:tr>
        <w:trPr>
          <w:trHeight w:val="141"/>
        </w:trPr>
        <w:tc>
          <w:tcPr>
            <w:tcW w:w="5700" w:type="dxa"/>
            <w:vAlign w:val="bottom"/>
            <w:gridSpan w:val="2"/>
          </w:tcPr>
          <w:p>
            <w:pPr>
              <w:ind w:left="200"/>
              <w:spacing w:after="0" w:line="141" w:lineRule="exact"/>
              <w:rPr>
                <w:sz w:val="20"/>
                <w:szCs w:val="20"/>
                <w:color w:val="auto"/>
              </w:rPr>
            </w:pPr>
            <w:r>
              <w:rPr>
                <w:rFonts w:ascii="Arial" w:cs="Arial" w:eastAsia="Arial" w:hAnsi="Arial"/>
                <w:sz w:val="13"/>
                <w:szCs w:val="13"/>
                <w:i w:val="1"/>
                <w:iCs w:val="1"/>
                <w:color w:val="auto"/>
              </w:rPr>
              <w:t>Unsecured variable rate</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Revolving credit facility(6)</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300,000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77,000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LIBOR + 0.425%</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July 27, 2011</w:t>
            </w:r>
          </w:p>
        </w:tc>
      </w:tr>
      <w:tr>
        <w:trPr>
          <w:trHeight w:val="147"/>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Escondido (Municipal bonds)(7)</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9,400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9,400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0.51%</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October 1, 2016</w:t>
            </w:r>
          </w:p>
        </w:tc>
      </w:tr>
      <w:tr>
        <w:trPr>
          <w:trHeight w:val="141"/>
        </w:trPr>
        <w:tc>
          <w:tcPr>
            <w:tcW w:w="5700" w:type="dxa"/>
            <w:vAlign w:val="bottom"/>
            <w:gridSpan w:val="2"/>
            <w:shd w:val="clear" w:color="auto" w:fill="CCEEFF"/>
          </w:tcPr>
          <w:p>
            <w:pPr>
              <w:ind w:left="820"/>
              <w:spacing w:after="0" w:line="141" w:lineRule="exact"/>
              <w:rPr>
                <w:sz w:val="20"/>
                <w:szCs w:val="20"/>
                <w:color w:val="auto"/>
              </w:rPr>
            </w:pPr>
            <w:r>
              <w:rPr>
                <w:rFonts w:ascii="Arial" w:cs="Arial" w:eastAsia="Arial" w:hAnsi="Arial"/>
                <w:sz w:val="13"/>
                <w:szCs w:val="13"/>
                <w:color w:val="auto"/>
              </w:rPr>
              <w:t>Total notes payable</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97,881</w:t>
            </w: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Senior notes and debentures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3"/>
                <w:szCs w:val="13"/>
                <w:i w:val="1"/>
                <w:iCs w:val="1"/>
                <w:color w:val="auto"/>
              </w:rPr>
              <w:t>Unsecured fixed rate</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4.50% notes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75,000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75,000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4.500%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February 15, 2011</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6.00% notes</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175,000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175,000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6.000%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July 15, 2012</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5.40% notes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135,000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135,000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5.400%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December 1, 2013</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5.95% notes</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150,000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150,000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5.950%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August 15, 2014</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5.65% notes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125,000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125,000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5.650%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June 1, 2016</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6.20% notes</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200,000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200,000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6.200%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January 15, 2017</w:t>
            </w:r>
          </w:p>
        </w:tc>
      </w:tr>
      <w:tr>
        <w:trPr>
          <w:trHeight w:val="141"/>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5.90% notes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150,000</w:t>
            </w:r>
          </w:p>
        </w:tc>
        <w:tc>
          <w:tcPr>
            <w:tcW w:w="2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150,000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5.900%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April 1, 2020</w:t>
            </w: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7.48% debentures</w:t>
            </w:r>
          </w:p>
        </w:tc>
        <w:tc>
          <w:tcPr>
            <w:tcW w:w="1040" w:type="dxa"/>
            <w:vAlign w:val="bottom"/>
            <w:gridSpan w:val="2"/>
            <w:shd w:val="clear" w:color="auto" w:fill="CCEEFF"/>
          </w:tcPr>
          <w:p>
            <w:pPr>
              <w:jc w:val="right"/>
              <w:ind w:right="436"/>
              <w:spacing w:after="0" w:line="141" w:lineRule="exact"/>
              <w:rPr>
                <w:sz w:val="20"/>
                <w:szCs w:val="20"/>
                <w:color w:val="auto"/>
              </w:rPr>
            </w:pPr>
            <w:r>
              <w:rPr>
                <w:rFonts w:ascii="Arial" w:cs="Arial" w:eastAsia="Arial" w:hAnsi="Arial"/>
                <w:sz w:val="13"/>
                <w:szCs w:val="13"/>
                <w:color w:val="auto"/>
              </w:rPr>
              <w:t>50,000</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29,200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480"/>
              <w:spacing w:after="0" w:line="141" w:lineRule="exact"/>
              <w:rPr>
                <w:sz w:val="20"/>
                <w:szCs w:val="20"/>
                <w:color w:val="auto"/>
              </w:rPr>
            </w:pPr>
            <w:r>
              <w:rPr>
                <w:rFonts w:ascii="Arial" w:cs="Arial" w:eastAsia="Arial" w:hAnsi="Arial"/>
                <w:sz w:val="13"/>
                <w:szCs w:val="13"/>
                <w:color w:val="auto"/>
              </w:rPr>
              <w:t>7.480%</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August 15, 2026</w:t>
            </w:r>
          </w:p>
        </w:tc>
      </w:tr>
      <w:tr>
        <w:trPr>
          <w:trHeight w:val="147"/>
        </w:trPr>
        <w:tc>
          <w:tcPr>
            <w:tcW w:w="570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6.82% medium term notes</w:t>
            </w:r>
          </w:p>
        </w:tc>
        <w:tc>
          <w:tcPr>
            <w:tcW w:w="1040" w:type="dxa"/>
            <w:vAlign w:val="bottom"/>
            <w:gridSpan w:val="2"/>
          </w:tcPr>
          <w:p>
            <w:pPr>
              <w:jc w:val="right"/>
              <w:ind w:right="436"/>
              <w:spacing w:after="0" w:line="141" w:lineRule="exact"/>
              <w:rPr>
                <w:sz w:val="20"/>
                <w:szCs w:val="20"/>
                <w:color w:val="auto"/>
              </w:rPr>
            </w:pPr>
            <w:r>
              <w:rPr>
                <w:rFonts w:ascii="Arial" w:cs="Arial" w:eastAsia="Arial" w:hAnsi="Arial"/>
                <w:sz w:val="13"/>
                <w:szCs w:val="13"/>
                <w:color w:val="auto"/>
              </w:rPr>
              <w:t>40,000</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40,000</w:t>
            </w:r>
          </w:p>
        </w:tc>
        <w:tc>
          <w:tcPr>
            <w:tcW w:w="520" w:type="dxa"/>
            <w:vAlign w:val="bottom"/>
          </w:tcPr>
          <w:p>
            <w:pPr>
              <w:spacing w:after="0"/>
              <w:rPr>
                <w:sz w:val="12"/>
                <w:szCs w:val="12"/>
                <w:color w:val="auto"/>
              </w:rPr>
            </w:pPr>
          </w:p>
        </w:tc>
        <w:tc>
          <w:tcPr>
            <w:tcW w:w="1760" w:type="dxa"/>
            <w:vAlign w:val="bottom"/>
            <w:gridSpan w:val="2"/>
          </w:tcPr>
          <w:p>
            <w:pPr>
              <w:jc w:val="right"/>
              <w:ind w:right="480"/>
              <w:spacing w:after="0" w:line="141" w:lineRule="exact"/>
              <w:rPr>
                <w:sz w:val="20"/>
                <w:szCs w:val="20"/>
                <w:color w:val="auto"/>
              </w:rPr>
            </w:pPr>
            <w:r>
              <w:rPr>
                <w:rFonts w:ascii="Arial" w:cs="Arial" w:eastAsia="Arial" w:hAnsi="Arial"/>
                <w:sz w:val="13"/>
                <w:szCs w:val="13"/>
                <w:color w:val="auto"/>
              </w:rPr>
              <w:t>6.820%</w:t>
            </w:r>
          </w:p>
        </w:tc>
        <w:tc>
          <w:tcPr>
            <w:tcW w:w="13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August 1, 2027</w:t>
            </w:r>
          </w:p>
        </w:tc>
      </w:tr>
      <w:tr>
        <w:trPr>
          <w:trHeight w:val="141"/>
        </w:trPr>
        <w:tc>
          <w:tcPr>
            <w:tcW w:w="5700" w:type="dxa"/>
            <w:vAlign w:val="bottom"/>
            <w:gridSpan w:val="2"/>
            <w:shd w:val="clear" w:color="auto" w:fill="CCEEFF"/>
          </w:tcPr>
          <w:p>
            <w:pPr>
              <w:ind w:left="820"/>
              <w:spacing w:after="0" w:line="141" w:lineRule="exact"/>
              <w:rPr>
                <w:sz w:val="20"/>
                <w:szCs w:val="20"/>
                <w:color w:val="auto"/>
              </w:rPr>
            </w:pPr>
            <w:r>
              <w:rPr>
                <w:rFonts w:ascii="Arial" w:cs="Arial" w:eastAsia="Arial" w:hAnsi="Arial"/>
                <w:sz w:val="13"/>
                <w:szCs w:val="13"/>
                <w:color w:val="auto"/>
              </w:rPr>
              <w:t>Subtotal</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1,079,200</w:t>
            </w: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700" w:type="dxa"/>
            <w:vAlign w:val="bottom"/>
            <w:gridSpan w:val="2"/>
          </w:tcPr>
          <w:p>
            <w:pPr>
              <w:ind w:left="820"/>
              <w:spacing w:after="0" w:line="141" w:lineRule="exact"/>
              <w:rPr>
                <w:sz w:val="20"/>
                <w:szCs w:val="20"/>
                <w:color w:val="auto"/>
              </w:rPr>
            </w:pPr>
            <w:r>
              <w:rPr>
                <w:rFonts w:ascii="Arial" w:cs="Arial" w:eastAsia="Arial" w:hAnsi="Arial"/>
                <w:sz w:val="13"/>
                <w:szCs w:val="13"/>
                <w:color w:val="auto"/>
              </w:rPr>
              <w:t>Net unamortized premium</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627</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820"/>
              <w:spacing w:after="0" w:line="141" w:lineRule="exact"/>
              <w:rPr>
                <w:sz w:val="20"/>
                <w:szCs w:val="20"/>
                <w:color w:val="auto"/>
              </w:rPr>
            </w:pPr>
            <w:r>
              <w:rPr>
                <w:rFonts w:ascii="Arial" w:cs="Arial" w:eastAsia="Arial" w:hAnsi="Arial"/>
                <w:sz w:val="13"/>
                <w:szCs w:val="13"/>
                <w:color w:val="auto"/>
              </w:rPr>
              <w:t>Total senior notes and debentures</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1,079,827</w:t>
            </w:r>
          </w:p>
        </w:tc>
        <w:tc>
          <w:tcPr>
            <w:tcW w:w="5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Capital lease obligations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1"/>
        </w:trPr>
        <w:tc>
          <w:tcPr>
            <w:tcW w:w="570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Various</w:t>
            </w:r>
          </w:p>
        </w:tc>
        <w:tc>
          <w:tcPr>
            <w:tcW w:w="5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59,940</w:t>
            </w:r>
          </w:p>
        </w:tc>
        <w:tc>
          <w:tcPr>
            <w:tcW w:w="52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right"/>
              <w:ind w:right="600"/>
              <w:spacing w:after="0" w:line="141" w:lineRule="exact"/>
              <w:rPr>
                <w:sz w:val="20"/>
                <w:szCs w:val="20"/>
                <w:color w:val="auto"/>
              </w:rPr>
            </w:pPr>
            <w:r>
              <w:rPr>
                <w:rFonts w:ascii="Arial" w:cs="Arial" w:eastAsia="Arial" w:hAnsi="Arial"/>
                <w:sz w:val="13"/>
                <w:szCs w:val="13"/>
                <w:color w:val="auto"/>
              </w:rPr>
              <w:t>Various</w:t>
            </w:r>
          </w:p>
        </w:tc>
        <w:tc>
          <w:tcPr>
            <w:tcW w:w="13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w w:val="96"/>
              </w:rPr>
              <w:t>Various through 2106</w:t>
            </w:r>
          </w:p>
        </w:tc>
      </w:tr>
      <w:tr>
        <w:trPr>
          <w:trHeight w:val="147"/>
        </w:trPr>
        <w:tc>
          <w:tcPr>
            <w:tcW w:w="57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Total debt and capital lease obligations</w:t>
            </w: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Borders>
              <w:bottom w:val="single" w:sz="8" w:color="auto"/>
            </w:tcBorders>
          </w:tcPr>
          <w:p>
            <w:pPr>
              <w:jc w:val="right"/>
              <w:ind w:right="116"/>
              <w:spacing w:after="0" w:line="148" w:lineRule="exact"/>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1,767,149</w:t>
            </w: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726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25" w:lineRule="exact"/>
        <w:rPr>
          <w:sz w:val="20"/>
          <w:szCs w:val="20"/>
          <w:color w:val="auto"/>
        </w:rPr>
      </w:pPr>
    </w:p>
    <w:p>
      <w:pPr>
        <w:ind w:left="340" w:right="120" w:hanging="337"/>
        <w:spacing w:after="0" w:line="247" w:lineRule="auto"/>
        <w:tabs>
          <w:tab w:leader="none" w:pos="3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Mortgages payable do not include our 30% share ($17.3 million) of the $57.6 million debt of the Partnership with a discretionary fund created and advised by ING Clarion Partners. It also excludes the $8.8 million mortgage loan on our Newbury Street Partnership for which we are the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45"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340" w:right="20" w:hanging="337"/>
        <w:spacing w:after="0" w:line="234"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pacing w:after="0" w:line="1" w:lineRule="exact"/>
        <w:rPr>
          <w:rFonts w:ascii="Arial" w:cs="Arial" w:eastAsia="Arial" w:hAnsi="Arial"/>
          <w:sz w:val="13"/>
          <w:szCs w:val="13"/>
          <w:color w:val="auto"/>
        </w:rPr>
      </w:pPr>
    </w:p>
    <w:p>
      <w:pPr>
        <w:ind w:left="340" w:right="20" w:hanging="337"/>
        <w:spacing w:after="0" w:line="226"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3"/>
          <w:szCs w:val="13"/>
          <w:color w:val="auto"/>
        </w:rPr>
      </w:pPr>
    </w:p>
    <w:p>
      <w:pPr>
        <w:ind w:left="340" w:hanging="337"/>
        <w:spacing w:after="0" w:line="226"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ind w:left="340" w:hanging="337"/>
        <w:spacing w:after="0" w:line="226"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interest rate of 3.57% represents the weighted average interest rate for three unsecured fixed rate notes payable. These notes mature between April 1, 2012 and January 31, 2013.</w:t>
      </w:r>
    </w:p>
    <w:p>
      <w:pPr>
        <w:ind w:left="340" w:hanging="337"/>
        <w:spacing w:after="0" w:line="226"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maximum amount drawn under our revolving credit facility during 2010 was $82.0 million and the weighted average effective interest rate, before amortization of debt fees, was 0.72%.</w:t>
      </w:r>
    </w:p>
    <w:p>
      <w:pPr>
        <w:ind w:left="340" w:right="120" w:hanging="337"/>
        <w:spacing w:after="0" w:line="235" w:lineRule="auto"/>
        <w:tabs>
          <w:tab w:leader="none" w:pos="3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34"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Our revolving credit facility and other debt agreements include financial and other covenants that may limit our operating activities in the future. As of December 31, 2010,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debt maturities as of December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Capital</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4"/>
        </w:trPr>
        <w:tc>
          <w:tcPr>
            <w:tcW w:w="11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83"/>
              </w:rPr>
              <w:t>Unsecured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21"/>
              <w:spacing w:after="0"/>
              <w:rPr>
                <w:sz w:val="20"/>
                <w:szCs w:val="20"/>
                <w:color w:val="auto"/>
              </w:rPr>
            </w:pPr>
            <w:r>
              <w:rPr>
                <w:rFonts w:ascii="Arial" w:cs="Arial" w:eastAsia="Arial" w:hAnsi="Arial"/>
                <w:sz w:val="13"/>
                <w:szCs w:val="13"/>
                <w:b w:val="1"/>
                <w:bCs w:val="1"/>
                <w:color w:val="auto"/>
                <w:w w:val="81"/>
              </w:rPr>
              <w:t>Secured</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39"/>
              <w:spacing w:after="0"/>
              <w:rPr>
                <w:sz w:val="20"/>
                <w:szCs w:val="20"/>
                <w:color w:val="auto"/>
              </w:rPr>
            </w:pPr>
            <w:r>
              <w:rPr>
                <w:rFonts w:ascii="Arial" w:cs="Arial" w:eastAsia="Arial" w:hAnsi="Arial"/>
                <w:sz w:val="13"/>
                <w:szCs w:val="13"/>
                <w:b w:val="1"/>
                <w:bCs w:val="1"/>
                <w:color w:val="auto"/>
                <w:w w:val="86"/>
              </w:rPr>
              <w:t>Lease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Total</w:t>
            </w:r>
          </w:p>
        </w:tc>
      </w:tr>
      <w:tr>
        <w:trPr>
          <w:trHeight w:val="134"/>
        </w:trPr>
        <w:tc>
          <w:tcPr>
            <w:tcW w:w="114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1"/>
              <w:spacing w:after="0" w:line="134" w:lineRule="exact"/>
              <w:rPr>
                <w:sz w:val="20"/>
                <w:szCs w:val="20"/>
                <w:color w:val="auto"/>
              </w:rPr>
            </w:pPr>
            <w:r>
              <w:rPr>
                <w:rFonts w:ascii="Arial" w:cs="Arial" w:eastAsia="Arial" w:hAnsi="Arial"/>
                <w:sz w:val="13"/>
                <w:szCs w:val="13"/>
                <w:b w:val="1"/>
                <w:bCs w:val="1"/>
                <w:color w:val="auto"/>
              </w:rPr>
              <w:t>(In</w:t>
            </w:r>
          </w:p>
        </w:tc>
        <w:tc>
          <w:tcPr>
            <w:tcW w:w="520" w:type="dxa"/>
            <w:vAlign w:val="bottom"/>
          </w:tcPr>
          <w:p>
            <w:pPr>
              <w:spacing w:after="0" w:line="134" w:lineRule="exact"/>
              <w:rPr>
                <w:sz w:val="20"/>
                <w:szCs w:val="20"/>
                <w:color w:val="auto"/>
              </w:rPr>
            </w:pPr>
            <w:r>
              <w:rPr>
                <w:rFonts w:ascii="Arial" w:cs="Arial" w:eastAsia="Arial" w:hAnsi="Arial"/>
                <w:sz w:val="13"/>
                <w:szCs w:val="13"/>
                <w:b w:val="1"/>
                <w:bCs w:val="1"/>
                <w:color w:val="auto"/>
                <w:w w:val="71"/>
              </w:rPr>
              <w:t>thousands)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2011</w:t>
            </w: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152,724(1)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47,349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201,476</w:t>
            </w:r>
          </w:p>
        </w:tc>
        <w:tc>
          <w:tcPr>
            <w:tcW w:w="240" w:type="dxa"/>
            <w:vAlign w:val="bottom"/>
            <w:shd w:val="clear" w:color="auto" w:fill="CCEEFF"/>
          </w:tcPr>
          <w:p>
            <w:pPr>
              <w:spacing w:after="0"/>
              <w:rPr>
                <w:sz w:val="17"/>
                <w:szCs w:val="17"/>
                <w:color w:val="auto"/>
              </w:rPr>
            </w:pPr>
          </w:p>
        </w:tc>
      </w:tr>
      <w:tr>
        <w:trPr>
          <w:trHeight w:val="206"/>
        </w:trPr>
        <w:tc>
          <w:tcPr>
            <w:tcW w:w="1140" w:type="dxa"/>
            <w:vAlign w:val="bottom"/>
          </w:tcPr>
          <w:p>
            <w:pPr>
              <w:spacing w:after="0"/>
              <w:rPr>
                <w:sz w:val="20"/>
                <w:szCs w:val="20"/>
                <w:color w:val="auto"/>
              </w:rPr>
            </w:pPr>
            <w:r>
              <w:rPr>
                <w:rFonts w:ascii="Arial" w:cs="Arial" w:eastAsia="Arial" w:hAnsi="Arial"/>
                <w:sz w:val="17"/>
                <w:szCs w:val="17"/>
                <w:color w:val="auto"/>
              </w:rPr>
              <w:t>2012</w:t>
            </w: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185,727</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17,380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1,500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204,607</w:t>
            </w:r>
          </w:p>
        </w:tc>
        <w:tc>
          <w:tcPr>
            <w:tcW w:w="240" w:type="dxa"/>
            <w:vAlign w:val="bottom"/>
          </w:tcPr>
          <w:p>
            <w:pPr>
              <w:spacing w:after="0"/>
              <w:rPr>
                <w:sz w:val="17"/>
                <w:szCs w:val="17"/>
                <w:color w:val="auto"/>
              </w:rPr>
            </w:pPr>
          </w:p>
        </w:tc>
      </w:tr>
      <w:tr>
        <w:trPr>
          <w:trHeight w:val="206"/>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5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135,030</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72,107</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208,746</w:t>
            </w:r>
          </w:p>
        </w:tc>
        <w:tc>
          <w:tcPr>
            <w:tcW w:w="240" w:type="dxa"/>
            <w:vAlign w:val="bottom"/>
            <w:shd w:val="clear" w:color="auto" w:fill="CCEEFF"/>
          </w:tcPr>
          <w:p>
            <w:pPr>
              <w:spacing w:after="0"/>
              <w:rPr>
                <w:sz w:val="17"/>
                <w:szCs w:val="17"/>
                <w:color w:val="auto"/>
              </w:rPr>
            </w:pPr>
          </w:p>
        </w:tc>
      </w:tr>
      <w:tr>
        <w:trPr>
          <w:trHeight w:val="206"/>
        </w:trPr>
        <w:tc>
          <w:tcPr>
            <w:tcW w:w="1140" w:type="dxa"/>
            <w:vAlign w:val="bottom"/>
          </w:tcPr>
          <w:p>
            <w:pPr>
              <w:spacing w:after="0"/>
              <w:rPr>
                <w:sz w:val="20"/>
                <w:szCs w:val="20"/>
                <w:color w:val="auto"/>
              </w:rPr>
            </w:pPr>
            <w:r>
              <w:rPr>
                <w:rFonts w:ascii="Arial" w:cs="Arial" w:eastAsia="Arial" w:hAnsi="Arial"/>
                <w:sz w:val="17"/>
                <w:szCs w:val="17"/>
                <w:color w:val="auto"/>
              </w:rPr>
              <w:t>2014</w:t>
            </w:r>
          </w:p>
        </w:tc>
        <w:tc>
          <w:tcPr>
            <w:tcW w:w="5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150,000</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156,364</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1,725</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308,089</w:t>
            </w:r>
          </w:p>
        </w:tc>
        <w:tc>
          <w:tcPr>
            <w:tcW w:w="240" w:type="dxa"/>
            <w:vAlign w:val="bottom"/>
          </w:tcPr>
          <w:p>
            <w:pPr>
              <w:spacing w:after="0"/>
              <w:rPr>
                <w:sz w:val="17"/>
                <w:szCs w:val="17"/>
                <w:color w:val="auto"/>
              </w:rPr>
            </w:pPr>
          </w:p>
        </w:tc>
      </w:tr>
      <w:tr>
        <w:trPr>
          <w:trHeight w:val="206"/>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203,398</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1,851</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205,249</w:t>
            </w:r>
          </w:p>
        </w:tc>
        <w:tc>
          <w:tcPr>
            <w:tcW w:w="24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20"/>
                <w:szCs w:val="20"/>
                <w:color w:val="auto"/>
              </w:rPr>
            </w:pPr>
            <w:r>
              <w:rPr>
                <w:rFonts w:ascii="Arial" w:cs="Arial" w:eastAsia="Arial" w:hAnsi="Arial"/>
                <w:sz w:val="17"/>
                <w:szCs w:val="17"/>
                <w:color w:val="auto"/>
              </w:rPr>
              <w:t>Thereafter</w:t>
            </w:r>
          </w:p>
        </w:tc>
        <w:tc>
          <w:tcPr>
            <w:tcW w:w="5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553,600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33,355</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51,852</w:t>
            </w:r>
          </w:p>
        </w:tc>
        <w:tc>
          <w:tcPr>
            <w:tcW w:w="5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638,807</w:t>
            </w:r>
          </w:p>
        </w:tc>
        <w:tc>
          <w:tcPr>
            <w:tcW w:w="240" w:type="dxa"/>
            <w:vAlign w:val="bottom"/>
          </w:tcPr>
          <w:p>
            <w:pPr>
              <w:spacing w:after="0"/>
              <w:rPr>
                <w:sz w:val="18"/>
                <w:szCs w:val="18"/>
                <w:color w:val="auto"/>
              </w:rPr>
            </w:pPr>
          </w:p>
        </w:tc>
      </w:tr>
      <w:tr>
        <w:trPr>
          <w:trHeight w:val="206"/>
        </w:trPr>
        <w:tc>
          <w:tcPr>
            <w:tcW w:w="1140" w:type="dxa"/>
            <w:vAlign w:val="bottom"/>
            <w:shd w:val="clear" w:color="auto" w:fill="CCEEFF"/>
          </w:tcPr>
          <w:p>
            <w:pPr>
              <w:spacing w:after="0"/>
              <w:rPr>
                <w:sz w:val="17"/>
                <w:szCs w:val="17"/>
                <w:color w:val="auto"/>
              </w:rPr>
            </w:pPr>
          </w:p>
        </w:tc>
        <w:tc>
          <w:tcPr>
            <w:tcW w:w="57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1,177,081</w:t>
            </w:r>
          </w:p>
        </w:tc>
        <w:tc>
          <w:tcPr>
            <w:tcW w:w="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529,953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59,940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1,766,974(2)</w:t>
            </w:r>
          </w:p>
        </w:tc>
      </w:tr>
      <w:tr>
        <w:trPr>
          <w:trHeight w:val="20"/>
        </w:trPr>
        <w:tc>
          <w:tcPr>
            <w:tcW w:w="1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17" w:lineRule="exact"/>
        <w:rPr>
          <w:sz w:val="20"/>
          <w:szCs w:val="20"/>
          <w:color w:val="auto"/>
        </w:rPr>
      </w:pPr>
    </w:p>
    <w:p>
      <w:pPr>
        <w:ind w:left="460" w:hanging="457"/>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$300 million revolving credit facility matures on July 27, 2011. As of December 31, 2010, there is $77.0 million drawn under this credit facility.</w:t>
      </w:r>
    </w:p>
    <w:p>
      <w:pPr>
        <w:spacing w:after="0" w:line="17" w:lineRule="exact"/>
        <w:rPr>
          <w:rFonts w:ascii="Arial" w:cs="Arial" w:eastAsia="Arial" w:hAnsi="Arial"/>
          <w:sz w:val="17"/>
          <w:szCs w:val="17"/>
          <w:color w:val="auto"/>
        </w:rPr>
      </w:pPr>
    </w:p>
    <w:p>
      <w:pPr>
        <w:ind w:left="460" w:hanging="457"/>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Total debt maturities differs from the total reported on the consolidated balance sheet due to unamortized discounts and premiums as of December 31, 2010.</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Hedging</w:t>
      </w:r>
    </w:p>
    <w:p>
      <w:pPr>
        <w:spacing w:after="0" w:line="8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had no hedging instruments outstanding during 2010. 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5"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REIT Qualification</w:t>
      </w:r>
    </w:p>
    <w:p>
      <w:pPr>
        <w:spacing w:after="0" w:line="87"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9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5" w:lineRule="exact"/>
        <w:rPr>
          <w:sz w:val="20"/>
          <w:szCs w:val="20"/>
          <w:color w:val="auto"/>
        </w:rPr>
      </w:pPr>
    </w:p>
    <w:p>
      <w:pPr>
        <w:ind w:left="780" w:right="260" w:hanging="328"/>
        <w:spacing w:after="0" w:line="273" w:lineRule="auto"/>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does not represent cash flows from operating activities in accordance with GAAP (which, unlike FFO, generally reflects all cash effects of transactions and other events in the determination of net income);</w:t>
      </w:r>
    </w:p>
    <w:p>
      <w:pPr>
        <w:spacing w:after="0" w:line="43" w:lineRule="exact"/>
        <w:rPr>
          <w:rFonts w:ascii="Arial" w:cs="Arial" w:eastAsia="Arial" w:hAnsi="Arial"/>
          <w:sz w:val="17"/>
          <w:szCs w:val="17"/>
          <w:color w:val="auto"/>
        </w:rPr>
      </w:pPr>
    </w:p>
    <w:p>
      <w:pPr>
        <w:ind w:left="780" w:hanging="328"/>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should not be considered an alternative to net income as an indication of our performance; and</w:t>
      </w:r>
    </w:p>
    <w:p>
      <w:pPr>
        <w:spacing w:after="0" w:line="87" w:lineRule="exact"/>
        <w:rPr>
          <w:rFonts w:ascii="Arial" w:cs="Arial" w:eastAsia="Arial" w:hAnsi="Arial"/>
          <w:sz w:val="17"/>
          <w:szCs w:val="17"/>
          <w:color w:val="auto"/>
        </w:rPr>
      </w:pPr>
    </w:p>
    <w:p>
      <w:pPr>
        <w:ind w:left="780" w:hanging="328"/>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is not necessarily indicative of cash flow as a measure of liquidity or ability to fund cash needs, including the payment of dividends.</w:t>
      </w:r>
    </w:p>
    <w:p>
      <w:pPr>
        <w:spacing w:after="0" w:line="164" w:lineRule="exact"/>
        <w:rPr>
          <w:sz w:val="20"/>
          <w:szCs w:val="20"/>
          <w:color w:val="auto"/>
        </w:rPr>
      </w:pPr>
    </w:p>
    <w:p>
      <w:pPr>
        <w:ind w:right="260"/>
        <w:spacing w:after="0" w:line="304" w:lineRule="auto"/>
        <w:rPr>
          <w:sz w:val="20"/>
          <w:szCs w:val="20"/>
          <w:color w:val="auto"/>
        </w:rPr>
      </w:pPr>
      <w:r>
        <w:rPr>
          <w:rFonts w:ascii="Arial" w:cs="Arial" w:eastAsia="Arial" w:hAnsi="Arial"/>
          <w:sz w:val="15"/>
          <w:szCs w:val="15"/>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An increase or decrease in FFO available for common shareholders does not necessarily result in an increase or decrease in aggregate distributions because our Board of Trustees is not required to increase distributions on a quarterly basis unless it is necessary for us to maintain REIT status. However, we must distribute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Included below is a reconciliation of net income to FFO available for common shareholders as well as FFO available to common shareholders excluding the litigation provision. As further discussed in Note 8 to the consolidated financial statements, net income for 2010 and 2009 includes certain charges related to the litigation and appeal process over a parcel of land adjacent to Santana Row as well as adjusting the accrual for such litigation matter. Management believes FFO excluding this litigation provision provides a more meaningful evaluation of operations; while litigation is not unusual, we believe the premise of the underlying litigation matter (see Note 8 for discussion) warrants presentation of FFO excluding the related charges.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45"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to FFO available for common shareholders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4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9"/>
              <w:spacing w:after="0" w:line="134" w:lineRule="exact"/>
              <w:rPr>
                <w:sz w:val="20"/>
                <w:szCs w:val="20"/>
                <w:color w:val="auto"/>
              </w:rPr>
            </w:pPr>
            <w:r>
              <w:rPr>
                <w:rFonts w:ascii="Arial" w:cs="Arial" w:eastAsia="Arial" w:hAnsi="Arial"/>
                <w:sz w:val="13"/>
                <w:szCs w:val="13"/>
                <w:b w:val="1"/>
                <w:bCs w:val="1"/>
                <w:color w:val="auto"/>
              </w:rPr>
              <w:t>2010</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8"/>
              <w:spacing w:after="0" w:line="134"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1"/>
              </w:rPr>
              <w:t>thousands,</w:t>
            </w:r>
          </w:p>
        </w:tc>
        <w:tc>
          <w:tcPr>
            <w:tcW w:w="1820" w:type="dxa"/>
            <w:vAlign w:val="bottom"/>
            <w:gridSpan w:val="6"/>
          </w:tcPr>
          <w:p>
            <w:pPr>
              <w:jc w:val="right"/>
              <w:ind w:right="480"/>
              <w:spacing w:after="0" w:line="134" w:lineRule="exact"/>
              <w:rPr>
                <w:sz w:val="20"/>
                <w:szCs w:val="20"/>
                <w:color w:val="auto"/>
              </w:rPr>
            </w:pPr>
            <w:r>
              <w:rPr>
                <w:rFonts w:ascii="Arial" w:cs="Arial" w:eastAsia="Arial" w:hAnsi="Arial"/>
                <w:sz w:val="13"/>
                <w:szCs w:val="13"/>
                <w:b w:val="1"/>
                <w:bCs w:val="1"/>
                <w:color w:val="auto"/>
                <w:w w:val="95"/>
              </w:rPr>
              <w:t>except per share data)</w:t>
            </w:r>
          </w:p>
        </w:tc>
        <w:tc>
          <w:tcPr>
            <w:tcW w:w="0" w:type="dxa"/>
            <w:vAlign w:val="bottom"/>
          </w:tcPr>
          <w:p>
            <w:pPr>
              <w:spacing w:after="0"/>
              <w:rPr>
                <w:sz w:val="1"/>
                <w:szCs w:val="1"/>
                <w:color w:val="auto"/>
              </w:rPr>
            </w:pPr>
          </w:p>
        </w:tc>
      </w:tr>
      <w:tr>
        <w:trPr>
          <w:trHeight w:val="206"/>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128,237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103,872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135,153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Net income attributable to noncontrolling interests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7"/>
                <w:szCs w:val="17"/>
                <w:color w:val="auto"/>
              </w:rPr>
              <w:t>(5,447)</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(5,568)</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06"/>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7"/>
                <w:szCs w:val="17"/>
                <w:color w:val="auto"/>
              </w:rPr>
              <w:t>(1,410)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(1,298)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(12,572)</w:t>
            </w: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Depreciation and amortization of real estate assets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107,187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84"/>
              </w:rPr>
              <w:t>103,104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101,450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initial direct costs of leases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9,821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Depreciation of joint venture real estate assets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1,499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1,388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Funds from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239,618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211,319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228,767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Dividends on preferred shares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6"/>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attributable to operating partnership units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Income attributable to unvested shares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7"/>
                <w:szCs w:val="17"/>
                <w:color w:val="auto"/>
              </w:rPr>
              <w:t>(847)</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Funds from operations available for common shareholders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239,210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211,065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228,397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Litigation provision, net of allocation to unvested shares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329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9"/>
              </w:rPr>
              <w:t>16,301</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Funds from operations available for common shareholders excluding litigation provision</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239,539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227,366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228,397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7"/>
                <w:szCs w:val="17"/>
                <w:color w:val="auto"/>
              </w:rPr>
              <w:t>Weighted average number of common shares, diluted(1)</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61,693</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9"/>
              </w:rPr>
              <w:t>60,201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59,266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Funds from operations available for common shareholders, per diluted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20" w:type="dxa"/>
            <w:vAlign w:val="bottom"/>
            <w:gridSpan w:val="2"/>
          </w:tcPr>
          <w:p>
            <w:pPr>
              <w:spacing w:after="0"/>
              <w:rPr>
                <w:sz w:val="20"/>
                <w:szCs w:val="20"/>
                <w:color w:val="auto"/>
              </w:rPr>
            </w:pPr>
            <w:r>
              <w:rPr>
                <w:rFonts w:ascii="Arial" w:cs="Arial" w:eastAsia="Arial" w:hAnsi="Arial"/>
                <w:sz w:val="17"/>
                <w:szCs w:val="17"/>
                <w:color w:val="auto"/>
              </w:rPr>
              <w:t>Litigation provision per diluted share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0.27</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Funds from operations available for common shareholders excluding litigation provision, per diluted share</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6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right="60" w:hanging="457"/>
        <w:spacing w:after="0" w:line="263"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33"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As of December 31, 2010,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Fixed Interest Rate Debt</w:t>
      </w:r>
    </w:p>
    <w:p>
      <w:pPr>
        <w:spacing w:after="0" w:line="8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December 31, 2010, we had $1.6 billion of fixed-rate debt outstanding and $59.9 million of capital lease obligations. If market interest rates on our fixed-rate debt instruments at December 31, 2010 had been 1.0% higher, the fair value of those debt instruments on that date would have decreased by approximately $67.2 million. If market interest rates on our fixed-rate debt instruments at December 31, 2010 had been 1.0% lower, the fair value of those debt instruments on that date would have increased by approximately $71.7 million.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Rate Debt</w:t>
      </w:r>
    </w:p>
    <w:p>
      <w:pPr>
        <w:spacing w:after="0" w:line="87"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Generally, we believe that our primary interest rate risk is due to fluctuations in interest rates on our variable rate debt. At December 31, 2010, we had $86.4 million of variable rate debt outstanding which consisted of $77.0 million outstanding on our revolving credit facility and $9.4 million of municipal bonds. Based upon this amount of variable rate debt and the specific terms, if market interest rates increased 1.0%, our annual interest expense would increase by approximately $0.9 million, and our net income and cash flows for the year would decrease by approximately $0.9 million. Conversely, if market interest rates decreased 1.0%, our annual interest expense would decrease by approximately $0.6 million with a corresponding increase in our net income and cash flows for the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5"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Our consolidated financial statements and supplementary data are included as a separate section of this Annual Report on Form 10-K commencing on page F-1 and are incorporated herein by reference.</w:t>
      </w:r>
    </w:p>
    <w:p>
      <w:pPr>
        <w:spacing w:after="0" w:line="194" w:lineRule="exact"/>
        <w:rPr>
          <w:sz w:val="20"/>
          <w:szCs w:val="20"/>
          <w:color w:val="auto"/>
        </w:rPr>
      </w:pPr>
    </w:p>
    <w:p>
      <w:pPr>
        <w:ind w:right="1700" w:firstLine="114"/>
        <w:spacing w:after="0" w:line="373"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11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Assessment</w:t>
      </w:r>
    </w:p>
    <w:p>
      <w:pPr>
        <w:spacing w:after="0" w:line="9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carried out an assessment as of December 31, 2010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Executive Officer and Principal Financial Officer Certifications</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Senior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91"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Senior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41" w:lineRule="exact"/>
        <w:rPr>
          <w:sz w:val="20"/>
          <w:szCs w:val="20"/>
          <w:color w:val="auto"/>
        </w:rPr>
      </w:pPr>
    </w:p>
    <w:p>
      <w:pPr>
        <w:ind w:left="5640" w:right="1500" w:hanging="5188"/>
        <w:spacing w:after="0" w:line="447" w:lineRule="auto"/>
        <w:tabs>
          <w:tab w:leader="none" w:pos="783"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 59</w:t>
      </w:r>
    </w:p>
    <w:p>
      <w:pPr>
        <w:sectPr>
          <w:pgSz w:w="11900" w:h="16838" w:orient="portrait"/>
          <w:cols w:equalWidth="0" w:num="1">
            <w:col w:w="11400"/>
          </w:cols>
          <w:pgMar w:left="240" w:top="445"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780" w:right="220" w:hanging="328"/>
        <w:spacing w:after="0" w:line="363" w:lineRule="auto"/>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4"/>
          <w:szCs w:val="14"/>
          <w:color w:val="auto"/>
        </w:rPr>
      </w:pPr>
    </w:p>
    <w:p>
      <w:pPr>
        <w:ind w:left="780" w:right="20" w:hanging="328"/>
        <w:spacing w:after="0" w:line="273" w:lineRule="auto"/>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91"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Scope of the Evaluations</w:t>
      </w:r>
    </w:p>
    <w:p>
      <w:pPr>
        <w:spacing w:after="0" w:line="9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5"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Disclosure Controls and Procedures</w:t>
      </w:r>
    </w:p>
    <w:p>
      <w:pPr>
        <w:spacing w:after="0" w:line="91"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Periodic Evaluation and Conclusion of Internal Control over Financial Reporting</w:t>
      </w:r>
    </w:p>
    <w:p>
      <w:pPr>
        <w:spacing w:after="0" w:line="91" w:lineRule="exact"/>
        <w:rPr>
          <w:sz w:val="20"/>
          <w:szCs w:val="20"/>
          <w:color w:val="auto"/>
        </w:rPr>
      </w:pPr>
    </w:p>
    <w:p>
      <w:pPr>
        <w:ind w:right="200"/>
        <w:spacing w:after="0" w:line="304" w:lineRule="auto"/>
        <w:rPr>
          <w:sz w:val="20"/>
          <w:szCs w:val="20"/>
          <w:color w:val="auto"/>
        </w:rPr>
      </w:pPr>
      <w:r>
        <w:rPr>
          <w:rFonts w:ascii="Arial" w:cs="Arial" w:eastAsia="Arial" w:hAnsi="Arial"/>
          <w:sz w:val="15"/>
          <w:szCs w:val="15"/>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to provide reasonable assurance regarding the reliability of financial reporting and the preparation of financial statements for external purposes in accordance with generally accepted accounting principles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Management</w:t>
      </w:r>
    </w:p>
    <w:p>
      <w:pPr>
        <w:spacing w:after="0" w:line="9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management has issued a report on its assessment of the Trust’s internal control over financial reporting, which appears on page F-2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Our Independent Registered Public Accounting Firm</w:t>
      </w:r>
    </w:p>
    <w:p>
      <w:pPr>
        <w:spacing w:after="0" w:line="91" w:lineRule="exact"/>
        <w:rPr>
          <w:sz w:val="20"/>
          <w:szCs w:val="20"/>
          <w:color w:val="auto"/>
        </w:rPr>
      </w:pPr>
    </w:p>
    <w:p>
      <w:pPr>
        <w:ind w:right="120"/>
        <w:spacing w:after="0" w:line="305"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There was no change in our internal control over financial reporting during our fourth fiscal quarter of 2010 that materially affected, or is reasonably likely to materially affect, our internal control over financial reporting.</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9B.</w:t>
        <w:tab/>
        <w:t>OTHER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5"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68"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Certain information required in Part III is omitted from this Report but is incorporated herein by reference from our Proxy Statement for the 2011 Annual Meeting of Shareholders (as amended or supplemented, the “Proxy Statement”).</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6"/>
          <w:szCs w:val="16"/>
          <w:b w:val="1"/>
          <w:bCs w:val="1"/>
          <w:color w:val="auto"/>
        </w:rPr>
        <w:t>TRUSTEES, EXECUTIVE OFFICERS AND CORPORATE GOVERNANCE</w:t>
      </w:r>
    </w:p>
    <w:p>
      <w:pPr>
        <w:spacing w:after="0" w:line="9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8"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7"/>
          <w:szCs w:val="17"/>
          <w:i w:val="1"/>
          <w:iCs w:val="1"/>
          <w:color w:val="auto"/>
        </w:rPr>
        <w:t>www.federalrealty.com</w:t>
      </w:r>
      <w:r>
        <w:rPr>
          <w:rFonts w:ascii="Arial" w:cs="Arial" w:eastAsia="Arial" w:hAnsi="Arial"/>
          <w:sz w:val="17"/>
          <w:szCs w:val="17"/>
          <w:color w:val="auto"/>
        </w:rPr>
        <w:t>.</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Committee Report,” “Trustee Compensation” and “Compensation Discussion and Analysis” and other information included in the Proxy Statement required by this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Item 11 are incorporated herein by reference.</w:t>
      </w:r>
    </w:p>
    <w:p>
      <w:pPr>
        <w:spacing w:after="0" w:line="230"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9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TRUSTEE INDEPENDENCE</w:t>
      </w:r>
    </w:p>
    <w:p>
      <w:pPr>
        <w:spacing w:after="0" w:line="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1" w:lineRule="exact"/>
        <w:rPr>
          <w:sz w:val="20"/>
          <w:szCs w:val="20"/>
          <w:color w:val="auto"/>
        </w:rPr>
      </w:pPr>
    </w:p>
    <w:p>
      <w:pPr>
        <w:ind w:right="340"/>
        <w:spacing w:after="0" w:line="305"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5"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PART IV</w:t>
      </w:r>
    </w:p>
    <w:p>
      <w:pPr>
        <w:spacing w:after="0" w:line="16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(a)(1) Financial Statements</w:t>
      </w:r>
    </w:p>
    <w:p>
      <w:pPr>
        <w:spacing w:after="0" w:line="91"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Financial Statement Schedules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Our financial statement schedules are included in a separate section of this Annual Report on Form 10-K commencing on page F-34.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Exhibits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A list of exhibits to this Annual Report on Form 10-K is set forth on the Exhibit Index immediately preceding such exhibits and is incorporated herein by reference.</w:t>
      </w:r>
    </w:p>
    <w:p>
      <w:pPr>
        <w:spacing w:after="0" w:line="187" w:lineRule="exact"/>
        <w:rPr>
          <w:sz w:val="20"/>
          <w:szCs w:val="20"/>
          <w:color w:val="auto"/>
        </w:rPr>
      </w:pPr>
    </w:p>
    <w:p>
      <w:pPr>
        <w:ind w:left="240" w:hanging="237"/>
        <w:spacing w:after="0"/>
        <w:tabs>
          <w:tab w:leader="none" w:pos="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See Exhibit Index</w:t>
      </w:r>
    </w:p>
    <w:p>
      <w:pPr>
        <w:spacing w:after="0" w:line="164" w:lineRule="exact"/>
        <w:rPr>
          <w:rFonts w:ascii="Arial" w:cs="Arial" w:eastAsia="Arial" w:hAnsi="Arial"/>
          <w:sz w:val="17"/>
          <w:szCs w:val="17"/>
          <w:color w:val="auto"/>
        </w:rPr>
      </w:pPr>
    </w:p>
    <w:p>
      <w:pPr>
        <w:ind w:left="240" w:hanging="237"/>
        <w:spacing w:after="0"/>
        <w:tabs>
          <w:tab w:leader="none" w:pos="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15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060"/>
          </w:cols>
          <w:pgMar w:left="240" w:top="445" w:right="5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16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this 15th day of February, 2011.</w:t>
      </w:r>
    </w:p>
    <w:p>
      <w:pPr>
        <w:spacing w:after="0" w:line="159" w:lineRule="exact"/>
        <w:rPr>
          <w:sz w:val="20"/>
          <w:szCs w:val="20"/>
          <w:color w:val="auto"/>
        </w:rPr>
      </w:pPr>
    </w:p>
    <w:p>
      <w:pPr>
        <w:ind w:left="8060"/>
        <w:spacing w:after="0"/>
        <w:rPr>
          <w:sz w:val="20"/>
          <w:szCs w:val="20"/>
          <w:color w:val="auto"/>
        </w:rPr>
      </w:pPr>
      <w:r>
        <w:rPr>
          <w:rFonts w:ascii="Arial" w:cs="Arial" w:eastAsia="Arial" w:hAnsi="Arial"/>
          <w:sz w:val="17"/>
          <w:szCs w:val="17"/>
          <w:color w:val="auto"/>
        </w:rPr>
        <w:t>Federal Realty Investment Trust</w:t>
      </w:r>
    </w:p>
    <w:p>
      <w:pPr>
        <w:spacing w:after="0" w:line="216" w:lineRule="exact"/>
        <w:rPr>
          <w:sz w:val="20"/>
          <w:szCs w:val="20"/>
          <w:color w:val="auto"/>
        </w:rPr>
      </w:pPr>
    </w:p>
    <w:p>
      <w:pPr>
        <w:ind w:left="6860"/>
        <w:spacing w:after="0"/>
        <w:tabs>
          <w:tab w:leader="none" w:pos="8360" w:val="left"/>
          <w:tab w:leader="none" w:pos="8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12065</wp:posOffset>
            </wp:positionV>
            <wp:extent cx="266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60015" cy="8255"/>
                    </a:xfrm>
                    <a:prstGeom prst="rect">
                      <a:avLst/>
                    </a:prstGeom>
                    <a:noFill/>
                  </pic:spPr>
                </pic:pic>
              </a:graphicData>
            </a:graphic>
          </wp:anchor>
        </w:drawing>
      </w:r>
    </w:p>
    <w:p>
      <w:pPr>
        <w:spacing w:after="0" w:line="12" w:lineRule="exact"/>
        <w:rPr>
          <w:sz w:val="20"/>
          <w:szCs w:val="20"/>
          <w:color w:val="auto"/>
        </w:rPr>
      </w:pPr>
    </w:p>
    <w:p>
      <w:pPr>
        <w:jc w:val="center"/>
        <w:ind w:left="7260"/>
        <w:spacing w:after="0"/>
        <w:rPr>
          <w:sz w:val="20"/>
          <w:szCs w:val="20"/>
          <w:color w:val="auto"/>
        </w:rPr>
      </w:pPr>
      <w:r>
        <w:rPr>
          <w:rFonts w:ascii="Arial" w:cs="Arial" w:eastAsia="Arial" w:hAnsi="Arial"/>
          <w:sz w:val="13"/>
          <w:szCs w:val="13"/>
          <w:b w:val="1"/>
          <w:bCs w:val="1"/>
          <w:color w:val="auto"/>
        </w:rPr>
        <w:t>Donald C. Wood</w:t>
      </w:r>
    </w:p>
    <w:p>
      <w:pPr>
        <w:spacing w:after="0" w:line="6" w:lineRule="exact"/>
        <w:rPr>
          <w:sz w:val="20"/>
          <w:szCs w:val="20"/>
          <w:color w:val="auto"/>
        </w:rPr>
      </w:pPr>
    </w:p>
    <w:p>
      <w:pPr>
        <w:jc w:val="center"/>
        <w:ind w:left="7240"/>
        <w:spacing w:after="0"/>
        <w:rPr>
          <w:sz w:val="20"/>
          <w:szCs w:val="20"/>
          <w:color w:val="auto"/>
        </w:rPr>
      </w:pPr>
      <w:r>
        <w:rPr>
          <w:rFonts w:ascii="Arial" w:cs="Arial" w:eastAsia="Arial" w:hAnsi="Arial"/>
          <w:sz w:val="13"/>
          <w:szCs w:val="13"/>
          <w:b w:val="1"/>
          <w:bCs w:val="1"/>
          <w:color w:val="auto"/>
        </w:rPr>
        <w:t>President, Chief Executive Officer and Trustee</w:t>
      </w:r>
    </w:p>
    <w:p>
      <w:pPr>
        <w:spacing w:after="0" w:line="14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Signature</w:t>
            </w:r>
          </w:p>
        </w:tc>
        <w:tc>
          <w:tcPr>
            <w:tcW w:w="2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40" w:type="dxa"/>
            <w:vAlign w:val="bottom"/>
          </w:tcPr>
          <w:p>
            <w:pPr>
              <w:spacing w:after="0"/>
              <w:rPr>
                <w:sz w:val="13"/>
                <w:szCs w:val="13"/>
                <w:color w:val="auto"/>
              </w:rPr>
            </w:pPr>
          </w:p>
        </w:tc>
        <w:tc>
          <w:tcPr>
            <w:tcW w:w="7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Date</w:t>
            </w:r>
          </w:p>
        </w:tc>
      </w:tr>
      <w:tr>
        <w:trPr>
          <w:trHeight w:val="20"/>
        </w:trPr>
        <w:tc>
          <w:tcPr>
            <w:tcW w:w="1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0"/>
        </w:trPr>
        <w:tc>
          <w:tcPr>
            <w:tcW w:w="1740" w:type="dxa"/>
            <w:vAlign w:val="bottom"/>
            <w:tcBorders>
              <w:bottom w:val="single" w:sz="8" w:color="auto"/>
            </w:tcBorders>
            <w:gridSpan w:val="2"/>
          </w:tcPr>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President, Chief Executive Officer and Trustee (Principal</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93"/>
        </w:trPr>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89"/>
              </w:rPr>
              <w:t>Donald C. Wood</w:t>
            </w:r>
          </w:p>
        </w:tc>
        <w:tc>
          <w:tcPr>
            <w:tcW w:w="4620" w:type="dxa"/>
            <w:vAlign w:val="bottom"/>
            <w:gridSpan w:val="3"/>
          </w:tcPr>
          <w:p>
            <w:pPr>
              <w:ind w:left="440"/>
              <w:spacing w:after="0" w:line="193" w:lineRule="exact"/>
              <w:rPr>
                <w:sz w:val="20"/>
                <w:szCs w:val="20"/>
                <w:color w:val="auto"/>
              </w:rPr>
            </w:pPr>
            <w:r>
              <w:rPr>
                <w:rFonts w:ascii="Arial" w:cs="Arial" w:eastAsia="Arial" w:hAnsi="Arial"/>
                <w:sz w:val="17"/>
                <w:szCs w:val="17"/>
                <w:color w:val="auto"/>
              </w:rPr>
              <w:t>Executive Officer)</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04"/>
        </w:trPr>
        <w:tc>
          <w:tcPr>
            <w:tcW w:w="1520" w:type="dxa"/>
            <w:vAlign w:val="bottom"/>
            <w:tcBorders>
              <w:bottom w:val="single" w:sz="8" w:color="auto"/>
            </w:tcBorders>
          </w:tcPr>
          <w:p>
            <w:pPr>
              <w:ind w:left="1360"/>
              <w:spacing w:after="0"/>
              <w:rPr>
                <w:sz w:val="20"/>
                <w:szCs w:val="20"/>
                <w:color w:val="auto"/>
              </w:rPr>
            </w:pPr>
            <w:r>
              <w:rPr>
                <w:rFonts w:ascii="Arial" w:cs="Arial" w:eastAsia="Arial" w:hAnsi="Arial"/>
                <w:sz w:val="17"/>
                <w:szCs w:val="17"/>
                <w:color w:val="auto"/>
                <w:w w:val="76"/>
              </w:rPr>
              <w:t>/</w:t>
            </w:r>
            <w:r>
              <w:rPr>
                <w:rFonts w:ascii="Arial" w:cs="Arial" w:eastAsia="Arial" w:hAnsi="Arial"/>
                <w:sz w:val="13"/>
                <w:szCs w:val="13"/>
                <w:color w:val="auto"/>
                <w:w w:val="76"/>
              </w:rPr>
              <w:t>S</w:t>
            </w:r>
            <w:r>
              <w:rPr>
                <w:rFonts w:ascii="Arial" w:cs="Arial" w:eastAsia="Arial" w:hAnsi="Arial"/>
                <w:sz w:val="17"/>
                <w:szCs w:val="17"/>
                <w:color w:val="auto"/>
                <w:w w:val="76"/>
              </w:rPr>
              <w:t>/</w:t>
            </w:r>
          </w:p>
        </w:tc>
        <w:tc>
          <w:tcPr>
            <w:tcW w:w="328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7"/>
                <w:szCs w:val="17"/>
                <w:color w:val="auto"/>
                <w:w w:val="98"/>
              </w:rPr>
              <w:t>A</w:t>
            </w:r>
            <w:r>
              <w:rPr>
                <w:rFonts w:ascii="Arial" w:cs="Arial" w:eastAsia="Arial" w:hAnsi="Arial"/>
                <w:sz w:val="13"/>
                <w:szCs w:val="13"/>
                <w:color w:val="auto"/>
                <w:w w:val="98"/>
              </w:rPr>
              <w:t>NDREW</w:t>
            </w:r>
            <w:r>
              <w:rPr>
                <w:rFonts w:ascii="Arial" w:cs="Arial" w:eastAsia="Arial" w:hAnsi="Arial"/>
                <w:sz w:val="17"/>
                <w:szCs w:val="17"/>
                <w:color w:val="auto"/>
                <w:w w:val="98"/>
              </w:rPr>
              <w:t xml:space="preserve"> P. B</w:t>
            </w:r>
            <w:r>
              <w:rPr>
                <w:rFonts w:ascii="Arial" w:cs="Arial" w:eastAsia="Arial" w:hAnsi="Arial"/>
                <w:sz w:val="13"/>
                <w:szCs w:val="13"/>
                <w:color w:val="auto"/>
                <w:w w:val="98"/>
              </w:rPr>
              <w:t>LOCHER</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w w:val="97"/>
              </w:rPr>
              <w:t>Senior Vice President-Chief Financial Officer and Treasurer</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93"/>
        </w:trPr>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89"/>
              </w:rPr>
              <w:t>Andrew P. Blocher</w:t>
            </w:r>
          </w:p>
        </w:tc>
        <w:tc>
          <w:tcPr>
            <w:tcW w:w="4620" w:type="dxa"/>
            <w:vAlign w:val="bottom"/>
            <w:gridSpan w:val="3"/>
          </w:tcPr>
          <w:p>
            <w:pPr>
              <w:ind w:left="440"/>
              <w:spacing w:after="0" w:line="193" w:lineRule="exact"/>
              <w:rPr>
                <w:sz w:val="20"/>
                <w:szCs w:val="20"/>
                <w:color w:val="auto"/>
              </w:rPr>
            </w:pPr>
            <w:r>
              <w:rPr>
                <w:rFonts w:ascii="Arial" w:cs="Arial" w:eastAsia="Arial" w:hAnsi="Arial"/>
                <w:sz w:val="17"/>
                <w:szCs w:val="17"/>
                <w:color w:val="auto"/>
              </w:rPr>
              <w:t>(Principal Financial and Accounting Officer)</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05"/>
        </w:trPr>
        <w:tc>
          <w:tcPr>
            <w:tcW w:w="152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28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7"/>
                <w:szCs w:val="17"/>
                <w:color w:val="auto"/>
                <w:w w:val="99"/>
              </w:rPr>
              <w:t>J</w:t>
            </w:r>
            <w:r>
              <w:rPr>
                <w:rFonts w:ascii="Arial" w:cs="Arial" w:eastAsia="Arial" w:hAnsi="Arial"/>
                <w:sz w:val="13"/>
                <w:szCs w:val="13"/>
                <w:color w:val="auto"/>
                <w:w w:val="99"/>
              </w:rPr>
              <w:t>OSEPH</w:t>
            </w:r>
            <w:r>
              <w:rPr>
                <w:rFonts w:ascii="Arial" w:cs="Arial" w:eastAsia="Arial" w:hAnsi="Arial"/>
                <w:sz w:val="17"/>
                <w:szCs w:val="17"/>
                <w:color w:val="auto"/>
                <w:w w:val="99"/>
              </w:rPr>
              <w:t xml:space="preserve"> S. V</w:t>
            </w:r>
            <w:r>
              <w:rPr>
                <w:rFonts w:ascii="Arial" w:cs="Arial" w:eastAsia="Arial" w:hAnsi="Arial"/>
                <w:sz w:val="13"/>
                <w:szCs w:val="13"/>
                <w:color w:val="auto"/>
                <w:w w:val="99"/>
              </w:rPr>
              <w:t>ASSALLUZZO</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Non-Executive Chairman</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85"/>
              </w:rPr>
              <w:t>Joseph S. Vassalluzzo</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98"/>
        </w:trPr>
        <w:tc>
          <w:tcPr>
            <w:tcW w:w="15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w:t>
            </w:r>
            <w:r>
              <w:rPr>
                <w:rFonts w:ascii="Arial" w:cs="Arial" w:eastAsia="Arial" w:hAnsi="Arial"/>
                <w:sz w:val="13"/>
                <w:szCs w:val="13"/>
                <w:color w:val="auto"/>
              </w:rPr>
              <w:t>ON</w:t>
            </w:r>
            <w:r>
              <w:rPr>
                <w:rFonts w:ascii="Arial" w:cs="Arial" w:eastAsia="Arial" w:hAnsi="Arial"/>
                <w:sz w:val="17"/>
                <w:szCs w:val="17"/>
                <w:color w:val="auto"/>
              </w:rPr>
              <w:t xml:space="preserve"> E. B</w:t>
            </w:r>
            <w:r>
              <w:rPr>
                <w:rFonts w:ascii="Arial" w:cs="Arial" w:eastAsia="Arial" w:hAnsi="Arial"/>
                <w:sz w:val="13"/>
                <w:szCs w:val="13"/>
                <w:color w:val="auto"/>
              </w:rPr>
              <w:t>ORTZ</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Trustee</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2"/>
              </w:rPr>
              <w:t>Jon E. Bortz</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98"/>
        </w:trPr>
        <w:tc>
          <w:tcPr>
            <w:tcW w:w="1740" w:type="dxa"/>
            <w:vAlign w:val="bottom"/>
            <w:tcBorders>
              <w:bottom w:val="single" w:sz="8" w:color="auto"/>
            </w:tcBorders>
            <w:gridSpan w:val="2"/>
          </w:tcPr>
          <w:p>
            <w:pPr>
              <w:ind w:left="14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6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7"/>
                <w:szCs w:val="17"/>
                <w:color w:val="auto"/>
                <w:w w:val="99"/>
              </w:rPr>
              <w:t>D</w:t>
            </w:r>
            <w:r>
              <w:rPr>
                <w:rFonts w:ascii="Arial" w:cs="Arial" w:eastAsia="Arial" w:hAnsi="Arial"/>
                <w:sz w:val="13"/>
                <w:szCs w:val="13"/>
                <w:color w:val="auto"/>
                <w:w w:val="99"/>
              </w:rPr>
              <w:t>AVID</w:t>
            </w:r>
            <w:r>
              <w:rPr>
                <w:rFonts w:ascii="Arial" w:cs="Arial" w:eastAsia="Arial" w:hAnsi="Arial"/>
                <w:sz w:val="17"/>
                <w:szCs w:val="17"/>
                <w:color w:val="auto"/>
                <w:w w:val="99"/>
              </w:rPr>
              <w:t xml:space="preserve"> W. F</w:t>
            </w:r>
            <w:r>
              <w:rPr>
                <w:rFonts w:ascii="Arial" w:cs="Arial" w:eastAsia="Arial" w:hAnsi="Arial"/>
                <w:sz w:val="13"/>
                <w:szCs w:val="13"/>
                <w:color w:val="auto"/>
                <w:w w:val="99"/>
              </w:rPr>
              <w:t>AEDER</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Trustee</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0"/>
              </w:rPr>
              <w:t>David W. Faeder</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98"/>
        </w:trPr>
        <w:tc>
          <w:tcPr>
            <w:tcW w:w="1740" w:type="dxa"/>
            <w:vAlign w:val="bottom"/>
            <w:tcBorders>
              <w:bottom w:val="single" w:sz="8" w:color="auto"/>
            </w:tcBorders>
            <w:gridSpan w:val="2"/>
          </w:tcPr>
          <w:p>
            <w:pPr>
              <w:ind w:left="148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06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7"/>
                <w:szCs w:val="17"/>
                <w:color w:val="auto"/>
              </w:rPr>
              <w:t>K</w:t>
            </w:r>
            <w:r>
              <w:rPr>
                <w:rFonts w:ascii="Arial" w:cs="Arial" w:eastAsia="Arial" w:hAnsi="Arial"/>
                <w:sz w:val="13"/>
                <w:szCs w:val="13"/>
                <w:color w:val="auto"/>
              </w:rPr>
              <w:t>RISTIN</w:t>
            </w:r>
            <w:r>
              <w:rPr>
                <w:rFonts w:ascii="Arial" w:cs="Arial" w:eastAsia="Arial" w:hAnsi="Arial"/>
                <w:sz w:val="17"/>
                <w:szCs w:val="17"/>
                <w:color w:val="auto"/>
              </w:rPr>
              <w:t xml:space="preserve"> G</w:t>
            </w:r>
            <w:r>
              <w:rPr>
                <w:rFonts w:ascii="Arial" w:cs="Arial" w:eastAsia="Arial" w:hAnsi="Arial"/>
                <w:sz w:val="13"/>
                <w:szCs w:val="13"/>
                <w:color w:val="auto"/>
              </w:rPr>
              <w:t>AMBLE</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Trustee</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2"/>
              </w:rPr>
              <w:t>Kristin Gamble</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98"/>
        </w:trPr>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306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7"/>
                <w:szCs w:val="17"/>
                <w:color w:val="auto"/>
                <w:w w:val="97"/>
              </w:rPr>
              <w:t>G</w:t>
            </w:r>
            <w:r>
              <w:rPr>
                <w:rFonts w:ascii="Arial" w:cs="Arial" w:eastAsia="Arial" w:hAnsi="Arial"/>
                <w:sz w:val="13"/>
                <w:szCs w:val="13"/>
                <w:color w:val="auto"/>
                <w:w w:val="97"/>
              </w:rPr>
              <w:t>AIL</w:t>
            </w:r>
            <w:r>
              <w:rPr>
                <w:rFonts w:ascii="Arial" w:cs="Arial" w:eastAsia="Arial" w:hAnsi="Arial"/>
                <w:sz w:val="17"/>
                <w:szCs w:val="17"/>
                <w:color w:val="auto"/>
                <w:w w:val="97"/>
              </w:rPr>
              <w:t xml:space="preserve"> P. S</w:t>
            </w:r>
            <w:r>
              <w:rPr>
                <w:rFonts w:ascii="Arial" w:cs="Arial" w:eastAsia="Arial" w:hAnsi="Arial"/>
                <w:sz w:val="13"/>
                <w:szCs w:val="13"/>
                <w:color w:val="auto"/>
                <w:w w:val="97"/>
              </w:rPr>
              <w:t>TEINEL</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Trustee</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89"/>
              </w:rPr>
              <w:t>Gail P. Steinel</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98"/>
        </w:trPr>
        <w:tc>
          <w:tcPr>
            <w:tcW w:w="152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p>
        </w:tc>
        <w:tc>
          <w:tcPr>
            <w:tcW w:w="328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7"/>
                <w:szCs w:val="17"/>
                <w:color w:val="auto"/>
              </w:rPr>
              <w:t>W</w:t>
            </w:r>
            <w:r>
              <w:rPr>
                <w:rFonts w:ascii="Arial" w:cs="Arial" w:eastAsia="Arial" w:hAnsi="Arial"/>
                <w:sz w:val="13"/>
                <w:szCs w:val="13"/>
                <w:color w:val="auto"/>
              </w:rPr>
              <w:t>ARREN</w:t>
            </w:r>
            <w:r>
              <w:rPr>
                <w:rFonts w:ascii="Arial" w:cs="Arial" w:eastAsia="Arial" w:hAnsi="Arial"/>
                <w:sz w:val="17"/>
                <w:szCs w:val="17"/>
                <w:color w:val="auto"/>
              </w:rPr>
              <w:t xml:space="preserve"> M. T</w:t>
            </w:r>
            <w:r>
              <w:rPr>
                <w:rFonts w:ascii="Arial" w:cs="Arial" w:eastAsia="Arial" w:hAnsi="Arial"/>
                <w:sz w:val="13"/>
                <w:szCs w:val="13"/>
                <w:color w:val="auto"/>
              </w:rPr>
              <w:t>HOMPSON</w:t>
            </w:r>
          </w:p>
        </w:tc>
        <w:tc>
          <w:tcPr>
            <w:tcW w:w="4620" w:type="dxa"/>
            <w:vAlign w:val="bottom"/>
            <w:gridSpan w:val="3"/>
          </w:tcPr>
          <w:p>
            <w:pPr>
              <w:ind w:left="240"/>
              <w:spacing w:after="0"/>
              <w:rPr>
                <w:sz w:val="20"/>
                <w:szCs w:val="20"/>
                <w:color w:val="auto"/>
              </w:rPr>
            </w:pPr>
            <w:r>
              <w:rPr>
                <w:rFonts w:ascii="Arial" w:cs="Arial" w:eastAsia="Arial" w:hAnsi="Arial"/>
                <w:sz w:val="17"/>
                <w:szCs w:val="17"/>
                <w:color w:val="auto"/>
              </w:rPr>
              <w:t>Trustee</w:t>
            </w:r>
          </w:p>
        </w:tc>
        <w:tc>
          <w:tcPr>
            <w:tcW w:w="1580" w:type="dxa"/>
            <w:vAlign w:val="bottom"/>
            <w:gridSpan w:val="3"/>
          </w:tcPr>
          <w:p>
            <w:pPr>
              <w:jc w:val="center"/>
              <w:ind w:left="276"/>
              <w:spacing w:after="0"/>
              <w:rPr>
                <w:sz w:val="20"/>
                <w:szCs w:val="20"/>
                <w:color w:val="auto"/>
              </w:rPr>
            </w:pPr>
            <w:r>
              <w:rPr>
                <w:rFonts w:ascii="Arial" w:cs="Arial" w:eastAsia="Arial" w:hAnsi="Arial"/>
                <w:sz w:val="17"/>
                <w:szCs w:val="17"/>
                <w:color w:val="auto"/>
                <w:w w:val="87"/>
              </w:rPr>
              <w:t>February 15, 2011</w:t>
            </w:r>
          </w:p>
        </w:tc>
      </w:tr>
      <w:tr>
        <w:trPr>
          <w:trHeight w:val="160"/>
        </w:trPr>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60" w:type="dxa"/>
            <w:vAlign w:val="bottom"/>
            <w:gridSpan w:val="3"/>
          </w:tcPr>
          <w:p>
            <w:pPr>
              <w:jc w:val="center"/>
              <w:ind w:right="1720"/>
              <w:spacing w:after="0"/>
              <w:rPr>
                <w:sz w:val="20"/>
                <w:szCs w:val="20"/>
                <w:color w:val="auto"/>
              </w:rPr>
            </w:pPr>
            <w:r>
              <w:rPr>
                <w:rFonts w:ascii="Arial" w:cs="Arial" w:eastAsia="Arial" w:hAnsi="Arial"/>
                <w:sz w:val="13"/>
                <w:szCs w:val="13"/>
                <w:b w:val="1"/>
                <w:bCs w:val="1"/>
                <w:color w:val="auto"/>
                <w:w w:val="91"/>
              </w:rPr>
              <w:t>Warren M. Thompson</w:t>
            </w: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333"/>
        </w:trPr>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60" w:type="dxa"/>
            <w:vAlign w:val="bottom"/>
          </w:tcPr>
          <w:p>
            <w:pPr>
              <w:ind w:left="840"/>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80"/>
          </w:cols>
          <w:pgMar w:left="240" w:top="445" w:right="2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Item 8 and Item 15(a)(1) and (2)</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Index to Consolidated Financial Statements and Schedules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380" w:type="dxa"/>
            <w:vAlign w:val="bottom"/>
            <w:gridSpan w:val="11"/>
          </w:tcPr>
          <w:p>
            <w:pPr>
              <w:spacing w:after="0"/>
              <w:rPr>
                <w:sz w:val="20"/>
                <w:szCs w:val="20"/>
                <w:color w:val="auto"/>
              </w:rPr>
            </w:pPr>
            <w:r>
              <w:rPr>
                <w:rFonts w:ascii="Arial" w:cs="Arial" w:eastAsia="Arial" w:hAnsi="Arial"/>
                <w:sz w:val="17"/>
                <w:szCs w:val="17"/>
                <w:i w:val="1"/>
                <w:iCs w:val="1"/>
                <w:color w:val="auto"/>
              </w:rPr>
              <w:t>Consolidated Financial Statements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Page No.</w:t>
            </w:r>
          </w:p>
        </w:tc>
      </w:tr>
      <w:tr>
        <w:trPr>
          <w:trHeight w:val="160"/>
        </w:trPr>
        <w:tc>
          <w:tcPr>
            <w:tcW w:w="5240" w:type="dxa"/>
            <w:vAlign w:val="bottom"/>
            <w:tcBorders>
              <w:bottom w:val="single" w:sz="8" w:color="0000EE"/>
            </w:tcBorders>
            <w:gridSpan w:val="10"/>
          </w:tcPr>
          <w:p>
            <w:pPr>
              <w:spacing w:after="0" w:line="160" w:lineRule="exact"/>
              <w:rPr>
                <w:rFonts w:ascii="Arial" w:cs="Arial" w:eastAsia="Arial" w:hAnsi="Arial"/>
                <w:sz w:val="17"/>
                <w:szCs w:val="17"/>
                <w:color w:val="0000EE"/>
                <w:w w:val="89"/>
              </w:rPr>
            </w:pPr>
            <w:hyperlink w:anchor="page66">
              <w:r>
                <w:rPr>
                  <w:rFonts w:ascii="Arial" w:cs="Arial" w:eastAsia="Arial" w:hAnsi="Arial"/>
                  <w:sz w:val="17"/>
                  <w:szCs w:val="17"/>
                  <w:color w:val="0000EE"/>
                  <w:w w:val="89"/>
                </w:rPr>
                <w:t>Management Assessment Report on Internal Control over Financial Reporting</w:t>
              </w:r>
            </w:hyperlink>
          </w:p>
        </w:tc>
        <w:tc>
          <w:tcPr>
            <w:tcW w:w="5140" w:type="dxa"/>
            <w:vAlign w:val="bottom"/>
          </w:tcPr>
          <w:p>
            <w:pPr>
              <w:spacing w:after="0"/>
              <w:rPr>
                <w:sz w:val="13"/>
                <w:szCs w:val="13"/>
                <w:color w:val="auto"/>
              </w:rPr>
            </w:pPr>
          </w:p>
        </w:tc>
        <w:tc>
          <w:tcPr>
            <w:tcW w:w="9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color w:val="auto"/>
              </w:rPr>
              <w:t>F-2</w:t>
            </w:r>
          </w:p>
        </w:tc>
        <w:tc>
          <w:tcPr>
            <w:tcW w:w="20" w:type="dxa"/>
            <w:vAlign w:val="bottom"/>
          </w:tcPr>
          <w:p>
            <w:pPr>
              <w:spacing w:after="0"/>
              <w:rPr>
                <w:sz w:val="13"/>
                <w:szCs w:val="13"/>
                <w:color w:val="auto"/>
              </w:rPr>
            </w:pPr>
          </w:p>
        </w:tc>
      </w:tr>
      <w:tr>
        <w:trPr>
          <w:trHeight w:val="186"/>
        </w:trPr>
        <w:tc>
          <w:tcPr>
            <w:tcW w:w="3940" w:type="dxa"/>
            <w:vAlign w:val="bottom"/>
            <w:tcBorders>
              <w:bottom w:val="single" w:sz="8" w:color="0000EE"/>
            </w:tcBorders>
            <w:gridSpan w:val="8"/>
          </w:tcPr>
          <w:p>
            <w:pPr>
              <w:spacing w:after="0" w:line="185" w:lineRule="exact"/>
              <w:rPr>
                <w:rFonts w:ascii="Arial" w:cs="Arial" w:eastAsia="Arial" w:hAnsi="Arial"/>
                <w:sz w:val="17"/>
                <w:szCs w:val="17"/>
                <w:color w:val="0000EE"/>
                <w:w w:val="90"/>
              </w:rPr>
            </w:pPr>
            <w:hyperlink w:anchor="page67">
              <w:r>
                <w:rPr>
                  <w:rFonts w:ascii="Arial" w:cs="Arial" w:eastAsia="Arial" w:hAnsi="Arial"/>
                  <w:sz w:val="17"/>
                  <w:szCs w:val="17"/>
                  <w:color w:val="0000EE"/>
                  <w:w w:val="90"/>
                </w:rPr>
                <w:t>Report of Independent Registered Public Accounting Firm</w:t>
              </w:r>
            </w:hyperlink>
          </w:p>
        </w:tc>
        <w:tc>
          <w:tcPr>
            <w:tcW w:w="6440" w:type="dxa"/>
            <w:vAlign w:val="bottom"/>
            <w:gridSpan w:val="3"/>
          </w:tcPr>
          <w:p>
            <w:pPr>
              <w:spacing w:after="0"/>
              <w:rPr>
                <w:sz w:val="16"/>
                <w:szCs w:val="16"/>
                <w:color w:val="auto"/>
              </w:rPr>
            </w:pPr>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F-3</w:t>
            </w:r>
          </w:p>
        </w:tc>
      </w:tr>
      <w:tr>
        <w:trPr>
          <w:trHeight w:val="186"/>
        </w:trPr>
        <w:tc>
          <w:tcPr>
            <w:tcW w:w="3920" w:type="dxa"/>
            <w:vAlign w:val="bottom"/>
            <w:tcBorders>
              <w:bottom w:val="single" w:sz="8" w:color="0000EE"/>
            </w:tcBorders>
            <w:gridSpan w:val="7"/>
          </w:tcPr>
          <w:p>
            <w:pPr>
              <w:spacing w:after="0" w:line="185" w:lineRule="exact"/>
              <w:rPr>
                <w:rFonts w:ascii="Arial" w:cs="Arial" w:eastAsia="Arial" w:hAnsi="Arial"/>
                <w:sz w:val="17"/>
                <w:szCs w:val="17"/>
                <w:color w:val="0000EE"/>
                <w:w w:val="89"/>
              </w:rPr>
            </w:pPr>
            <w:hyperlink w:anchor="page68">
              <w:r>
                <w:rPr>
                  <w:rFonts w:ascii="Arial" w:cs="Arial" w:eastAsia="Arial" w:hAnsi="Arial"/>
                  <w:sz w:val="17"/>
                  <w:szCs w:val="17"/>
                  <w:color w:val="0000EE"/>
                  <w:w w:val="89"/>
                </w:rPr>
                <w:t>Report of Independent Registered Public Accounting Firm</w:t>
              </w:r>
            </w:hyperlink>
          </w:p>
        </w:tc>
        <w:tc>
          <w:tcPr>
            <w:tcW w:w="6460" w:type="dxa"/>
            <w:vAlign w:val="bottom"/>
            <w:gridSpan w:val="4"/>
          </w:tcPr>
          <w:p>
            <w:pPr>
              <w:spacing w:after="0"/>
              <w:rPr>
                <w:sz w:val="16"/>
                <w:szCs w:val="16"/>
                <w:color w:val="auto"/>
              </w:rPr>
            </w:pPr>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F-4</w:t>
            </w:r>
          </w:p>
        </w:tc>
      </w:tr>
      <w:tr>
        <w:trPr>
          <w:trHeight w:val="186"/>
        </w:trPr>
        <w:tc>
          <w:tcPr>
            <w:tcW w:w="10380" w:type="dxa"/>
            <w:vAlign w:val="bottom"/>
            <w:gridSpan w:val="11"/>
          </w:tcPr>
          <w:p>
            <w:pPr>
              <w:spacing w:after="0" w:line="185" w:lineRule="exact"/>
              <w:rPr>
                <w:rFonts w:ascii="Arial" w:cs="Arial" w:eastAsia="Arial" w:hAnsi="Arial"/>
                <w:sz w:val="17"/>
                <w:szCs w:val="17"/>
                <w:color w:val="0000EE"/>
              </w:rPr>
            </w:pPr>
            <w:hyperlink w:anchor="page69">
              <w:r>
                <w:rPr>
                  <w:rFonts w:ascii="Arial" w:cs="Arial" w:eastAsia="Arial" w:hAnsi="Arial"/>
                  <w:sz w:val="17"/>
                  <w:szCs w:val="17"/>
                  <w:color w:val="0000EE"/>
                </w:rPr>
                <w:t>Consolidated Balance Sheets</w:t>
              </w:r>
            </w:hyperlink>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F-5</w:t>
            </w:r>
          </w:p>
        </w:tc>
      </w:tr>
      <w:tr>
        <w:trPr>
          <w:trHeight w:val="20"/>
        </w:trPr>
        <w:tc>
          <w:tcPr>
            <w:tcW w:w="19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86"/>
        </w:trPr>
        <w:tc>
          <w:tcPr>
            <w:tcW w:w="2620" w:type="dxa"/>
            <w:vAlign w:val="bottom"/>
            <w:tcBorders>
              <w:bottom w:val="single" w:sz="8" w:color="0000EE"/>
            </w:tcBorders>
            <w:gridSpan w:val="2"/>
          </w:tcPr>
          <w:p>
            <w:pPr>
              <w:spacing w:after="0" w:line="185" w:lineRule="exact"/>
              <w:rPr>
                <w:rFonts w:ascii="Arial" w:cs="Arial" w:eastAsia="Arial" w:hAnsi="Arial"/>
                <w:sz w:val="17"/>
                <w:szCs w:val="17"/>
                <w:color w:val="0000EE"/>
                <w:w w:val="87"/>
              </w:rPr>
            </w:pPr>
            <w:hyperlink w:anchor="page70">
              <w:r>
                <w:rPr>
                  <w:rFonts w:ascii="Arial" w:cs="Arial" w:eastAsia="Arial" w:hAnsi="Arial"/>
                  <w:sz w:val="17"/>
                  <w:szCs w:val="17"/>
                  <w:color w:val="0000EE"/>
                  <w:w w:val="87"/>
                </w:rPr>
                <w:t>Consolidated Statements of Operations</w:t>
              </w:r>
            </w:hyperlink>
          </w:p>
        </w:tc>
        <w:tc>
          <w:tcPr>
            <w:tcW w:w="7760" w:type="dxa"/>
            <w:vAlign w:val="bottom"/>
            <w:gridSpan w:val="9"/>
          </w:tcPr>
          <w:p>
            <w:pPr>
              <w:spacing w:after="0"/>
              <w:rPr>
                <w:sz w:val="16"/>
                <w:szCs w:val="16"/>
                <w:color w:val="auto"/>
              </w:rPr>
            </w:pPr>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F-6</w:t>
            </w:r>
          </w:p>
        </w:tc>
      </w:tr>
      <w:tr>
        <w:trPr>
          <w:trHeight w:val="186"/>
        </w:trPr>
        <w:tc>
          <w:tcPr>
            <w:tcW w:w="3240" w:type="dxa"/>
            <w:vAlign w:val="bottom"/>
            <w:tcBorders>
              <w:bottom w:val="single" w:sz="8" w:color="0000EE"/>
            </w:tcBorders>
            <w:gridSpan w:val="6"/>
          </w:tcPr>
          <w:p>
            <w:pPr>
              <w:spacing w:after="0" w:line="185" w:lineRule="exact"/>
              <w:rPr>
                <w:rFonts w:ascii="Arial" w:cs="Arial" w:eastAsia="Arial" w:hAnsi="Arial"/>
                <w:sz w:val="17"/>
                <w:szCs w:val="17"/>
                <w:color w:val="0000EE"/>
                <w:w w:val="88"/>
              </w:rPr>
            </w:pPr>
            <w:hyperlink w:anchor="page71">
              <w:r>
                <w:rPr>
                  <w:rFonts w:ascii="Arial" w:cs="Arial" w:eastAsia="Arial" w:hAnsi="Arial"/>
                  <w:sz w:val="17"/>
                  <w:szCs w:val="17"/>
                  <w:color w:val="0000EE"/>
                  <w:w w:val="88"/>
                </w:rPr>
                <w:t>Consolidated Statement of Shareholders’ Equity</w:t>
              </w:r>
            </w:hyperlink>
          </w:p>
        </w:tc>
        <w:tc>
          <w:tcPr>
            <w:tcW w:w="7140" w:type="dxa"/>
            <w:vAlign w:val="bottom"/>
            <w:gridSpan w:val="5"/>
          </w:tcPr>
          <w:p>
            <w:pPr>
              <w:spacing w:after="0"/>
              <w:rPr>
                <w:sz w:val="16"/>
                <w:szCs w:val="16"/>
                <w:color w:val="auto"/>
              </w:rPr>
            </w:pPr>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F-7</w:t>
            </w:r>
          </w:p>
        </w:tc>
      </w:tr>
      <w:tr>
        <w:trPr>
          <w:trHeight w:val="186"/>
        </w:trPr>
        <w:tc>
          <w:tcPr>
            <w:tcW w:w="10380" w:type="dxa"/>
            <w:vAlign w:val="bottom"/>
            <w:gridSpan w:val="11"/>
          </w:tcPr>
          <w:p>
            <w:pPr>
              <w:spacing w:after="0" w:line="185" w:lineRule="exact"/>
              <w:rPr>
                <w:rFonts w:ascii="Arial" w:cs="Arial" w:eastAsia="Arial" w:hAnsi="Arial"/>
                <w:sz w:val="17"/>
                <w:szCs w:val="17"/>
                <w:color w:val="0000EE"/>
              </w:rPr>
            </w:pPr>
            <w:hyperlink w:anchor="page72">
              <w:r>
                <w:rPr>
                  <w:rFonts w:ascii="Arial" w:cs="Arial" w:eastAsia="Arial" w:hAnsi="Arial"/>
                  <w:sz w:val="17"/>
                  <w:szCs w:val="17"/>
                  <w:color w:val="0000EE"/>
                </w:rPr>
                <w:t>Consolidated Statements of Cash Flows</w:t>
              </w:r>
            </w:hyperlink>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F-8</w:t>
            </w:r>
          </w:p>
        </w:tc>
      </w:tr>
      <w:tr>
        <w:trPr>
          <w:trHeight w:val="20"/>
        </w:trPr>
        <w:tc>
          <w:tcPr>
            <w:tcW w:w="26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86"/>
        </w:trPr>
        <w:tc>
          <w:tcPr>
            <w:tcW w:w="10380" w:type="dxa"/>
            <w:vAlign w:val="bottom"/>
            <w:gridSpan w:val="11"/>
          </w:tcPr>
          <w:p>
            <w:pPr>
              <w:spacing w:after="0" w:line="185" w:lineRule="exact"/>
              <w:rPr>
                <w:rFonts w:ascii="Arial" w:cs="Arial" w:eastAsia="Arial" w:hAnsi="Arial"/>
                <w:sz w:val="17"/>
                <w:szCs w:val="17"/>
                <w:color w:val="0000EE"/>
              </w:rPr>
            </w:pPr>
            <w:hyperlink w:anchor="page73">
              <w:r>
                <w:rPr>
                  <w:rFonts w:ascii="Arial" w:cs="Arial" w:eastAsia="Arial" w:hAnsi="Arial"/>
                  <w:sz w:val="17"/>
                  <w:szCs w:val="17"/>
                  <w:color w:val="0000EE"/>
                </w:rPr>
                <w:t>Notes to Consolidated Financial Statements</w:t>
              </w:r>
            </w:hyperlink>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F-9-F-33</w:t>
            </w:r>
          </w:p>
        </w:tc>
      </w:tr>
      <w:tr>
        <w:trPr>
          <w:trHeight w:val="318"/>
        </w:trPr>
        <w:tc>
          <w:tcPr>
            <w:tcW w:w="2920" w:type="dxa"/>
            <w:vAlign w:val="bottom"/>
            <w:tcBorders>
              <w:top w:val="single" w:sz="8" w:color="0000EE"/>
            </w:tcBorders>
            <w:gridSpan w:val="4"/>
          </w:tcPr>
          <w:p>
            <w:pPr>
              <w:spacing w:after="0"/>
              <w:rPr>
                <w:sz w:val="20"/>
                <w:szCs w:val="20"/>
                <w:color w:val="auto"/>
              </w:rPr>
            </w:pPr>
            <w:r>
              <w:rPr>
                <w:rFonts w:ascii="Arial" w:cs="Arial" w:eastAsia="Arial" w:hAnsi="Arial"/>
                <w:sz w:val="17"/>
                <w:szCs w:val="17"/>
                <w:i w:val="1"/>
                <w:iCs w:val="1"/>
                <w:color w:val="auto"/>
              </w:rPr>
              <w:t>Financial Statement Schedules</w:t>
            </w:r>
          </w:p>
        </w:tc>
        <w:tc>
          <w:tcPr>
            <w:tcW w:w="746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740" w:type="dxa"/>
            <w:vAlign w:val="bottom"/>
            <w:tcBorders>
              <w:bottom w:val="single" w:sz="8" w:color="0000EE"/>
            </w:tcBorders>
            <w:gridSpan w:val="9"/>
          </w:tcPr>
          <w:p>
            <w:pPr>
              <w:spacing w:after="0" w:line="176" w:lineRule="exact"/>
              <w:rPr>
                <w:rFonts w:ascii="Arial" w:cs="Arial" w:eastAsia="Arial" w:hAnsi="Arial"/>
                <w:sz w:val="17"/>
                <w:szCs w:val="17"/>
                <w:color w:val="0000EE"/>
                <w:w w:val="89"/>
              </w:rPr>
            </w:pPr>
            <w:hyperlink w:anchor="page98">
              <w:r>
                <w:rPr>
                  <w:rFonts w:ascii="Arial" w:cs="Arial" w:eastAsia="Arial" w:hAnsi="Arial"/>
                  <w:sz w:val="17"/>
                  <w:szCs w:val="17"/>
                  <w:color w:val="0000EE"/>
                  <w:w w:val="89"/>
                </w:rPr>
                <w:t>Schedule III—Summary of Real Estate and Accumulated Depreciation</w:t>
              </w:r>
            </w:hyperlink>
          </w:p>
        </w:tc>
        <w:tc>
          <w:tcPr>
            <w:tcW w:w="5640" w:type="dxa"/>
            <w:vAlign w:val="bottom"/>
            <w:gridSpan w:val="2"/>
          </w:tcPr>
          <w:p>
            <w:pPr>
              <w:spacing w:after="0"/>
              <w:rPr>
                <w:sz w:val="15"/>
                <w:szCs w:val="15"/>
                <w:color w:val="auto"/>
              </w:rPr>
            </w:pP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F-34-F-39</w:t>
            </w:r>
          </w:p>
        </w:tc>
      </w:tr>
      <w:tr>
        <w:trPr>
          <w:trHeight w:val="186"/>
        </w:trPr>
        <w:tc>
          <w:tcPr>
            <w:tcW w:w="10380" w:type="dxa"/>
            <w:vAlign w:val="bottom"/>
            <w:gridSpan w:val="11"/>
          </w:tcPr>
          <w:p>
            <w:pPr>
              <w:spacing w:after="0" w:line="185" w:lineRule="exact"/>
              <w:rPr>
                <w:rFonts w:ascii="Arial" w:cs="Arial" w:eastAsia="Arial" w:hAnsi="Arial"/>
                <w:sz w:val="17"/>
                <w:szCs w:val="17"/>
                <w:color w:val="0000EE"/>
              </w:rPr>
            </w:pPr>
            <w:hyperlink w:anchor="page104">
              <w:r>
                <w:rPr>
                  <w:rFonts w:ascii="Arial" w:cs="Arial" w:eastAsia="Arial" w:hAnsi="Arial"/>
                  <w:sz w:val="17"/>
                  <w:szCs w:val="17"/>
                  <w:color w:val="0000EE"/>
                </w:rPr>
                <w:t>Schedule IV—Mortgage Loans on Real Estate</w:t>
              </w:r>
            </w:hyperlink>
          </w:p>
        </w:tc>
        <w:tc>
          <w:tcPr>
            <w:tcW w:w="94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F-40-F-41</w:t>
            </w:r>
          </w:p>
        </w:tc>
      </w:tr>
      <w:tr>
        <w:trPr>
          <w:trHeight w:val="20"/>
        </w:trPr>
        <w:tc>
          <w:tcPr>
            <w:tcW w:w="19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All other schedules have been omitted either because the information is not applicable, not material, or is disclosed in our consolidated financial statements and related notes.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300"/>
          </w:cols>
          <w:pgMar w:left="240" w:top="445" w:right="3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Assessment Report on Internal Control over Financial Reporting</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58" w:lineRule="exact"/>
        <w:rPr>
          <w:sz w:val="20"/>
          <w:szCs w:val="20"/>
          <w:color w:val="auto"/>
        </w:rPr>
      </w:pPr>
    </w:p>
    <w:p>
      <w:pPr>
        <w:ind w:left="780" w:hanging="328"/>
        <w:spacing w:after="0"/>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87" w:lineRule="exact"/>
        <w:rPr>
          <w:rFonts w:ascii="Arial" w:cs="Arial" w:eastAsia="Arial" w:hAnsi="Arial"/>
          <w:sz w:val="17"/>
          <w:szCs w:val="17"/>
          <w:color w:val="auto"/>
        </w:rPr>
      </w:pPr>
    </w:p>
    <w:p>
      <w:pPr>
        <w:ind w:left="780" w:right="220" w:hanging="328"/>
        <w:spacing w:after="0" w:line="363" w:lineRule="auto"/>
        <w:tabs>
          <w:tab w:leader="none" w:pos="7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1" w:lineRule="exact"/>
        <w:rPr>
          <w:rFonts w:ascii="Arial" w:cs="Arial" w:eastAsia="Arial" w:hAnsi="Arial"/>
          <w:sz w:val="14"/>
          <w:szCs w:val="14"/>
          <w:color w:val="auto"/>
        </w:rPr>
      </w:pPr>
    </w:p>
    <w:p>
      <w:pPr>
        <w:ind w:left="780" w:right="20" w:hanging="328"/>
        <w:spacing w:after="0" w:line="273"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09"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 xml:space="preserve">Management conducted an assessment of the effectiveness of the Trust’s internal control over financial reporting as of December 31, 2010. In making this assessment, it used the criteria set forth by the Committee of Sponsoring Organizations of the Treadway Commission (COSO)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Based on this assessment, management concluded that our internal control over financial reporting is effective, based on those criteria, as of December 31, 2010.</w:t>
      </w:r>
    </w:p>
    <w:p>
      <w:pPr>
        <w:spacing w:after="0" w:line="94" w:lineRule="exact"/>
        <w:rPr>
          <w:sz w:val="20"/>
          <w:szCs w:val="20"/>
          <w:color w:val="auto"/>
        </w:rPr>
      </w:pPr>
    </w:p>
    <w:p>
      <w:pPr>
        <w:ind w:right="100"/>
        <w:spacing w:after="0" w:line="342" w:lineRule="auto"/>
        <w:rPr>
          <w:sz w:val="20"/>
          <w:szCs w:val="20"/>
          <w:color w:val="auto"/>
        </w:rPr>
      </w:pPr>
      <w:r>
        <w:rPr>
          <w:rFonts w:ascii="Arial" w:cs="Arial" w:eastAsia="Arial" w:hAnsi="Arial"/>
          <w:sz w:val="15"/>
          <w:szCs w:val="15"/>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20"/>
          </w:cols>
          <w:pgMar w:left="240" w:top="445"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87"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 xml:space="preserve">We have audited Federal Realty Investment Trust (a Maryland real estate investment trust) and subsidiaries’ (collectively, the Trust) internal control over financial reporting as of December 31, 2010,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our opinion, Federal Realty Investment Trust and subsidiaries maintained, in all material respects, effective internal control over financial reporting as of December 31, 2010,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21" w:lineRule="exact"/>
        <w:rPr>
          <w:sz w:val="20"/>
          <w:szCs w:val="20"/>
          <w:color w:val="auto"/>
        </w:rPr>
      </w:pPr>
    </w:p>
    <w:p>
      <w:pPr>
        <w:jc w:val="both"/>
        <w:ind w:right="160"/>
        <w:spacing w:after="0" w:line="31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Federal Realty Investment Trust and subsidiaries as of December 31, 2010 and 2009, and the related consolidated statements of operations, shareholders’ equity, and cash flows for each of the three years in the period ended December 31, 2010 and our report dated February 15, 2011 expressed an unqualified opinion.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80"/>
          </w:cols>
          <w:pgMar w:left="240" w:top="445" w:right="2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Trustees and Shareholders of Federal Realty Investment Trust</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have audited the accompanying consolidated balance sheets of Federal Realty Investment Trust (a Maryland real estate investment trust) and subsidiaries (collectively, the Trust) as of December 31, 2010 and 2009, and the related consolidated statements of operations, shareholders’ equity, and cash flows for each of the three years in the period ended December 31, 2010. Our audits of the basic financial statements included the financial statement schedules listed in the index appearing under Item 15(a)</w:t>
      </w:r>
    </w:p>
    <w:p>
      <w:pPr>
        <w:spacing w:after="0" w:line="1" w:lineRule="exact"/>
        <w:rPr>
          <w:sz w:val="20"/>
          <w:szCs w:val="20"/>
          <w:color w:val="auto"/>
        </w:rPr>
      </w:pPr>
    </w:p>
    <w:p>
      <w:pPr>
        <w:ind w:right="160" w:firstLine="3"/>
        <w:spacing w:after="0" w:line="264" w:lineRule="auto"/>
        <w:tabs>
          <w:tab w:leader="none" w:pos="237"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28"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3"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Trust as of December 31, 2010 and 2009, and the results of its operations and its cash flows for each of the three years in the period ended December 31, 2010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15, 2011 expressed an unqualified opinion.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00"/>
          </w:cols>
          <w:pgMar w:left="240" w:top="445"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6"/>
          </w:tcPr>
          <w:p>
            <w:pPr>
              <w:jc w:val="right"/>
              <w:ind w:right="7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4"/>
        </w:trPr>
        <w:tc>
          <w:tcPr>
            <w:tcW w:w="9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98"/>
              <w:spacing w:after="0" w:line="134" w:lineRule="exact"/>
              <w:rPr>
                <w:sz w:val="20"/>
                <w:szCs w:val="20"/>
                <w:color w:val="auto"/>
              </w:rPr>
            </w:pPr>
            <w:r>
              <w:rPr>
                <w:rFonts w:ascii="Arial" w:cs="Arial" w:eastAsia="Arial" w:hAnsi="Arial"/>
                <w:sz w:val="13"/>
                <w:szCs w:val="13"/>
                <w:b w:val="1"/>
                <w:bCs w:val="1"/>
                <w:color w:val="auto"/>
              </w:rPr>
              <w:t>2010</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w w:val="70"/>
              </w:rPr>
              <w:t>thousands)</w:t>
            </w:r>
          </w:p>
        </w:tc>
        <w:tc>
          <w:tcPr>
            <w:tcW w:w="7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tcPr>
          <w:p>
            <w:pPr>
              <w:spacing w:after="0"/>
              <w:rPr>
                <w:sz w:val="20"/>
                <w:szCs w:val="20"/>
                <w:color w:val="auto"/>
              </w:rPr>
            </w:pPr>
            <w:r>
              <w:rPr>
                <w:rFonts w:ascii="Arial" w:cs="Arial" w:eastAsia="Arial" w:hAnsi="Arial"/>
                <w:sz w:val="17"/>
                <w:szCs w:val="17"/>
                <w:color w:val="auto"/>
              </w:rPr>
              <w:t>Real estate, at cost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Operating (including $97,157 and $68,643 of consolidated variable interest entities,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w w:val="95"/>
              </w:rPr>
              <w:t>3,726,223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3,619,562</w:t>
            </w: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Construction-in-progress</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163,200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132,758</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Assets held for sale (discontinued operations)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6,519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6,914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3,895,942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3,759,234</w:t>
            </w:r>
          </w:p>
        </w:tc>
        <w:tc>
          <w:tcPr>
            <w:tcW w:w="0" w:type="dxa"/>
            <w:vAlign w:val="bottom"/>
          </w:tcPr>
          <w:p>
            <w:pPr>
              <w:spacing w:after="0"/>
              <w:rPr>
                <w:sz w:val="1"/>
                <w:szCs w:val="1"/>
                <w:color w:val="auto"/>
              </w:rPr>
            </w:pPr>
          </w:p>
        </w:tc>
      </w:tr>
      <w:tr>
        <w:trPr>
          <w:trHeight w:val="198"/>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Less accumulated depreciation and amortization (including $4,431 and $3,053 of consolidated variable interest entities,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w w:val="89"/>
              </w:rPr>
              <w:t>(1,035,204)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(938,087)</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Net real estate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2,860,738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2,821,147</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15,797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135,389</w:t>
            </w:r>
          </w:p>
        </w:tc>
        <w:tc>
          <w:tcPr>
            <w:tcW w:w="0" w:type="dxa"/>
            <w:vAlign w:val="bottom"/>
          </w:tcPr>
          <w:p>
            <w:pPr>
              <w:spacing w:after="0"/>
              <w:rPr>
                <w:sz w:val="1"/>
                <w:szCs w:val="1"/>
                <w:color w:val="auto"/>
              </w:rPr>
            </w:pPr>
          </w:p>
        </w:tc>
      </w:tr>
      <w:tr>
        <w:trPr>
          <w:trHeight w:val="206"/>
        </w:trPr>
        <w:tc>
          <w:tcPr>
            <w:tcW w:w="9240" w:type="dxa"/>
            <w:vAlign w:val="bottom"/>
          </w:tcPr>
          <w:p>
            <w:pPr>
              <w:spacing w:after="0"/>
              <w:rPr>
                <w:sz w:val="20"/>
                <w:szCs w:val="20"/>
                <w:color w:val="auto"/>
              </w:rPr>
            </w:pPr>
            <w:r>
              <w:rPr>
                <w:rFonts w:ascii="Arial" w:cs="Arial" w:eastAsia="Arial" w:hAnsi="Arial"/>
                <w:sz w:val="17"/>
                <w:szCs w:val="17"/>
                <w:color w:val="auto"/>
              </w:rPr>
              <w:t>Accounts and notes receivable, net</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68,997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72,191</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Mortgage notes receivable, net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44,813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48,336</w:t>
            </w:r>
          </w:p>
        </w:tc>
        <w:tc>
          <w:tcPr>
            <w:tcW w:w="0" w:type="dxa"/>
            <w:vAlign w:val="bottom"/>
          </w:tcPr>
          <w:p>
            <w:pPr>
              <w:spacing w:after="0"/>
              <w:rPr>
                <w:sz w:val="1"/>
                <w:szCs w:val="1"/>
                <w:color w:val="auto"/>
              </w:rPr>
            </w:pPr>
          </w:p>
        </w:tc>
      </w:tr>
      <w:tr>
        <w:trPr>
          <w:trHeight w:val="206"/>
        </w:trPr>
        <w:tc>
          <w:tcPr>
            <w:tcW w:w="9240" w:type="dxa"/>
            <w:vAlign w:val="bottom"/>
          </w:tcPr>
          <w:p>
            <w:pPr>
              <w:spacing w:after="0"/>
              <w:rPr>
                <w:sz w:val="20"/>
                <w:szCs w:val="20"/>
                <w:color w:val="auto"/>
              </w:rPr>
            </w:pPr>
            <w:r>
              <w:rPr>
                <w:rFonts w:ascii="Arial" w:cs="Arial" w:eastAsia="Arial" w:hAnsi="Arial"/>
                <w:sz w:val="17"/>
                <w:szCs w:val="17"/>
                <w:color w:val="auto"/>
              </w:rPr>
              <w:t>Investment in real estate partnerships</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51,606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35,633</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110,686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99,265</w:t>
            </w:r>
          </w:p>
        </w:tc>
        <w:tc>
          <w:tcPr>
            <w:tcW w:w="0" w:type="dxa"/>
            <w:vAlign w:val="bottom"/>
          </w:tcPr>
          <w:p>
            <w:pPr>
              <w:spacing w:after="0"/>
              <w:rPr>
                <w:sz w:val="1"/>
                <w:szCs w:val="1"/>
                <w:color w:val="auto"/>
              </w:rPr>
            </w:pPr>
          </w:p>
        </w:tc>
      </w:tr>
      <w:tr>
        <w:trPr>
          <w:trHeight w:val="206"/>
        </w:trPr>
        <w:tc>
          <w:tcPr>
            <w:tcW w:w="9240" w:type="dxa"/>
            <w:vAlign w:val="bottom"/>
          </w:tcPr>
          <w:p>
            <w:pPr>
              <w:spacing w:after="0"/>
              <w:rPr>
                <w:sz w:val="20"/>
                <w:szCs w:val="20"/>
                <w:color w:val="auto"/>
              </w:rPr>
            </w:pPr>
            <w:r>
              <w:rPr>
                <w:rFonts w:ascii="Arial" w:cs="Arial" w:eastAsia="Arial" w:hAnsi="Arial"/>
                <w:sz w:val="17"/>
                <w:szCs w:val="17"/>
                <w:color w:val="auto"/>
              </w:rPr>
              <w:t>Debt issuance costs, net of accumulated amortization of $9,075 and $8,291, respectively</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6,916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w w:val="95"/>
              </w:rPr>
              <w:t>3,159,553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3,222,309</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Mortgages payable (including $22,785 and $23,417 of consolidated variable interest entities,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529,501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539,609</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lease obligations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59,940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62,275</w:t>
            </w: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Notes payable</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97,881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261,745</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Senior notes and debentures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w w:val="95"/>
              </w:rPr>
              <w:t>1,079,827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930,219</w:t>
            </w: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102,574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109,061</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Dividends payable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41,601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40,800</w:t>
            </w: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Security deposits payable</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11,751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11,710</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liabilities and deferred credits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55,348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57,827</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1,978,423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2,013,246</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tcPr>
          <w:p>
            <w:pPr>
              <w:spacing w:after="0"/>
              <w:rPr>
                <w:sz w:val="20"/>
                <w:szCs w:val="20"/>
                <w:color w:val="auto"/>
              </w:rPr>
            </w:pPr>
            <w:r>
              <w:rPr>
                <w:rFonts w:ascii="Arial" w:cs="Arial" w:eastAsia="Arial" w:hAnsi="Arial"/>
                <w:sz w:val="17"/>
                <w:szCs w:val="17"/>
                <w:color w:val="auto"/>
              </w:rPr>
              <w:t>Shareholders’ equity</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Preferred shares, authorized 15,000,000 shares, $.01 par:</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240" w:type="dxa"/>
            <w:vAlign w:val="bottom"/>
          </w:tcPr>
          <w:p>
            <w:pPr>
              <w:ind w:left="420"/>
              <w:spacing w:after="0"/>
              <w:rPr>
                <w:sz w:val="20"/>
                <w:szCs w:val="20"/>
                <w:color w:val="auto"/>
              </w:rPr>
            </w:pPr>
            <w:r>
              <w:rPr>
                <w:rFonts w:ascii="Arial" w:cs="Arial" w:eastAsia="Arial" w:hAnsi="Arial"/>
                <w:sz w:val="17"/>
                <w:szCs w:val="17"/>
                <w:color w:val="auto"/>
                <w:w w:val="94"/>
              </w:rPr>
              <w:t>5.417% Series 1 Cumulative Convertible Preferred Shares, (stated at liquidation preference $25 per share), 399,896 shares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ind w:left="620"/>
              <w:spacing w:after="0"/>
              <w:rPr>
                <w:sz w:val="20"/>
                <w:szCs w:val="20"/>
                <w:color w:val="auto"/>
              </w:rPr>
            </w:pPr>
            <w:r>
              <w:rPr>
                <w:rFonts w:ascii="Arial" w:cs="Arial" w:eastAsia="Arial" w:hAnsi="Arial"/>
                <w:sz w:val="17"/>
                <w:szCs w:val="17"/>
                <w:color w:val="auto"/>
              </w:rPr>
              <w:t>issued and outstanding</w:t>
            </w: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rPr>
              <w:t>9,997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9,997</w:t>
            </w:r>
          </w:p>
        </w:tc>
        <w:tc>
          <w:tcPr>
            <w:tcW w:w="0" w:type="dxa"/>
            <w:vAlign w:val="bottom"/>
          </w:tcPr>
          <w:p>
            <w:pPr>
              <w:spacing w:after="0"/>
              <w:rPr>
                <w:sz w:val="1"/>
                <w:szCs w:val="1"/>
                <w:color w:val="auto"/>
              </w:rPr>
            </w:pPr>
          </w:p>
        </w:tc>
      </w:tr>
      <w:tr>
        <w:trPr>
          <w:trHeight w:val="198"/>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7"/>
              </w:rPr>
              <w:t>Common shares of beneficial interest, $.01 par, 100,000,000 shares authorized, 61,526,418 and 61,242,050 issued and</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outstanding, respectively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615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612</w:t>
            </w:r>
          </w:p>
        </w:tc>
        <w:tc>
          <w:tcPr>
            <w:tcW w:w="0" w:type="dxa"/>
            <w:vAlign w:val="bottom"/>
          </w:tcPr>
          <w:p>
            <w:pPr>
              <w:spacing w:after="0"/>
              <w:rPr>
                <w:sz w:val="1"/>
                <w:szCs w:val="1"/>
                <w:color w:val="auto"/>
              </w:rPr>
            </w:pPr>
          </w:p>
        </w:tc>
      </w:tr>
      <w:tr>
        <w:trPr>
          <w:trHeight w:val="206"/>
        </w:trPr>
        <w:tc>
          <w:tcPr>
            <w:tcW w:w="9240" w:type="dxa"/>
            <w:vAlign w:val="bottom"/>
          </w:tcPr>
          <w:p>
            <w:pPr>
              <w:ind w:left="420"/>
              <w:spacing w:after="0"/>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7"/>
                <w:szCs w:val="17"/>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1,666,803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1,653,177</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Accumulated dividends in excess of net income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(527,582)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(486,449)</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shareholders’ equity of the Trust</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1,149,833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1,177,337</w:t>
            </w: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rPr>
              <w:t>31,297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31,726</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7"/>
                <w:szCs w:val="17"/>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6"/>
              <w:spacing w:after="0"/>
              <w:rPr>
                <w:sz w:val="20"/>
                <w:szCs w:val="20"/>
                <w:color w:val="auto"/>
              </w:rPr>
            </w:pPr>
            <w:r>
              <w:rPr>
                <w:rFonts w:ascii="Arial" w:cs="Arial" w:eastAsia="Arial" w:hAnsi="Arial"/>
                <w:sz w:val="17"/>
                <w:szCs w:val="17"/>
                <w:color w:val="auto"/>
                <w:w w:val="95"/>
              </w:rPr>
              <w:t>1,181,130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1,209,063</w:t>
            </w:r>
          </w:p>
        </w:tc>
        <w:tc>
          <w:tcPr>
            <w:tcW w:w="0" w:type="dxa"/>
            <w:vAlign w:val="bottom"/>
          </w:tcPr>
          <w:p>
            <w:pPr>
              <w:spacing w:after="0"/>
              <w:rPr>
                <w:sz w:val="1"/>
                <w:szCs w:val="1"/>
                <w:color w:val="auto"/>
              </w:rPr>
            </w:pPr>
          </w:p>
        </w:tc>
      </w:tr>
      <w:tr>
        <w:trPr>
          <w:trHeight w:val="26"/>
        </w:trPr>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92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color w:val="auto"/>
                <w:w w:val="95"/>
              </w:rPr>
              <w:t>3,159,553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3,222,309</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center"/>
              <w:ind w:right="76"/>
              <w:spacing w:after="0"/>
              <w:rPr>
                <w:sz w:val="20"/>
                <w:szCs w:val="20"/>
                <w:color w:val="auto"/>
              </w:rPr>
            </w:pPr>
            <w:r>
              <w:rPr>
                <w:rFonts w:ascii="Arial" w:cs="Arial" w:eastAsia="Arial" w:hAnsi="Arial"/>
                <w:sz w:val="13"/>
                <w:szCs w:val="13"/>
                <w:b w:val="1"/>
                <w:bCs w:val="1"/>
                <w:color w:val="auto"/>
                <w:w w:val="88"/>
              </w:rPr>
              <w:t>Year Ended December 31,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74"/>
              </w:rPr>
              <w:t>thousands,</w:t>
            </w:r>
          </w:p>
        </w:tc>
        <w:tc>
          <w:tcPr>
            <w:tcW w:w="700" w:type="dxa"/>
            <w:vAlign w:val="bottom"/>
            <w:gridSpan w:val="2"/>
          </w:tcPr>
          <w:p>
            <w:pPr>
              <w:ind w:left="120"/>
              <w:spacing w:after="0" w:line="134" w:lineRule="exact"/>
              <w:rPr>
                <w:sz w:val="20"/>
                <w:szCs w:val="20"/>
                <w:color w:val="auto"/>
              </w:rPr>
            </w:pPr>
            <w:r>
              <w:rPr>
                <w:rFonts w:ascii="Arial" w:cs="Arial" w:eastAsia="Arial" w:hAnsi="Arial"/>
                <w:sz w:val="13"/>
                <w:szCs w:val="13"/>
                <w:b w:val="1"/>
                <w:bCs w:val="1"/>
                <w:color w:val="auto"/>
                <w:w w:val="86"/>
              </w:rPr>
              <w:t>except per</w:t>
            </w:r>
          </w:p>
        </w:tc>
        <w:tc>
          <w:tcPr>
            <w:tcW w:w="1180" w:type="dxa"/>
            <w:vAlign w:val="bottom"/>
            <w:gridSpan w:val="3"/>
          </w:tcPr>
          <w:p>
            <w:pPr>
              <w:jc w:val="right"/>
              <w:ind w:right="457"/>
              <w:spacing w:after="0" w:line="134" w:lineRule="exact"/>
              <w:rPr>
                <w:sz w:val="20"/>
                <w:szCs w:val="20"/>
                <w:color w:val="auto"/>
              </w:rPr>
            </w:pPr>
            <w:r>
              <w:rPr>
                <w:rFonts w:ascii="Arial" w:cs="Arial" w:eastAsia="Arial" w:hAnsi="Arial"/>
                <w:sz w:val="13"/>
                <w:szCs w:val="13"/>
                <w:b w:val="1"/>
                <w:bCs w:val="1"/>
                <w:color w:val="auto"/>
                <w:w w:val="89"/>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Rental income</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525,528</w:t>
            </w: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w w:val="94"/>
              </w:rPr>
              <w:t>512,725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501,055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property income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14,545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12,850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14,008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Mortgage interest income</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4,943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4,548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360" w:type="dxa"/>
            <w:vAlign w:val="bottom"/>
            <w:shd w:val="clear" w:color="auto" w:fill="CCEEFF"/>
          </w:tcPr>
          <w:p>
            <w:pPr>
              <w:ind w:left="820"/>
              <w:spacing w:after="0"/>
              <w:rPr>
                <w:sz w:val="20"/>
                <w:szCs w:val="20"/>
                <w:color w:val="auto"/>
              </w:rPr>
            </w:pPr>
            <w:r>
              <w:rPr>
                <w:rFonts w:ascii="Arial" w:cs="Arial" w:eastAsia="Arial" w:hAnsi="Arial"/>
                <w:sz w:val="17"/>
                <w:szCs w:val="17"/>
                <w:color w:val="auto"/>
              </w:rPr>
              <w:t>Total revenue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544,674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530,518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519,611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20"/>
                <w:szCs w:val="20"/>
                <w:color w:val="auto"/>
              </w:rPr>
            </w:pPr>
            <w:r>
              <w:rPr>
                <w:rFonts w:ascii="Arial" w:cs="Arial" w:eastAsia="Arial" w:hAnsi="Arial"/>
                <w:sz w:val="17"/>
                <w:szCs w:val="17"/>
                <w:color w:val="auto"/>
              </w:rPr>
              <w:t>EXPENSES</w:t>
            </w:r>
          </w:p>
        </w:tc>
        <w:tc>
          <w:tcPr>
            <w:tcW w:w="1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Rental expenses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w w:val="94"/>
              </w:rPr>
              <w:t>111,034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108,627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109,463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Real estate taxes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59,108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58,109</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55,417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22,032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26,732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Litigation provision</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16,355</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7"/>
                <w:szCs w:val="17"/>
                <w:color w:val="auto"/>
                <w:w w:val="94"/>
              </w:rPr>
              <w:t>119,539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114,812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110,748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20"/>
              <w:spacing w:after="0"/>
              <w:rPr>
                <w:sz w:val="20"/>
                <w:szCs w:val="20"/>
                <w:color w:val="auto"/>
              </w:rPr>
            </w:pPr>
            <w:r>
              <w:rPr>
                <w:rFonts w:ascii="Arial" w:cs="Arial" w:eastAsia="Arial" w:hAnsi="Arial"/>
                <w:sz w:val="17"/>
                <w:szCs w:val="17"/>
                <w:color w:val="auto"/>
              </w:rPr>
              <w:t>Total operating expenses</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314,200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w w:val="94"/>
              </w:rPr>
              <w:t>319,935</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302,360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230,474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210,583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217,251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Other interest income</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1,894</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expense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7"/>
              </w:rPr>
              <w:t>(101,882)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16"/>
              <w:spacing w:after="0"/>
              <w:rPr>
                <w:sz w:val="20"/>
                <w:szCs w:val="20"/>
                <w:color w:val="auto"/>
              </w:rPr>
            </w:pPr>
            <w:r>
              <w:rPr>
                <w:rFonts w:ascii="Arial" w:cs="Arial" w:eastAsia="Arial" w:hAnsi="Arial"/>
                <w:sz w:val="17"/>
                <w:szCs w:val="17"/>
                <w:color w:val="auto"/>
                <w:w w:val="87"/>
              </w:rPr>
              <w:t>(108,781)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(99,163)</w:t>
            </w: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Early extinguishment of debt</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(2,801)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16"/>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Income from real estate partnerships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1,322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7"/>
                <w:szCs w:val="17"/>
                <w:color w:val="auto"/>
              </w:rPr>
              <w:t>INCOME FROM CONTINUING OPERATIONS</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127,107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w w:val="94"/>
              </w:rPr>
              <w:t>102,379</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120,616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Discontinued operations—(loss) income</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(280)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Discontinued operations—gain on sale of real estate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1,298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820"/>
              <w:spacing w:after="0"/>
              <w:rPr>
                <w:sz w:val="20"/>
                <w:szCs w:val="20"/>
                <w:color w:val="auto"/>
              </w:rPr>
            </w:pPr>
            <w:r>
              <w:rPr>
                <w:rFonts w:ascii="Arial" w:cs="Arial" w:eastAsia="Arial" w:hAnsi="Arial"/>
                <w:sz w:val="17"/>
                <w:szCs w:val="17"/>
                <w:color w:val="auto"/>
              </w:rPr>
              <w:t>Results from discontinued operations</w:t>
            </w: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1,493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GAIN ON SALE OF REAL ESTATE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127,827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103,872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135,153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420"/>
              <w:spacing w:after="0"/>
              <w:rPr>
                <w:sz w:val="20"/>
                <w:szCs w:val="20"/>
                <w:color w:val="auto"/>
              </w:rPr>
            </w:pPr>
            <w:r>
              <w:rPr>
                <w:rFonts w:ascii="Arial" w:cs="Arial" w:eastAsia="Arial" w:hAnsi="Arial"/>
                <w:sz w:val="17"/>
                <w:szCs w:val="17"/>
                <w:color w:val="auto"/>
              </w:rPr>
              <w:t>Gain on sale of real estate</w:t>
            </w:r>
          </w:p>
        </w:tc>
        <w:tc>
          <w:tcPr>
            <w:tcW w:w="18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128,237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w w:val="94"/>
              </w:rPr>
              <w:t>103,872</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135,153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Net income attributable to noncontrolling interests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16"/>
              <w:spacing w:after="0"/>
              <w:rPr>
                <w:sz w:val="20"/>
                <w:szCs w:val="20"/>
                <w:color w:val="auto"/>
              </w:rPr>
            </w:pPr>
            <w:r>
              <w:rPr>
                <w:rFonts w:ascii="Arial" w:cs="Arial" w:eastAsia="Arial" w:hAnsi="Arial"/>
                <w:sz w:val="17"/>
                <w:szCs w:val="17"/>
                <w:color w:val="auto"/>
              </w:rPr>
              <w:t>(5,568)</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122,790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98,304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129,787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Dividends on preferred shares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16"/>
              <w:spacing w:after="0"/>
              <w:rPr>
                <w:sz w:val="20"/>
                <w:szCs w:val="20"/>
                <w:color w:val="auto"/>
              </w:rPr>
            </w:pPr>
            <w:r>
              <w:rPr>
                <w:rFonts w:ascii="Arial" w:cs="Arial" w:eastAsia="Arial" w:hAnsi="Arial"/>
                <w:sz w:val="17"/>
                <w:szCs w:val="17"/>
                <w:color w:val="auto"/>
              </w:rPr>
              <w:t>(541)</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122,249</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97,763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129,246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7"/>
                <w:szCs w:val="17"/>
                <w:color w:val="auto"/>
              </w:rPr>
              <w:t>EARNINGS PER COMMON SHARE, BASIC</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Continuing operations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Discontinued operations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18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basic</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61,182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59,704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58,665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Continuing operations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420"/>
              <w:spacing w:after="0"/>
              <w:rPr>
                <w:sz w:val="20"/>
                <w:szCs w:val="20"/>
                <w:color w:val="auto"/>
              </w:rPr>
            </w:pPr>
            <w:r>
              <w:rPr>
                <w:rFonts w:ascii="Arial" w:cs="Arial" w:eastAsia="Arial" w:hAnsi="Arial"/>
                <w:sz w:val="17"/>
                <w:szCs w:val="17"/>
                <w:color w:val="auto"/>
              </w:rPr>
              <w:t>Discontinued operations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Gain on sale of real estate</w:t>
            </w:r>
          </w:p>
        </w:tc>
        <w:tc>
          <w:tcPr>
            <w:tcW w:w="18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36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76"/>
              <w:spacing w:after="0"/>
              <w:rPr>
                <w:sz w:val="20"/>
                <w:szCs w:val="20"/>
                <w:color w:val="auto"/>
              </w:rPr>
            </w:pPr>
            <w:r>
              <w:rPr>
                <w:rFonts w:ascii="Arial" w:cs="Arial" w:eastAsia="Arial" w:hAnsi="Arial"/>
                <w:sz w:val="17"/>
                <w:szCs w:val="17"/>
                <w:color w:val="auto"/>
              </w:rPr>
              <w:t>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Weighted average number of common shares, diluted</w:t>
            </w:r>
          </w:p>
        </w:tc>
        <w:tc>
          <w:tcPr>
            <w:tcW w:w="1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59,830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58,889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 OF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9"/>
          </w:tcPr>
          <w:p>
            <w:pPr>
              <w:ind w:left="360"/>
              <w:spacing w:after="0"/>
              <w:rPr>
                <w:sz w:val="20"/>
                <w:szCs w:val="20"/>
                <w:color w:val="auto"/>
              </w:rPr>
            </w:pPr>
            <w:r>
              <w:rPr>
                <w:rFonts w:ascii="Arial" w:cs="Arial" w:eastAsia="Arial" w:hAnsi="Arial"/>
                <w:sz w:val="13"/>
                <w:szCs w:val="13"/>
                <w:b w:val="1"/>
                <w:bCs w:val="1"/>
                <w:color w:val="auto"/>
                <w:w w:val="95"/>
              </w:rPr>
              <w:t>Shareholders’ Equity of the Trust</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36"/>
              <w:spacing w:after="0" w:line="121" w:lineRule="exact"/>
              <w:rPr>
                <w:sz w:val="20"/>
                <w:szCs w:val="20"/>
                <w:color w:val="auto"/>
              </w:rPr>
            </w:pPr>
            <w:r>
              <w:rPr>
                <w:rFonts w:ascii="Arial" w:cs="Arial" w:eastAsia="Arial" w:hAnsi="Arial"/>
                <w:sz w:val="13"/>
                <w:szCs w:val="13"/>
                <w:b w:val="1"/>
                <w:bCs w:val="1"/>
                <w:color w:val="auto"/>
                <w:w w:val="82"/>
              </w:rPr>
              <w:t>Notes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14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7"/>
              </w:rPr>
              <w:t>Preferred Shares</w:t>
            </w:r>
          </w:p>
        </w:tc>
        <w:tc>
          <w:tcPr>
            <w:tcW w:w="220" w:type="dxa"/>
            <w:vAlign w:val="bottom"/>
          </w:tcPr>
          <w:p>
            <w:pPr>
              <w:spacing w:after="0"/>
              <w:rPr>
                <w:sz w:val="12"/>
                <w:szCs w:val="12"/>
                <w:color w:val="auto"/>
              </w:rPr>
            </w:pPr>
          </w:p>
        </w:tc>
        <w:tc>
          <w:tcPr>
            <w:tcW w:w="110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w w:val="85"/>
              </w:rPr>
              <w:t>Common Shares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88"/>
              </w:rPr>
              <w:t>Accumulated</w:t>
            </w:r>
          </w:p>
        </w:tc>
        <w:tc>
          <w:tcPr>
            <w:tcW w:w="86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85"/>
              </w:rPr>
              <w:t>Receivable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140" w:type="dxa"/>
            <w:vAlign w:val="bottom"/>
            <w:tcBorders>
              <w:bottom w:val="single" w:sz="8" w:color="auto"/>
            </w:tcBorders>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bottom w:val="single" w:sz="8" w:color="auto"/>
            </w:tcBorders>
            <w:gridSpan w:val="4"/>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0"/>
              </w:rPr>
              <w:t>Dividends In</w:t>
            </w:r>
          </w:p>
        </w:tc>
        <w:tc>
          <w:tcPr>
            <w:tcW w:w="86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89"/>
              </w:rPr>
              <w:t>From the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176"/>
              <w:spacing w:after="0" w:line="121"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21" w:lineRule="exact"/>
              <w:rPr>
                <w:sz w:val="20"/>
                <w:szCs w:val="20"/>
                <w:color w:val="auto"/>
              </w:rPr>
            </w:pPr>
            <w:r>
              <w:rPr>
                <w:rFonts w:ascii="Arial" w:cs="Arial" w:eastAsia="Arial" w:hAnsi="Arial"/>
                <w:sz w:val="13"/>
                <w:szCs w:val="13"/>
                <w:b w:val="1"/>
                <w:bCs w:val="1"/>
                <w:color w:val="auto"/>
                <w:w w:val="82"/>
              </w:rPr>
              <w:t>Excess of</w:t>
            </w:r>
          </w:p>
        </w:tc>
        <w:tc>
          <w:tcPr>
            <w:tcW w:w="860" w:type="dxa"/>
            <w:vAlign w:val="bottom"/>
            <w:gridSpan w:val="3"/>
          </w:tcPr>
          <w:p>
            <w:pPr>
              <w:jc w:val="center"/>
              <w:ind w:right="240"/>
              <w:spacing w:after="0" w:line="121" w:lineRule="exact"/>
              <w:rPr>
                <w:sz w:val="20"/>
                <w:szCs w:val="20"/>
                <w:color w:val="auto"/>
              </w:rPr>
            </w:pPr>
            <w:r>
              <w:rPr>
                <w:rFonts w:ascii="Arial" w:cs="Arial" w:eastAsia="Arial" w:hAnsi="Arial"/>
                <w:sz w:val="13"/>
                <w:szCs w:val="13"/>
                <w:b w:val="1"/>
                <w:bCs w:val="1"/>
                <w:color w:val="auto"/>
                <w:w w:val="86"/>
              </w:rPr>
              <w:t>Issuance of</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56"/>
              <w:spacing w:after="0" w:line="141"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2"/>
                <w:szCs w:val="12"/>
                <w:color w:val="auto"/>
              </w:rPr>
            </w:pPr>
          </w:p>
        </w:tc>
        <w:tc>
          <w:tcPr>
            <w:tcW w:w="88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5"/>
              </w:rPr>
              <w:t>Net</w:t>
            </w:r>
          </w:p>
        </w:tc>
        <w:tc>
          <w:tcPr>
            <w:tcW w:w="86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88"/>
              </w:rPr>
              <w:t>Common</w:t>
            </w:r>
          </w:p>
        </w:tc>
        <w:tc>
          <w:tcPr>
            <w:tcW w:w="96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2"/>
                <w:szCs w:val="12"/>
                <w:color w:val="auto"/>
              </w:rPr>
            </w:pPr>
          </w:p>
        </w:tc>
        <w:tc>
          <w:tcPr>
            <w:tcW w:w="8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2"/>
              </w:rPr>
              <w:t>Shares</w:t>
            </w:r>
          </w:p>
        </w:tc>
        <w:tc>
          <w:tcPr>
            <w:tcW w:w="22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3"/>
                <w:szCs w:val="13"/>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Capital</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7"/>
              </w:rPr>
              <w:t>Income</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87"/>
              </w:rPr>
              <w:t>Shares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Interests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w w:val="80"/>
              </w:rPr>
              <w:t>(In thousands,</w:t>
            </w:r>
          </w:p>
        </w:tc>
        <w:tc>
          <w:tcPr>
            <w:tcW w:w="120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87"/>
              </w:rPr>
              <w:t>except share data)</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AT DECEMBER 31, 2007</w:t>
            </w:r>
          </w:p>
        </w:tc>
        <w:tc>
          <w:tcPr>
            <w:tcW w:w="4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w w:val="85"/>
              </w:rPr>
              <w:t>399,896</w:t>
            </w:r>
          </w:p>
        </w:tc>
        <w:tc>
          <w:tcPr>
            <w:tcW w:w="34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5"/>
              </w:rPr>
              <w:t>9,997</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58,645,665</w:t>
            </w:r>
          </w:p>
        </w:tc>
        <w:tc>
          <w:tcPr>
            <w:tcW w:w="380" w:type="dxa"/>
            <w:vAlign w:val="bottom"/>
            <w:gridSpan w:val="2"/>
            <w:shd w:val="clear" w:color="auto" w:fill="CCEEFF"/>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586</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$ 1,512,228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(407,376)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280"/>
              <w:spacing w:after="0" w:line="141" w:lineRule="exact"/>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31,818</w:t>
            </w:r>
          </w:p>
        </w:tc>
        <w:tc>
          <w:tcPr>
            <w:tcW w:w="2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1,146,450</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Net income/comprehensive income</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129,787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5,366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135,153</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Dividends declared to common shareholders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(148,444)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(148,444)</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Dividends declared to preferred shareholders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(541)</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Distributions declared to noncontrolling interests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(4,788)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(4,788)</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Common shares issued</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ind w:left="640"/>
              <w:spacing w:after="0" w:line="141" w:lineRule="exact"/>
              <w:rPr>
                <w:sz w:val="20"/>
                <w:szCs w:val="20"/>
                <w:color w:val="auto"/>
              </w:rPr>
            </w:pPr>
            <w:r>
              <w:rPr>
                <w:rFonts w:ascii="Arial" w:cs="Arial" w:eastAsia="Arial" w:hAnsi="Arial"/>
                <w:sz w:val="13"/>
                <w:szCs w:val="13"/>
                <w:color w:val="auto"/>
              </w:rPr>
              <w:t>274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214,853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8,006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8,008</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Shares issued under dividend reinvestment plan</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39,343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2,755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2,755</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Share-based compensation expense, net</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85,543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7,776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7,778</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Conversion and redemption of OP units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16"/>
              <w:spacing w:after="0" w:line="141" w:lineRule="exact"/>
              <w:rPr>
                <w:sz w:val="20"/>
                <w:szCs w:val="20"/>
                <w:color w:val="auto"/>
              </w:rPr>
            </w:pPr>
            <w:r>
              <w:rPr>
                <w:rFonts w:ascii="Arial" w:cs="Arial" w:eastAsia="Arial" w:hAnsi="Arial"/>
                <w:sz w:val="13"/>
                <w:szCs w:val="13"/>
                <w:color w:val="auto"/>
              </w:rPr>
              <w:t>(195)</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Loans paid</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w w:val="82"/>
              </w:rPr>
              <w:t>803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803</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Contributions by noncontrolling interests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ind w:left="4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324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AT DECEMBER 31, 2008</w:t>
            </w:r>
          </w:p>
        </w:tc>
        <w:tc>
          <w:tcPr>
            <w:tcW w:w="4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w w:val="85"/>
              </w:rPr>
              <w:t>399,896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5"/>
              </w:rPr>
              <w:t>9,997</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2"/>
              </w:rPr>
              <w:t>58,985,678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590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1,530,589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(426,574)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32,352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1,146,954</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Net income/comprehensive income</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98,304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5,568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103,872</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Dividends declared to common shareholders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(157,638)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(157,638)</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Dividends declared to preferred shareholders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(541)</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Distributions declared to noncontrolling interests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(6,139)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(6,139)</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Common shares issued</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1,995,563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20</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109,996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110,016</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126,500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2,757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2,758</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Shares issued under dividend reinvestment plan</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50,888</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2,728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2,728</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Share-based compensation expense, net</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83,421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7,138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7,139</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Conversion and redemption of OP units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ind w:left="4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16"/>
              <w:spacing w:after="0" w:line="141"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AT DECEMBER 31, 2009</w:t>
            </w:r>
          </w:p>
        </w:tc>
        <w:tc>
          <w:tcPr>
            <w:tcW w:w="4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w w:val="85"/>
              </w:rPr>
              <w:t>399,896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5"/>
              </w:rPr>
              <w:t>9,997</w:t>
            </w: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2"/>
              </w:rPr>
              <w:t>61,242,050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612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1,653,177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(486,449)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31,726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1,209,063</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Net income/comprehensive income</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122,790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5,447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128,237</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Dividends declared to common shareholders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(163,382)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(163,382)</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Dividends declared to preferred shareholders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(541)</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Distributions declared to noncontrolling interests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36"/>
              <w:spacing w:after="0" w:line="14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(5,207)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(5,207)</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Common shares issued</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ind w:left="640"/>
              <w:spacing w:after="0" w:line="141" w:lineRule="exact"/>
              <w:rPr>
                <w:sz w:val="20"/>
                <w:szCs w:val="20"/>
                <w:color w:val="auto"/>
              </w:rPr>
            </w:pPr>
            <w:r>
              <w:rPr>
                <w:rFonts w:ascii="Arial" w:cs="Arial" w:eastAsia="Arial" w:hAnsi="Arial"/>
                <w:sz w:val="13"/>
                <w:szCs w:val="13"/>
                <w:color w:val="auto"/>
              </w:rPr>
              <w:t>190</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107,493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4,051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4,052</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Shares issued under dividend reinvestment plan</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34,401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2,544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2,544</w:t>
            </w:r>
          </w:p>
        </w:tc>
        <w:tc>
          <w:tcPr>
            <w:tcW w:w="0" w:type="dxa"/>
            <w:vAlign w:val="bottom"/>
          </w:tcPr>
          <w:p>
            <w:pPr>
              <w:spacing w:after="0"/>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Share-based compensation expense, net</w:t>
            </w:r>
          </w:p>
        </w:tc>
        <w:tc>
          <w:tcPr>
            <w:tcW w:w="460" w:type="dxa"/>
            <w:vAlign w:val="bottom"/>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135,338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6,485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6,487</w:t>
            </w:r>
          </w:p>
        </w:tc>
        <w:tc>
          <w:tcPr>
            <w:tcW w:w="0" w:type="dxa"/>
            <w:vAlign w:val="bottom"/>
          </w:tcPr>
          <w:p>
            <w:pPr>
              <w:spacing w:after="0"/>
              <w:rPr>
                <w:sz w:val="1"/>
                <w:szCs w:val="1"/>
                <w:color w:val="auto"/>
              </w:rPr>
            </w:pPr>
          </w:p>
        </w:tc>
      </w:tr>
      <w:tr>
        <w:trPr>
          <w:trHeight w:val="141"/>
        </w:trPr>
        <w:tc>
          <w:tcPr>
            <w:tcW w:w="4000" w:type="dxa"/>
            <w:vAlign w:val="bottom"/>
          </w:tcPr>
          <w:p>
            <w:pPr>
              <w:spacing w:after="0" w:line="141" w:lineRule="exact"/>
              <w:rPr>
                <w:sz w:val="20"/>
                <w:szCs w:val="20"/>
                <w:color w:val="auto"/>
              </w:rPr>
            </w:pPr>
            <w:r>
              <w:rPr>
                <w:rFonts w:ascii="Arial" w:cs="Arial" w:eastAsia="Arial" w:hAnsi="Arial"/>
                <w:sz w:val="13"/>
                <w:szCs w:val="13"/>
                <w:color w:val="auto"/>
              </w:rPr>
              <w:t>Conversion and redemption of OP units</w:t>
            </w:r>
          </w:p>
        </w:tc>
        <w:tc>
          <w:tcPr>
            <w:tcW w:w="460" w:type="dxa"/>
            <w:vAlign w:val="bottom"/>
          </w:tcPr>
          <w:p>
            <w:pPr>
              <w:ind w:left="26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center"/>
              <w:ind w:lef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6,946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532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1"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40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BALANCE AT DECEMBER 31, 2010</w:t>
            </w:r>
          </w:p>
        </w:tc>
        <w:tc>
          <w:tcPr>
            <w:tcW w:w="4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w w:val="85"/>
              </w:rPr>
              <w:t>399,896</w:t>
            </w:r>
          </w:p>
        </w:tc>
        <w:tc>
          <w:tcPr>
            <w:tcW w:w="34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5"/>
              </w:rPr>
              <w:t>9,997</w:t>
            </w:r>
          </w:p>
        </w:tc>
        <w:tc>
          <w:tcPr>
            <w:tcW w:w="9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61,526,418</w:t>
            </w:r>
          </w:p>
        </w:tc>
        <w:tc>
          <w:tcPr>
            <w:tcW w:w="380" w:type="dxa"/>
            <w:vAlign w:val="bottom"/>
            <w:gridSpan w:val="2"/>
            <w:shd w:val="clear" w:color="auto" w:fill="CCEEFF"/>
          </w:tcPr>
          <w:p>
            <w:pPr>
              <w:ind w:left="120"/>
              <w:spacing w:after="0" w:line="141"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615</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xml:space="preserve"> 1,666,803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(527,582)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32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31,297</w:t>
            </w:r>
          </w:p>
        </w:tc>
        <w:tc>
          <w:tcPr>
            <w:tcW w:w="2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1,181,130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5"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b w:val="1"/>
                <w:bCs w:val="1"/>
                <w:color w:val="auto"/>
                <w:w w:val="91"/>
              </w:rPr>
              <w:t>Year Ended December 31,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tcPr>
          <w:p>
            <w:pPr>
              <w:jc w:val="right"/>
              <w:ind w:right="120"/>
              <w:spacing w:after="0" w:line="134" w:lineRule="exact"/>
              <w:rPr>
                <w:sz w:val="20"/>
                <w:szCs w:val="20"/>
                <w:color w:val="auto"/>
              </w:rPr>
            </w:pPr>
            <w:r>
              <w:rPr>
                <w:rFonts w:ascii="Arial" w:cs="Arial" w:eastAsia="Arial" w:hAnsi="Arial"/>
                <w:sz w:val="13"/>
                <w:szCs w:val="13"/>
                <w:b w:val="1"/>
                <w:bCs w:val="1"/>
                <w:color w:val="auto"/>
              </w:rPr>
              <w:t>2009</w:t>
            </w: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rPr>
              <w:t>(In thousands)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40" w:type="dxa"/>
            <w:vAlign w:val="bottom"/>
          </w:tcPr>
          <w:p>
            <w:pPr>
              <w:ind w:left="420"/>
              <w:spacing w:after="0"/>
              <w:rPr>
                <w:sz w:val="20"/>
                <w:szCs w:val="20"/>
                <w:color w:val="auto"/>
              </w:rPr>
            </w:pPr>
            <w:r>
              <w:rPr>
                <w:rFonts w:ascii="Arial" w:cs="Arial" w:eastAsia="Arial" w:hAnsi="Arial"/>
                <w:sz w:val="17"/>
                <w:szCs w:val="17"/>
                <w:color w:val="auto"/>
              </w:rPr>
              <w:t>Net income</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128,237</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$ 103,872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135,153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42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Depreciation and amortization, including discontinued operations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119,817</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115,093</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111,069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ind w:left="820"/>
              <w:spacing w:after="0"/>
              <w:rPr>
                <w:sz w:val="20"/>
                <w:szCs w:val="20"/>
                <w:color w:val="auto"/>
              </w:rPr>
            </w:pPr>
            <w:r>
              <w:rPr>
                <w:rFonts w:ascii="Arial" w:cs="Arial" w:eastAsia="Arial" w:hAnsi="Arial"/>
                <w:sz w:val="17"/>
                <w:szCs w:val="17"/>
                <w:color w:val="auto"/>
              </w:rPr>
              <w:t>Litigation provision</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(250)</w:t>
            </w: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15,690</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Gain on sale of real estate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(1,298)</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(12,572)</w:t>
            </w:r>
          </w:p>
        </w:tc>
        <w:tc>
          <w:tcPr>
            <w:tcW w:w="0" w:type="dxa"/>
            <w:vAlign w:val="bottom"/>
          </w:tcPr>
          <w:p>
            <w:pPr>
              <w:spacing w:after="0"/>
              <w:rPr>
                <w:sz w:val="1"/>
                <w:szCs w:val="1"/>
                <w:color w:val="auto"/>
              </w:rPr>
            </w:pPr>
          </w:p>
        </w:tc>
      </w:tr>
      <w:tr>
        <w:trPr>
          <w:trHeight w:val="206"/>
        </w:trPr>
        <w:tc>
          <w:tcPr>
            <w:tcW w:w="6940" w:type="dxa"/>
            <w:vAlign w:val="bottom"/>
          </w:tcPr>
          <w:p>
            <w:pPr>
              <w:ind w:left="820"/>
              <w:spacing w:after="0"/>
              <w:rPr>
                <w:sz w:val="20"/>
                <w:szCs w:val="20"/>
                <w:color w:val="auto"/>
              </w:rPr>
            </w:pPr>
            <w:r>
              <w:rPr>
                <w:rFonts w:ascii="Arial" w:cs="Arial" w:eastAsia="Arial" w:hAnsi="Arial"/>
                <w:sz w:val="17"/>
                <w:szCs w:val="17"/>
                <w:color w:val="auto"/>
              </w:rPr>
              <w:t>Early extinguishment of debt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2,801</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Income from real estate partnerships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(1,322)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(1,612)</w:t>
            </w:r>
          </w:p>
        </w:tc>
        <w:tc>
          <w:tcPr>
            <w:tcW w:w="0" w:type="dxa"/>
            <w:vAlign w:val="bottom"/>
          </w:tcPr>
          <w:p>
            <w:pPr>
              <w:spacing w:after="0"/>
              <w:rPr>
                <w:sz w:val="1"/>
                <w:szCs w:val="1"/>
                <w:color w:val="auto"/>
              </w:rPr>
            </w:pPr>
          </w:p>
        </w:tc>
      </w:tr>
      <w:tr>
        <w:trPr>
          <w:trHeight w:val="197"/>
        </w:trPr>
        <w:tc>
          <w:tcPr>
            <w:tcW w:w="6940" w:type="dxa"/>
            <w:vAlign w:val="bottom"/>
          </w:tcPr>
          <w:p>
            <w:pPr>
              <w:ind w:left="820"/>
              <w:spacing w:after="0"/>
              <w:rPr>
                <w:sz w:val="20"/>
                <w:szCs w:val="20"/>
                <w:color w:val="auto"/>
              </w:rPr>
            </w:pPr>
            <w:r>
              <w:rPr>
                <w:rFonts w:ascii="Arial" w:cs="Arial" w:eastAsia="Arial" w:hAnsi="Arial"/>
                <w:sz w:val="17"/>
                <w:szCs w:val="17"/>
                <w:color w:val="auto"/>
              </w:rPr>
              <w:t>Other, net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4,099</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5,265</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420"/>
              <w:spacing w:after="0"/>
              <w:rPr>
                <w:sz w:val="20"/>
                <w:szCs w:val="20"/>
                <w:color w:val="auto"/>
              </w:rPr>
            </w:pPr>
            <w:r>
              <w:rPr>
                <w:rFonts w:ascii="Arial" w:cs="Arial" w:eastAsia="Arial" w:hAnsi="Arial"/>
                <w:sz w:val="17"/>
                <w:szCs w:val="17"/>
                <w:color w:val="auto"/>
              </w:rPr>
              <w:t>Changes in assets and liabilities net of effects of acquisitions and dispositions: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Decrease (increase) in accounts receivable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7,079</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(6,303)</w:t>
            </w:r>
          </w:p>
        </w:tc>
        <w:tc>
          <w:tcPr>
            <w:tcW w:w="0" w:type="dxa"/>
            <w:vAlign w:val="bottom"/>
          </w:tcPr>
          <w:p>
            <w:pPr>
              <w:spacing w:after="0"/>
              <w:rPr>
                <w:sz w:val="1"/>
                <w:szCs w:val="1"/>
                <w:color w:val="auto"/>
              </w:rPr>
            </w:pPr>
          </w:p>
        </w:tc>
      </w:tr>
      <w:tr>
        <w:trPr>
          <w:trHeight w:val="206"/>
        </w:trPr>
        <w:tc>
          <w:tcPr>
            <w:tcW w:w="6940" w:type="dxa"/>
            <w:vAlign w:val="bottom"/>
          </w:tcPr>
          <w:p>
            <w:pPr>
              <w:ind w:left="820"/>
              <w:spacing w:after="0"/>
              <w:rPr>
                <w:sz w:val="20"/>
                <w:szCs w:val="20"/>
                <w:color w:val="auto"/>
              </w:rPr>
            </w:pPr>
            <w:r>
              <w:rPr>
                <w:rFonts w:ascii="Arial" w:cs="Arial" w:eastAsia="Arial" w:hAnsi="Arial"/>
                <w:sz w:val="17"/>
                <w:szCs w:val="17"/>
                <w:color w:val="auto"/>
              </w:rPr>
              <w:t>(Increase) decrease in prepaid expenses and other assets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(2,824)</w:t>
            </w:r>
          </w:p>
        </w:tc>
        <w:tc>
          <w:tcPr>
            <w:tcW w:w="1640" w:type="dxa"/>
            <w:vAlign w:val="bottom"/>
            <w:gridSpan w:val="3"/>
          </w:tcPr>
          <w:p>
            <w:pPr>
              <w:jc w:val="right"/>
              <w:ind w:right="480"/>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(Decrease) increase in accounts payable and accrued expenses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(879)</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9,753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(4,329)</w:t>
            </w:r>
          </w:p>
        </w:tc>
        <w:tc>
          <w:tcPr>
            <w:tcW w:w="0" w:type="dxa"/>
            <w:vAlign w:val="bottom"/>
          </w:tcPr>
          <w:p>
            <w:pPr>
              <w:spacing w:after="0"/>
              <w:rPr>
                <w:sz w:val="1"/>
                <w:szCs w:val="1"/>
                <w:color w:val="auto"/>
              </w:rPr>
            </w:pPr>
          </w:p>
        </w:tc>
      </w:tr>
      <w:tr>
        <w:trPr>
          <w:trHeight w:val="206"/>
        </w:trPr>
        <w:tc>
          <w:tcPr>
            <w:tcW w:w="6940" w:type="dxa"/>
            <w:vAlign w:val="bottom"/>
          </w:tcPr>
          <w:p>
            <w:pPr>
              <w:ind w:left="820"/>
              <w:spacing w:after="0"/>
              <w:rPr>
                <w:sz w:val="20"/>
                <w:szCs w:val="20"/>
                <w:color w:val="auto"/>
              </w:rPr>
            </w:pPr>
            <w:r>
              <w:rPr>
                <w:rFonts w:ascii="Arial" w:cs="Arial" w:eastAsia="Arial" w:hAnsi="Arial"/>
                <w:sz w:val="17"/>
                <w:szCs w:val="17"/>
                <w:color w:val="auto"/>
              </w:rPr>
              <w:t>Increase in security deposits and other liabilities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provided by operating activities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256,735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256,765</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228,285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tcPr>
          <w:p>
            <w:pPr>
              <w:spacing w:after="0"/>
              <w:rPr>
                <w:sz w:val="20"/>
                <w:szCs w:val="20"/>
                <w:color w:val="auto"/>
              </w:rPr>
            </w:pPr>
            <w:r>
              <w:rPr>
                <w:rFonts w:ascii="Arial" w:cs="Arial" w:eastAsia="Arial" w:hAnsi="Arial"/>
                <w:sz w:val="17"/>
                <w:szCs w:val="17"/>
                <w:color w:val="auto"/>
              </w:rPr>
              <w:t>INVESTING ACTIVITIES</w:t>
            </w: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Acquisition of real estate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(57,133)</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(10,531)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(99,625)</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Capital expenditures—development and redevelopment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(50,414)</w:t>
            </w:r>
          </w:p>
        </w:tc>
        <w:tc>
          <w:tcPr>
            <w:tcW w:w="1640" w:type="dxa"/>
            <w:vAlign w:val="bottom"/>
            <w:gridSpan w:val="3"/>
          </w:tcPr>
          <w:p>
            <w:pPr>
              <w:jc w:val="right"/>
              <w:ind w:right="480"/>
              <w:spacing w:after="0"/>
              <w:rPr>
                <w:sz w:val="20"/>
                <w:szCs w:val="20"/>
                <w:color w:val="auto"/>
              </w:rPr>
            </w:pPr>
            <w:r>
              <w:rPr>
                <w:rFonts w:ascii="Arial" w:cs="Arial" w:eastAsia="Arial" w:hAnsi="Arial"/>
                <w:sz w:val="17"/>
                <w:szCs w:val="17"/>
                <w:color w:val="auto"/>
              </w:rPr>
              <w:t>(76,079)</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(104,196)</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expenditures—other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(38,681)</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(26,000)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(33,790)</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Proceeds from sale of real estate</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2,122</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44,890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Investment in real estate partnerships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(16,930)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(7,020)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Distribution from real estate partnership in excess of earnings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594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Leasing costs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(10,272)</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(8,924)</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(9,921)</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Issuance of mortgage and other notes receivable, net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(13,895)</w:t>
            </w:r>
          </w:p>
        </w:tc>
        <w:tc>
          <w:tcPr>
            <w:tcW w:w="1640" w:type="dxa"/>
            <w:vAlign w:val="bottom"/>
            <w:gridSpan w:val="3"/>
          </w:tcPr>
          <w:p>
            <w:pPr>
              <w:jc w:val="right"/>
              <w:ind w:right="480"/>
              <w:spacing w:after="0"/>
              <w:rPr>
                <w:sz w:val="20"/>
                <w:szCs w:val="20"/>
                <w:color w:val="auto"/>
              </w:rPr>
            </w:pPr>
            <w:r>
              <w:rPr>
                <w:rFonts w:ascii="Arial" w:cs="Arial" w:eastAsia="Arial" w:hAnsi="Arial"/>
                <w:sz w:val="17"/>
                <w:szCs w:val="17"/>
                <w:color w:val="auto"/>
              </w:rPr>
              <w:t>(1,503)</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(5,288)</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cash used in investing activities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(187,088)</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(127,341)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(207,567)</w:t>
            </w:r>
          </w:p>
        </w:tc>
        <w:tc>
          <w:tcPr>
            <w:tcW w:w="0" w:type="dxa"/>
            <w:vAlign w:val="bottom"/>
          </w:tcPr>
          <w:p>
            <w:pPr>
              <w:spacing w:after="0"/>
              <w:rPr>
                <w:sz w:val="1"/>
                <w:szCs w:val="1"/>
                <w:color w:val="auto"/>
              </w:rPr>
            </w:pPr>
          </w:p>
        </w:tc>
      </w:tr>
      <w:tr>
        <w:trPr>
          <w:trHeight w:val="211"/>
        </w:trPr>
        <w:tc>
          <w:tcPr>
            <w:tcW w:w="6940" w:type="dxa"/>
            <w:vAlign w:val="bottom"/>
          </w:tcPr>
          <w:p>
            <w:pPr>
              <w:spacing w:after="0"/>
              <w:rPr>
                <w:sz w:val="20"/>
                <w:szCs w:val="20"/>
                <w:color w:val="auto"/>
              </w:rPr>
            </w:pPr>
            <w:r>
              <w:rPr>
                <w:rFonts w:ascii="Arial" w:cs="Arial" w:eastAsia="Arial" w:hAnsi="Arial"/>
                <w:sz w:val="17"/>
                <w:szCs w:val="17"/>
                <w:color w:val="auto"/>
              </w:rPr>
              <w:t>FINANCING ACTIVITIES</w:t>
            </w:r>
          </w:p>
        </w:tc>
        <w:tc>
          <w:tcPr>
            <w:tcW w:w="1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borrowings (repayments) under revolving credit facility, net of costs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76,550</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(123,500)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123,500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Issuance of senior notes, net of costs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148,457</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147,534</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Purchase and retirement of senior notes/debentures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(175,867)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(20,800)</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Issuance of mortgages, capital leases and notes payable, net of costs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9,950</w:t>
            </w:r>
          </w:p>
        </w:tc>
        <w:tc>
          <w:tcPr>
            <w:tcW w:w="120" w:type="dxa"/>
            <w:vAlign w:val="bottom"/>
          </w:tcPr>
          <w:p>
            <w:pPr>
              <w:spacing w:after="0"/>
              <w:rPr>
                <w:sz w:val="17"/>
                <w:szCs w:val="17"/>
                <w:color w:val="auto"/>
              </w:rPr>
            </w:pPr>
          </w:p>
        </w:tc>
        <w:tc>
          <w:tcPr>
            <w:tcW w:w="1640" w:type="dxa"/>
            <w:vAlign w:val="bottom"/>
            <w:gridSpan w:val="3"/>
          </w:tcPr>
          <w:p>
            <w:pPr>
              <w:jc w:val="right"/>
              <w:ind w:right="540"/>
              <w:spacing w:after="0"/>
              <w:rPr>
                <w:sz w:val="20"/>
                <w:szCs w:val="20"/>
                <w:color w:val="auto"/>
              </w:rPr>
            </w:pPr>
            <w:r>
              <w:rPr>
                <w:rFonts w:ascii="Arial" w:cs="Arial" w:eastAsia="Arial" w:hAnsi="Arial"/>
                <w:sz w:val="17"/>
                <w:szCs w:val="17"/>
                <w:color w:val="auto"/>
              </w:rPr>
              <w:t>526,617</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Repayment of mortgages, capital leases and notes payable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(262,340)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(337,221)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(18,512)</w:t>
            </w: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Extension fee on term loan</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Issuance of common shares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115,502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40" w:type="dxa"/>
            <w:vAlign w:val="bottom"/>
          </w:tcPr>
          <w:p>
            <w:pPr>
              <w:ind w:left="420"/>
              <w:spacing w:after="0"/>
              <w:rPr>
                <w:sz w:val="20"/>
                <w:szCs w:val="20"/>
                <w:color w:val="auto"/>
              </w:rPr>
            </w:pPr>
            <w:r>
              <w:rPr>
                <w:rFonts w:ascii="Arial" w:cs="Arial" w:eastAsia="Arial" w:hAnsi="Arial"/>
                <w:sz w:val="17"/>
                <w:szCs w:val="17"/>
                <w:color w:val="auto"/>
              </w:rPr>
              <w:t>Dividends paid to common and preferred shareholders</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(163,120)</w:t>
            </w:r>
          </w:p>
        </w:tc>
        <w:tc>
          <w:tcPr>
            <w:tcW w:w="1640" w:type="dxa"/>
            <w:vAlign w:val="bottom"/>
            <w:gridSpan w:val="3"/>
          </w:tcPr>
          <w:p>
            <w:pPr>
              <w:jc w:val="right"/>
              <w:ind w:right="480"/>
              <w:spacing w:after="0"/>
              <w:rPr>
                <w:sz w:val="20"/>
                <w:szCs w:val="20"/>
                <w:color w:val="auto"/>
              </w:rPr>
            </w:pPr>
            <w:r>
              <w:rPr>
                <w:rFonts w:ascii="Arial" w:cs="Arial" w:eastAsia="Arial" w:hAnsi="Arial"/>
                <w:sz w:val="17"/>
                <w:szCs w:val="17"/>
                <w:color w:val="auto"/>
              </w:rPr>
              <w:t>(156,100)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(146,418)</w:t>
            </w:r>
          </w:p>
        </w:tc>
        <w:tc>
          <w:tcPr>
            <w:tcW w:w="0" w:type="dxa"/>
            <w:vAlign w:val="bottom"/>
          </w:tcPr>
          <w:p>
            <w:pPr>
              <w:spacing w:after="0"/>
              <w:rPr>
                <w:sz w:val="1"/>
                <w:szCs w:val="1"/>
                <w:color w:val="auto"/>
              </w:rPr>
            </w:pPr>
          </w:p>
        </w:tc>
      </w:tr>
      <w:tr>
        <w:trPr>
          <w:trHeight w:val="206"/>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Distributions to noncontrolling interests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(5,346)</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(6,223)</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(5,341)</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420"/>
              <w:spacing w:after="0"/>
              <w:rPr>
                <w:sz w:val="20"/>
                <w:szCs w:val="20"/>
                <w:color w:val="auto"/>
              </w:rPr>
            </w:pPr>
            <w:r>
              <w:rPr>
                <w:rFonts w:ascii="Arial" w:cs="Arial" w:eastAsia="Arial" w:hAnsi="Arial"/>
                <w:sz w:val="17"/>
                <w:szCs w:val="17"/>
                <w:color w:val="auto"/>
              </w:rPr>
              <w:t>Net cash used in financing activities</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(189,239)</w:t>
            </w:r>
          </w:p>
        </w:tc>
        <w:tc>
          <w:tcPr>
            <w:tcW w:w="1640" w:type="dxa"/>
            <w:vAlign w:val="bottom"/>
            <w:gridSpan w:val="3"/>
          </w:tcPr>
          <w:p>
            <w:pPr>
              <w:jc w:val="right"/>
              <w:ind w:right="480"/>
              <w:spacing w:after="0"/>
              <w:rPr>
                <w:sz w:val="20"/>
                <w:szCs w:val="20"/>
                <w:color w:val="auto"/>
              </w:rPr>
            </w:pPr>
            <w:r>
              <w:rPr>
                <w:rFonts w:ascii="Arial" w:cs="Arial" w:eastAsia="Arial" w:hAnsi="Arial"/>
                <w:sz w:val="17"/>
                <w:szCs w:val="17"/>
                <w:color w:val="auto"/>
              </w:rPr>
              <w:t>(9,258)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(56,186)</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(DECREASE) INCREASE IN CASH AND CASH EQUIVALENTS</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(119,592)</w:t>
            </w: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120,166</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(35,468)</w:t>
            </w:r>
          </w:p>
        </w:tc>
        <w:tc>
          <w:tcPr>
            <w:tcW w:w="0" w:type="dxa"/>
            <w:vAlign w:val="bottom"/>
          </w:tcPr>
          <w:p>
            <w:pPr>
              <w:spacing w:after="0"/>
              <w:rPr>
                <w:sz w:val="1"/>
                <w:szCs w:val="1"/>
                <w:color w:val="auto"/>
              </w:rPr>
            </w:pPr>
          </w:p>
        </w:tc>
      </w:tr>
      <w:tr>
        <w:trPr>
          <w:trHeight w:val="206"/>
        </w:trPr>
        <w:tc>
          <w:tcPr>
            <w:tcW w:w="694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135,389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15,223</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50,691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YEAR</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15,797</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$ 135,389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5"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Federal Realty Investment Trust</w:t>
      </w:r>
    </w:p>
    <w:p>
      <w:pPr>
        <w:spacing w:after="0" w:line="87"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December 31, 2010, 2009 and 2008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SUMMARY OF SIGNIFICANT ACCOUNTING POLICIES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and Organization</w:t>
      </w:r>
    </w:p>
    <w:p>
      <w:pPr>
        <w:spacing w:after="0" w:line="87" w:lineRule="exact"/>
        <w:rPr>
          <w:sz w:val="20"/>
          <w:szCs w:val="20"/>
          <w:color w:val="auto"/>
        </w:rPr>
      </w:pPr>
    </w:p>
    <w:p>
      <w:pPr>
        <w:ind w:right="180"/>
        <w:spacing w:after="0" w:line="280"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2010, we owned or had a majority interest in community and neighborhood shopping centers and mixed-use properties which are operated as 85 predominantly retail real estate projects.</w:t>
      </w:r>
    </w:p>
    <w:p>
      <w:pPr>
        <w:spacing w:after="0" w:line="118" w:lineRule="exact"/>
        <w:rPr>
          <w:sz w:val="20"/>
          <w:szCs w:val="20"/>
          <w:color w:val="auto"/>
        </w:rPr>
      </w:pPr>
    </w:p>
    <w:p>
      <w:pPr>
        <w:ind w:right="500"/>
        <w:spacing w:after="0" w:line="342" w:lineRule="auto"/>
        <w:rPr>
          <w:sz w:val="20"/>
          <w:szCs w:val="20"/>
          <w:color w:val="auto"/>
        </w:rPr>
      </w:pPr>
      <w:r>
        <w:rPr>
          <w:rFonts w:ascii="Arial" w:cs="Arial" w:eastAsia="Arial" w:hAnsi="Arial"/>
          <w:sz w:val="15"/>
          <w:szCs w:val="15"/>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Estimates</w:t>
      </w:r>
    </w:p>
    <w:p>
      <w:pPr>
        <w:spacing w:after="0" w:line="8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Certain 2009 and 2008 amounts have been reclassified to conform to current period presentation.</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and Accounts Receivable</w:t>
      </w:r>
    </w:p>
    <w:p>
      <w:pPr>
        <w:spacing w:after="0" w:line="87"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00"/>
          </w:cols>
          <w:pgMar w:left="240" w:top="445" w:right="2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w:t>
      </w:r>
    </w:p>
    <w:p>
      <w:pPr>
        <w:spacing w:after="0" w:line="13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2010 and 2009, accounts receivable include approximately $45.6 million and $41.8 million, respectively, related to straight-line rents. At December 31, 2010 and 2009, our allowance for doubtful accounts was $18.7 million and $16.1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Real Estate</w:t>
      </w:r>
    </w:p>
    <w:p>
      <w:pPr>
        <w:spacing w:after="0" w:line="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3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2010, 2009 and 2008, real estate depreciation expense was $108.3 million, $103.7 million and $101.3 million, respectively, including amounts from discontinued operations and assets under capital lease obligations.</w:t>
      </w:r>
    </w:p>
    <w:p>
      <w:pPr>
        <w:spacing w:after="0" w:line="139"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this criteria can be complex and requires us to make assumptions. We believe this criteria was met for all real estate sold during 2010, 2009 and 2008.</w:t>
      </w:r>
    </w:p>
    <w:p>
      <w:pPr>
        <w:spacing w:after="0" w:line="128" w:lineRule="exact"/>
        <w:rPr>
          <w:sz w:val="20"/>
          <w:szCs w:val="20"/>
          <w:color w:val="auto"/>
        </w:rPr>
      </w:pPr>
    </w:p>
    <w:p>
      <w:pPr>
        <w:jc w:val="both"/>
        <w:ind w:right="60"/>
        <w:spacing w:after="0" w:line="300" w:lineRule="auto"/>
        <w:rPr>
          <w:sz w:val="20"/>
          <w:szCs w:val="20"/>
          <w:color w:val="auto"/>
        </w:rPr>
      </w:pPr>
      <w:r>
        <w:rPr>
          <w:rFonts w:ascii="Arial" w:cs="Arial" w:eastAsia="Arial" w:hAnsi="Arial"/>
          <w:sz w:val="15"/>
          <w:szCs w:val="15"/>
          <w:color w:val="auto"/>
        </w:rPr>
        <w:t>Our methodology of allocating the cost of acquisitions to assets acquired and liabilities assumed is based on estimated fair values, replacement cost and appraised values. When we acquire operating real estate properties, the purchase price is allocated to land, building, improvements, intangibles such as in-place leases, and to current assets and liabilities acquired, if any. The value allocated to in-place leases is amortized over the related lease term and reflected as rental income in the statement of operations.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04" w:lineRule="exact"/>
        <w:rPr>
          <w:sz w:val="20"/>
          <w:szCs w:val="20"/>
          <w:color w:val="auto"/>
        </w:rPr>
      </w:pPr>
    </w:p>
    <w:p>
      <w:pPr>
        <w:jc w:val="both"/>
        <w:ind w:right="720"/>
        <w:spacing w:after="0" w:line="263" w:lineRule="auto"/>
        <w:rPr>
          <w:sz w:val="20"/>
          <w:szCs w:val="20"/>
          <w:color w:val="auto"/>
        </w:rPr>
      </w:pPr>
      <w:r>
        <w:rPr>
          <w:rFonts w:ascii="Arial" w:cs="Arial" w:eastAsia="Arial" w:hAnsi="Arial"/>
          <w:sz w:val="17"/>
          <w:szCs w:val="17"/>
          <w:color w:val="auto"/>
        </w:rPr>
        <w:t>Effective January 1, 2009 with the adoption of a new accounting standard for business combinations, transaction costs, such as broker fees, transfer taxes, legal, accounting, valuation, and other professional and consulting fees, related to the acquisition of a business are expensed as incurred and included in “general and administrative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5"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640"/>
        <w:spacing w:after="0" w:line="342" w:lineRule="auto"/>
        <w:rPr>
          <w:sz w:val="20"/>
          <w:szCs w:val="20"/>
          <w:color w:val="auto"/>
        </w:rPr>
      </w:pPr>
      <w:r>
        <w:rPr>
          <w:rFonts w:ascii="Arial" w:cs="Arial" w:eastAsia="Arial" w:hAnsi="Arial"/>
          <w:sz w:val="15"/>
          <w:szCs w:val="15"/>
          <w:color w:val="auto"/>
        </w:rPr>
        <w:t>expenses” in our consolidated statements of operations. The acquisition of an operating shopping center typically qualifies as a business. For acquisitions prior to January 1, 2009 and asset acquisitions not meeting the definition of a business, transaction costs are capitalized as part of the acquisition cost.</w:t>
      </w:r>
    </w:p>
    <w:p>
      <w:pPr>
        <w:spacing w:after="0" w:line="74"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8"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The sale or disposal of a “component of an entity” is treated as discontinued operations. The operating properties sold by us typically meet the definition of a component of an entity and as such the revenues and expenses associated with sold properties are reclassified to discontinued operations for all periods presented.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8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define cash and cash equivalents as cash on hand, demand deposits with financial institutions and short term liquid investments with an initial maturity under three months. Cash balances in individual banks may exceed the federally insured limit by the Federal Deposit Insurance Corporation (the “FDIC”). At December 31, 2010, we had $6.8 million in excess of the FDIC insured limit.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Assets</w:t>
      </w:r>
    </w:p>
    <w:p>
      <w:pPr>
        <w:spacing w:after="0" w:line="87" w:lineRule="exact"/>
        <w:rPr>
          <w:sz w:val="20"/>
          <w:szCs w:val="20"/>
          <w:color w:val="auto"/>
        </w:rPr>
      </w:pPr>
    </w:p>
    <w:p>
      <w:pPr>
        <w:ind w:right="200"/>
        <w:spacing w:after="0" w:line="300" w:lineRule="auto"/>
        <w:rPr>
          <w:sz w:val="20"/>
          <w:szCs w:val="20"/>
          <w:color w:val="auto"/>
        </w:rPr>
      </w:pPr>
      <w:r>
        <w:rPr>
          <w:rFonts w:ascii="Arial" w:cs="Arial" w:eastAsia="Arial" w:hAnsi="Arial"/>
          <w:sz w:val="15"/>
          <w:szCs w:val="15"/>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covering several officers and former officers which were approximately $4.6 million at December 31, 2010 and 2009.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8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45"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Instruments</w:t>
      </w:r>
    </w:p>
    <w:p>
      <w:pPr>
        <w:spacing w:after="0" w:line="87"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As of December 31, 2010 and 2009, we had no outstanding hedging instruments. 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cash flow hedges are recorded at fair value. We assess effectiveness of our cash flow hedges both at inception and on an ongoing basis. The effective portion of changes in fair value of our cash flow hedges is recorded in other comprehensive income, and the ineffective portion of changes in fair value of our cash flow hedges is recognized in earnings in the period affected. In February 2008, we entered into interest swap agreements to fix the variable portion of our $200 million term loan at a combined fixed rate of 2.789% through November 6, 2008. Both swaps were designated and qualified as cash flow hedges and were recorded at fair value until the swaps ended on November 6, 2008. No hedge instruments were outstanding during 2010 and 2009. Hedge ineffectiveness did not have a significant impact on earnings in 2008, and we do not anticipate it will have a significant effect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Notes Receivable</w:t>
      </w:r>
    </w:p>
    <w:p>
      <w:pPr>
        <w:spacing w:after="0" w:line="8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2010 and 2009.</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 Based Compensation</w:t>
      </w:r>
    </w:p>
    <w:p>
      <w:pPr>
        <w:spacing w:after="0" w:line="87"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We grant share based compensation awards to employees and trustees typically in the form of options, commons shares, and restricted common shares. We measure stock based compensation expense based on the grant date fair value of the award and recognize the expense ratably over the vesting period. See Note 14 for further discussion regarding our share based compensation plans and policies.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8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00"/>
          </w:cols>
          <w:pgMar w:left="240" w:top="445"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80"/>
        <w:spacing w:after="0" w:line="304" w:lineRule="auto"/>
        <w:rPr>
          <w:sz w:val="20"/>
          <w:szCs w:val="20"/>
          <w:color w:val="auto"/>
        </w:rPr>
      </w:pPr>
      <w:r>
        <w:rPr>
          <w:rFonts w:ascii="Arial" w:cs="Arial" w:eastAsia="Arial" w:hAnsi="Arial"/>
          <w:sz w:val="15"/>
          <w:szCs w:val="15"/>
          <w:color w:val="auto"/>
        </w:rPr>
        <w:t>controlling financial interest qualify as VIEs. VIEs are required to be consolidated by their primary beneficiary. Effective January 1, 2010 with the adoption of a new accounting pronouncement, the primary beneficiary of a VIE has both the power to direct the activities that most significantly impact economic performance of the VIE and the obligation to absorb losses or the right to receive benefits that could potentially be significant to the VIE. Prior to January 1, 2010, the primary beneficiary of a VIE was determined to be the party that absorbs a majority of the entity’s expected losses, receives a majority of its expected returns, or both.</w:t>
      </w:r>
    </w:p>
    <w:p>
      <w:pPr>
        <w:spacing w:after="0" w:line="10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evaluated our investments in certain joint ventures including our real estate partnership with affiliates of a discretionary fund created and advised by ING Clarion Partners and our Taurus Newbury Street JV II Limited Partnership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entities obligated under the mortgage loans are not VIEs except with respect to our first and second mortgage loans on a shopping center and adjacent building located in Norwalk, Connecticut as further discussed in Note 3. Our investment balances from our real estate partnerships and mortgage notes receivable are presented separately in our consolidated balance sheets.</w:t>
      </w:r>
    </w:p>
    <w:p>
      <w:pPr>
        <w:spacing w:after="0" w:line="123"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If we fail to exercise our purchase option, the owner of Melville Mall has a put option which would require us to purchase Melville Mall in 2023 for $5 million and the assumption of the owner’s debt. We have determined that this property is held in a variable interest entity for which we are the primary beneficiary. Accordingly, beginning October 16, 2006, we consolidated this property and its operations. As of December 31, 2010 and 2009, $22.8 million and $23.4 million, respectively, are included in mortgages payable (net of unamortized discounts) for the mortgage loan secured by Melville Mall, however, the loan is not our legal obligation. At December 31, 2010 and 2009, net real estate assets related to Melville Mall included in our consolidated balance sheet are approximately $64.8 million and $65.6 million, respectively.</w:t>
      </w:r>
    </w:p>
    <w:p>
      <w:pPr>
        <w:spacing w:after="0" w:line="12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 of termination of the exchange agreements or 180 days after the respective acquisition dates, the third party intermediary is the legal owner of each property, although we control the activities that most significantly impact each property and retain all of the economic benefits and risks associated with each property. Each property is held by a third party intermediary in a variable interest entity for which we are the primary beneficiary. Accordingly, we consolidate these properties and their operations even during the period they are held by a third party intermediary. A summary of such properties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3"/>
                <w:szCs w:val="13"/>
                <w:b w:val="1"/>
                <w:bCs w:val="1"/>
                <w:i w:val="1"/>
                <w:iCs w:val="1"/>
                <w:color w:val="auto"/>
              </w:rPr>
              <w:t>Property</w:t>
            </w:r>
          </w:p>
        </w:tc>
        <w:tc>
          <w:tcPr>
            <w:tcW w:w="240" w:type="dxa"/>
            <w:vAlign w:val="bottom"/>
          </w:tcPr>
          <w:p>
            <w:pPr>
              <w:spacing w:after="0"/>
              <w:rPr>
                <w:sz w:val="14"/>
                <w:szCs w:val="14"/>
                <w:color w:val="auto"/>
              </w:rPr>
            </w:pPr>
          </w:p>
        </w:tc>
        <w:tc>
          <w:tcPr>
            <w:tcW w:w="458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i w:val="1"/>
                <w:iCs w:val="1"/>
                <w:color w:val="auto"/>
              </w:rPr>
              <w:t>Dates Held by a Third Party Intermediary</w:t>
            </w:r>
          </w:p>
        </w:tc>
        <w:tc>
          <w:tcPr>
            <w:tcW w:w="200" w:type="dxa"/>
            <w:vAlign w:val="bottom"/>
          </w:tcPr>
          <w:p>
            <w:pPr>
              <w:spacing w:after="0"/>
              <w:rPr>
                <w:sz w:val="14"/>
                <w:szCs w:val="14"/>
                <w:color w:val="auto"/>
              </w:rPr>
            </w:pPr>
          </w:p>
        </w:tc>
        <w:tc>
          <w:tcPr>
            <w:tcW w:w="2740" w:type="dxa"/>
            <w:vAlign w:val="bottom"/>
            <w:tcBorders>
              <w:bottom w:val="single" w:sz="8" w:color="auto"/>
            </w:tcBorders>
          </w:tcPr>
          <w:p>
            <w:pPr>
              <w:ind w:left="880"/>
              <w:spacing w:after="0"/>
              <w:rPr>
                <w:sz w:val="20"/>
                <w:szCs w:val="20"/>
                <w:color w:val="auto"/>
              </w:rPr>
            </w:pPr>
            <w:r>
              <w:rPr>
                <w:rFonts w:ascii="Arial" w:cs="Arial" w:eastAsia="Arial" w:hAnsi="Arial"/>
                <w:sz w:val="13"/>
                <w:szCs w:val="13"/>
                <w:b w:val="1"/>
                <w:bCs w:val="1"/>
                <w:i w:val="1"/>
                <w:iCs w:val="1"/>
                <w:color w:val="auto"/>
              </w:rPr>
              <w:t>Date Consolidated</w:t>
            </w:r>
          </w:p>
        </w:tc>
      </w:tr>
      <w:tr>
        <w:trPr>
          <w:trHeight w:val="190"/>
        </w:trPr>
        <w:tc>
          <w:tcPr>
            <w:tcW w:w="3660" w:type="dxa"/>
            <w:vAlign w:val="bottom"/>
          </w:tcPr>
          <w:p>
            <w:pPr>
              <w:spacing w:after="0" w:line="190" w:lineRule="exact"/>
              <w:rPr>
                <w:sz w:val="20"/>
                <w:szCs w:val="20"/>
                <w:color w:val="auto"/>
              </w:rPr>
            </w:pPr>
            <w:r>
              <w:rPr>
                <w:rFonts w:ascii="Arial" w:cs="Arial" w:eastAsia="Arial" w:hAnsi="Arial"/>
                <w:sz w:val="17"/>
                <w:szCs w:val="17"/>
                <w:color w:val="auto"/>
              </w:rPr>
              <w:t>Del Mar Village</w:t>
            </w:r>
          </w:p>
        </w:tc>
        <w:tc>
          <w:tcPr>
            <w:tcW w:w="240" w:type="dxa"/>
            <w:vAlign w:val="bottom"/>
          </w:tcPr>
          <w:p>
            <w:pPr>
              <w:spacing w:after="0"/>
              <w:rPr>
                <w:sz w:val="16"/>
                <w:szCs w:val="16"/>
                <w:color w:val="auto"/>
              </w:rPr>
            </w:pPr>
          </w:p>
        </w:tc>
        <w:tc>
          <w:tcPr>
            <w:tcW w:w="4580" w:type="dxa"/>
            <w:vAlign w:val="bottom"/>
          </w:tcPr>
          <w:p>
            <w:pPr>
              <w:spacing w:after="0" w:line="190" w:lineRule="exact"/>
              <w:rPr>
                <w:sz w:val="20"/>
                <w:szCs w:val="20"/>
                <w:color w:val="auto"/>
              </w:rPr>
            </w:pPr>
            <w:r>
              <w:rPr>
                <w:rFonts w:ascii="Arial" w:cs="Arial" w:eastAsia="Arial" w:hAnsi="Arial"/>
                <w:sz w:val="17"/>
                <w:szCs w:val="17"/>
                <w:color w:val="auto"/>
              </w:rPr>
              <w:t>May 30, 2008 to November 25, 2008</w:t>
            </w:r>
          </w:p>
        </w:tc>
        <w:tc>
          <w:tcPr>
            <w:tcW w:w="200" w:type="dxa"/>
            <w:vAlign w:val="bottom"/>
          </w:tcPr>
          <w:p>
            <w:pPr>
              <w:spacing w:after="0"/>
              <w:rPr>
                <w:sz w:val="16"/>
                <w:szCs w:val="16"/>
                <w:color w:val="auto"/>
              </w:rPr>
            </w:pPr>
          </w:p>
        </w:tc>
        <w:tc>
          <w:tcPr>
            <w:tcW w:w="2740" w:type="dxa"/>
            <w:vAlign w:val="bottom"/>
          </w:tcPr>
          <w:p>
            <w:pPr>
              <w:spacing w:after="0" w:line="190" w:lineRule="exact"/>
              <w:rPr>
                <w:sz w:val="20"/>
                <w:szCs w:val="20"/>
                <w:color w:val="auto"/>
              </w:rPr>
            </w:pPr>
            <w:r>
              <w:rPr>
                <w:rFonts w:ascii="Arial" w:cs="Arial" w:eastAsia="Arial" w:hAnsi="Arial"/>
                <w:sz w:val="17"/>
                <w:szCs w:val="17"/>
                <w:color w:val="auto"/>
              </w:rPr>
              <w:t>May 30, 2008</w:t>
            </w: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7015 &amp; 7045 Beracasa Way</w:t>
            </w:r>
          </w:p>
        </w:tc>
        <w:tc>
          <w:tcPr>
            <w:tcW w:w="24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July 11, 2008 to January 7, 2009</w:t>
            </w:r>
          </w:p>
        </w:tc>
        <w:tc>
          <w:tcPr>
            <w:tcW w:w="2940" w:type="dxa"/>
            <w:vAlign w:val="bottom"/>
            <w:gridSpan w:val="2"/>
          </w:tcPr>
          <w:p>
            <w:pPr>
              <w:ind w:left="200"/>
              <w:spacing w:after="0"/>
              <w:rPr>
                <w:sz w:val="20"/>
                <w:szCs w:val="20"/>
                <w:color w:val="auto"/>
              </w:rPr>
            </w:pPr>
            <w:r>
              <w:rPr>
                <w:rFonts w:ascii="Arial" w:cs="Arial" w:eastAsia="Arial" w:hAnsi="Arial"/>
                <w:sz w:val="17"/>
                <w:szCs w:val="17"/>
                <w:color w:val="auto"/>
              </w:rPr>
              <w:t>July 11, 2008</w:t>
            </w:r>
          </w:p>
        </w:tc>
      </w:tr>
      <w:tr>
        <w:trPr>
          <w:trHeight w:val="206"/>
        </w:trPr>
        <w:tc>
          <w:tcPr>
            <w:tcW w:w="3660" w:type="dxa"/>
            <w:vAlign w:val="bottom"/>
          </w:tcPr>
          <w:p>
            <w:pPr>
              <w:spacing w:after="0"/>
              <w:rPr>
                <w:sz w:val="20"/>
                <w:szCs w:val="20"/>
                <w:color w:val="auto"/>
              </w:rPr>
            </w:pPr>
            <w:r>
              <w:rPr>
                <w:rFonts w:ascii="Arial" w:cs="Arial" w:eastAsia="Arial" w:hAnsi="Arial"/>
                <w:sz w:val="17"/>
                <w:szCs w:val="17"/>
                <w:color w:val="auto"/>
              </w:rPr>
              <w:t>Courtyard Shops</w:t>
            </w:r>
          </w:p>
        </w:tc>
        <w:tc>
          <w:tcPr>
            <w:tcW w:w="24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September 4, 2008 to March 2, 2009</w:t>
            </w:r>
          </w:p>
        </w:tc>
        <w:tc>
          <w:tcPr>
            <w:tcW w:w="2940" w:type="dxa"/>
            <w:vAlign w:val="bottom"/>
            <w:gridSpan w:val="2"/>
          </w:tcPr>
          <w:p>
            <w:pPr>
              <w:ind w:left="200"/>
              <w:spacing w:after="0"/>
              <w:rPr>
                <w:sz w:val="20"/>
                <w:szCs w:val="20"/>
                <w:color w:val="auto"/>
              </w:rPr>
            </w:pPr>
            <w:r>
              <w:rPr>
                <w:rFonts w:ascii="Arial" w:cs="Arial" w:eastAsia="Arial" w:hAnsi="Arial"/>
                <w:sz w:val="17"/>
                <w:szCs w:val="17"/>
                <w:color w:val="auto"/>
              </w:rPr>
              <w:t>September 4, 2008</w:t>
            </w:r>
          </w:p>
        </w:tc>
      </w:tr>
      <w:tr>
        <w:trPr>
          <w:trHeight w:val="213"/>
        </w:trPr>
        <w:tc>
          <w:tcPr>
            <w:tcW w:w="3660" w:type="dxa"/>
            <w:vAlign w:val="bottom"/>
          </w:tcPr>
          <w:p>
            <w:pPr>
              <w:spacing w:after="0"/>
              <w:rPr>
                <w:sz w:val="20"/>
                <w:szCs w:val="20"/>
                <w:color w:val="auto"/>
              </w:rPr>
            </w:pPr>
            <w:r>
              <w:rPr>
                <w:rFonts w:ascii="Arial" w:cs="Arial" w:eastAsia="Arial" w:hAnsi="Arial"/>
                <w:sz w:val="17"/>
                <w:szCs w:val="17"/>
                <w:color w:val="auto"/>
              </w:rPr>
              <w:t>Huntington Square(1)</w:t>
            </w:r>
          </w:p>
        </w:tc>
        <w:tc>
          <w:tcPr>
            <w:tcW w:w="24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August 16, 2010 to February 12, 2011</w:t>
            </w:r>
          </w:p>
        </w:tc>
        <w:tc>
          <w:tcPr>
            <w:tcW w:w="2940" w:type="dxa"/>
            <w:vAlign w:val="bottom"/>
            <w:gridSpan w:val="2"/>
          </w:tcPr>
          <w:p>
            <w:pPr>
              <w:ind w:left="200"/>
              <w:spacing w:after="0"/>
              <w:rPr>
                <w:sz w:val="20"/>
                <w:szCs w:val="20"/>
                <w:color w:val="auto"/>
              </w:rPr>
            </w:pPr>
            <w:r>
              <w:rPr>
                <w:rFonts w:ascii="Arial" w:cs="Arial" w:eastAsia="Arial" w:hAnsi="Arial"/>
                <w:sz w:val="17"/>
                <w:szCs w:val="17"/>
                <w:color w:val="auto"/>
              </w:rPr>
              <w:t>August 16,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26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14" w:lineRule="exact"/>
        <w:rPr>
          <w:sz w:val="20"/>
          <w:szCs w:val="20"/>
          <w:color w:val="auto"/>
        </w:rPr>
      </w:pPr>
    </w:p>
    <w:p>
      <w:pPr>
        <w:ind w:left="460" w:hanging="457"/>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Quantitative and qualitative information regarding significant assets and liabilities are included in Note 2.</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87"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5"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28" w:lineRule="exact"/>
        <w:rPr>
          <w:sz w:val="20"/>
          <w:szCs w:val="20"/>
          <w:color w:val="auto"/>
        </w:rPr>
      </w:pPr>
    </w:p>
    <w:p>
      <w:pPr>
        <w:ind w:right="20"/>
        <w:spacing w:after="0" w:line="345" w:lineRule="auto"/>
        <w:rPr>
          <w:sz w:val="20"/>
          <w:szCs w:val="20"/>
          <w:color w:val="auto"/>
        </w:rPr>
      </w:pPr>
      <w:r>
        <w:rPr>
          <w:rFonts w:ascii="Arial" w:cs="Arial" w:eastAsia="Arial" w:hAnsi="Arial"/>
          <w:sz w:val="14"/>
          <w:szCs w:val="14"/>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Other than the sales of condominiums at Santana Row, which occurred between August 2005 and August 2006, our TRS activities have not been material.</w:t>
      </w:r>
    </w:p>
    <w:p>
      <w:pPr>
        <w:spacing w:after="0" w:line="77"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With few exceptions, we are no longer subject to U.S. federal, state, and local tax examinations by tax authorities for years before 2006. As of December 31, 2010 and 2009, we had no material unrecognized tax benefits. While we currently have no material unrecognized tax benefits, as a policy, we recognize penalties and interest accrued related to unrecognized tax benefits as income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Information</w:t>
      </w:r>
    </w:p>
    <w:p>
      <w:pPr>
        <w:spacing w:after="0" w:line="87"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Our primary business is the ownership, management, and redevelopment of retail and mixed 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8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June 2009, the Financial Accounting Standards Board (“FASB”) issued a new accounting standard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Under the new standard, the primary beneficiary has both the power to direct the activities that most significantly impact economic performance of the VIE and the obligation to absorb losses or the right to receive benefits that could potentially be significant to the VIE.</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adopted the standard effective January 1, 2010. The adoption did not have a material impact to our financial statements. The newly required balance sheet disclosures regarding assets and liabilities of a consolidated VIE have been parenthetically included in our balance sheet. These parenthetical amounts relate to Melville Mall in Huntington, New York, a shopping center and adjacent commercial building in Norwalk, Connecticut, and Huntington Square in East Northport, New York. Although the adoption of this standard did not have a material impact to our financial statements, this standard could impact future consolidation of entities based on the specific facts and circumstances of those entities.</w:t>
      </w:r>
    </w:p>
    <w:p>
      <w:pPr>
        <w:spacing w:after="0" w:line="13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In July 2010, the FASB issued a new accounting standard that requires enhanced disclosures about financing receivables, including the allowance for credit losses, credit quality, and impaired loans. This standard is effective for fiscal years ending after December 15, 2010. We adopted the standard in the fourth quarter 2010 and it did not have a material impact to our financial statements.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45"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Statements of Cash Flows – Supplemental Disclosures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the consolidated statements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w w:val="93"/>
              </w:rPr>
              <w:t>(In 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60" w:type="dxa"/>
            <w:vAlign w:val="bottom"/>
          </w:tcPr>
          <w:p>
            <w:pPr>
              <w:ind w:left="420"/>
              <w:spacing w:after="0"/>
              <w:rPr>
                <w:sz w:val="20"/>
                <w:szCs w:val="20"/>
                <w:color w:val="auto"/>
              </w:rPr>
            </w:pPr>
            <w:r>
              <w:rPr>
                <w:rFonts w:ascii="Arial" w:cs="Arial" w:eastAsia="Arial" w:hAnsi="Arial"/>
                <w:sz w:val="17"/>
                <w:szCs w:val="17"/>
                <w:color w:val="auto"/>
              </w:rPr>
              <w:t>Total interest costs incurred</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108,167</w:t>
            </w:r>
          </w:p>
        </w:tc>
        <w:tc>
          <w:tcPr>
            <w:tcW w:w="2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84"/>
              </w:rPr>
              <w:t>114,330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104,464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capitalized</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(6,285)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(5,549)</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(5,301)</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420"/>
              <w:spacing w:after="0"/>
              <w:rPr>
                <w:sz w:val="20"/>
                <w:szCs w:val="20"/>
                <w:color w:val="auto"/>
              </w:rPr>
            </w:pPr>
            <w:r>
              <w:rPr>
                <w:rFonts w:ascii="Arial" w:cs="Arial" w:eastAsia="Arial" w:hAnsi="Arial"/>
                <w:sz w:val="17"/>
                <w:szCs w:val="17"/>
                <w:color w:val="auto"/>
              </w:rPr>
              <w:t>Interest expense</w:t>
            </w: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6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101,882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84"/>
              </w:rPr>
              <w:t>108,781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99,163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 paid for interest, net of amounts capitalized</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98,932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4"/>
              </w:rPr>
              <w:t>102,106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95,897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20"/>
              <w:spacing w:after="0"/>
              <w:rPr>
                <w:sz w:val="20"/>
                <w:szCs w:val="20"/>
                <w:color w:val="auto"/>
              </w:rPr>
            </w:pPr>
            <w:r>
              <w:rPr>
                <w:rFonts w:ascii="Arial" w:cs="Arial" w:eastAsia="Arial" w:hAnsi="Arial"/>
                <w:sz w:val="17"/>
                <w:szCs w:val="17"/>
                <w:color w:val="auto"/>
              </w:rPr>
              <w:t>Cash paid for income taxes</w:t>
            </w: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255</w:t>
            </w:r>
          </w:p>
        </w:tc>
        <w:tc>
          <w:tcPr>
            <w:tcW w:w="2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324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TRANSACTIONS:</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60" w:type="dxa"/>
            <w:vAlign w:val="bottom"/>
          </w:tcPr>
          <w:p>
            <w:pPr>
              <w:ind w:left="420"/>
              <w:spacing w:after="0"/>
              <w:rPr>
                <w:sz w:val="20"/>
                <w:szCs w:val="20"/>
                <w:color w:val="auto"/>
              </w:rPr>
            </w:pPr>
            <w:r>
              <w:rPr>
                <w:rFonts w:ascii="Arial" w:cs="Arial" w:eastAsia="Arial" w:hAnsi="Arial"/>
                <w:sz w:val="17"/>
                <w:szCs w:val="17"/>
                <w:color w:val="auto"/>
              </w:rPr>
              <w:t>Extinguishment of deferred ground rent liability</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8,832</w:t>
            </w:r>
          </w:p>
        </w:tc>
        <w:tc>
          <w:tcPr>
            <w:tcW w:w="2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Extinguishment of capital lease obligations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11,545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60" w:type="dxa"/>
            <w:vAlign w:val="bottom"/>
          </w:tcPr>
          <w:p>
            <w:pPr>
              <w:ind w:left="420"/>
              <w:spacing w:after="0"/>
              <w:rPr>
                <w:sz w:val="20"/>
                <w:szCs w:val="20"/>
                <w:color w:val="auto"/>
              </w:rPr>
            </w:pPr>
            <w:r>
              <w:rPr>
                <w:rFonts w:ascii="Arial" w:cs="Arial" w:eastAsia="Arial" w:hAnsi="Arial"/>
                <w:sz w:val="17"/>
                <w:szCs w:val="17"/>
                <w:color w:val="auto"/>
              </w:rPr>
              <w:t>Acquisition of real estate through exchange transaction</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9"/>
              </w:rPr>
              <w:t>30,100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Proceeds from sale of real estate through exchange transaction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9"/>
              </w:rPr>
              <w:t>25,100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560" w:type="dxa"/>
            <w:vAlign w:val="bottom"/>
          </w:tcPr>
          <w:p>
            <w:pPr>
              <w:ind w:left="420"/>
              <w:spacing w:after="0"/>
              <w:rPr>
                <w:sz w:val="20"/>
                <w:szCs w:val="20"/>
                <w:color w:val="auto"/>
              </w:rPr>
            </w:pPr>
            <w:r>
              <w:rPr>
                <w:rFonts w:ascii="Arial" w:cs="Arial" w:eastAsia="Arial" w:hAnsi="Arial"/>
                <w:sz w:val="17"/>
                <w:szCs w:val="17"/>
                <w:color w:val="auto"/>
              </w:rPr>
              <w:t>Liability assumed through exchange transaction</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6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Mortgage loans assumed with acquisitions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32,452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560" w:type="dxa"/>
            <w:vAlign w:val="bottom"/>
          </w:tcPr>
          <w:p>
            <w:pPr>
              <w:ind w:left="420"/>
              <w:spacing w:after="0"/>
              <w:rPr>
                <w:sz w:val="20"/>
                <w:szCs w:val="20"/>
                <w:color w:val="auto"/>
              </w:rPr>
            </w:pPr>
            <w:r>
              <w:rPr>
                <w:rFonts w:ascii="Arial" w:cs="Arial" w:eastAsia="Arial" w:hAnsi="Arial"/>
                <w:sz w:val="17"/>
                <w:szCs w:val="17"/>
                <w:color w:val="auto"/>
              </w:rPr>
              <w:t>Note payable issued with acquisitions</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REAL ESTATE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real estate investments and related encumbrances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4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Depreciation and</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760" w:type="dxa"/>
            <w:vAlign w:val="bottom"/>
          </w:tcPr>
          <w:p>
            <w:pPr>
              <w:jc w:val="right"/>
              <w:ind w:right="179"/>
              <w:spacing w:after="0"/>
              <w:rPr>
                <w:sz w:val="20"/>
                <w:szCs w:val="20"/>
                <w:color w:val="auto"/>
              </w:rPr>
            </w:pPr>
            <w:r>
              <w:rPr>
                <w:rFonts w:ascii="Arial" w:cs="Arial" w:eastAsia="Arial" w:hAnsi="Arial"/>
                <w:sz w:val="13"/>
                <w:szCs w:val="13"/>
                <w:b w:val="1"/>
                <w:bCs w:val="1"/>
                <w:color w:val="auto"/>
              </w:rPr>
              <w:t>Cost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4"/>
              </w:rPr>
              <w:t>Encumbrances</w:t>
            </w:r>
          </w:p>
        </w:tc>
        <w:tc>
          <w:tcPr>
            <w:tcW w:w="0" w:type="dxa"/>
            <w:vAlign w:val="bottom"/>
          </w:tcPr>
          <w:p>
            <w:pPr>
              <w:spacing w:after="0"/>
              <w:rPr>
                <w:sz w:val="1"/>
                <w:szCs w:val="1"/>
                <w:color w:val="auto"/>
              </w:rPr>
            </w:pPr>
          </w:p>
        </w:tc>
      </w:tr>
      <w:tr>
        <w:trPr>
          <w:trHeight w:val="134"/>
        </w:trPr>
        <w:tc>
          <w:tcPr>
            <w:tcW w:w="13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w w:val="91"/>
              </w:rPr>
              <w:t>(In thousands)</w:t>
            </w:r>
          </w:p>
        </w:tc>
        <w:tc>
          <w:tcPr>
            <w:tcW w:w="5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72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December 31, 2010</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340" w:type="dxa"/>
            <w:vAlign w:val="bottom"/>
            <w:shd w:val="clear" w:color="auto" w:fill="000000"/>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gridSpan w:val="2"/>
          </w:tcPr>
          <w:p>
            <w:pPr>
              <w:spacing w:after="0"/>
              <w:rPr>
                <w:sz w:val="20"/>
                <w:szCs w:val="20"/>
                <w:color w:val="auto"/>
              </w:rPr>
            </w:pPr>
            <w:r>
              <w:rPr>
                <w:rFonts w:ascii="Arial" w:cs="Arial" w:eastAsia="Arial" w:hAnsi="Arial"/>
                <w:sz w:val="17"/>
                <w:szCs w:val="17"/>
                <w:color w:val="auto"/>
              </w:rPr>
              <w:t>Retail and mixed-use properties</w:t>
            </w:r>
          </w:p>
        </w:tc>
        <w:tc>
          <w:tcPr>
            <w:tcW w:w="760" w:type="dxa"/>
            <w:vAlign w:val="bottom"/>
          </w:tcPr>
          <w:p>
            <w:pPr>
              <w:jc w:val="right"/>
              <w:spacing w:after="0"/>
              <w:rPr>
                <w:sz w:val="20"/>
                <w:szCs w:val="20"/>
                <w:color w:val="auto"/>
              </w:rPr>
            </w:pPr>
            <w:r>
              <w:rPr>
                <w:rFonts w:ascii="Arial" w:cs="Arial" w:eastAsia="Arial" w:hAnsi="Arial"/>
                <w:sz w:val="17"/>
                <w:szCs w:val="17"/>
                <w:color w:val="auto"/>
                <w:w w:val="86"/>
              </w:rPr>
              <w:t>$3,758,960</w:t>
            </w:r>
          </w:p>
        </w:tc>
        <w:tc>
          <w:tcPr>
            <w:tcW w:w="620" w:type="dxa"/>
            <w:vAlign w:val="bottom"/>
            <w:gridSpan w:val="2"/>
          </w:tcPr>
          <w:p>
            <w:pPr>
              <w:ind w:left="520"/>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(995,328)</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505,934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properties under capital leases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108,381</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(29,421)</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20" w:type="dxa"/>
            <w:vAlign w:val="bottom"/>
            <w:gridSpan w:val="2"/>
          </w:tcPr>
          <w:p>
            <w:pPr>
              <w:spacing w:after="0"/>
              <w:rPr>
                <w:sz w:val="20"/>
                <w:szCs w:val="20"/>
                <w:color w:val="auto"/>
              </w:rPr>
            </w:pPr>
            <w:r>
              <w:rPr>
                <w:rFonts w:ascii="Arial" w:cs="Arial" w:eastAsia="Arial" w:hAnsi="Arial"/>
                <w:sz w:val="17"/>
                <w:szCs w:val="17"/>
                <w:color w:val="auto"/>
              </w:rPr>
              <w:t>Residential</w:t>
            </w:r>
          </w:p>
        </w:tc>
        <w:tc>
          <w:tcPr>
            <w:tcW w:w="760" w:type="dxa"/>
            <w:vAlign w:val="bottom"/>
          </w:tcPr>
          <w:p>
            <w:pPr>
              <w:jc w:val="right"/>
              <w:spacing w:after="0"/>
              <w:rPr>
                <w:sz w:val="20"/>
                <w:szCs w:val="20"/>
                <w:color w:val="auto"/>
              </w:rPr>
            </w:pPr>
            <w:r>
              <w:rPr>
                <w:rFonts w:ascii="Arial" w:cs="Arial" w:eastAsia="Arial" w:hAnsi="Arial"/>
                <w:sz w:val="17"/>
                <w:szCs w:val="17"/>
                <w:color w:val="auto"/>
              </w:rPr>
              <w:t>28,601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(10,455)</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34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3,895,942</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(1,035,204)</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589,441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December 31, 2009</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340" w:type="dxa"/>
            <w:vAlign w:val="bottom"/>
            <w:shd w:val="clear" w:color="auto" w:fill="000000"/>
          </w:tcPr>
          <w:p>
            <w:pPr>
              <w:spacing w:after="0"/>
              <w:rPr>
                <w:sz w:val="2"/>
                <w:szCs w:val="2"/>
                <w:color w:val="auto"/>
              </w:rPr>
            </w:pPr>
          </w:p>
        </w:tc>
        <w:tc>
          <w:tcPr>
            <w:tcW w:w="6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and mixed-use properties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$3,615,514</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(899,120)</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gridSpan w:val="2"/>
          </w:tcPr>
          <w:p>
            <w:pPr>
              <w:spacing w:after="0"/>
              <w:rPr>
                <w:sz w:val="20"/>
                <w:szCs w:val="20"/>
                <w:color w:val="auto"/>
              </w:rPr>
            </w:pPr>
            <w:r>
              <w:rPr>
                <w:rFonts w:ascii="Arial" w:cs="Arial" w:eastAsia="Arial" w:hAnsi="Arial"/>
                <w:sz w:val="17"/>
                <w:szCs w:val="17"/>
                <w:color w:val="auto"/>
              </w:rPr>
              <w:t>Retail properties under capital leases</w:t>
            </w:r>
          </w:p>
        </w:tc>
        <w:tc>
          <w:tcPr>
            <w:tcW w:w="760" w:type="dxa"/>
            <w:vAlign w:val="bottom"/>
          </w:tcPr>
          <w:p>
            <w:pPr>
              <w:jc w:val="right"/>
              <w:spacing w:after="0"/>
              <w:rPr>
                <w:sz w:val="20"/>
                <w:szCs w:val="20"/>
                <w:color w:val="auto"/>
              </w:rPr>
            </w:pPr>
            <w:r>
              <w:rPr>
                <w:rFonts w:ascii="Arial" w:cs="Arial" w:eastAsia="Arial" w:hAnsi="Arial"/>
                <w:sz w:val="17"/>
                <w:szCs w:val="17"/>
                <w:color w:val="auto"/>
              </w:rPr>
              <w:t>115,813</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(29,261)</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62,275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(9,706)</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3,759,234</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(938,087)</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601,884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840"/>
        <w:spacing w:after="0" w:line="273" w:lineRule="auto"/>
        <w:rPr>
          <w:sz w:val="20"/>
          <w:szCs w:val="20"/>
          <w:color w:val="auto"/>
        </w:rPr>
      </w:pPr>
      <w:r>
        <w:rPr>
          <w:rFonts w:ascii="Arial" w:cs="Arial" w:eastAsia="Arial" w:hAnsi="Arial"/>
          <w:sz w:val="17"/>
          <w:szCs w:val="17"/>
          <w:color w:val="auto"/>
        </w:rPr>
        <w:t>Retail and mixed-use properties includes the residential portion of Santana Row and Bethesda Row. The residential property investments are comprised of our investments in Rollingwood Apartments and Crest Apartments at Congressional Plaza.</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45"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2010 Significant Acquisitions and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our significant acquisitions in 2010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1700" w:type="dxa"/>
            <w:vAlign w:val="bottom"/>
          </w:tcPr>
          <w:p>
            <w:pPr>
              <w:ind w:left="160"/>
              <w:spacing w:after="0"/>
              <w:rPr>
                <w:sz w:val="20"/>
                <w:szCs w:val="20"/>
                <w:color w:val="auto"/>
              </w:rPr>
            </w:pPr>
            <w:r>
              <w:rPr>
                <w:rFonts w:ascii="Arial" w:cs="Arial" w:eastAsia="Arial" w:hAnsi="Arial"/>
                <w:sz w:val="13"/>
                <w:szCs w:val="13"/>
                <w:b w:val="1"/>
                <w:bCs w:val="1"/>
                <w:color w:val="auto"/>
              </w:rPr>
              <w:t>Date</w:t>
            </w:r>
          </w:p>
        </w:tc>
        <w:tc>
          <w:tcPr>
            <w:tcW w:w="800" w:type="dxa"/>
            <w:vAlign w:val="bottom"/>
          </w:tcPr>
          <w:p>
            <w:pPr>
              <w:spacing w:after="0"/>
              <w:rPr>
                <w:sz w:val="14"/>
                <w:szCs w:val="14"/>
                <w:color w:val="auto"/>
              </w:rPr>
            </w:pPr>
          </w:p>
        </w:tc>
        <w:tc>
          <w:tcPr>
            <w:tcW w:w="1700" w:type="dxa"/>
            <w:vAlign w:val="bottom"/>
          </w:tcPr>
          <w:p>
            <w:pPr>
              <w:ind w:left="600"/>
              <w:spacing w:after="0"/>
              <w:rPr>
                <w:sz w:val="20"/>
                <w:szCs w:val="20"/>
                <w:color w:val="auto"/>
              </w:rPr>
            </w:pPr>
            <w:r>
              <w:rPr>
                <w:rFonts w:ascii="Arial" w:cs="Arial" w:eastAsia="Arial" w:hAnsi="Arial"/>
                <w:sz w:val="13"/>
                <w:szCs w:val="13"/>
                <w:b w:val="1"/>
                <w:bCs w:val="1"/>
                <w:color w:val="auto"/>
              </w:rPr>
              <w:t>Property</w:t>
            </w:r>
          </w:p>
        </w:tc>
        <w:tc>
          <w:tcPr>
            <w:tcW w:w="880" w:type="dxa"/>
            <w:vAlign w:val="bottom"/>
          </w:tcPr>
          <w:p>
            <w:pPr>
              <w:spacing w:after="0"/>
              <w:rPr>
                <w:sz w:val="14"/>
                <w:szCs w:val="14"/>
                <w:color w:val="auto"/>
              </w:rPr>
            </w:pPr>
          </w:p>
        </w:tc>
        <w:tc>
          <w:tcPr>
            <w:tcW w:w="1320" w:type="dxa"/>
            <w:vAlign w:val="bottom"/>
          </w:tcPr>
          <w:p>
            <w:pPr>
              <w:ind w:left="380"/>
              <w:spacing w:after="0"/>
              <w:rPr>
                <w:sz w:val="20"/>
                <w:szCs w:val="20"/>
                <w:color w:val="auto"/>
              </w:rPr>
            </w:pPr>
            <w:r>
              <w:rPr>
                <w:rFonts w:ascii="Arial" w:cs="Arial" w:eastAsia="Arial" w:hAnsi="Arial"/>
                <w:sz w:val="13"/>
                <w:szCs w:val="13"/>
                <w:b w:val="1"/>
                <w:bCs w:val="1"/>
                <w:color w:val="auto"/>
              </w:rPr>
              <w:t>City, State</w:t>
            </w:r>
          </w:p>
        </w:tc>
        <w:tc>
          <w:tcPr>
            <w:tcW w:w="800" w:type="dxa"/>
            <w:vAlign w:val="bottom"/>
          </w:tcPr>
          <w:p>
            <w:pPr>
              <w:spacing w:after="0"/>
              <w:rPr>
                <w:sz w:val="14"/>
                <w:szCs w:val="14"/>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w w:val="86"/>
              </w:rPr>
              <w:t>Gross Leasable Area</w:t>
            </w: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Purchase Price</w:t>
            </w:r>
          </w:p>
        </w:tc>
      </w:tr>
      <w:tr>
        <w:trPr>
          <w:trHeight w:val="134"/>
        </w:trPr>
        <w:tc>
          <w:tcPr>
            <w:tcW w:w="11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Borders>
              <w:top w:val="single" w:sz="8" w:color="auto"/>
            </w:tcBorders>
          </w:tcPr>
          <w:p>
            <w:pPr>
              <w:jc w:val="right"/>
              <w:ind w:right="84"/>
              <w:spacing w:after="0" w:line="134" w:lineRule="exact"/>
              <w:rPr>
                <w:sz w:val="20"/>
                <w:szCs w:val="20"/>
                <w:color w:val="auto"/>
              </w:rPr>
            </w:pPr>
            <w:r>
              <w:rPr>
                <w:rFonts w:ascii="Arial" w:cs="Arial" w:eastAsia="Arial" w:hAnsi="Arial"/>
                <w:sz w:val="13"/>
                <w:szCs w:val="13"/>
                <w:b w:val="1"/>
                <w:bCs w:val="1"/>
                <w:color w:val="auto"/>
              </w:rPr>
              <w:t>(In square feet)</w:t>
            </w:r>
          </w:p>
        </w:tc>
        <w:tc>
          <w:tcPr>
            <w:tcW w:w="880" w:type="dxa"/>
            <w:vAlign w:val="bottom"/>
          </w:tcPr>
          <w:p>
            <w:pPr>
              <w:spacing w:after="0"/>
              <w:rPr>
                <w:sz w:val="11"/>
                <w:szCs w:val="11"/>
                <w:color w:val="auto"/>
              </w:rPr>
            </w:pPr>
          </w:p>
        </w:tc>
        <w:tc>
          <w:tcPr>
            <w:tcW w:w="820" w:type="dxa"/>
            <w:vAlign w:val="bottom"/>
            <w:tcBorders>
              <w:top w:val="single" w:sz="8" w:color="auto"/>
            </w:tcBorders>
            <w:gridSpan w:val="2"/>
          </w:tcPr>
          <w:p>
            <w:pPr>
              <w:ind w:left="80"/>
              <w:spacing w:after="0" w:line="134" w:lineRule="exact"/>
              <w:rPr>
                <w:sz w:val="20"/>
                <w:szCs w:val="20"/>
                <w:color w:val="auto"/>
              </w:rPr>
            </w:pPr>
            <w:r>
              <w:rPr>
                <w:rFonts w:ascii="Arial" w:cs="Arial" w:eastAsia="Arial" w:hAnsi="Arial"/>
                <w:sz w:val="13"/>
                <w:szCs w:val="13"/>
                <w:b w:val="1"/>
                <w:bCs w:val="1"/>
                <w:color w:val="auto"/>
                <w:w w:val="98"/>
              </w:rPr>
              <w:t>(In millions)</w:t>
            </w:r>
          </w:p>
        </w:tc>
        <w:tc>
          <w:tcPr>
            <w:tcW w:w="240" w:type="dxa"/>
            <w:vAlign w:val="bottom"/>
          </w:tcPr>
          <w:p>
            <w:pPr>
              <w:spacing w:after="0"/>
              <w:rPr>
                <w:sz w:val="11"/>
                <w:szCs w:val="11"/>
                <w:color w:val="auto"/>
              </w:rPr>
            </w:pPr>
          </w:p>
        </w:tc>
      </w:tr>
      <w:tr>
        <w:trPr>
          <w:trHeight w:val="206"/>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August 16</w:t>
            </w:r>
          </w:p>
        </w:tc>
        <w:tc>
          <w:tcPr>
            <w:tcW w:w="800" w:type="dxa"/>
            <w:vAlign w:val="bottom"/>
            <w:shd w:val="clear" w:color="auto" w:fill="CCEEFF"/>
          </w:tcPr>
          <w:p>
            <w:pPr>
              <w:spacing w:after="0"/>
              <w:rPr>
                <w:sz w:val="17"/>
                <w:szCs w:val="17"/>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7"/>
                <w:szCs w:val="17"/>
                <w:color w:val="auto"/>
              </w:rPr>
              <w:t>Huntington Square</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1"/>
              </w:rPr>
              <w:t>East Northport, NY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74,000</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17.6(1)</w:t>
            </w:r>
          </w:p>
        </w:tc>
      </w:tr>
      <w:tr>
        <w:trPr>
          <w:trHeight w:val="197"/>
        </w:trPr>
        <w:tc>
          <w:tcPr>
            <w:tcW w:w="2840" w:type="dxa"/>
            <w:vAlign w:val="bottom"/>
            <w:gridSpan w:val="2"/>
          </w:tcPr>
          <w:p>
            <w:pPr>
              <w:spacing w:after="0"/>
              <w:rPr>
                <w:sz w:val="20"/>
                <w:szCs w:val="20"/>
                <w:color w:val="auto"/>
              </w:rPr>
            </w:pPr>
            <w:r>
              <w:rPr>
                <w:rFonts w:ascii="Arial" w:cs="Arial" w:eastAsia="Arial" w:hAnsi="Arial"/>
                <w:sz w:val="17"/>
                <w:szCs w:val="17"/>
                <w:color w:val="auto"/>
              </w:rPr>
              <w:t>November 10</w:t>
            </w:r>
          </w:p>
        </w:tc>
        <w:tc>
          <w:tcPr>
            <w:tcW w:w="800" w:type="dxa"/>
            <w:vAlign w:val="bottom"/>
          </w:tcPr>
          <w:p>
            <w:pPr>
              <w:spacing w:after="0"/>
              <w:rPr>
                <w:sz w:val="17"/>
                <w:szCs w:val="17"/>
                <w:color w:val="auto"/>
              </w:rPr>
            </w:pPr>
          </w:p>
        </w:tc>
        <w:tc>
          <w:tcPr>
            <w:tcW w:w="1700" w:type="dxa"/>
            <w:vAlign w:val="bottom"/>
          </w:tcPr>
          <w:p>
            <w:pPr>
              <w:ind w:left="60"/>
              <w:spacing w:after="0"/>
              <w:rPr>
                <w:sz w:val="20"/>
                <w:szCs w:val="20"/>
                <w:color w:val="auto"/>
              </w:rPr>
            </w:pPr>
            <w:r>
              <w:rPr>
                <w:rFonts w:ascii="Arial" w:cs="Arial" w:eastAsia="Arial" w:hAnsi="Arial"/>
                <w:sz w:val="17"/>
                <w:szCs w:val="17"/>
                <w:color w:val="auto"/>
                <w:w w:val="89"/>
              </w:rPr>
              <w:t>Former Mervyn’s Parcel</w:t>
            </w:r>
          </w:p>
        </w:tc>
        <w:tc>
          <w:tcPr>
            <w:tcW w:w="88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Escondido, CA</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75,000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11.2(2)</w:t>
            </w:r>
          </w:p>
        </w:tc>
      </w:tr>
      <w:tr>
        <w:trPr>
          <w:trHeight w:val="220"/>
        </w:trPr>
        <w:tc>
          <w:tcPr>
            <w:tcW w:w="1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00" w:type="dxa"/>
            <w:vAlign w:val="bottom"/>
          </w:tcPr>
          <w:p>
            <w:pPr>
              <w:ind w:left="60"/>
              <w:spacing w:after="0"/>
              <w:rPr>
                <w:sz w:val="20"/>
                <w:szCs w:val="20"/>
                <w:color w:val="auto"/>
              </w:rPr>
            </w:pPr>
            <w:r>
              <w:rPr>
                <w:rFonts w:ascii="Arial" w:cs="Arial" w:eastAsia="Arial" w:hAnsi="Arial"/>
                <w:sz w:val="17"/>
                <w:szCs w:val="17"/>
                <w:color w:val="auto"/>
                <w:w w:val="88"/>
              </w:rPr>
              <w:t>(Escondido Promenade)</w:t>
            </w:r>
          </w:p>
        </w:tc>
        <w:tc>
          <w:tcPr>
            <w:tcW w:w="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3"/>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22</w:t>
            </w:r>
          </w:p>
        </w:tc>
        <w:tc>
          <w:tcPr>
            <w:tcW w:w="800" w:type="dxa"/>
            <w:vAlign w:val="bottom"/>
            <w:shd w:val="clear" w:color="auto" w:fill="CCEEFF"/>
          </w:tcPr>
          <w:p>
            <w:pPr>
              <w:spacing w:after="0"/>
              <w:rPr>
                <w:sz w:val="18"/>
                <w:szCs w:val="18"/>
                <w:color w:val="auto"/>
              </w:rPr>
            </w:pPr>
          </w:p>
        </w:tc>
        <w:tc>
          <w:tcPr>
            <w:tcW w:w="1700" w:type="dxa"/>
            <w:vAlign w:val="bottom"/>
            <w:shd w:val="clear" w:color="auto" w:fill="CCEEFF"/>
          </w:tcPr>
          <w:p>
            <w:pPr>
              <w:ind w:left="60"/>
              <w:spacing w:after="0"/>
              <w:rPr>
                <w:sz w:val="20"/>
                <w:szCs w:val="20"/>
                <w:color w:val="auto"/>
              </w:rPr>
            </w:pPr>
            <w:r>
              <w:rPr>
                <w:rFonts w:ascii="Arial" w:cs="Arial" w:eastAsia="Arial" w:hAnsi="Arial"/>
                <w:sz w:val="17"/>
                <w:szCs w:val="17"/>
                <w:color w:val="auto"/>
              </w:rPr>
              <w:t>Pentagon Row</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Arlington, VA</w:t>
            </w:r>
          </w:p>
        </w:tc>
        <w:tc>
          <w:tcPr>
            <w:tcW w:w="8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N/A</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8.5(3)</w:t>
            </w:r>
          </w:p>
        </w:tc>
      </w:tr>
      <w:tr>
        <w:trPr>
          <w:trHeight w:val="211"/>
        </w:trPr>
        <w:tc>
          <w:tcPr>
            <w:tcW w:w="2840" w:type="dxa"/>
            <w:vAlign w:val="bottom"/>
            <w:gridSpan w:val="2"/>
          </w:tcPr>
          <w:p>
            <w:pPr>
              <w:spacing w:after="0"/>
              <w:rPr>
                <w:sz w:val="20"/>
                <w:szCs w:val="20"/>
                <w:color w:val="auto"/>
              </w:rPr>
            </w:pPr>
            <w:r>
              <w:rPr>
                <w:rFonts w:ascii="Arial" w:cs="Arial" w:eastAsia="Arial" w:hAnsi="Arial"/>
                <w:sz w:val="17"/>
                <w:szCs w:val="17"/>
                <w:color w:val="auto"/>
              </w:rPr>
              <w:t>December 27</w:t>
            </w:r>
          </w:p>
        </w:tc>
        <w:tc>
          <w:tcPr>
            <w:tcW w:w="80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7"/>
                <w:szCs w:val="17"/>
                <w:color w:val="auto"/>
              </w:rPr>
              <w:t>Bethesda Row</w:t>
            </w:r>
          </w:p>
        </w:tc>
        <w:tc>
          <w:tcPr>
            <w:tcW w:w="88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7"/>
                <w:szCs w:val="17"/>
                <w:color w:val="auto"/>
              </w:rPr>
              <w:t>Bethesda, MD</w:t>
            </w:r>
          </w:p>
        </w:tc>
        <w:tc>
          <w:tcPr>
            <w:tcW w:w="8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N/A</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9.4(4)</w:t>
            </w:r>
          </w:p>
        </w:tc>
      </w:tr>
      <w:tr>
        <w:trPr>
          <w:trHeight w:val="206"/>
        </w:trPr>
        <w:tc>
          <w:tcPr>
            <w:tcW w:w="1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0" w:type="dxa"/>
            <w:vAlign w:val="bottom"/>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149,000</w:t>
            </w:r>
          </w:p>
        </w:tc>
        <w:tc>
          <w:tcPr>
            <w:tcW w:w="88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240" w:type="dxa"/>
            <w:vAlign w:val="bottom"/>
            <w:shd w:val="clear" w:color="auto" w:fill="CCEEFF"/>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17" w:lineRule="exact"/>
        <w:rPr>
          <w:sz w:val="20"/>
          <w:szCs w:val="20"/>
          <w:color w:val="auto"/>
        </w:rPr>
      </w:pPr>
    </w:p>
    <w:p>
      <w:pPr>
        <w:jc w:val="both"/>
        <w:ind w:left="460" w:right="40" w:hanging="457"/>
        <w:spacing w:after="0" w:line="27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acquired the leasehold interest in this property. Approximately $9.2 million of net assets acquired were allocated to other assets for “above market leases” and a “below market ground lease” for which we are the lessee. Approximately $1.7 million of net assets acquired were allocated to liabilities for “below market leases”. We incurred approximately $0.3 million of acquisition costs which are included in “general and administrative expenses”.</w:t>
      </w:r>
    </w:p>
    <w:p>
      <w:pPr>
        <w:ind w:left="460" w:hanging="457"/>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property is adjacent to and operated as part of Escondido Promenade which is owned through a partnership in which we own the controlling interest.</w:t>
      </w:r>
    </w:p>
    <w:p>
      <w:pPr>
        <w:spacing w:after="0" w:line="21" w:lineRule="exact"/>
        <w:rPr>
          <w:rFonts w:ascii="Arial" w:cs="Arial" w:eastAsia="Arial" w:hAnsi="Arial"/>
          <w:sz w:val="16"/>
          <w:szCs w:val="16"/>
          <w:color w:val="auto"/>
        </w:rPr>
      </w:pPr>
    </w:p>
    <w:p>
      <w:pPr>
        <w:ind w:left="460" w:right="100" w:hanging="457"/>
        <w:spacing w:after="0" w:line="286"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We and a subsidiary of Post Properties, Inc. (“Post”) purchased the fee interest in the land under Pentagon Row. The land was purchased as a result of a favorable outcome to litigation. In September 2008, we and Post sued Vornado Realty Trust and related entities (“Vornado”) for breach of contract in the Circuit Court of Arlington County, Virginia. The breach of contract was a result of Vornado’s acquiring in transactions in 2005 and 2007 the fee interest in the land under our Pentagon Row project without first giving us and Post the opportunity to purchase the fee interest in that land as required by the right of first offer (“ROFO”) provisions included in the documentation relating to the Pentagon Row project. On April 30, 2010, the judge in this case issued a ruling that Vornado failed to comply with the ROFO and as a result, breached the contract, and ordered Vornado to sell to us and Post, collectively, the land under Pentagon Row. Vornado appealed the ruling, however, the appeal was denied in November 2010. As part of the acquisition of the land and termination of the respective ground lease, we were relieved of our deferred ground rent liability for approximately $8.8 million. The liability was offset against the purchase price with the excess of the liability over the purchase price of $0.3 million included in the statement of operations as an adjustment to rental expense.</w:t>
      </w:r>
    </w:p>
    <w:p>
      <w:pPr>
        <w:ind w:left="460" w:right="100" w:hanging="457"/>
        <w:spacing w:after="0" w:line="264"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acquired the fee interest in approximately 2.1 acres of land under Bethesda Row. Prior to the transaction, the land parcel was owned pursuant to a ground lease and encumbered by a capital lease obligation which was terminated as part of the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$0.4 million gain on sale of real estate relates to condemnation proceeds, net of costs, at one of our Northern Virginia properties in order to expand a local road.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December 2010, we committed to a plan of sale for two buildings on Fifth Avenue in San Diego, California. As the buildings met the criteria to be classified as held for sale, we recognized a $0.4 million loss to write down one of the buildings to its expected sales price less cost to sell. We expect the sales will be completed in 2011. The operations of the buildings have been reclassified as discontinued operations in the consolidated statements of operations for all years presented and included in “assets held for sale” in our consolidated balance sheets.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2009 Significant Acquisitions and Dispositions</w:t>
      </w:r>
    </w:p>
    <w:p>
      <w:pPr>
        <w:spacing w:after="0" w:line="87" w:lineRule="exact"/>
        <w:rPr>
          <w:sz w:val="20"/>
          <w:szCs w:val="20"/>
          <w:color w:val="auto"/>
        </w:rPr>
      </w:pPr>
    </w:p>
    <w:p>
      <w:pPr>
        <w:ind w:right="480"/>
        <w:spacing w:after="0" w:line="342"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included an option for the tenant to purchase the fee interest. The sales price was $2.1 million and resulted in a gain of $0.4 million.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5"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On October 16, 2009, we acquired 16.6 acres of riverfront property at Assembly Row in Somerville, Massachusetts, for use in future development, in exchange for the sale of 12.4 acres of adjacent inland land, $3 million in cash, and the assumption of a $5 million liability. The purchase price of the riverfront parcel was determined to be $33.1 million based on current fair value calculations. The sale of the inland land resulted in no gain or loss on sale as the fair value of the consideration exchanged equaled the cost basis of the land sold.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MORTGAGE NOTES RECEIVABLE</w:t>
      </w:r>
    </w:p>
    <w:p>
      <w:pPr>
        <w:spacing w:after="0" w:line="9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At December 31, 2010 and 2009, we had four mortgage notes receivable with an aggregate carrying amount of $44.8 million and $48.3 million, respectively. Approximately $33.0 million and $29.1 million of the loans are secured by first mortgages on retail buildings at December 31, 2010 and 2009, respectively. One of the loans, which is secured by a second mortgage on a hotel at our Santana Row property, was considered impaired when it was amended in August 2006. At December 31, 2010 and 2009, the loan has an outstanding face amount of $15.0 million and $ 15.5 million, respectively, and is carried net of a valuation allowance of $3.2 million and $3.7 million, respectively. At December 31, 2010 and 2009, our mortgages (excluding mortgages in default at the balance sheet date as further discussed below) had a weighted average interest rate of 9.9%. Under the terms of certain of these mortgages, we receive additional interest based upon the gross income of the secured properties and upon sale, share in the appreciation of the properties.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March 30, 2010, we acquired the first mortgage loan on a shopping center located in Norwalk, Connecticut. The first mortgage loan bears interest at 7.25%, matures on September 1, 2032, and as of December 31, 2010, had an outstanding contractual principal balance of $11.3 million. Since November 5, 2008, we have held the second mortgage on this shopping center and a first mortgage on an adjacent commercial building which had an outstanding balance of $7.4 million at December 31, 2010. All of these loans are currently in default and foreclosure proceedings have been filed.</w:t>
      </w:r>
    </w:p>
    <w:p>
      <w:pPr>
        <w:spacing w:after="0" w:line="133"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We reached an agreement with the borrower whereby the borrower would repay the loans by March 29, 2011, and are currently in negotiations with the borrower to modify the loans. If the loans are not modified or the borrower fails to repay the loans at that time, we will be entitled to receive a deed-in-lieu of foreclosure for both properties. If we acquire the properties through the exercise of the deed-in-lieu of foreclosure, we believe the fair value of the properties approximates our carrying amount of these loans which are on non-accrual status.</w:t>
      </w:r>
    </w:p>
    <w:p>
      <w:pPr>
        <w:spacing w:after="0" w:line="133"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Because the loans are in default, we have certain rights under the first mortgage loan agreement that give us the ability to direct the activities that most significantly impact the shopping center. Although we are not currently exercising and do not expect to exercise those rights, the existence of those rights in the loan agreement results in the entity being a VIE. Additionally, given our investment in both the first and second mortgage on the property, the overall decline in fair market value since the loans were initiated, and the current default status of the loans, we also have the obligation to absorb losses or rights to receive benefits that could potentially be significant to the VIE. Consequently, we have determined we are the primary beneficiary of this VIE and consolidated the shopping center and adjacent building as of March 30, 2010. Therefore, our investment in the property of approximately $18.3 million is included in “real estate” in the consolidated balance sheet as of December 31, 2010. However, given our position as lender, creditors of this VIE do not have recourse to our general credit.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REAL ESTATE PARTNERSHIPS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Federal/Lion Venture LP</w:t>
      </w:r>
    </w:p>
    <w:p>
      <w:pPr>
        <w:spacing w:after="0" w:line="87" w:lineRule="exact"/>
        <w:rPr>
          <w:sz w:val="20"/>
          <w:szCs w:val="20"/>
          <w:color w:val="auto"/>
        </w:rPr>
      </w:pPr>
    </w:p>
    <w:p>
      <w:pPr>
        <w:ind w:right="140"/>
        <w:spacing w:after="0" w:line="342" w:lineRule="auto"/>
        <w:rPr>
          <w:sz w:val="20"/>
          <w:szCs w:val="20"/>
          <w:color w:val="auto"/>
        </w:rPr>
      </w:pPr>
      <w:r>
        <w:rPr>
          <w:rFonts w:ascii="Arial" w:cs="Arial" w:eastAsia="Arial" w:hAnsi="Arial"/>
          <w:sz w:val="15"/>
          <w:szCs w:val="15"/>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5"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substantive participating rights. We cannot make significant decisions without Clarion’s approval. Accordingly, we account for our interest in the Partnership using the equity method. As of December 31, 2010, the Partnership owned seven retail real estate properties. We are the manager of the Partnership and its properties, earning fees for acquisitions, dispositions, management, leasing, and financing. Intercompany profit generated from the fees is eliminated in consolidation. We also have the opportunity to receive performance-based earnings through our Partnership interest. The Partnership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As of December 31, 2010, we have made total contributions of $42.1 million and received total distributions of $9.9 million. The following tables provide summarized operating results and the financial position of the Partnership: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8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12"/>
          </w:tcPr>
          <w:p>
            <w:pPr>
              <w:jc w:val="right"/>
              <w:ind w:right="7"/>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8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61"/>
              <w:spacing w:after="0" w:line="134" w:lineRule="exact"/>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2009</w:t>
            </w:r>
          </w:p>
        </w:tc>
        <w:tc>
          <w:tcPr>
            <w:tcW w:w="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3"/>
                <w:szCs w:val="13"/>
                <w:b w:val="1"/>
                <w:bCs w:val="1"/>
                <w:color w:val="auto"/>
                <w:w w:val="96"/>
              </w:rPr>
              <w:t>2008</w:t>
            </w: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right"/>
              <w:spacing w:after="0" w:line="134" w:lineRule="exact"/>
              <w:rPr>
                <w:sz w:val="20"/>
                <w:szCs w:val="20"/>
                <w:color w:val="auto"/>
              </w:rPr>
            </w:pPr>
            <w:r>
              <w:rPr>
                <w:rFonts w:ascii="Arial" w:cs="Arial" w:eastAsia="Arial" w:hAnsi="Arial"/>
                <w:sz w:val="13"/>
                <w:szCs w:val="13"/>
                <w:b w:val="1"/>
                <w:bCs w:val="1"/>
                <w:color w:val="auto"/>
                <w:w w:val="73"/>
              </w:rPr>
              <w:t>(In thousands)</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OPERATING RESULTS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18,639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w w:val="84"/>
              </w:rPr>
              <w:t>19,109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7"/>
                <w:szCs w:val="17"/>
                <w:color w:val="auto"/>
                <w:w w:val="84"/>
              </w:rPr>
              <w:t>19,111</w:t>
            </w: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ind w:left="420"/>
              <w:spacing w:after="0"/>
              <w:rPr>
                <w:sz w:val="20"/>
                <w:szCs w:val="20"/>
                <w:color w:val="auto"/>
              </w:rPr>
            </w:pPr>
            <w:r>
              <w:rPr>
                <w:rFonts w:ascii="Arial" w:cs="Arial" w:eastAsia="Arial" w:hAnsi="Arial"/>
                <w:sz w:val="17"/>
                <w:szCs w:val="17"/>
                <w:color w:val="auto"/>
              </w:rPr>
              <w:t>Other operating expenses</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6,149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6,019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5,185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4,998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4,792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82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4,430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expenses</w:t>
            </w: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14,595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15,447</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14,514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82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4,044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7"/>
                <w:szCs w:val="17"/>
                <w:color w:val="auto"/>
                <w:w w:val="84"/>
              </w:rPr>
              <w:t>$</w:t>
            </w:r>
          </w:p>
        </w:tc>
        <w:tc>
          <w:tcPr>
            <w:tcW w:w="640" w:type="dxa"/>
            <w:vAlign w:val="bottom"/>
            <w:gridSpan w:val="3"/>
          </w:tcPr>
          <w:p>
            <w:pPr>
              <w:jc w:val="right"/>
              <w:ind w:right="180"/>
              <w:spacing w:after="0"/>
              <w:rPr>
                <w:sz w:val="20"/>
                <w:szCs w:val="20"/>
                <w:color w:val="auto"/>
              </w:rPr>
            </w:pPr>
            <w:r>
              <w:rPr>
                <w:rFonts w:ascii="Arial" w:cs="Arial" w:eastAsia="Arial" w:hAnsi="Arial"/>
                <w:sz w:val="17"/>
                <w:szCs w:val="17"/>
                <w:color w:val="auto"/>
              </w:rPr>
              <w:t>3,662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4,597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Our share of net income from real estate partnership</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1,612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ind w:left="120"/>
              <w:spacing w:after="0" w:line="134"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3"/>
          </w:tcPr>
          <w:p>
            <w:pPr>
              <w:jc w:val="right"/>
              <w:ind w:right="138"/>
              <w:spacing w:after="0" w:line="134" w:lineRule="exact"/>
              <w:rPr>
                <w:sz w:val="20"/>
                <w:szCs w:val="20"/>
                <w:color w:val="auto"/>
              </w:rPr>
            </w:pPr>
            <w:r>
              <w:rPr>
                <w:rFonts w:ascii="Arial" w:cs="Arial" w:eastAsia="Arial" w:hAnsi="Arial"/>
                <w:sz w:val="13"/>
                <w:szCs w:val="13"/>
                <w:b w:val="1"/>
                <w:bCs w:val="1"/>
                <w:color w:val="auto"/>
              </w:rPr>
              <w:t>2009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1"/>
              <w:spacing w:after="0" w:line="134" w:lineRule="exact"/>
              <w:rPr>
                <w:sz w:val="20"/>
                <w:szCs w:val="20"/>
                <w:color w:val="auto"/>
              </w:rPr>
            </w:pPr>
            <w:r>
              <w:rPr>
                <w:rFonts w:ascii="Arial" w:cs="Arial" w:eastAsia="Arial" w:hAnsi="Arial"/>
                <w:sz w:val="13"/>
                <w:szCs w:val="13"/>
                <w:b w:val="1"/>
                <w:bCs w:val="1"/>
                <w:color w:val="auto"/>
              </w:rPr>
              <w:t>(In</w:t>
            </w:r>
          </w:p>
        </w:tc>
        <w:tc>
          <w:tcPr>
            <w:tcW w:w="600" w:type="dxa"/>
            <w:vAlign w:val="bottom"/>
            <w:gridSpan w:val="6"/>
          </w:tcPr>
          <w:p>
            <w:pPr>
              <w:jc w:val="right"/>
              <w:spacing w:after="0" w:line="134" w:lineRule="exact"/>
              <w:rPr>
                <w:sz w:val="20"/>
                <w:szCs w:val="20"/>
                <w:color w:val="auto"/>
              </w:rPr>
            </w:pPr>
            <w:r>
              <w:rPr>
                <w:rFonts w:ascii="Arial" w:cs="Arial" w:eastAsia="Arial" w:hAnsi="Arial"/>
                <w:sz w:val="13"/>
                <w:szCs w:val="13"/>
                <w:b w:val="1"/>
                <w:bCs w:val="1"/>
                <w:color w:val="auto"/>
                <w:w w:val="77"/>
              </w:rPr>
              <w:t>thousands)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BALANCE SHEETS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Real estate, net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4"/>
              </w:rPr>
              <w:t>181,565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7"/>
                <w:szCs w:val="17"/>
                <w:color w:val="auto"/>
                <w:w w:val="91"/>
              </w:rPr>
              <w:t>183,757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3,054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2,959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7,336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6,853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$ 191,955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w w:val="91"/>
              </w:rPr>
              <w:t>193,569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7"/>
                <w:szCs w:val="17"/>
                <w:color w:val="auto"/>
              </w:rPr>
              <w:t>Mortgages payable</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57,584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7"/>
                <w:szCs w:val="17"/>
                <w:color w:val="auto"/>
              </w:rPr>
              <w:t>57,780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5,439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6,101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Partners’ capital</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w w:val="94"/>
              </w:rPr>
              <w:t>128,932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7"/>
                <w:szCs w:val="17"/>
                <w:color w:val="auto"/>
                <w:w w:val="91"/>
              </w:rPr>
              <w:t>129,688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and partners’ capital</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$ 191,955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w w:val="91"/>
              </w:rPr>
              <w:t>193,569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7"/>
                <w:szCs w:val="17"/>
                <w:color w:val="auto"/>
              </w:rPr>
              <w:t>Our share of unconsolidated debt</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17,275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tcPr>
          <w:p>
            <w:pPr>
              <w:jc w:val="right"/>
              <w:ind w:right="40"/>
              <w:spacing w:after="0"/>
              <w:rPr>
                <w:sz w:val="20"/>
                <w:szCs w:val="20"/>
                <w:color w:val="auto"/>
              </w:rPr>
            </w:pPr>
            <w:r>
              <w:rPr>
                <w:rFonts w:ascii="Arial" w:cs="Arial" w:eastAsia="Arial" w:hAnsi="Arial"/>
                <w:sz w:val="17"/>
                <w:szCs w:val="17"/>
                <w:color w:val="auto"/>
              </w:rPr>
              <w:t>17,334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Our investment in real estate partnership</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35,504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35,633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On December 1, 2009, the Partnership repaid $23.4 million of mortgage loans secured by two properties on their maturity dates. Both partners made additional capital contributions totaling $23.4 million to repay the mortgage loans, of which our contribution was $7.0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Taurus Newbury Street JV II Limited Partnership</w:t>
      </w:r>
    </w:p>
    <w:p>
      <w:pPr>
        <w:spacing w:after="0" w:line="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2010, we formed Taurus Newbury Street JV II Limited Partnership (“Newbury Street Partnership”), a joint venture limited partnership with an affiliate of Taurus Investment Holdings, LLC (“Taurus”), which plans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5"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to acquire, operate and redevelop up to $200 million of properties located primarily in the Back Bay section of Boston, Massachusetts. We hold an 85% limited partnership interest in Newbury Street Partnership and Taurus holds a 15% limited partnership interest and serves as general partner. As general partner, Taurus is responsible for the operation and management of the properties, subject to our approval on major decisions. We have evaluated the entity and determined that it is not a VIE. Accordingly, given Taurus’ role as general partner, we account for our interest in Newbury Street Partnership using the equity method. During 2010, we recorded expenses of approximately $0.2 million related to our share of formation costs of Newbury Street Partnership.</w:t>
      </w:r>
    </w:p>
    <w:p>
      <w:pPr>
        <w:spacing w:after="0" w:line="120"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Newbury Street Partnership is subject to a buy-sell provision which is customary for real estate joint venture agreements and the industry. The buy-sell can be exercised only in certain circumstances through May 2014 and may be initiated by either party at anytime thereafter which could result in either the sale of our interest or the use of available cash or borrowings to acquire Taurus’ interest.</w:t>
      </w:r>
    </w:p>
    <w:p>
      <w:pPr>
        <w:spacing w:after="0" w:line="12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On May 26, 2010, Newbury Street Partnership acquired the fee interest in two buildings located on Newbury Street in Boston, Massachusetts for a purchase price of $17.5 million. The properties include approximately 32,000 square feet of retail and office space. A significant portion of the office space was vacant when the properties were acquired and is currently being leased up. We contributed $7.8 million towards this acquisition and provided an $8.8 million interest-only loan secured by the two buildings. The loan matures in May 2012, subject to a one-year extension option, and bears interest at 30-day LIBOR plus 400 basis points. Intercompany profit generated from interest income on the loan is eliminated in consolidation. All amounts contributed and advanced to Newbury Street Partnership are included in “Investment in real estate partnerships” in the consolidated balance sheet. During 2010, we recorded approximately $0.2 million related to our share of acquisition related costs.</w:t>
      </w:r>
    </w:p>
    <w:p>
      <w:pPr>
        <w:spacing w:after="0" w:line="107" w:lineRule="exact"/>
        <w:rPr>
          <w:sz w:val="20"/>
          <w:szCs w:val="20"/>
          <w:color w:val="auto"/>
        </w:rPr>
      </w:pPr>
    </w:p>
    <w:p>
      <w:pPr>
        <w:ind w:right="300"/>
        <w:spacing w:after="0" w:line="263" w:lineRule="auto"/>
        <w:rPr>
          <w:sz w:val="20"/>
          <w:szCs w:val="20"/>
          <w:color w:val="auto"/>
        </w:rPr>
      </w:pPr>
      <w:r>
        <w:rPr>
          <w:rFonts w:ascii="Arial" w:cs="Arial" w:eastAsia="Arial" w:hAnsi="Arial"/>
          <w:sz w:val="17"/>
          <w:szCs w:val="17"/>
          <w:color w:val="auto"/>
        </w:rPr>
        <w:t>Due to the timing of receiving financial information from the general partner, our share of operating earnings is recorded one quarter in arrears. Consequently, the following tables provide summarized operating results from formation through September 30, 2010, and the financial position of the Newbury Street Partnership as of September 30, 2010: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OPERATING RESULTS </w:t>
            </w:r>
            <w:r>
              <w:rPr>
                <w:rFonts w:ascii="Arial" w:cs="Arial" w:eastAsia="Arial" w:hAnsi="Arial"/>
                <w:sz w:val="17"/>
                <w:szCs w:val="17"/>
                <w:i w:val="1"/>
                <w:iCs w:val="1"/>
                <w:color w:val="auto"/>
              </w:rPr>
              <w:t>(in thousands)</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Revenue</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420"/>
              <w:spacing w:after="0"/>
              <w:rPr>
                <w:sz w:val="20"/>
                <w:szCs w:val="20"/>
                <w:color w:val="auto"/>
              </w:rPr>
            </w:pPr>
            <w:r>
              <w:rPr>
                <w:rFonts w:ascii="Arial" w:cs="Arial" w:eastAsia="Arial" w:hAnsi="Arial"/>
                <w:sz w:val="17"/>
                <w:szCs w:val="17"/>
                <w:color w:val="auto"/>
              </w:rPr>
              <w:t>Other operating expenses</w:t>
            </w: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ind w:left="420"/>
              <w:spacing w:after="0"/>
              <w:rPr>
                <w:sz w:val="20"/>
                <w:szCs w:val="20"/>
                <w:color w:val="auto"/>
              </w:rPr>
            </w:pPr>
            <w:r>
              <w:rPr>
                <w:rFonts w:ascii="Arial" w:cs="Arial" w:eastAsia="Arial" w:hAnsi="Arial"/>
                <w:sz w:val="17"/>
                <w:szCs w:val="17"/>
                <w:color w:val="auto"/>
              </w:rPr>
              <w:t>Interest expense</w:t>
            </w:r>
          </w:p>
        </w:tc>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Acquisition and formation expenses</w:t>
            </w:r>
          </w:p>
        </w:tc>
        <w:tc>
          <w:tcPr>
            <w:tcW w:w="6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Total expenses</w:t>
            </w:r>
          </w:p>
        </w:tc>
        <w:tc>
          <w:tcPr>
            <w:tcW w:w="6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7"/>
                <w:szCs w:val="17"/>
                <w:color w:val="auto"/>
              </w:rPr>
              <w:t>Our share of net loss from real estate partnership</w:t>
            </w: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4400" w:type="dxa"/>
            <w:vAlign w:val="bottom"/>
          </w:tcPr>
          <w:p>
            <w:pPr>
              <w:spacing w:after="0"/>
              <w:rPr>
                <w:sz w:val="4"/>
                <w:szCs w:val="4"/>
                <w:color w:val="auto"/>
              </w:rPr>
            </w:pPr>
          </w:p>
        </w:tc>
        <w:tc>
          <w:tcPr>
            <w:tcW w:w="6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BALANCE SHEET </w:t>
            </w:r>
            <w:r>
              <w:rPr>
                <w:rFonts w:ascii="Arial" w:cs="Arial" w:eastAsia="Arial" w:hAnsi="Arial"/>
                <w:sz w:val="17"/>
                <w:szCs w:val="17"/>
                <w:i w:val="1"/>
                <w:iCs w:val="1"/>
                <w:color w:val="auto"/>
              </w:rPr>
              <w:t>(in thousands)</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Real estate, net</w:t>
            </w: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17,140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7"/>
                <w:szCs w:val="17"/>
                <w:color w:val="auto"/>
              </w:rPr>
              <w:t>Other assets</w:t>
            </w:r>
          </w:p>
        </w:tc>
        <w:tc>
          <w:tcPr>
            <w:tcW w:w="6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w:t>
            </w:r>
          </w:p>
        </w:tc>
        <w:tc>
          <w:tcPr>
            <w:tcW w:w="6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17,890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7"/>
                <w:szCs w:val="17"/>
                <w:color w:val="auto"/>
              </w:rPr>
              <w:t>Mortgages payable</w:t>
            </w: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6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8,750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7"/>
                <w:szCs w:val="17"/>
                <w:color w:val="auto"/>
              </w:rPr>
              <w:t>Partners’ capital</w:t>
            </w:r>
          </w:p>
        </w:tc>
        <w:tc>
          <w:tcPr>
            <w:tcW w:w="6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and partners’ capital</w:t>
            </w:r>
          </w:p>
        </w:tc>
        <w:tc>
          <w:tcPr>
            <w:tcW w:w="6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17,890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7"/>
                <w:szCs w:val="17"/>
                <w:color w:val="auto"/>
              </w:rPr>
              <w:t>Our investment in real estate partnership</w:t>
            </w: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vMerge w:val="continue"/>
          </w:tcPr>
          <w:p>
            <w:pPr>
              <w:spacing w:after="0"/>
              <w:rPr>
                <w:sz w:val="17"/>
                <w:szCs w:val="17"/>
                <w:color w:val="auto"/>
              </w:rPr>
            </w:pPr>
          </w:p>
        </w:tc>
        <w:tc>
          <w:tcPr>
            <w:tcW w:w="63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16,102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400" w:type="dxa"/>
            <w:vAlign w:val="bottom"/>
          </w:tcPr>
          <w:p>
            <w:pPr>
              <w:spacing w:after="0"/>
              <w:rPr>
                <w:sz w:val="24"/>
                <w:szCs w:val="24"/>
                <w:color w:val="auto"/>
              </w:rPr>
            </w:pPr>
          </w:p>
        </w:tc>
        <w:tc>
          <w:tcPr>
            <w:tcW w:w="6460" w:type="dxa"/>
            <w:vAlign w:val="bottom"/>
            <w:gridSpan w:val="2"/>
          </w:tcPr>
          <w:p>
            <w:pPr>
              <w:jc w:val="right"/>
              <w:ind w:right="4896"/>
              <w:spacing w:after="0"/>
              <w:rPr>
                <w:sz w:val="20"/>
                <w:szCs w:val="20"/>
                <w:color w:val="auto"/>
              </w:rPr>
            </w:pPr>
            <w:r>
              <w:rPr>
                <w:rFonts w:ascii="Arial" w:cs="Arial" w:eastAsia="Arial" w:hAnsi="Arial"/>
                <w:sz w:val="17"/>
                <w:szCs w:val="17"/>
                <w:color w:val="auto"/>
              </w:rPr>
              <w:t>F-19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ACQUIRED IN-PLACE LEASES</w:t>
      </w:r>
    </w:p>
    <w:p>
      <w:pPr>
        <w:spacing w:after="0" w:line="9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$20.6 million and $18.4 million and accumulated amortization of $9.9 million and $8.3 million at December 31, 2010 and 2009, respectively. Acquired below market leases are included in other liabilities and deferred credits and had a balance of $53.9 million and $52.8 million and accumulated amortization of $23.5 million and $20.5 million at December 31, 2010 and 2009, respectively. The value allocated to in-place leases is amortized over the related lease term and reflected as additional rental income for below market leases or a reduction of rental income for above market leases in the statement of operations. Rental income included net amortization from acquired in-place leases of $1.6 million, $1.7 million and $2.2 million in 2010, 2009 and 2008, respectively. The remaining weighted-average amortization period as of December 31, 2010, is 7.7 years and 14 years for above market leases and below market leases,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The amortization for acquired in-place leases during the next five years and thereafter, assuming no early lease terminations,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w w:val="91"/>
              </w:rPr>
              <w:t>Above Market</w:t>
            </w:r>
          </w:p>
        </w:tc>
        <w:tc>
          <w:tcPr>
            <w:tcW w:w="8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Below Market</w:t>
            </w: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39"/>
              <w:spacing w:after="0"/>
              <w:rPr>
                <w:sz w:val="20"/>
                <w:szCs w:val="20"/>
                <w:color w:val="auto"/>
              </w:rPr>
            </w:pPr>
            <w:r>
              <w:rPr>
                <w:rFonts w:ascii="Arial" w:cs="Arial" w:eastAsia="Arial" w:hAnsi="Arial"/>
                <w:sz w:val="13"/>
                <w:szCs w:val="13"/>
                <w:b w:val="1"/>
                <w:bCs w:val="1"/>
                <w:color w:val="auto"/>
                <w:w w:val="90"/>
              </w:rPr>
              <w:t>Leases</w:t>
            </w:r>
          </w:p>
        </w:tc>
        <w:tc>
          <w:tcPr>
            <w:tcW w:w="8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1"/>
              </w:rPr>
              <w:t>(In thousands)</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6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7"/>
                <w:szCs w:val="17"/>
                <w:color w:val="auto"/>
              </w:rPr>
              <w:t>2011</w:t>
            </w:r>
          </w:p>
        </w:tc>
        <w:tc>
          <w:tcPr>
            <w:tcW w:w="5380" w:type="dxa"/>
            <w:vAlign w:val="bottom"/>
            <w:gridSpan w:val="2"/>
          </w:tcPr>
          <w:p>
            <w:pPr>
              <w:ind w:left="52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1,907</w:t>
            </w:r>
          </w:p>
        </w:tc>
        <w:tc>
          <w:tcPr>
            <w:tcW w:w="10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3,190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7"/>
                <w:szCs w:val="17"/>
                <w:color w:val="auto"/>
              </w:rPr>
              <w:t>2013</w:t>
            </w: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1,212</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2,548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5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7"/>
                <w:szCs w:val="17"/>
                <w:color w:val="auto"/>
              </w:rPr>
              <w:t>2015</w:t>
            </w:r>
          </w:p>
        </w:tc>
        <w:tc>
          <w:tcPr>
            <w:tcW w:w="5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1,133</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5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3,772</w:t>
            </w:r>
          </w:p>
        </w:tc>
        <w:tc>
          <w:tcPr>
            <w:tcW w:w="8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8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10,709</w:t>
            </w:r>
          </w:p>
        </w:tc>
        <w:tc>
          <w:tcPr>
            <w:tcW w:w="10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680" w:type="dxa"/>
            <w:vAlign w:val="bottom"/>
          </w:tcPr>
          <w:p>
            <w:pPr>
              <w:spacing w:after="0"/>
              <w:rPr>
                <w:sz w:val="24"/>
                <w:szCs w:val="24"/>
                <w:color w:val="auto"/>
              </w:rPr>
            </w:pPr>
          </w:p>
        </w:tc>
        <w:tc>
          <w:tcPr>
            <w:tcW w:w="5380" w:type="dxa"/>
            <w:vAlign w:val="bottom"/>
            <w:gridSpan w:val="2"/>
          </w:tcPr>
          <w:p>
            <w:pPr>
              <w:ind w:left="1880"/>
              <w:spacing w:after="0"/>
              <w:rPr>
                <w:sz w:val="20"/>
                <w:szCs w:val="20"/>
                <w:color w:val="auto"/>
              </w:rPr>
            </w:pPr>
            <w:r>
              <w:rPr>
                <w:rFonts w:ascii="Arial" w:cs="Arial" w:eastAsia="Arial" w:hAnsi="Arial"/>
                <w:sz w:val="17"/>
                <w:szCs w:val="17"/>
                <w:color w:val="auto"/>
              </w:rPr>
              <w:t>F-20</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our total debt outstanding as of December 31, 2010 and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6"/>
            <w:vMerge w:val="restart"/>
          </w:tcPr>
          <w:p>
            <w:pPr>
              <w:jc w:val="right"/>
              <w:ind w:right="620"/>
              <w:spacing w:after="0"/>
              <w:rPr>
                <w:sz w:val="20"/>
                <w:szCs w:val="20"/>
                <w:color w:val="auto"/>
              </w:rPr>
            </w:pPr>
            <w:r>
              <w:rPr>
                <w:rFonts w:ascii="Arial" w:cs="Arial" w:eastAsia="Arial" w:hAnsi="Arial"/>
                <w:sz w:val="13"/>
                <w:szCs w:val="13"/>
                <w:b w:val="1"/>
                <w:bCs w:val="1"/>
                <w:color w:val="auto"/>
              </w:rPr>
              <w:t>Principal Balance as of</w:t>
            </w:r>
          </w:p>
        </w:tc>
        <w:tc>
          <w:tcPr>
            <w:tcW w:w="14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Stated</w:t>
            </w: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140" w:type="dxa"/>
            <w:vAlign w:val="bottom"/>
          </w:tcPr>
          <w:p>
            <w:pPr>
              <w:spacing w:after="0"/>
              <w:rPr>
                <w:sz w:val="6"/>
                <w:szCs w:val="6"/>
                <w:color w:val="auto"/>
              </w:rPr>
            </w:pPr>
          </w:p>
        </w:tc>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gridSpan w:val="6"/>
            <w:vMerge w:val="continue"/>
          </w:tcPr>
          <w:p>
            <w:pPr>
              <w:spacing w:after="0"/>
              <w:rPr>
                <w:sz w:val="6"/>
                <w:szCs w:val="6"/>
                <w:color w:val="auto"/>
              </w:rPr>
            </w:pPr>
          </w:p>
        </w:tc>
        <w:tc>
          <w:tcPr>
            <w:tcW w:w="1420" w:type="dxa"/>
            <w:vAlign w:val="bottom"/>
            <w:gridSpan w:val="2"/>
            <w:vMerge w:val="restart"/>
          </w:tcPr>
          <w:p>
            <w:pPr>
              <w:jc w:val="center"/>
              <w:ind w:right="420"/>
              <w:spacing w:after="0" w:line="141" w:lineRule="exact"/>
              <w:rPr>
                <w:sz w:val="20"/>
                <w:szCs w:val="20"/>
                <w:color w:val="auto"/>
              </w:rPr>
            </w:pPr>
            <w:r>
              <w:rPr>
                <w:rFonts w:ascii="Arial" w:cs="Arial" w:eastAsia="Arial" w:hAnsi="Arial"/>
                <w:sz w:val="13"/>
                <w:szCs w:val="13"/>
                <w:b w:val="1"/>
                <w:bCs w:val="1"/>
                <w:color w:val="auto"/>
                <w:w w:val="88"/>
              </w:rPr>
              <w:t>Interest Rate as of</w:t>
            </w:r>
          </w:p>
        </w:tc>
        <w:tc>
          <w:tcPr>
            <w:tcW w:w="2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gridSpan w:val="6"/>
            <w:vMerge w:val="restart"/>
          </w:tcPr>
          <w:p>
            <w:pPr>
              <w:jc w:val="right"/>
              <w:ind w:right="880"/>
              <w:spacing w:after="0"/>
              <w:rPr>
                <w:sz w:val="20"/>
                <w:szCs w:val="20"/>
                <w:color w:val="auto"/>
              </w:rPr>
            </w:pPr>
            <w:r>
              <w:rPr>
                <w:rFonts w:ascii="Arial" w:cs="Arial" w:eastAsia="Arial" w:hAnsi="Arial"/>
                <w:sz w:val="13"/>
                <w:szCs w:val="13"/>
                <w:b w:val="1"/>
                <w:bCs w:val="1"/>
                <w:color w:val="auto"/>
              </w:rPr>
              <w:t>December 31,</w:t>
            </w:r>
          </w:p>
        </w:tc>
        <w:tc>
          <w:tcPr>
            <w:tcW w:w="1420" w:type="dxa"/>
            <w:vAlign w:val="bottom"/>
            <w:gridSpan w:val="2"/>
            <w:vMerge w:val="continue"/>
          </w:tcPr>
          <w:p>
            <w:pPr>
              <w:spacing w:after="0"/>
              <w:rPr>
                <w:sz w:val="5"/>
                <w:szCs w:val="5"/>
                <w:color w:val="auto"/>
              </w:rPr>
            </w:pPr>
          </w:p>
        </w:tc>
        <w:tc>
          <w:tcPr>
            <w:tcW w:w="2620" w:type="dxa"/>
            <w:vAlign w:val="bottom"/>
            <w:gridSpan w:val="2"/>
            <w:vMerge w:val="restart"/>
          </w:tcPr>
          <w:p>
            <w:pPr>
              <w:ind w:left="1140"/>
              <w:spacing w:after="0"/>
              <w:rPr>
                <w:sz w:val="20"/>
                <w:szCs w:val="20"/>
                <w:color w:val="auto"/>
              </w:rPr>
            </w:pPr>
            <w:r>
              <w:rPr>
                <w:rFonts w:ascii="Arial" w:cs="Arial" w:eastAsia="Arial" w:hAnsi="Arial"/>
                <w:sz w:val="13"/>
                <w:szCs w:val="13"/>
                <w:b w:val="1"/>
                <w:bCs w:val="1"/>
                <w:color w:val="auto"/>
              </w:rPr>
              <w:t>Stated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1420" w:type="dxa"/>
            <w:vAlign w:val="bottom"/>
            <w:gridSpan w:val="2"/>
          </w:tcPr>
          <w:p>
            <w:pPr>
              <w:jc w:val="center"/>
              <w:ind w:right="400"/>
              <w:spacing w:after="0" w:line="109" w:lineRule="exact"/>
              <w:rPr>
                <w:sz w:val="20"/>
                <w:szCs w:val="20"/>
                <w:color w:val="auto"/>
              </w:rPr>
            </w:pPr>
            <w:r>
              <w:rPr>
                <w:rFonts w:ascii="Arial" w:cs="Arial" w:eastAsia="Arial" w:hAnsi="Arial"/>
                <w:sz w:val="12"/>
                <w:szCs w:val="12"/>
                <w:b w:val="1"/>
                <w:bCs w:val="1"/>
                <w:color w:val="auto"/>
                <w:w w:val="94"/>
              </w:rPr>
              <w:t>December 31,</w:t>
            </w:r>
          </w:p>
        </w:tc>
        <w:tc>
          <w:tcPr>
            <w:tcW w:w="2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3"/>
              </w:rPr>
              <w:t>Description of Debt</w:t>
            </w:r>
          </w:p>
        </w:tc>
        <w:tc>
          <w:tcPr>
            <w:tcW w:w="4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2010</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2010</w:t>
            </w:r>
          </w:p>
        </w:tc>
        <w:tc>
          <w:tcPr>
            <w:tcW w:w="400" w:type="dxa"/>
            <w:vAlign w:val="bottom"/>
          </w:tcPr>
          <w:p>
            <w:pPr>
              <w:spacing w:after="0"/>
              <w:rPr>
                <w:sz w:val="14"/>
                <w:szCs w:val="14"/>
                <w:color w:val="auto"/>
              </w:rPr>
            </w:pPr>
          </w:p>
        </w:tc>
        <w:tc>
          <w:tcPr>
            <w:tcW w:w="2600" w:type="dxa"/>
            <w:vAlign w:val="bottom"/>
            <w:tcBorders>
              <w:bottom w:val="single" w:sz="8" w:color="auto"/>
            </w:tcBorders>
          </w:tcPr>
          <w:p>
            <w:pPr>
              <w:jc w:val="right"/>
              <w:ind w:right="817"/>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1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(Dollars</w:t>
            </w:r>
          </w:p>
        </w:tc>
        <w:tc>
          <w:tcPr>
            <w:tcW w:w="1060" w:type="dxa"/>
            <w:vAlign w:val="bottom"/>
            <w:gridSpan w:val="4"/>
          </w:tcPr>
          <w:p>
            <w:pPr>
              <w:jc w:val="right"/>
              <w:ind w:right="217"/>
              <w:spacing w:after="0" w:line="134" w:lineRule="exact"/>
              <w:rPr>
                <w:sz w:val="20"/>
                <w:szCs w:val="20"/>
                <w:color w:val="auto"/>
              </w:rPr>
            </w:pPr>
            <w:r>
              <w:rPr>
                <w:rFonts w:ascii="Arial" w:cs="Arial" w:eastAsia="Arial" w:hAnsi="Arial"/>
                <w:sz w:val="13"/>
                <w:szCs w:val="13"/>
                <w:b w:val="1"/>
                <w:bCs w:val="1"/>
                <w:color w:val="auto"/>
                <w:w w:val="86"/>
              </w:rPr>
              <w:t>in thousands)</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Mortgages payable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Federal Plaza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31,901</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32,536</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6.750%</w:t>
            </w:r>
          </w:p>
        </w:tc>
        <w:tc>
          <w:tcPr>
            <w:tcW w:w="2600" w:type="dxa"/>
            <w:vAlign w:val="bottom"/>
          </w:tcPr>
          <w:p>
            <w:pPr>
              <w:jc w:val="right"/>
              <w:spacing w:after="0"/>
              <w:rPr>
                <w:sz w:val="20"/>
                <w:szCs w:val="20"/>
                <w:color w:val="auto"/>
              </w:rPr>
            </w:pPr>
            <w:r>
              <w:rPr>
                <w:rFonts w:ascii="Arial" w:cs="Arial" w:eastAsia="Arial" w:hAnsi="Arial"/>
                <w:sz w:val="17"/>
                <w:szCs w:val="17"/>
                <w:color w:val="auto"/>
              </w:rPr>
              <w:t>June 1,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Tysons Station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5,898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7.400%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 1,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Courtyard Shops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7,289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7,518</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6.870%</w:t>
            </w:r>
          </w:p>
        </w:tc>
        <w:tc>
          <w:tcPr>
            <w:tcW w:w="2600" w:type="dxa"/>
            <w:vAlign w:val="bottom"/>
          </w:tcPr>
          <w:p>
            <w:pPr>
              <w:jc w:val="right"/>
              <w:spacing w:after="0"/>
              <w:rPr>
                <w:sz w:val="20"/>
                <w:szCs w:val="20"/>
                <w:color w:val="auto"/>
              </w:rPr>
            </w:pPr>
            <w:r>
              <w:rPr>
                <w:rFonts w:ascii="Arial" w:cs="Arial" w:eastAsia="Arial" w:hAnsi="Arial"/>
                <w:sz w:val="17"/>
                <w:szCs w:val="17"/>
                <w:color w:val="auto"/>
              </w:rPr>
              <w:t>July 1, 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Bethesda Row</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19,995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5.370%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January 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Bethesda Row</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4,163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4,304</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5.050%</w:t>
            </w:r>
          </w:p>
        </w:tc>
        <w:tc>
          <w:tcPr>
            <w:tcW w:w="2600" w:type="dxa"/>
            <w:vAlign w:val="bottom"/>
          </w:tcPr>
          <w:p>
            <w:pPr>
              <w:jc w:val="right"/>
              <w:spacing w:after="0"/>
              <w:rPr>
                <w:sz w:val="20"/>
                <w:szCs w:val="20"/>
                <w:color w:val="auto"/>
              </w:rPr>
            </w:pPr>
            <w:r>
              <w:rPr>
                <w:rFonts w:ascii="Arial" w:cs="Arial" w:eastAsia="Arial" w:hAnsi="Arial"/>
                <w:sz w:val="17"/>
                <w:szCs w:val="17"/>
                <w:color w:val="auto"/>
              </w:rPr>
              <w:t>February 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White Marsh Plaza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9,859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6.040%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Crow Canyon</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20,816</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5.400%</w:t>
            </w:r>
          </w:p>
        </w:tc>
        <w:tc>
          <w:tcPr>
            <w:tcW w:w="2600" w:type="dxa"/>
            <w:vAlign w:val="bottom"/>
          </w:tcPr>
          <w:p>
            <w:pPr>
              <w:jc w:val="right"/>
              <w:spacing w:after="0"/>
              <w:rPr>
                <w:sz w:val="20"/>
                <w:szCs w:val="20"/>
                <w:color w:val="auto"/>
              </w:rPr>
            </w:pPr>
            <w:r>
              <w:rPr>
                <w:rFonts w:ascii="Arial" w:cs="Arial" w:eastAsia="Arial" w:hAnsi="Arial"/>
                <w:sz w:val="17"/>
                <w:szCs w:val="17"/>
                <w:color w:val="auto"/>
              </w:rPr>
              <w:t>August 11,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Idylwood Plaza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16,792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5,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Leesburg Plaza</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28,786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29,219</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7.500%</w:t>
            </w:r>
          </w:p>
        </w:tc>
        <w:tc>
          <w:tcPr>
            <w:tcW w:w="2600" w:type="dxa"/>
            <w:vAlign w:val="bottom"/>
          </w:tcPr>
          <w:p>
            <w:pPr>
              <w:jc w:val="right"/>
              <w:spacing w:after="0"/>
              <w:rPr>
                <w:sz w:val="20"/>
                <w:szCs w:val="20"/>
                <w:color w:val="auto"/>
              </w:rPr>
            </w:pPr>
            <w:r>
              <w:rPr>
                <w:rFonts w:ascii="Arial" w:cs="Arial" w:eastAsia="Arial" w:hAnsi="Arial"/>
                <w:sz w:val="17"/>
                <w:szCs w:val="17"/>
                <w:color w:val="auto"/>
              </w:rPr>
              <w:t>June 5,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Loehmann’s Plaza</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37,224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37,783</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5,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Pentagon Row</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53,437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54,240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7.500%</w:t>
            </w:r>
          </w:p>
        </w:tc>
        <w:tc>
          <w:tcPr>
            <w:tcW w:w="2600" w:type="dxa"/>
            <w:vAlign w:val="bottom"/>
          </w:tcPr>
          <w:p>
            <w:pPr>
              <w:jc w:val="right"/>
              <w:spacing w:after="0"/>
              <w:rPr>
                <w:sz w:val="20"/>
                <w:szCs w:val="20"/>
                <w:color w:val="auto"/>
              </w:rPr>
            </w:pPr>
            <w:r>
              <w:rPr>
                <w:rFonts w:ascii="Arial" w:cs="Arial" w:eastAsia="Arial" w:hAnsi="Arial"/>
                <w:sz w:val="17"/>
                <w:szCs w:val="17"/>
                <w:color w:val="auto"/>
              </w:rPr>
              <w:t>June 5,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Melville Mall</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23,073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23,782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5.250%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 1,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THE AVENUE at White Marsh</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57,803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58,939</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5.460%</w:t>
            </w:r>
          </w:p>
        </w:tc>
        <w:tc>
          <w:tcPr>
            <w:tcW w:w="2600" w:type="dxa"/>
            <w:vAlign w:val="bottom"/>
          </w:tcPr>
          <w:p>
            <w:pPr>
              <w:jc w:val="right"/>
              <w:spacing w:after="0"/>
              <w:rPr>
                <w:sz w:val="20"/>
                <w:szCs w:val="20"/>
                <w:color w:val="auto"/>
              </w:rPr>
            </w:pPr>
            <w:r>
              <w:rPr>
                <w:rFonts w:ascii="Arial" w:cs="Arial" w:eastAsia="Arial" w:hAnsi="Arial"/>
                <w:sz w:val="17"/>
                <w:szCs w:val="17"/>
                <w:color w:val="auto"/>
              </w:rPr>
              <w:t>January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Barracks Road</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40,639</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7.950%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Hauppauge</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15,320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7.950%</w:t>
            </w:r>
          </w:p>
        </w:tc>
        <w:tc>
          <w:tcPr>
            <w:tcW w:w="260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Lawrence Park</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28,805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7.950%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Wildwood</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24,827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25,319</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7.950%</w:t>
            </w:r>
          </w:p>
        </w:tc>
        <w:tc>
          <w:tcPr>
            <w:tcW w:w="260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Wynnewood</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29,355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7.950%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Brick Plaza</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29,429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30,053</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7.415%</w:t>
            </w:r>
          </w:p>
        </w:tc>
        <w:tc>
          <w:tcPr>
            <w:tcW w:w="2600" w:type="dxa"/>
            <w:vAlign w:val="bottom"/>
          </w:tcPr>
          <w:p>
            <w:pPr>
              <w:jc w:val="right"/>
              <w:spacing w:after="0"/>
              <w:rPr>
                <w:sz w:val="20"/>
                <w:szCs w:val="20"/>
                <w:color w:val="auto"/>
              </w:rPr>
            </w:pPr>
            <w:r>
              <w:rPr>
                <w:rFonts w:ascii="Arial" w:cs="Arial" w:eastAsia="Arial" w:hAnsi="Arial"/>
                <w:sz w:val="17"/>
                <w:szCs w:val="17"/>
                <w:color w:val="auto"/>
              </w:rPr>
              <w:t>November 1, 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Rollingwood Apartments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23,880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5.540%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May 1, 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Shoppers’ World</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5,593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5,733</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5.910%</w:t>
            </w:r>
          </w:p>
        </w:tc>
        <w:tc>
          <w:tcPr>
            <w:tcW w:w="2600" w:type="dxa"/>
            <w:vAlign w:val="bottom"/>
          </w:tcPr>
          <w:p>
            <w:pPr>
              <w:jc w:val="right"/>
              <w:spacing w:after="0"/>
              <w:rPr>
                <w:sz w:val="20"/>
                <w:szCs w:val="20"/>
                <w:color w:val="auto"/>
              </w:rPr>
            </w:pPr>
            <w:r>
              <w:rPr>
                <w:rFonts w:ascii="Arial" w:cs="Arial" w:eastAsia="Arial" w:hAnsi="Arial"/>
                <w:sz w:val="17"/>
                <w:szCs w:val="17"/>
                <w:color w:val="auto"/>
              </w:rPr>
              <w:t>January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Mount Vernon</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11,298</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5.660%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15, 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Chelsea</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7,795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7,952</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5.360%</w:t>
            </w:r>
          </w:p>
        </w:tc>
        <w:tc>
          <w:tcPr>
            <w:tcW w:w="2600" w:type="dxa"/>
            <w:vAlign w:val="bottom"/>
          </w:tcPr>
          <w:p>
            <w:pPr>
              <w:jc w:val="right"/>
              <w:spacing w:after="0"/>
              <w:rPr>
                <w:sz w:val="20"/>
                <w:szCs w:val="20"/>
                <w:color w:val="auto"/>
              </w:rPr>
            </w:pPr>
            <w:r>
              <w:rPr>
                <w:rFonts w:ascii="Arial" w:cs="Arial" w:eastAsia="Arial" w:hAnsi="Arial"/>
                <w:sz w:val="17"/>
                <w:szCs w:val="17"/>
                <w:color w:val="auto"/>
              </w:rPr>
              <w:t>January 15, 2031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Subtotal</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529,953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540,035</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Net unamortized discount</w:t>
            </w:r>
          </w:p>
        </w:tc>
        <w:tc>
          <w:tcPr>
            <w:tcW w:w="80" w:type="dxa"/>
            <w:vAlign w:val="bottom"/>
          </w:tcPr>
          <w:p>
            <w:pPr>
              <w:spacing w:after="0"/>
              <w:rPr>
                <w:sz w:val="17"/>
                <w:szCs w:val="17"/>
                <w:color w:val="auto"/>
              </w:rPr>
            </w:pPr>
          </w:p>
        </w:tc>
        <w:tc>
          <w:tcPr>
            <w:tcW w:w="860" w:type="dxa"/>
            <w:vAlign w:val="bottom"/>
            <w:gridSpan w:val="2"/>
          </w:tcPr>
          <w:p>
            <w:pPr>
              <w:jc w:val="right"/>
              <w:ind w:right="76"/>
              <w:spacing w:after="0"/>
              <w:rPr>
                <w:sz w:val="20"/>
                <w:szCs w:val="20"/>
                <w:color w:val="auto"/>
              </w:rPr>
            </w:pPr>
            <w:r>
              <w:rPr>
                <w:rFonts w:ascii="Arial" w:cs="Arial" w:eastAsia="Arial" w:hAnsi="Arial"/>
                <w:sz w:val="17"/>
                <w:szCs w:val="17"/>
                <w:color w:val="auto"/>
              </w:rPr>
              <w:t>(452)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(426)</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mortgages payable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529,501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539,609</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7"/>
                <w:szCs w:val="17"/>
                <w:b w:val="1"/>
                <w:bCs w:val="1"/>
                <w:color w:val="auto"/>
              </w:rPr>
              <w:t>Notes payable</w:t>
            </w: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LIBOR+0.425%</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July 27,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Term loan</w:t>
            </w:r>
          </w:p>
        </w:tc>
        <w:tc>
          <w:tcPr>
            <w:tcW w:w="80" w:type="dxa"/>
            <w:vAlign w:val="bottom"/>
          </w:tcPr>
          <w:p>
            <w:pPr>
              <w:spacing w:after="0"/>
              <w:rPr>
                <w:sz w:val="17"/>
                <w:szCs w:val="17"/>
                <w:color w:val="auto"/>
              </w:rPr>
            </w:pPr>
          </w:p>
        </w:tc>
        <w:tc>
          <w:tcPr>
            <w:tcW w:w="860" w:type="dxa"/>
            <w:vAlign w:val="bottom"/>
            <w:gridSpan w:val="2"/>
          </w:tcPr>
          <w:p>
            <w:pPr>
              <w:jc w:val="right"/>
              <w:ind w:right="2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250,000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LIBOR+3.000%</w:t>
            </w:r>
          </w:p>
        </w:tc>
        <w:tc>
          <w:tcPr>
            <w:tcW w:w="2600" w:type="dxa"/>
            <w:vAlign w:val="bottom"/>
          </w:tcPr>
          <w:p>
            <w:pPr>
              <w:jc w:val="right"/>
              <w:spacing w:after="0"/>
              <w:rPr>
                <w:sz w:val="20"/>
                <w:szCs w:val="20"/>
                <w:color w:val="auto"/>
              </w:rPr>
            </w:pPr>
            <w:r>
              <w:rPr>
                <w:rFonts w:ascii="Arial" w:cs="Arial" w:eastAsia="Arial" w:hAnsi="Arial"/>
                <w:sz w:val="17"/>
                <w:szCs w:val="17"/>
                <w:color w:val="auto"/>
              </w:rPr>
              <w:t>July 27,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Various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2,345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3.57%</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Various through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Escondido (Municipal bonds)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9,400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9,400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0.51%</w:t>
            </w:r>
          </w:p>
        </w:tc>
        <w:tc>
          <w:tcPr>
            <w:tcW w:w="2600" w:type="dxa"/>
            <w:vAlign w:val="bottom"/>
          </w:tcPr>
          <w:p>
            <w:pPr>
              <w:jc w:val="right"/>
              <w:spacing w:after="0"/>
              <w:rPr>
                <w:sz w:val="20"/>
                <w:szCs w:val="20"/>
                <w:color w:val="auto"/>
              </w:rPr>
            </w:pPr>
            <w:r>
              <w:rPr>
                <w:rFonts w:ascii="Arial" w:cs="Arial" w:eastAsia="Arial" w:hAnsi="Arial"/>
                <w:sz w:val="17"/>
                <w:szCs w:val="17"/>
                <w:color w:val="auto"/>
              </w:rPr>
              <w:t>October 1, 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notes payable</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97,881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261,745</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7"/>
                <w:szCs w:val="17"/>
                <w:b w:val="1"/>
                <w:bCs w:val="1"/>
                <w:color w:val="auto"/>
              </w:rPr>
              <w:t>Senior notes and debentures</w:t>
            </w: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4.50% notes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4.500%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15, 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6.00% notes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175,000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175,000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6.000%</w:t>
            </w:r>
          </w:p>
        </w:tc>
        <w:tc>
          <w:tcPr>
            <w:tcW w:w="2600" w:type="dxa"/>
            <w:vAlign w:val="bottom"/>
          </w:tcPr>
          <w:p>
            <w:pPr>
              <w:jc w:val="right"/>
              <w:spacing w:after="0"/>
              <w:rPr>
                <w:sz w:val="20"/>
                <w:szCs w:val="20"/>
                <w:color w:val="auto"/>
              </w:rPr>
            </w:pPr>
            <w:r>
              <w:rPr>
                <w:rFonts w:ascii="Arial" w:cs="Arial" w:eastAsia="Arial" w:hAnsi="Arial"/>
                <w:sz w:val="17"/>
                <w:szCs w:val="17"/>
                <w:color w:val="auto"/>
              </w:rPr>
              <w:t>July 15, 2012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5.40% notes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135,000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1, 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5.95% notes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150,000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5.950%</w:t>
            </w:r>
          </w:p>
        </w:tc>
        <w:tc>
          <w:tcPr>
            <w:tcW w:w="2600" w:type="dxa"/>
            <w:vAlign w:val="bottom"/>
          </w:tcPr>
          <w:p>
            <w:pPr>
              <w:jc w:val="right"/>
              <w:spacing w:after="0"/>
              <w:rPr>
                <w:sz w:val="20"/>
                <w:szCs w:val="20"/>
                <w:color w:val="auto"/>
              </w:rPr>
            </w:pPr>
            <w:r>
              <w:rPr>
                <w:rFonts w:ascii="Arial" w:cs="Arial" w:eastAsia="Arial" w:hAnsi="Arial"/>
                <w:sz w:val="17"/>
                <w:szCs w:val="17"/>
                <w:color w:val="auto"/>
              </w:rPr>
              <w:t>August 15, 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5.65% notes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125,000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5.650%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1, 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6.20% notes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200,000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6.200%</w:t>
            </w:r>
          </w:p>
        </w:tc>
        <w:tc>
          <w:tcPr>
            <w:tcW w:w="2600" w:type="dxa"/>
            <w:vAlign w:val="bottom"/>
          </w:tcPr>
          <w:p>
            <w:pPr>
              <w:jc w:val="right"/>
              <w:spacing w:after="0"/>
              <w:rPr>
                <w:sz w:val="20"/>
                <w:szCs w:val="20"/>
                <w:color w:val="auto"/>
              </w:rPr>
            </w:pPr>
            <w:r>
              <w:rPr>
                <w:rFonts w:ascii="Arial" w:cs="Arial" w:eastAsia="Arial" w:hAnsi="Arial"/>
                <w:sz w:val="17"/>
                <w:szCs w:val="17"/>
                <w:color w:val="auto"/>
              </w:rPr>
              <w:t>January 15, 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5.90% notes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5.900%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tcPr>
          <w:p>
            <w:pPr>
              <w:spacing w:after="0"/>
              <w:rPr>
                <w:sz w:val="20"/>
                <w:szCs w:val="20"/>
                <w:color w:val="auto"/>
              </w:rPr>
            </w:pPr>
            <w:r>
              <w:rPr>
                <w:rFonts w:ascii="Arial" w:cs="Arial" w:eastAsia="Arial" w:hAnsi="Arial"/>
                <w:sz w:val="17"/>
                <w:szCs w:val="17"/>
                <w:color w:val="auto"/>
              </w:rPr>
              <w:t>7.48% debentures</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29,200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29,200</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color w:val="auto"/>
              </w:rPr>
              <w:t>7.480%</w:t>
            </w:r>
          </w:p>
        </w:tc>
        <w:tc>
          <w:tcPr>
            <w:tcW w:w="2600" w:type="dxa"/>
            <w:vAlign w:val="bottom"/>
          </w:tcPr>
          <w:p>
            <w:pPr>
              <w:jc w:val="right"/>
              <w:spacing w:after="0"/>
              <w:rPr>
                <w:sz w:val="20"/>
                <w:szCs w:val="20"/>
                <w:color w:val="auto"/>
              </w:rPr>
            </w:pPr>
            <w:r>
              <w:rPr>
                <w:rFonts w:ascii="Arial" w:cs="Arial" w:eastAsia="Arial" w:hAnsi="Arial"/>
                <w:sz w:val="17"/>
                <w:szCs w:val="17"/>
                <w:color w:val="auto"/>
              </w:rPr>
              <w:t>August 15, 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6.82% medium term notes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40,000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6.820%</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 2027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20"/>
              <w:spacing w:after="0"/>
              <w:rPr>
                <w:sz w:val="20"/>
                <w:szCs w:val="20"/>
                <w:color w:val="auto"/>
              </w:rPr>
            </w:pPr>
            <w:r>
              <w:rPr>
                <w:rFonts w:ascii="Arial" w:cs="Arial" w:eastAsia="Arial" w:hAnsi="Arial"/>
                <w:sz w:val="17"/>
                <w:szCs w:val="17"/>
                <w:color w:val="auto"/>
              </w:rPr>
              <w:t>Subtotal</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1,079,200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929,200</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unamortized premium</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1,019</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senior notes and debentures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1,079,827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930,219</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Capital lease obligations</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62,275</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Various</w:t>
            </w:r>
          </w:p>
        </w:tc>
        <w:tc>
          <w:tcPr>
            <w:tcW w:w="2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Various through 2106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20"/>
              <w:spacing w:after="0"/>
              <w:rPr>
                <w:sz w:val="20"/>
                <w:szCs w:val="20"/>
                <w:color w:val="auto"/>
              </w:rPr>
            </w:pPr>
            <w:r>
              <w:rPr>
                <w:rFonts w:ascii="Arial" w:cs="Arial" w:eastAsia="Arial" w:hAnsi="Arial"/>
                <w:sz w:val="17"/>
                <w:szCs w:val="17"/>
                <w:color w:val="auto"/>
              </w:rPr>
              <w:t>Total debt and capital lease obligations</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1,767,149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w w:val="84"/>
              </w:rPr>
              <w:t>1,793,848</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36"/>
              <w:spacing w:after="0"/>
              <w:rPr>
                <w:sz w:val="20"/>
                <w:szCs w:val="20"/>
                <w:color w:val="auto"/>
              </w:rPr>
            </w:pPr>
            <w:r>
              <w:rPr>
                <w:rFonts w:ascii="Arial" w:cs="Arial" w:eastAsia="Arial" w:hAnsi="Arial"/>
                <w:sz w:val="17"/>
                <w:szCs w:val="17"/>
                <w:color w:val="auto"/>
              </w:rPr>
              <w:t>F-21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right="440"/>
        <w:spacing w:after="0" w:line="342" w:lineRule="auto"/>
        <w:rPr>
          <w:sz w:val="20"/>
          <w:szCs w:val="20"/>
          <w:color w:val="auto"/>
        </w:rPr>
      </w:pPr>
      <w:r>
        <w:rPr>
          <w:rFonts w:ascii="Arial" w:cs="Arial" w:eastAsia="Arial" w:hAnsi="Arial"/>
          <w:sz w:val="15"/>
          <w:szCs w:val="15"/>
          <w:color w:val="auto"/>
        </w:rPr>
        <w:t>On January 28, 2010, we delivered notice exercising our option to extend the maturity date by one year to July 27, 2011 on our revolving credit facility, which bears interest at LIBOR plus 42.5 basis points. We paid an extension fee of $0.5 million which is being amortized over the remaining term of the revolving credit facility.</w:t>
      </w:r>
    </w:p>
    <w:p>
      <w:pPr>
        <w:spacing w:after="0" w:line="7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On March 1, 2010, we issued $150.0 million of fixed rate senior notes that mature on April 1, 2020 and bear interest at 5.90%. The net proceeds from this note offering after issuance discounts, underwriting fees and other costs were $148.5 million.</w:t>
      </w:r>
    </w:p>
    <w:p>
      <w:pPr>
        <w:spacing w:after="0" w:line="121"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On various dates from February 25, 2010 to March 2, 2010, we repaid the remaining $250.0 million balance of our term loan. The term loan had an original maturity date of July 27, 2011, however, the loan agreement included an option to prepay the loan, in whole or in part, at any time without premium or penalty. Due to these repayments, approximately $2.8 million of unamortized debt fees were recorded as additional interest expense in 2010 and are included in “early extinguishment of debt” in the consolidated statement of operations. The term loan was repaid using cash on hand and cash from the $150.0 million note issuance.</w:t>
      </w:r>
    </w:p>
    <w:p>
      <w:pPr>
        <w:spacing w:after="0" w:line="10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December 27, 2010, we acquired the fee interest in approximately 2.1 acres of land under our Bethesda Row property. Prior to the transaction, we had a capital lease obligation of $1.0 million on the land parcel which was extinguished as part of the transaction.</w:t>
      </w:r>
    </w:p>
    <w:p>
      <w:pPr>
        <w:spacing w:after="0" w:line="121" w:lineRule="exact"/>
        <w:rPr>
          <w:sz w:val="20"/>
          <w:szCs w:val="20"/>
          <w:color w:val="auto"/>
        </w:rPr>
      </w:pPr>
    </w:p>
    <w:p>
      <w:pPr>
        <w:ind w:right="360"/>
        <w:spacing w:after="0" w:line="300" w:lineRule="auto"/>
        <w:rPr>
          <w:sz w:val="20"/>
          <w:szCs w:val="20"/>
          <w:color w:val="auto"/>
        </w:rPr>
      </w:pPr>
      <w:r>
        <w:rPr>
          <w:rFonts w:ascii="Arial" w:cs="Arial" w:eastAsia="Arial" w:hAnsi="Arial"/>
          <w:sz w:val="15"/>
          <w:szCs w:val="15"/>
          <w:color w:val="auto"/>
        </w:rPr>
        <w:t>The maximum amount of borrowings outstanding under our $300 million revolving credit facility during 2010, 2009 and 2008 was $82.0 million, $172.5 million and $159.0 million, respectively. The weighted average amount of borrowings outstanding was $23.4 million, $47.7 million and $61.4 million for 2010, 2009 and 2008, respectively. Our revolving credit facility had a weighted average interest rate, before amortization of debt fees, of 0.7%, 1.4% and 3.0% for 2010, 2009 and 2008, respectively. Our revolving credit facility also had a weighted average interest rate, before amortization of debt fees, of 0.7% at December 31, 2010 and 0% at December 31, 2009 as there was no outstanding balance. In addition, we are required to pay an annual facility fee of $0.5 million. The loan matures on July 27, 2011.</w:t>
      </w:r>
    </w:p>
    <w:p>
      <w:pPr>
        <w:spacing w:after="0" w:line="104"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2010, we were in compliance with all loan covenants.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on mortgages payable, notes payable, senior notes and debentures as of December 31, 2010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1"/>
              </w:rPr>
              <w:t>Mortgages</w:t>
            </w:r>
          </w:p>
        </w:tc>
        <w:tc>
          <w:tcPr>
            <w:tcW w:w="260" w:type="dxa"/>
            <w:vAlign w:val="bottom"/>
          </w:tcPr>
          <w:p>
            <w:pPr>
              <w:spacing w:after="0"/>
              <w:rPr>
                <w:sz w:val="13"/>
                <w:szCs w:val="13"/>
                <w:color w:val="auto"/>
              </w:rPr>
            </w:pPr>
          </w:p>
        </w:tc>
        <w:tc>
          <w:tcPr>
            <w:tcW w:w="1020" w:type="dxa"/>
            <w:vAlign w:val="bottom"/>
            <w:gridSpan w:val="2"/>
          </w:tcPr>
          <w:p>
            <w:pPr>
              <w:jc w:val="right"/>
              <w:ind w:right="516"/>
              <w:spacing w:after="0"/>
              <w:rPr>
                <w:sz w:val="20"/>
                <w:szCs w:val="20"/>
                <w:color w:val="auto"/>
              </w:rPr>
            </w:pPr>
            <w:r>
              <w:rPr>
                <w:rFonts w:ascii="Arial" w:cs="Arial" w:eastAsia="Arial" w:hAnsi="Arial"/>
                <w:sz w:val="13"/>
                <w:szCs w:val="13"/>
                <w:b w:val="1"/>
                <w:bCs w:val="1"/>
                <w:color w:val="auto"/>
              </w:rPr>
              <w:t>Notes</w:t>
            </w:r>
          </w:p>
        </w:tc>
        <w:tc>
          <w:tcPr>
            <w:tcW w:w="26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3"/>
                <w:szCs w:val="13"/>
                <w:b w:val="1"/>
                <w:bCs w:val="1"/>
                <w:color w:val="auto"/>
                <w:w w:val="86"/>
              </w:rPr>
              <w:t>Senior Notes and</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Total</w:t>
            </w:r>
          </w:p>
        </w:tc>
      </w:tr>
      <w:tr>
        <w:trPr>
          <w:trHeight w:val="154"/>
        </w:trPr>
        <w:tc>
          <w:tcPr>
            <w:tcW w:w="11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w w:val="85"/>
              </w:rPr>
              <w:t>Payable</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Payable</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89"/>
              </w:rPr>
              <w:t>Debentures</w:t>
            </w:r>
          </w:p>
        </w:tc>
        <w:tc>
          <w:tcPr>
            <w:tcW w:w="5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8"/>
              </w:rPr>
              <w:t>Principal</w:t>
            </w:r>
          </w:p>
        </w:tc>
        <w:tc>
          <w:tcPr>
            <w:tcW w:w="240" w:type="dxa"/>
            <w:vAlign w:val="bottom"/>
          </w:tcPr>
          <w:p>
            <w:pPr>
              <w:spacing w:after="0"/>
              <w:rPr>
                <w:sz w:val="13"/>
                <w:szCs w:val="13"/>
                <w:color w:val="auto"/>
              </w:rPr>
            </w:pPr>
          </w:p>
        </w:tc>
      </w:tr>
      <w:tr>
        <w:trPr>
          <w:trHeight w:val="134"/>
        </w:trPr>
        <w:tc>
          <w:tcPr>
            <w:tcW w:w="114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gridSpan w:val="4"/>
          </w:tcPr>
          <w:p>
            <w:pPr>
              <w:jc w:val="right"/>
              <w:ind w:right="639"/>
              <w:spacing w:after="0" w:line="134" w:lineRule="exact"/>
              <w:rPr>
                <w:sz w:val="20"/>
                <w:szCs w:val="20"/>
                <w:color w:val="auto"/>
              </w:rPr>
            </w:pPr>
            <w:r>
              <w:rPr>
                <w:rFonts w:ascii="Arial" w:cs="Arial" w:eastAsia="Arial" w:hAnsi="Arial"/>
                <w:sz w:val="13"/>
                <w:szCs w:val="13"/>
                <w:b w:val="1"/>
                <w:bCs w:val="1"/>
                <w:color w:val="auto"/>
              </w:rPr>
              <w:t>(In thousands)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06"/>
        </w:trPr>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6"/>
        </w:trPr>
        <w:tc>
          <w:tcPr>
            <w:tcW w:w="1140" w:type="dxa"/>
            <w:vAlign w:val="bottom"/>
          </w:tcPr>
          <w:p>
            <w:pPr>
              <w:spacing w:after="0"/>
              <w:rPr>
                <w:sz w:val="20"/>
                <w:szCs w:val="20"/>
                <w:color w:val="auto"/>
              </w:rPr>
            </w:pPr>
            <w:r>
              <w:rPr>
                <w:rFonts w:ascii="Arial" w:cs="Arial" w:eastAsia="Arial" w:hAnsi="Arial"/>
                <w:sz w:val="17"/>
                <w:szCs w:val="17"/>
                <w:color w:val="auto"/>
              </w:rPr>
              <w:t>2011</w:t>
            </w:r>
          </w:p>
        </w:tc>
        <w:tc>
          <w:tcPr>
            <w:tcW w:w="5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47,349</w:t>
            </w:r>
          </w:p>
        </w:tc>
        <w:tc>
          <w:tcPr>
            <w:tcW w:w="480" w:type="dxa"/>
            <w:vAlign w:val="bottom"/>
          </w:tcPr>
          <w:p>
            <w:pPr>
              <w:spacing w:after="0"/>
              <w:rPr>
                <w:sz w:val="17"/>
                <w:szCs w:val="17"/>
                <w:color w:val="auto"/>
              </w:rPr>
            </w:pPr>
          </w:p>
        </w:tc>
        <w:tc>
          <w:tcPr>
            <w:tcW w:w="1280" w:type="dxa"/>
            <w:vAlign w:val="bottom"/>
            <w:gridSpan w:val="3"/>
          </w:tcPr>
          <w:p>
            <w:pPr>
              <w:jc w:val="right"/>
              <w:ind w:right="216"/>
              <w:spacing w:after="0"/>
              <w:rPr>
                <w:sz w:val="20"/>
                <w:szCs w:val="20"/>
                <w:color w:val="auto"/>
              </w:rPr>
            </w:pPr>
            <w:r>
              <w:rPr>
                <w:rFonts w:ascii="Arial" w:cs="Arial" w:eastAsia="Arial" w:hAnsi="Arial"/>
                <w:sz w:val="17"/>
                <w:szCs w:val="17"/>
                <w:color w:val="auto"/>
              </w:rPr>
              <w:t>$77,724(1)</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75,000</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200,073</w:t>
            </w:r>
          </w:p>
        </w:tc>
        <w:tc>
          <w:tcPr>
            <w:tcW w:w="240" w:type="dxa"/>
            <w:vAlign w:val="bottom"/>
          </w:tcPr>
          <w:p>
            <w:pPr>
              <w:spacing w:after="0"/>
              <w:rPr>
                <w:sz w:val="17"/>
                <w:szCs w:val="17"/>
                <w:color w:val="auto"/>
              </w:rPr>
            </w:pPr>
          </w:p>
        </w:tc>
      </w:tr>
      <w:tr>
        <w:trPr>
          <w:trHeight w:val="206"/>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17,380</w:t>
            </w:r>
          </w:p>
        </w:tc>
        <w:tc>
          <w:tcPr>
            <w:tcW w:w="48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396"/>
              <w:spacing w:after="0"/>
              <w:rPr>
                <w:sz w:val="20"/>
                <w:szCs w:val="20"/>
                <w:color w:val="auto"/>
              </w:rPr>
            </w:pPr>
            <w:r>
              <w:rPr>
                <w:rFonts w:ascii="Arial" w:cs="Arial" w:eastAsia="Arial" w:hAnsi="Arial"/>
                <w:sz w:val="17"/>
                <w:szCs w:val="17"/>
                <w:color w:val="auto"/>
              </w:rPr>
              <w:t>10,727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203,107</w:t>
            </w:r>
          </w:p>
        </w:tc>
        <w:tc>
          <w:tcPr>
            <w:tcW w:w="240" w:type="dxa"/>
            <w:vAlign w:val="bottom"/>
            <w:shd w:val="clear" w:color="auto" w:fill="CCEEFF"/>
          </w:tcPr>
          <w:p>
            <w:pPr>
              <w:spacing w:after="0"/>
              <w:rPr>
                <w:sz w:val="17"/>
                <w:szCs w:val="17"/>
                <w:color w:val="auto"/>
              </w:rPr>
            </w:pPr>
          </w:p>
        </w:tc>
      </w:tr>
      <w:tr>
        <w:trPr>
          <w:trHeight w:val="206"/>
        </w:trPr>
        <w:tc>
          <w:tcPr>
            <w:tcW w:w="1140" w:type="dxa"/>
            <w:vAlign w:val="bottom"/>
          </w:tcPr>
          <w:p>
            <w:pPr>
              <w:spacing w:after="0"/>
              <w:rPr>
                <w:sz w:val="20"/>
                <w:szCs w:val="20"/>
                <w:color w:val="auto"/>
              </w:rPr>
            </w:pPr>
            <w:r>
              <w:rPr>
                <w:rFonts w:ascii="Arial" w:cs="Arial" w:eastAsia="Arial" w:hAnsi="Arial"/>
                <w:sz w:val="17"/>
                <w:szCs w:val="17"/>
                <w:color w:val="auto"/>
              </w:rPr>
              <w:t>2013</w:t>
            </w: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7"/>
                <w:szCs w:val="17"/>
                <w:color w:val="auto"/>
                <w:w w:val="98"/>
              </w:rPr>
              <w:t>72,107(2)</w:t>
            </w:r>
          </w:p>
        </w:tc>
        <w:tc>
          <w:tcPr>
            <w:tcW w:w="1280" w:type="dxa"/>
            <w:vAlign w:val="bottom"/>
            <w:gridSpan w:val="3"/>
          </w:tcPr>
          <w:p>
            <w:pPr>
              <w:jc w:val="right"/>
              <w:ind w:right="396"/>
              <w:spacing w:after="0"/>
              <w:rPr>
                <w:sz w:val="20"/>
                <w:szCs w:val="20"/>
                <w:color w:val="auto"/>
              </w:rPr>
            </w:pPr>
            <w:r>
              <w:rPr>
                <w:rFonts w:ascii="Arial" w:cs="Arial" w:eastAsia="Arial" w:hAnsi="Arial"/>
                <w:sz w:val="17"/>
                <w:szCs w:val="17"/>
                <w:color w:val="auto"/>
              </w:rPr>
              <w:t>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135,000</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207,137</w:t>
            </w:r>
          </w:p>
        </w:tc>
        <w:tc>
          <w:tcPr>
            <w:tcW w:w="240" w:type="dxa"/>
            <w:vAlign w:val="bottom"/>
          </w:tcPr>
          <w:p>
            <w:pPr>
              <w:spacing w:after="0"/>
              <w:rPr>
                <w:sz w:val="17"/>
                <w:szCs w:val="17"/>
                <w:color w:val="auto"/>
              </w:rPr>
            </w:pPr>
          </w:p>
        </w:tc>
      </w:tr>
      <w:tr>
        <w:trPr>
          <w:trHeight w:val="206"/>
        </w:trPr>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5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156,364</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6"/>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306,364</w:t>
            </w:r>
          </w:p>
        </w:tc>
        <w:tc>
          <w:tcPr>
            <w:tcW w:w="240" w:type="dxa"/>
            <w:vAlign w:val="bottom"/>
            <w:shd w:val="clear" w:color="auto" w:fill="CCEEFF"/>
          </w:tcPr>
          <w:p>
            <w:pPr>
              <w:spacing w:after="0"/>
              <w:rPr>
                <w:sz w:val="17"/>
                <w:szCs w:val="17"/>
                <w:color w:val="auto"/>
              </w:rPr>
            </w:pPr>
          </w:p>
        </w:tc>
      </w:tr>
      <w:tr>
        <w:trPr>
          <w:trHeight w:val="206"/>
        </w:trPr>
        <w:tc>
          <w:tcPr>
            <w:tcW w:w="1140" w:type="dxa"/>
            <w:vAlign w:val="bottom"/>
          </w:tcPr>
          <w:p>
            <w:pPr>
              <w:spacing w:after="0"/>
              <w:rPr>
                <w:sz w:val="20"/>
                <w:szCs w:val="20"/>
                <w:color w:val="auto"/>
              </w:rPr>
            </w:pPr>
            <w:r>
              <w:rPr>
                <w:rFonts w:ascii="Arial" w:cs="Arial" w:eastAsia="Arial" w:hAnsi="Arial"/>
                <w:sz w:val="17"/>
                <w:szCs w:val="17"/>
                <w:color w:val="auto"/>
              </w:rPr>
              <w:t>2015</w:t>
            </w: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203,398</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4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203,398</w:t>
            </w:r>
          </w:p>
        </w:tc>
        <w:tc>
          <w:tcPr>
            <w:tcW w:w="240" w:type="dxa"/>
            <w:vAlign w:val="bottom"/>
          </w:tcPr>
          <w:p>
            <w:pPr>
              <w:spacing w:after="0"/>
              <w:rPr>
                <w:sz w:val="17"/>
                <w:szCs w:val="17"/>
                <w:color w:val="auto"/>
              </w:rPr>
            </w:pPr>
          </w:p>
        </w:tc>
      </w:tr>
      <w:tr>
        <w:trPr>
          <w:trHeight w:val="206"/>
        </w:trPr>
        <w:tc>
          <w:tcPr>
            <w:tcW w:w="6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33,355</w:t>
            </w: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544,200</w:t>
            </w:r>
          </w:p>
        </w:tc>
        <w:tc>
          <w:tcPr>
            <w:tcW w:w="5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586,955</w:t>
            </w:r>
          </w:p>
        </w:tc>
        <w:tc>
          <w:tcPr>
            <w:tcW w:w="24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529,953</w:t>
            </w:r>
          </w:p>
        </w:tc>
        <w:tc>
          <w:tcPr>
            <w:tcW w:w="480" w:type="dxa"/>
            <w:vAlign w:val="bottom"/>
          </w:tcPr>
          <w:p>
            <w:pPr>
              <w:spacing w:after="0"/>
              <w:rPr>
                <w:sz w:val="18"/>
                <w:szCs w:val="18"/>
                <w:color w:val="auto"/>
              </w:rPr>
            </w:pPr>
          </w:p>
        </w:tc>
        <w:tc>
          <w:tcPr>
            <w:tcW w:w="1280" w:type="dxa"/>
            <w:vAlign w:val="bottom"/>
            <w:gridSpan w:val="3"/>
          </w:tcPr>
          <w:p>
            <w:pPr>
              <w:jc w:val="right"/>
              <w:ind w:right="396"/>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97,881</w:t>
            </w:r>
          </w:p>
        </w:tc>
        <w:tc>
          <w:tcPr>
            <w:tcW w:w="38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1,079,200</w:t>
            </w:r>
          </w:p>
        </w:tc>
        <w:tc>
          <w:tcPr>
            <w:tcW w:w="6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1,707,034(3)</w:t>
            </w:r>
          </w:p>
        </w:tc>
      </w:tr>
      <w:tr>
        <w:trPr>
          <w:trHeight w:val="20"/>
        </w:trPr>
        <w:tc>
          <w:tcPr>
            <w:tcW w:w="1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17" w:lineRule="exact"/>
        <w:rPr>
          <w:sz w:val="20"/>
          <w:szCs w:val="20"/>
          <w:color w:val="auto"/>
        </w:rPr>
      </w:pPr>
    </w:p>
    <w:p>
      <w:pPr>
        <w:ind w:left="460" w:hanging="457"/>
        <w:spacing w:after="0"/>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$300 million revolving credit facility matures on July 27, 2011. As of December 31, 2010, there was $77.0 drawn under this credit facility.</w:t>
      </w:r>
    </w:p>
    <w:p>
      <w:pPr>
        <w:spacing w:after="0" w:line="17" w:lineRule="exact"/>
        <w:rPr>
          <w:rFonts w:ascii="Arial" w:cs="Arial" w:eastAsia="Arial" w:hAnsi="Arial"/>
          <w:sz w:val="17"/>
          <w:szCs w:val="17"/>
          <w:color w:val="auto"/>
        </w:rPr>
      </w:pPr>
    </w:p>
    <w:p>
      <w:pPr>
        <w:ind w:left="460" w:right="320" w:hanging="457"/>
        <w:spacing w:after="0" w:line="264"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the repayment of the outstanding mortgage payable balance on Mount Vernon. The lender has the option to call the loan on April 15, 2013 or any time thereafter.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5"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left="460" w:right="500" w:hanging="457"/>
        <w:spacing w:after="0" w:line="273" w:lineRule="auto"/>
        <w:tabs>
          <w:tab w:leader="none" w:pos="4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total debt maturities differ from the total reported on the consolidated balance sheet due to the unamortized discount or premium on certain senior notes, debentures and mortgages payable.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2010, are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54"/>
        </w:trPr>
        <w:tc>
          <w:tcPr>
            <w:tcW w:w="96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(In thousands)</w:t>
            </w:r>
          </w:p>
        </w:tc>
      </w:tr>
      <w:tr>
        <w:trPr>
          <w:trHeight w:val="206"/>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9600" w:type="dxa"/>
            <w:vAlign w:val="bottom"/>
          </w:tcPr>
          <w:p>
            <w:pPr>
              <w:spacing w:after="0"/>
              <w:rPr>
                <w:sz w:val="20"/>
                <w:szCs w:val="20"/>
                <w:color w:val="auto"/>
              </w:rPr>
            </w:pPr>
            <w:r>
              <w:rPr>
                <w:rFonts w:ascii="Arial" w:cs="Arial" w:eastAsia="Arial" w:hAnsi="Arial"/>
                <w:sz w:val="17"/>
                <w:szCs w:val="17"/>
                <w:color w:val="auto"/>
              </w:rPr>
              <w:t>2011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5,475</w:t>
            </w:r>
          </w:p>
        </w:tc>
        <w:tc>
          <w:tcPr>
            <w:tcW w:w="100" w:type="dxa"/>
            <w:vAlign w:val="bottom"/>
          </w:tcPr>
          <w:p>
            <w:pPr>
              <w:spacing w:after="0"/>
              <w:rPr>
                <w:sz w:val="17"/>
                <w:szCs w:val="17"/>
                <w:color w:val="auto"/>
              </w:rPr>
            </w:pPr>
          </w:p>
        </w:tc>
      </w:tr>
      <w:tr>
        <w:trPr>
          <w:trHeight w:val="206"/>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5,484</w:t>
            </w:r>
          </w:p>
        </w:tc>
        <w:tc>
          <w:tcPr>
            <w:tcW w:w="100" w:type="dxa"/>
            <w:vAlign w:val="bottom"/>
            <w:shd w:val="clear" w:color="auto" w:fill="CCEEFF"/>
          </w:tcPr>
          <w:p>
            <w:pPr>
              <w:spacing w:after="0"/>
              <w:rPr>
                <w:sz w:val="17"/>
                <w:szCs w:val="17"/>
                <w:color w:val="auto"/>
              </w:rPr>
            </w:pPr>
          </w:p>
        </w:tc>
      </w:tr>
      <w:tr>
        <w:trPr>
          <w:trHeight w:val="206"/>
        </w:trPr>
        <w:tc>
          <w:tcPr>
            <w:tcW w:w="9600" w:type="dxa"/>
            <w:vAlign w:val="bottom"/>
          </w:tcPr>
          <w:p>
            <w:pPr>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5,488</w:t>
            </w:r>
          </w:p>
        </w:tc>
        <w:tc>
          <w:tcPr>
            <w:tcW w:w="100" w:type="dxa"/>
            <w:vAlign w:val="bottom"/>
          </w:tcPr>
          <w:p>
            <w:pPr>
              <w:spacing w:after="0"/>
              <w:rPr>
                <w:sz w:val="17"/>
                <w:szCs w:val="17"/>
                <w:color w:val="auto"/>
              </w:rPr>
            </w:pPr>
          </w:p>
        </w:tc>
      </w:tr>
      <w:tr>
        <w:trPr>
          <w:trHeight w:val="206"/>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5,487</w:t>
            </w:r>
          </w:p>
        </w:tc>
        <w:tc>
          <w:tcPr>
            <w:tcW w:w="100" w:type="dxa"/>
            <w:vAlign w:val="bottom"/>
            <w:shd w:val="clear" w:color="auto" w:fill="CCEEFF"/>
          </w:tcPr>
          <w:p>
            <w:pPr>
              <w:spacing w:after="0"/>
              <w:rPr>
                <w:sz w:val="17"/>
                <w:szCs w:val="17"/>
                <w:color w:val="auto"/>
              </w:rPr>
            </w:pPr>
          </w:p>
        </w:tc>
      </w:tr>
      <w:tr>
        <w:trPr>
          <w:trHeight w:val="206"/>
        </w:trPr>
        <w:tc>
          <w:tcPr>
            <w:tcW w:w="9600" w:type="dxa"/>
            <w:vAlign w:val="bottom"/>
          </w:tcPr>
          <w:p>
            <w:pPr>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5,488</w:t>
            </w:r>
          </w:p>
        </w:tc>
        <w:tc>
          <w:tcPr>
            <w:tcW w:w="100" w:type="dxa"/>
            <w:vAlign w:val="bottom"/>
          </w:tcPr>
          <w:p>
            <w:pPr>
              <w:spacing w:after="0"/>
              <w:rPr>
                <w:sz w:val="17"/>
                <w:szCs w:val="17"/>
                <w:color w:val="auto"/>
              </w:rPr>
            </w:pPr>
          </w:p>
        </w:tc>
      </w:tr>
      <w:tr>
        <w:trPr>
          <w:trHeight w:val="206"/>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137,920</w:t>
            </w:r>
          </w:p>
        </w:tc>
        <w:tc>
          <w:tcPr>
            <w:tcW w:w="100" w:type="dxa"/>
            <w:vAlign w:val="bottom"/>
            <w:shd w:val="clear" w:color="auto" w:fill="CCEEFF"/>
          </w:tcPr>
          <w:p>
            <w:pPr>
              <w:spacing w:after="0"/>
              <w:rPr>
                <w:sz w:val="17"/>
                <w:szCs w:val="17"/>
                <w:color w:val="auto"/>
              </w:rPr>
            </w:pPr>
          </w:p>
        </w:tc>
      </w:tr>
      <w:tr>
        <w:trPr>
          <w:trHeight w:val="211"/>
        </w:trPr>
        <w:tc>
          <w:tcPr>
            <w:tcW w:w="9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165,342</w:t>
            </w:r>
          </w:p>
        </w:tc>
        <w:tc>
          <w:tcPr>
            <w:tcW w:w="100" w:type="dxa"/>
            <w:vAlign w:val="bottom"/>
          </w:tcPr>
          <w:p>
            <w:pPr>
              <w:spacing w:after="0"/>
              <w:rPr>
                <w:sz w:val="18"/>
                <w:szCs w:val="18"/>
                <w:color w:val="auto"/>
              </w:rPr>
            </w:pPr>
          </w:p>
        </w:tc>
      </w:tr>
      <w:tr>
        <w:trPr>
          <w:trHeight w:val="206"/>
        </w:trPr>
        <w:tc>
          <w:tcPr>
            <w:tcW w:w="9600" w:type="dxa"/>
            <w:vAlign w:val="bottom"/>
            <w:shd w:val="clear" w:color="auto" w:fill="CCEEFF"/>
          </w:tcPr>
          <w:p>
            <w:pPr>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(105,402)</w:t>
            </w:r>
          </w:p>
        </w:tc>
      </w:tr>
      <w:tr>
        <w:trPr>
          <w:trHeight w:val="211"/>
        </w:trPr>
        <w:tc>
          <w:tcPr>
            <w:tcW w:w="9600" w:type="dxa"/>
            <w:vAlign w:val="bottom"/>
          </w:tcPr>
          <w:p>
            <w:pPr>
              <w:spacing w:after="0"/>
              <w:rPr>
                <w:sz w:val="20"/>
                <w:szCs w:val="20"/>
                <w:color w:val="auto"/>
              </w:rPr>
            </w:pPr>
            <w:r>
              <w:rPr>
                <w:rFonts w:ascii="Arial" w:cs="Arial" w:eastAsia="Arial" w:hAnsi="Arial"/>
                <w:sz w:val="17"/>
                <w:szCs w:val="17"/>
                <w:color w:val="auto"/>
              </w:rPr>
              <w:t>Present value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59,940</w:t>
            </w:r>
          </w:p>
        </w:tc>
        <w:tc>
          <w:tcPr>
            <w:tcW w:w="100" w:type="dxa"/>
            <w:vAlign w:val="bottom"/>
          </w:tcPr>
          <w:p>
            <w:pPr>
              <w:spacing w:after="0"/>
              <w:rPr>
                <w:sz w:val="18"/>
                <w:szCs w:val="18"/>
                <w:color w:val="auto"/>
              </w:rPr>
            </w:pP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OF FINANCIAL INSTRUMENTS</w:t>
      </w:r>
    </w:p>
    <w:p>
      <w:pPr>
        <w:spacing w:after="0" w:line="9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 fair value measurement is based on the assumptions that market participants would use in pricing an asset or liability in an orderly transaction. The hierarchy for inputs used in measuring fair value are as follows:</w:t>
      </w:r>
    </w:p>
    <w:p>
      <w:pPr>
        <w:spacing w:after="0" w:line="44" w:lineRule="exact"/>
        <w:rPr>
          <w:sz w:val="20"/>
          <w:szCs w:val="20"/>
          <w:color w:val="auto"/>
        </w:rPr>
      </w:pPr>
    </w:p>
    <w:p>
      <w:pPr>
        <w:ind w:left="900" w:hanging="448"/>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Level 1 Inputs—quoted prices in active markets for identical assets or liabilities</w:t>
      </w:r>
    </w:p>
    <w:p>
      <w:pPr>
        <w:spacing w:after="0" w:line="87" w:lineRule="exact"/>
        <w:rPr>
          <w:rFonts w:ascii="Arial" w:cs="Arial" w:eastAsia="Arial" w:hAnsi="Arial"/>
          <w:sz w:val="17"/>
          <w:szCs w:val="17"/>
          <w:color w:val="auto"/>
        </w:rPr>
      </w:pPr>
    </w:p>
    <w:p>
      <w:pPr>
        <w:ind w:left="900" w:hanging="448"/>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Level 2 Inputs—observable inputs other than quoted prices in active markets for identical assets and liabilities</w:t>
      </w:r>
    </w:p>
    <w:p>
      <w:pPr>
        <w:spacing w:after="0" w:line="87" w:lineRule="exact"/>
        <w:rPr>
          <w:rFonts w:ascii="Arial" w:cs="Arial" w:eastAsia="Arial" w:hAnsi="Arial"/>
          <w:sz w:val="17"/>
          <w:szCs w:val="17"/>
          <w:color w:val="auto"/>
        </w:rPr>
      </w:pPr>
    </w:p>
    <w:p>
      <w:pPr>
        <w:ind w:left="900" w:hanging="448"/>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Level 3 Inputs—prices or valuation techniques that require inputs that are both significant to the fair value measurement and unobservable</w:t>
      </w:r>
    </w:p>
    <w:p>
      <w:pPr>
        <w:spacing w:after="0" w:line="164" w:lineRule="exact"/>
        <w:rPr>
          <w:sz w:val="20"/>
          <w:szCs w:val="20"/>
          <w:color w:val="auto"/>
        </w:rPr>
      </w:pPr>
    </w:p>
    <w:p>
      <w:pPr>
        <w:ind w:right="420"/>
        <w:spacing w:after="0" w:line="305"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9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tcPr>
          <w:p>
            <w:pPr>
              <w:ind w:left="340"/>
              <w:spacing w:after="0"/>
              <w:rPr>
                <w:sz w:val="20"/>
                <w:szCs w:val="20"/>
                <w:color w:val="auto"/>
              </w:rPr>
            </w:pPr>
            <w:r>
              <w:rPr>
                <w:rFonts w:ascii="Arial" w:cs="Arial" w:eastAsia="Arial" w:hAnsi="Arial"/>
                <w:sz w:val="13"/>
                <w:szCs w:val="13"/>
                <w:b w:val="1"/>
                <w:bCs w:val="1"/>
                <w:color w:val="auto"/>
              </w:rPr>
              <w:t>December 31, 2010</w:t>
            </w:r>
          </w:p>
        </w:tc>
        <w:tc>
          <w:tcPr>
            <w:tcW w:w="100" w:type="dxa"/>
            <w:vAlign w:val="bottom"/>
          </w:tcPr>
          <w:p>
            <w:pPr>
              <w:spacing w:after="0"/>
              <w:rPr>
                <w:sz w:val="13"/>
                <w:szCs w:val="13"/>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December 31, 2009</w:t>
            </w:r>
          </w:p>
        </w:tc>
      </w:tr>
      <w:tr>
        <w:trPr>
          <w:trHeight w:val="121"/>
        </w:trPr>
        <w:tc>
          <w:tcPr>
            <w:tcW w:w="37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3"/>
                <w:szCs w:val="13"/>
                <w:b w:val="1"/>
                <w:bCs w:val="1"/>
                <w:color w:val="auto"/>
                <w:w w:val="93"/>
              </w:rPr>
              <w:t>Carrying</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8"/>
              <w:spacing w:after="0" w:line="121" w:lineRule="exact"/>
              <w:rPr>
                <w:sz w:val="20"/>
                <w:szCs w:val="20"/>
                <w:color w:val="auto"/>
              </w:rPr>
            </w:pPr>
            <w:r>
              <w:rPr>
                <w:rFonts w:ascii="Arial" w:cs="Arial" w:eastAsia="Arial" w:hAnsi="Arial"/>
                <w:sz w:val="13"/>
                <w:szCs w:val="13"/>
                <w:b w:val="1"/>
                <w:bCs w:val="1"/>
                <w:color w:val="auto"/>
                <w:w w:val="89"/>
              </w:rPr>
              <w:t>Carrying</w:t>
            </w: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54"/>
        </w:trPr>
        <w:tc>
          <w:tcPr>
            <w:tcW w:w="37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3"/>
              </w:rPr>
              <w:t>Fair Value</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rPr>
              <w:t>Value</w:t>
            </w:r>
          </w:p>
        </w:tc>
        <w:tc>
          <w:tcPr>
            <w:tcW w:w="32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r>
      <w:tr>
        <w:trPr>
          <w:trHeight w:val="134"/>
        </w:trPr>
        <w:tc>
          <w:tcPr>
            <w:tcW w:w="37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right"/>
              <w:ind w:right="488"/>
              <w:spacing w:after="0" w:line="134"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6"/>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Mortgages and notes payable</w:t>
            </w:r>
          </w:p>
        </w:tc>
        <w:tc>
          <w:tcPr>
            <w:tcW w:w="3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627,382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685,552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801,354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819,733</w:t>
            </w:r>
          </w:p>
        </w:tc>
      </w:tr>
      <w:tr>
        <w:trPr>
          <w:trHeight w:val="213"/>
        </w:trPr>
        <w:tc>
          <w:tcPr>
            <w:tcW w:w="3760" w:type="dxa"/>
            <w:vAlign w:val="bottom"/>
          </w:tcPr>
          <w:p>
            <w:pPr>
              <w:spacing w:after="0"/>
              <w:rPr>
                <w:sz w:val="20"/>
                <w:szCs w:val="20"/>
                <w:color w:val="auto"/>
              </w:rPr>
            </w:pPr>
            <w:r>
              <w:rPr>
                <w:rFonts w:ascii="Arial" w:cs="Arial" w:eastAsia="Arial" w:hAnsi="Arial"/>
                <w:sz w:val="17"/>
                <w:szCs w:val="17"/>
                <w:color w:val="auto"/>
              </w:rPr>
              <w:t>Senior notes and debentures</w:t>
            </w:r>
          </w:p>
        </w:tc>
        <w:tc>
          <w:tcPr>
            <w:tcW w:w="36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1,079,827</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w w:val="92"/>
              </w:rPr>
              <w:t>1,168,679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930,219</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951,861</w:t>
            </w:r>
          </w:p>
        </w:tc>
      </w:tr>
      <w:tr>
        <w:trPr>
          <w:trHeight w:val="338"/>
        </w:trPr>
        <w:tc>
          <w:tcPr>
            <w:tcW w:w="3760" w:type="dxa"/>
            <w:vAlign w:val="bottom"/>
          </w:tcPr>
          <w:p>
            <w:pPr>
              <w:spacing w:after="0"/>
              <w:rPr>
                <w:sz w:val="24"/>
                <w:szCs w:val="24"/>
                <w:color w:val="auto"/>
              </w:rPr>
            </w:pPr>
          </w:p>
        </w:tc>
        <w:tc>
          <w:tcPr>
            <w:tcW w:w="3660" w:type="dxa"/>
            <w:vAlign w:val="bottom"/>
            <w:gridSpan w:val="2"/>
          </w:tcPr>
          <w:p>
            <w:pPr>
              <w:jc w:val="right"/>
              <w:ind w:right="1540"/>
              <w:spacing w:after="0"/>
              <w:rPr>
                <w:sz w:val="20"/>
                <w:szCs w:val="20"/>
                <w:color w:val="auto"/>
              </w:rPr>
            </w:pPr>
            <w:r>
              <w:rPr>
                <w:rFonts w:ascii="Arial" w:cs="Arial" w:eastAsia="Arial" w:hAnsi="Arial"/>
                <w:sz w:val="17"/>
                <w:szCs w:val="17"/>
                <w:color w:val="auto"/>
              </w:rPr>
              <w:t>F-23</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91"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21"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9"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In May 2003, a breach of contract action was filed against us in the United States District Court for the Northern District of California, San Jose Division, alleging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w:t>
      </w:r>
    </w:p>
    <w:p>
      <w:pPr>
        <w:spacing w:after="0" w:line="10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trial on the issue of damages was held in April 2008 and the court issued a tentative ruling in April 2009 awarding damages to the plaintiff of approximately $14.4 million plus interest. Accordingly, considering all the information available to us when we filed our March 31, 2009 Form 10-Q, our best estimate of damages, interest, and other costs was $21.4 million resulting in an increase in our accrual for this matter of $20.6 million. In June 2009, the court issued a final judgment awarding damages of $15.9 million (including interest) plus costs of suit and in July 2009, we and the plaintiff both filed a notice of appeal with the United States Court of Appeals for the Ninth Circuit. In December 2009, the plaintiff filed an “appellee’s principal and response brief” providing additional information regarding the issues the plaintiff is appealing. Given the additional information regarding the appeal, we lowered our accrual to $16.4 million in the fourth quarter 2009, which reflected our best estimate of the litigation liability. Oral arguments on the appeal were heard in December 2010. A final ruling on the appeal was issued in February 2011 which rejected both appeals and consequently, affirmed the final judgment against us. Therefore, in December 2010, we adjusted our accrual to $16.2 million which reflects the amount we expect to pay in first quarter 2011.</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net change in our accrual in 2010 and 2009 is included in “litigation provision” in our consolidated statements of operations. The litigation accrual of $16.2 million and $16.4 million at December 31, 2010 and 2009, respectively, is included in the “accounts payable and accrued expenses” line item in our consolidated balance sheets. During 2010 and 2009, we incurred additional legal and other costs related to this lawsuit and appeal process which are also included in the “litigation provision” line item in the consolidated statements of operations.</w:t>
      </w:r>
    </w:p>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We were also involved in a litigation matter relating to a shopping center in New Jersey where a former tenant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In December 2008, we reached a settlement with the plaintiff of those matters where the court ruled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45"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auto"/>
        </w:rPr>
        <w:t>against us and determined that we were liable. The total settlement amount was $3.3 million, including $1.0 million of the plaintiff’s legal fees, of which we paid 50% and the third party management agent paid 50%. Our share of the total estimated settlement is included in “general and administrative expense” in the statement of operations.</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35"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December 31, 2008, had substantially completed the inspections and repairs. The extent of the damages encountered in the units and the resulting costs to repair varied considerably amongst the units. As a result, we adjusted the warranty reserve at December 31, 2008, to reflect the actual costs incurred related to these issues which is approximately $2.4 million, net of $1.5 million of taxes. The change in the reserve of $5.2 million is included in “Discontinued operations—gain on sale of real estate” in 2008. Due to the inherent uncertainty related to the recovery from insurance or the contractors, these amounts did not reflect any potential recoveries from insurance or the contractors responsible for the defective work.</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2009, we entered into a settlement agreement with the insurance provider and recovered approximately $0.9 million. In 2010, we reached a settlement with the contractors responsible for performing the defective work for approximately $1.0 million. The settlements are included in “Discontinued operations—gain on sale of real estate” in 2009 and 2010.</w:t>
      </w:r>
    </w:p>
    <w:p>
      <w:pPr>
        <w:spacing w:after="0" w:line="12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35" w:lineRule="exact"/>
        <w:rPr>
          <w:sz w:val="20"/>
          <w:szCs w:val="20"/>
          <w:color w:val="auto"/>
        </w:rPr>
      </w:pPr>
    </w:p>
    <w:p>
      <w:pPr>
        <w:ind w:right="40"/>
        <w:spacing w:after="0" w:line="332" w:lineRule="auto"/>
        <w:rPr>
          <w:sz w:val="20"/>
          <w:szCs w:val="20"/>
          <w:color w:val="auto"/>
        </w:rPr>
      </w:pPr>
      <w:r>
        <w:rPr>
          <w:rFonts w:ascii="Arial" w:cs="Arial" w:eastAsia="Arial" w:hAnsi="Arial"/>
          <w:sz w:val="14"/>
          <w:szCs w:val="14"/>
          <w:color w:val="auto"/>
        </w:rPr>
        <w:t>At December 31, 2010 and 2009, our reserves for warranties and general liability costs were $7.2 million and $8.0 million, respectively, and are included in “accounts payable and accrued expenses” in our consolidated balance sheets. Any potential losses which exceed our estimates would result in a decrease in our net income. During 2010 and 2009, we made payments from these reserves of $1.3 million and $1.0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86"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At December 31, 2010, we had letters of credit outstanding of approximately $14.0 million which are collateral for existing indebtedness and other obligations of the Trust.</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two other minority partners to purchase between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45"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00"/>
        <w:spacing w:after="0" w:line="342" w:lineRule="auto"/>
        <w:rPr>
          <w:sz w:val="20"/>
          <w:szCs w:val="20"/>
          <w:color w:val="auto"/>
        </w:rPr>
      </w:pPr>
      <w:r>
        <w:rPr>
          <w:rFonts w:ascii="Arial" w:cs="Arial" w:eastAsia="Arial" w:hAnsi="Arial"/>
          <w:sz w:val="15"/>
          <w:szCs w:val="15"/>
          <w:color w:val="auto"/>
        </w:rPr>
        <w:t>one-half to all of its 29.47% interest in Congressional Plaza at the interest’s then-current fair market value. Based on management’s current estimate of fair market value as of December 31, 2010, our estimated maximum liability upon exercise of the put option would range from approximately $44 million to $51 million.</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Under the terms of one other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7"/>
          <w:szCs w:val="17"/>
          <w:color w:val="auto"/>
        </w:rPr>
        <w:t>Under the terms of various other partnership agreements, the partners have the right to exchange their operating units for cash or the same number of our common shares, at our option. As of December 31, 2010, a total of 362,314 operating units are outstanding which have a total fair value of $28.2 million, based on our closing stock price on December 31, 2010.</w:t>
      </w:r>
    </w:p>
    <w:p>
      <w:pPr>
        <w:spacing w:after="0" w:line="12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A master lease for Melville Mall includes a fixed purchase price option in 2021 for $5 million and the assumption of the owner’s debt which is $23.1 million at December 31, 2010. If we fail to exercise our purchase option, the owner of Melville Mall has a put option which would require us to purchase Melville Mall in 2023 for $5 million and the assumption of the owner’s debt.</w:t>
      </w:r>
    </w:p>
    <w:p>
      <w:pPr>
        <w:spacing w:after="0" w:line="128"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As of December 31, 2010 in connection with capital improvement, development, and redevelopment projects, the Trust has contractual obligations of approximately $54.4 million.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2010:</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54"/>
        </w:trPr>
        <w:tc>
          <w:tcPr>
            <w:tcW w:w="87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8"/>
              </w:rPr>
              <w:t>(In thousands)</w:t>
            </w: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700" w:type="dxa"/>
            <w:vAlign w:val="bottom"/>
          </w:tcPr>
          <w:p>
            <w:pPr>
              <w:spacing w:after="0"/>
              <w:rPr>
                <w:sz w:val="20"/>
                <w:szCs w:val="20"/>
                <w:color w:val="auto"/>
              </w:rPr>
            </w:pPr>
            <w:r>
              <w:rPr>
                <w:rFonts w:ascii="Arial" w:cs="Arial" w:eastAsia="Arial" w:hAnsi="Arial"/>
                <w:sz w:val="17"/>
                <w:szCs w:val="17"/>
                <w:color w:val="auto"/>
              </w:rPr>
              <w:t>2011</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1,467</w:t>
            </w:r>
          </w:p>
        </w:tc>
        <w:tc>
          <w:tcPr>
            <w:tcW w:w="100" w:type="dxa"/>
            <w:vAlign w:val="bottom"/>
          </w:tcPr>
          <w:p>
            <w:pPr>
              <w:spacing w:after="0"/>
              <w:rPr>
                <w:sz w:val="17"/>
                <w:szCs w:val="17"/>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w:t>
            </w:r>
          </w:p>
        </w:tc>
        <w:tc>
          <w:tcPr>
            <w:tcW w:w="100" w:type="dxa"/>
            <w:vAlign w:val="bottom"/>
            <w:shd w:val="clear" w:color="auto" w:fill="CCEEFF"/>
          </w:tcPr>
          <w:p>
            <w:pPr>
              <w:spacing w:after="0"/>
              <w:rPr>
                <w:sz w:val="17"/>
                <w:szCs w:val="17"/>
                <w:color w:val="auto"/>
              </w:rPr>
            </w:pPr>
          </w:p>
        </w:tc>
      </w:tr>
      <w:tr>
        <w:trPr>
          <w:trHeight w:val="206"/>
        </w:trPr>
        <w:tc>
          <w:tcPr>
            <w:tcW w:w="8700" w:type="dxa"/>
            <w:vAlign w:val="bottom"/>
          </w:tcPr>
          <w:p>
            <w:pPr>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1,314</w:t>
            </w:r>
          </w:p>
        </w:tc>
        <w:tc>
          <w:tcPr>
            <w:tcW w:w="100" w:type="dxa"/>
            <w:vAlign w:val="bottom"/>
          </w:tcPr>
          <w:p>
            <w:pPr>
              <w:spacing w:after="0"/>
              <w:rPr>
                <w:sz w:val="17"/>
                <w:szCs w:val="17"/>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100" w:type="dxa"/>
            <w:vAlign w:val="bottom"/>
            <w:shd w:val="clear" w:color="auto" w:fill="CCEEFF"/>
          </w:tcPr>
          <w:p>
            <w:pPr>
              <w:spacing w:after="0"/>
              <w:rPr>
                <w:sz w:val="17"/>
                <w:szCs w:val="17"/>
                <w:color w:val="auto"/>
              </w:rPr>
            </w:pPr>
          </w:p>
        </w:tc>
      </w:tr>
      <w:tr>
        <w:trPr>
          <w:trHeight w:val="206"/>
        </w:trPr>
        <w:tc>
          <w:tcPr>
            <w:tcW w:w="8700" w:type="dxa"/>
            <w:vAlign w:val="bottom"/>
          </w:tcPr>
          <w:p>
            <w:pPr>
              <w:spacing w:after="0"/>
              <w:rPr>
                <w:sz w:val="20"/>
                <w:szCs w:val="20"/>
                <w:color w:val="auto"/>
              </w:rPr>
            </w:pPr>
            <w:r>
              <w:rPr>
                <w:rFonts w:ascii="Arial" w:cs="Arial" w:eastAsia="Arial" w:hAnsi="Arial"/>
                <w:sz w:val="17"/>
                <w:szCs w:val="17"/>
                <w:color w:val="auto"/>
              </w:rPr>
              <w:t>2015</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1,253</w:t>
            </w:r>
          </w:p>
        </w:tc>
        <w:tc>
          <w:tcPr>
            <w:tcW w:w="100" w:type="dxa"/>
            <w:vAlign w:val="bottom"/>
          </w:tcPr>
          <w:p>
            <w:pPr>
              <w:spacing w:after="0"/>
              <w:rPr>
                <w:sz w:val="17"/>
                <w:szCs w:val="17"/>
                <w:color w:val="auto"/>
              </w:rPr>
            </w:pPr>
          </w:p>
        </w:tc>
      </w:tr>
      <w:tr>
        <w:trPr>
          <w:trHeight w:val="206"/>
        </w:trPr>
        <w:tc>
          <w:tcPr>
            <w:tcW w:w="87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2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53,281</w:t>
            </w:r>
          </w:p>
        </w:tc>
        <w:tc>
          <w:tcPr>
            <w:tcW w:w="100" w:type="dxa"/>
            <w:vAlign w:val="bottom"/>
            <w:shd w:val="clear" w:color="auto" w:fill="CCEEFF"/>
          </w:tcPr>
          <w:p>
            <w:pPr>
              <w:spacing w:after="0"/>
              <w:rPr>
                <w:sz w:val="17"/>
                <w:szCs w:val="17"/>
                <w:color w:val="auto"/>
              </w:rPr>
            </w:pPr>
          </w:p>
        </w:tc>
      </w:tr>
      <w:tr>
        <w:trPr>
          <w:trHeight w:val="211"/>
        </w:trPr>
        <w:tc>
          <w:tcPr>
            <w:tcW w:w="87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59,924</w:t>
            </w:r>
          </w:p>
        </w:tc>
        <w:tc>
          <w:tcPr>
            <w:tcW w:w="100" w:type="dxa"/>
            <w:vAlign w:val="bottom"/>
          </w:tcPr>
          <w:p>
            <w:pPr>
              <w:spacing w:after="0"/>
              <w:rPr>
                <w:sz w:val="18"/>
                <w:szCs w:val="18"/>
                <w:color w:val="auto"/>
              </w:rPr>
            </w:pPr>
          </w:p>
        </w:tc>
      </w:tr>
      <w:tr>
        <w:trPr>
          <w:trHeight w:val="20"/>
        </w:trPr>
        <w:tc>
          <w:tcPr>
            <w:tcW w:w="8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SHAREHOLDERS’ EQUITY</w:t>
      </w:r>
    </w:p>
    <w:p>
      <w:pPr>
        <w:spacing w:after="0" w:line="9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a Dividend Reinvestment Plan (the “Plan”), whereby shareholders may use their dividends and optional cash payments to purchase shares. In 2010, 2009 and 2008, 34,401 shares, 50,888 shares and 39,343 shares, respectively, were issued under the Plan.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December 31, 2010, 2009, and 2008, we had 399,896 shares of 5.417% Series 1 Cumulative Convertible Preferred Shares (“Series 1 Preferred Shares”) outstanding that have a liquidation preference of $25 per share and</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360"/>
          </w:cols>
          <w:pgMar w:left="240" w:top="445" w:right="2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DIVIDENDS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dividends declared and paid per share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4"/>
        </w:trPr>
        <w:tc>
          <w:tcPr>
            <w:tcW w:w="5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2"/>
              </w:rPr>
              <w:t>2010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2"/>
              </w:rPr>
              <w:t>2009</w:t>
            </w:r>
          </w:p>
        </w:tc>
        <w:tc>
          <w:tcPr>
            <w:tcW w:w="4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9"/>
              </w:rPr>
              <w:t>2008</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4"/>
        </w:trPr>
        <w:tc>
          <w:tcPr>
            <w:tcW w:w="5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0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w w:val="87"/>
              </w:rPr>
              <w:t>Declared</w:t>
            </w:r>
          </w:p>
        </w:tc>
        <w:tc>
          <w:tcPr>
            <w:tcW w:w="30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4"/>
              </w:rPr>
              <w:t>Paid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83"/>
              </w:rPr>
              <w:t>Declared</w:t>
            </w:r>
          </w:p>
        </w:tc>
        <w:tc>
          <w:tcPr>
            <w:tcW w:w="30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Paid</w:t>
            </w:r>
          </w:p>
        </w:tc>
        <w:tc>
          <w:tcPr>
            <w:tcW w:w="300" w:type="dxa"/>
            <w:vAlign w:val="bottom"/>
          </w:tcPr>
          <w:p>
            <w:pPr>
              <w:spacing w:after="0"/>
              <w:rPr>
                <w:sz w:val="11"/>
                <w:szCs w:val="11"/>
                <w:color w:val="auto"/>
              </w:rPr>
            </w:pPr>
          </w:p>
        </w:tc>
        <w:tc>
          <w:tcPr>
            <w:tcW w:w="500" w:type="dxa"/>
            <w:vAlign w:val="bottom"/>
            <w:tcBorders>
              <w:bottom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w w:val="83"/>
              </w:rPr>
              <w:t>Declared</w:t>
            </w:r>
          </w:p>
        </w:tc>
        <w:tc>
          <w:tcPr>
            <w:tcW w:w="320" w:type="dxa"/>
            <w:vAlign w:val="bottom"/>
          </w:tcPr>
          <w:p>
            <w:pPr>
              <w:spacing w:after="0"/>
              <w:rPr>
                <w:sz w:val="11"/>
                <w:szCs w:val="11"/>
                <w:color w:val="auto"/>
              </w:rPr>
            </w:pPr>
          </w:p>
        </w:tc>
        <w:tc>
          <w:tcPr>
            <w:tcW w:w="48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Paid</w:t>
            </w:r>
          </w:p>
        </w:tc>
        <w:tc>
          <w:tcPr>
            <w:tcW w:w="100" w:type="dxa"/>
            <w:vAlign w:val="bottom"/>
          </w:tcPr>
          <w:p>
            <w:pPr>
              <w:spacing w:after="0"/>
              <w:rPr>
                <w:sz w:val="11"/>
                <w:szCs w:val="11"/>
                <w:color w:val="auto"/>
              </w:rPr>
            </w:pPr>
          </w:p>
        </w:tc>
      </w:tr>
      <w:tr>
        <w:trPr>
          <w:trHeight w:val="198"/>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2220" w:type="dxa"/>
            <w:vAlign w:val="bottom"/>
            <w:gridSpan w:val="2"/>
            <w:shd w:val="clear" w:color="auto" w:fill="CCEEFF"/>
          </w:tcPr>
          <w:p>
            <w:pPr>
              <w:ind w:left="1720"/>
              <w:spacing w:after="0"/>
              <w:rPr>
                <w:sz w:val="20"/>
                <w:szCs w:val="20"/>
                <w:color w:val="auto"/>
              </w:rPr>
            </w:pPr>
            <w:r>
              <w:rPr>
                <w:rFonts w:ascii="Arial" w:cs="Arial" w:eastAsia="Arial" w:hAnsi="Arial"/>
                <w:sz w:val="17"/>
                <w:szCs w:val="17"/>
                <w:color w:val="auto"/>
                <w:w w:val="84"/>
              </w:rPr>
              <w:t>$ 2.660</w:t>
            </w:r>
          </w:p>
        </w:tc>
        <w:tc>
          <w:tcPr>
            <w:tcW w:w="900" w:type="dxa"/>
            <w:vAlign w:val="bottom"/>
            <w:gridSpan w:val="3"/>
            <w:shd w:val="clear" w:color="auto" w:fill="CCEEFF"/>
          </w:tcPr>
          <w:p>
            <w:pPr>
              <w:jc w:val="center"/>
              <w:ind w:left="103"/>
              <w:spacing w:after="0"/>
              <w:rPr>
                <w:sz w:val="20"/>
                <w:szCs w:val="20"/>
                <w:color w:val="auto"/>
              </w:rPr>
            </w:pPr>
            <w:r>
              <w:rPr>
                <w:rFonts w:ascii="Arial" w:cs="Arial" w:eastAsia="Arial" w:hAnsi="Arial"/>
                <w:sz w:val="17"/>
                <w:szCs w:val="17"/>
                <w:color w:val="auto"/>
                <w:w w:val="92"/>
              </w:rPr>
              <w:t>$2.650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$ 2.620</w:t>
            </w:r>
          </w:p>
        </w:tc>
        <w:tc>
          <w:tcPr>
            <w:tcW w:w="10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2"/>
              </w:rPr>
              <w:t>$2.610</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w w:val="84"/>
              </w:rPr>
              <w:t>$ 2.520</w:t>
            </w:r>
          </w:p>
        </w:tc>
        <w:tc>
          <w:tcPr>
            <w:tcW w:w="800" w:type="dxa"/>
            <w:vAlign w:val="bottom"/>
            <w:gridSpan w:val="2"/>
            <w:shd w:val="clear" w:color="auto" w:fill="CCEEFF"/>
          </w:tcPr>
          <w:p>
            <w:pPr>
              <w:jc w:val="center"/>
              <w:ind w:left="243"/>
              <w:spacing w:after="0"/>
              <w:rPr>
                <w:sz w:val="20"/>
                <w:szCs w:val="20"/>
                <w:color w:val="auto"/>
              </w:rPr>
            </w:pPr>
            <w:r>
              <w:rPr>
                <w:rFonts w:ascii="Arial" w:cs="Arial" w:eastAsia="Arial" w:hAnsi="Arial"/>
                <w:sz w:val="17"/>
                <w:szCs w:val="17"/>
                <w:color w:val="auto"/>
                <w:w w:val="84"/>
              </w:rPr>
              <w:t>$ 2.480</w:t>
            </w:r>
          </w:p>
        </w:tc>
        <w:tc>
          <w:tcPr>
            <w:tcW w:w="100" w:type="dxa"/>
            <w:vAlign w:val="bottom"/>
            <w:shd w:val="clear" w:color="auto" w:fill="CCEEFF"/>
          </w:tcPr>
          <w:p>
            <w:pPr>
              <w:spacing w:after="0"/>
              <w:rPr>
                <w:sz w:val="17"/>
                <w:szCs w:val="17"/>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7"/>
                <w:szCs w:val="17"/>
                <w:color w:val="auto"/>
              </w:rPr>
              <w:t>5.417% Series 1 Cumulative Convertible Preferred</w:t>
            </w:r>
          </w:p>
        </w:tc>
        <w:tc>
          <w:tcPr>
            <w:tcW w:w="2220" w:type="dxa"/>
            <w:vAlign w:val="bottom"/>
            <w:gridSpan w:val="2"/>
          </w:tcPr>
          <w:p>
            <w:pPr>
              <w:ind w:left="1720"/>
              <w:spacing w:after="0"/>
              <w:rPr>
                <w:sz w:val="20"/>
                <w:szCs w:val="20"/>
                <w:color w:val="auto"/>
              </w:rPr>
            </w:pPr>
            <w:r>
              <w:rPr>
                <w:rFonts w:ascii="Arial" w:cs="Arial" w:eastAsia="Arial" w:hAnsi="Arial"/>
                <w:sz w:val="17"/>
                <w:szCs w:val="17"/>
                <w:color w:val="auto"/>
                <w:w w:val="84"/>
              </w:rPr>
              <w:t>$ 1.354</w:t>
            </w:r>
          </w:p>
        </w:tc>
        <w:tc>
          <w:tcPr>
            <w:tcW w:w="900" w:type="dxa"/>
            <w:vAlign w:val="bottom"/>
            <w:gridSpan w:val="3"/>
          </w:tcPr>
          <w:p>
            <w:pPr>
              <w:jc w:val="center"/>
              <w:ind w:left="103"/>
              <w:spacing w:after="0"/>
              <w:rPr>
                <w:sz w:val="20"/>
                <w:szCs w:val="20"/>
                <w:color w:val="auto"/>
              </w:rPr>
            </w:pPr>
            <w:r>
              <w:rPr>
                <w:rFonts w:ascii="Arial" w:cs="Arial" w:eastAsia="Arial" w:hAnsi="Arial"/>
                <w:sz w:val="17"/>
                <w:szCs w:val="17"/>
                <w:color w:val="auto"/>
                <w:w w:val="92"/>
              </w:rPr>
              <w:t>$1.354</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$ 1.354</w:t>
            </w:r>
          </w:p>
        </w:tc>
        <w:tc>
          <w:tcPr>
            <w:tcW w:w="1080" w:type="dxa"/>
            <w:vAlign w:val="bottom"/>
            <w:gridSpan w:val="3"/>
          </w:tcPr>
          <w:p>
            <w:pPr>
              <w:jc w:val="center"/>
              <w:spacing w:after="0"/>
              <w:rPr>
                <w:sz w:val="20"/>
                <w:szCs w:val="20"/>
                <w:color w:val="auto"/>
              </w:rPr>
            </w:pPr>
            <w:r>
              <w:rPr>
                <w:rFonts w:ascii="Arial" w:cs="Arial" w:eastAsia="Arial" w:hAnsi="Arial"/>
                <w:sz w:val="17"/>
                <w:szCs w:val="17"/>
                <w:color w:val="auto"/>
                <w:w w:val="92"/>
              </w:rPr>
              <w:t>$1.354</w:t>
            </w:r>
          </w:p>
        </w:tc>
        <w:tc>
          <w:tcPr>
            <w:tcW w:w="500" w:type="dxa"/>
            <w:vAlign w:val="bottom"/>
          </w:tcPr>
          <w:p>
            <w:pPr>
              <w:spacing w:after="0"/>
              <w:rPr>
                <w:sz w:val="20"/>
                <w:szCs w:val="20"/>
                <w:color w:val="auto"/>
              </w:rPr>
            </w:pPr>
            <w:r>
              <w:rPr>
                <w:rFonts w:ascii="Arial" w:cs="Arial" w:eastAsia="Arial" w:hAnsi="Arial"/>
                <w:sz w:val="17"/>
                <w:szCs w:val="17"/>
                <w:color w:val="auto"/>
                <w:w w:val="84"/>
              </w:rPr>
              <w:t>$ 1.354</w:t>
            </w:r>
          </w:p>
        </w:tc>
        <w:tc>
          <w:tcPr>
            <w:tcW w:w="800" w:type="dxa"/>
            <w:vAlign w:val="bottom"/>
            <w:gridSpan w:val="2"/>
          </w:tcPr>
          <w:p>
            <w:pPr>
              <w:jc w:val="center"/>
              <w:ind w:left="243"/>
              <w:spacing w:after="0"/>
              <w:rPr>
                <w:sz w:val="20"/>
                <w:szCs w:val="20"/>
                <w:color w:val="auto"/>
              </w:rPr>
            </w:pPr>
            <w:r>
              <w:rPr>
                <w:rFonts w:ascii="Arial" w:cs="Arial" w:eastAsia="Arial" w:hAnsi="Arial"/>
                <w:sz w:val="17"/>
                <w:szCs w:val="17"/>
                <w:color w:val="auto"/>
                <w:w w:val="84"/>
              </w:rPr>
              <w:t>$ 1.354</w:t>
            </w:r>
          </w:p>
        </w:tc>
        <w:tc>
          <w:tcPr>
            <w:tcW w:w="100" w:type="dxa"/>
            <w:vAlign w:val="bottom"/>
          </w:tcPr>
          <w:p>
            <w:pPr>
              <w:spacing w:after="0"/>
              <w:rPr>
                <w:sz w:val="18"/>
                <w:szCs w:val="18"/>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income tax status of dividends per share paid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360" w:type="dxa"/>
            <w:vAlign w:val="bottom"/>
            <w:gridSpan w:val="6"/>
          </w:tcPr>
          <w:p>
            <w:pPr>
              <w:ind w:left="420"/>
              <w:spacing w:after="0"/>
              <w:rPr>
                <w:sz w:val="20"/>
                <w:szCs w:val="20"/>
                <w:color w:val="auto"/>
              </w:rPr>
            </w:pPr>
            <w:r>
              <w:rPr>
                <w:rFonts w:ascii="Arial" w:cs="Arial" w:eastAsia="Arial" w:hAnsi="Arial"/>
                <w:sz w:val="13"/>
                <w:szCs w:val="13"/>
                <w:b w:val="1"/>
                <w:bCs w:val="1"/>
                <w:color w:val="auto"/>
              </w:rPr>
              <w:t>Year Ended December 31,</w:t>
            </w:r>
          </w:p>
        </w:tc>
      </w:tr>
      <w:tr>
        <w:trPr>
          <w:trHeight w:val="134"/>
        </w:trPr>
        <w:tc>
          <w:tcPr>
            <w:tcW w:w="62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80" w:type="dxa"/>
            <w:vAlign w:val="bottom"/>
            <w:tcBorders>
              <w:top w:val="single" w:sz="8" w:color="auto"/>
            </w:tcBorders>
          </w:tcPr>
          <w:p>
            <w:pPr>
              <w:jc w:val="right"/>
              <w:ind w:right="46"/>
              <w:spacing w:after="0" w:line="134" w:lineRule="exact"/>
              <w:rPr>
                <w:sz w:val="20"/>
                <w:szCs w:val="20"/>
                <w:color w:val="auto"/>
              </w:rPr>
            </w:pPr>
            <w:r>
              <w:rPr>
                <w:rFonts w:ascii="Arial" w:cs="Arial" w:eastAsia="Arial" w:hAnsi="Arial"/>
                <w:sz w:val="13"/>
                <w:szCs w:val="13"/>
                <w:b w:val="1"/>
                <w:bCs w:val="1"/>
                <w:color w:val="auto"/>
              </w:rPr>
              <w:t>2010</w:t>
            </w:r>
          </w:p>
        </w:tc>
        <w:tc>
          <w:tcPr>
            <w:tcW w:w="900" w:type="dxa"/>
            <w:vAlign w:val="bottom"/>
            <w:tcBorders>
              <w:top w:val="single" w:sz="8" w:color="auto"/>
            </w:tcBorders>
            <w:gridSpan w:val="2"/>
          </w:tcPr>
          <w:p>
            <w:pPr>
              <w:jc w:val="right"/>
              <w:ind w:right="36"/>
              <w:spacing w:after="0" w:line="134" w:lineRule="exact"/>
              <w:rPr>
                <w:sz w:val="20"/>
                <w:szCs w:val="20"/>
                <w:color w:val="auto"/>
              </w:rPr>
            </w:pPr>
            <w:r>
              <w:rPr>
                <w:rFonts w:ascii="Arial" w:cs="Arial" w:eastAsia="Arial" w:hAnsi="Arial"/>
                <w:sz w:val="13"/>
                <w:szCs w:val="13"/>
                <w:b w:val="1"/>
                <w:bCs w:val="1"/>
                <w:color w:val="auto"/>
              </w:rPr>
              <w:t>2009</w:t>
            </w:r>
          </w:p>
        </w:tc>
        <w:tc>
          <w:tcPr>
            <w:tcW w:w="900" w:type="dxa"/>
            <w:vAlign w:val="bottom"/>
            <w:tcBorders>
              <w:top w:val="single" w:sz="8" w:color="auto"/>
            </w:tcBorders>
            <w:gridSpan w:val="2"/>
          </w:tcPr>
          <w:p>
            <w:pPr>
              <w:jc w:val="right"/>
              <w:ind w:right="36"/>
              <w:spacing w:after="0" w:line="134" w:lineRule="exact"/>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1"/>
                <w:szCs w:val="11"/>
                <w:color w:val="auto"/>
              </w:rPr>
            </w:pPr>
          </w:p>
        </w:tc>
      </w:tr>
      <w:tr>
        <w:trPr>
          <w:trHeight w:val="198"/>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Common shares</w:t>
            </w:r>
          </w:p>
        </w:tc>
        <w:tc>
          <w:tcPr>
            <w:tcW w:w="28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240" w:type="dxa"/>
            <w:vAlign w:val="bottom"/>
          </w:tcPr>
          <w:p>
            <w:pPr>
              <w:ind w:left="420"/>
              <w:spacing w:after="0"/>
              <w:rPr>
                <w:sz w:val="20"/>
                <w:szCs w:val="20"/>
                <w:color w:val="auto"/>
              </w:rPr>
            </w:pPr>
            <w:r>
              <w:rPr>
                <w:rFonts w:ascii="Arial" w:cs="Arial" w:eastAsia="Arial" w:hAnsi="Arial"/>
                <w:sz w:val="17"/>
                <w:szCs w:val="17"/>
                <w:color w:val="auto"/>
              </w:rPr>
              <w:t>Ordinary dividend</w:t>
            </w:r>
          </w:p>
        </w:tc>
        <w:tc>
          <w:tcPr>
            <w:tcW w:w="3300" w:type="dxa"/>
            <w:vAlign w:val="bottom"/>
            <w:gridSpan w:val="2"/>
          </w:tcPr>
          <w:p>
            <w:pPr>
              <w:jc w:val="right"/>
              <w:spacing w:after="0"/>
              <w:rPr>
                <w:sz w:val="20"/>
                <w:szCs w:val="20"/>
                <w:color w:val="auto"/>
              </w:rPr>
            </w:pPr>
            <w:r>
              <w:rPr>
                <w:rFonts w:ascii="Arial" w:cs="Arial" w:eastAsia="Arial" w:hAnsi="Arial"/>
                <w:sz w:val="17"/>
                <w:szCs w:val="17"/>
                <w:color w:val="auto"/>
              </w:rPr>
              <w:t>$2.519</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$2.377</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$2.455</w:t>
            </w:r>
          </w:p>
        </w:tc>
        <w:tc>
          <w:tcPr>
            <w:tcW w:w="80" w:type="dxa"/>
            <w:vAlign w:val="bottom"/>
          </w:tcPr>
          <w:p>
            <w:pPr>
              <w:spacing w:after="0"/>
              <w:rPr>
                <w:sz w:val="17"/>
                <w:szCs w:val="17"/>
                <w:color w:val="auto"/>
              </w:rPr>
            </w:pPr>
          </w:p>
        </w:tc>
      </w:tr>
      <w:tr>
        <w:trPr>
          <w:trHeight w:val="206"/>
        </w:trPr>
        <w:tc>
          <w:tcPr>
            <w:tcW w:w="6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Ordinary dividend eligible for 15% rate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0.025</w:t>
            </w:r>
          </w:p>
        </w:tc>
        <w:tc>
          <w:tcPr>
            <w:tcW w:w="80" w:type="dxa"/>
            <w:vAlign w:val="bottom"/>
            <w:shd w:val="clear" w:color="auto" w:fill="CCEEFF"/>
          </w:tcPr>
          <w:p>
            <w:pPr>
              <w:spacing w:after="0"/>
              <w:rPr>
                <w:sz w:val="17"/>
                <w:szCs w:val="17"/>
                <w:color w:val="auto"/>
              </w:rPr>
            </w:pPr>
          </w:p>
        </w:tc>
      </w:tr>
      <w:tr>
        <w:trPr>
          <w:trHeight w:val="206"/>
        </w:trPr>
        <w:tc>
          <w:tcPr>
            <w:tcW w:w="6240" w:type="dxa"/>
            <w:vAlign w:val="bottom"/>
          </w:tcPr>
          <w:p>
            <w:pPr>
              <w:ind w:left="420"/>
              <w:spacing w:after="0"/>
              <w:rPr>
                <w:sz w:val="20"/>
                <w:szCs w:val="20"/>
                <w:color w:val="auto"/>
              </w:rPr>
            </w:pPr>
            <w:r>
              <w:rPr>
                <w:rFonts w:ascii="Arial" w:cs="Arial" w:eastAsia="Arial" w:hAnsi="Arial"/>
                <w:sz w:val="17"/>
                <w:szCs w:val="17"/>
                <w:color w:val="auto"/>
              </w:rPr>
              <w:t>Return of capital</w:t>
            </w:r>
          </w:p>
        </w:tc>
        <w:tc>
          <w:tcPr>
            <w:tcW w:w="3300" w:type="dxa"/>
            <w:vAlign w:val="bottom"/>
            <w:gridSpan w:val="2"/>
          </w:tcPr>
          <w:p>
            <w:pPr>
              <w:jc w:val="right"/>
              <w:spacing w:after="0"/>
              <w:rPr>
                <w:sz w:val="20"/>
                <w:szCs w:val="20"/>
                <w:color w:val="auto"/>
              </w:rPr>
            </w:pPr>
            <w:r>
              <w:rPr>
                <w:rFonts w:ascii="Arial" w:cs="Arial" w:eastAsia="Arial" w:hAnsi="Arial"/>
                <w:sz w:val="17"/>
                <w:szCs w:val="17"/>
                <w:color w:val="auto"/>
              </w:rPr>
              <w:t>0.106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0.183</w:t>
            </w:r>
          </w:p>
        </w:tc>
        <w:tc>
          <w:tcPr>
            <w:tcW w:w="42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6"/>
        </w:trPr>
        <w:tc>
          <w:tcPr>
            <w:tcW w:w="6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gain</w:t>
            </w:r>
          </w:p>
        </w:tc>
        <w:tc>
          <w:tcPr>
            <w:tcW w:w="28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0.026</w:t>
            </w:r>
          </w:p>
        </w:tc>
        <w:tc>
          <w:tcPr>
            <w:tcW w:w="4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6240" w:type="dxa"/>
            <w:vAlign w:val="bottom"/>
          </w:tcPr>
          <w:p>
            <w:pPr>
              <w:spacing w:after="0"/>
              <w:rPr>
                <w:sz w:val="18"/>
                <w:szCs w:val="18"/>
                <w:color w:val="auto"/>
              </w:rPr>
            </w:pPr>
          </w:p>
        </w:tc>
        <w:tc>
          <w:tcPr>
            <w:tcW w:w="3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2.650</w:t>
            </w:r>
          </w:p>
        </w:tc>
        <w:tc>
          <w:tcPr>
            <w:tcW w:w="9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2.610</w:t>
            </w:r>
          </w:p>
        </w:tc>
        <w:tc>
          <w:tcPr>
            <w:tcW w:w="9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2.480</w:t>
            </w:r>
          </w:p>
        </w:tc>
        <w:tc>
          <w:tcPr>
            <w:tcW w:w="8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5.417% Series 1 Cumulative Convertible Preferred</w:t>
            </w:r>
          </w:p>
        </w:tc>
        <w:tc>
          <w:tcPr>
            <w:tcW w:w="2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240" w:type="dxa"/>
            <w:vAlign w:val="bottom"/>
          </w:tcPr>
          <w:p>
            <w:pPr>
              <w:ind w:left="420"/>
              <w:spacing w:after="0"/>
              <w:rPr>
                <w:sz w:val="20"/>
                <w:szCs w:val="20"/>
                <w:color w:val="auto"/>
              </w:rPr>
            </w:pPr>
            <w:r>
              <w:rPr>
                <w:rFonts w:ascii="Arial" w:cs="Arial" w:eastAsia="Arial" w:hAnsi="Arial"/>
                <w:sz w:val="17"/>
                <w:szCs w:val="17"/>
                <w:color w:val="auto"/>
              </w:rPr>
              <w:t>Ordinary dividend</w:t>
            </w:r>
          </w:p>
        </w:tc>
        <w:tc>
          <w:tcPr>
            <w:tcW w:w="3300" w:type="dxa"/>
            <w:vAlign w:val="bottom"/>
            <w:gridSpan w:val="2"/>
          </w:tcPr>
          <w:p>
            <w:pPr>
              <w:jc w:val="right"/>
              <w:spacing w:after="0"/>
              <w:rPr>
                <w:sz w:val="20"/>
                <w:szCs w:val="20"/>
                <w:color w:val="auto"/>
              </w:rPr>
            </w:pPr>
            <w:r>
              <w:rPr>
                <w:rFonts w:ascii="Arial" w:cs="Arial" w:eastAsia="Arial" w:hAnsi="Arial"/>
                <w:sz w:val="17"/>
                <w:szCs w:val="17"/>
                <w:color w:val="auto"/>
              </w:rPr>
              <w:t>$1.341</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$1.246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$1.341</w:t>
            </w:r>
          </w:p>
        </w:tc>
        <w:tc>
          <w:tcPr>
            <w:tcW w:w="80" w:type="dxa"/>
            <w:vAlign w:val="bottom"/>
          </w:tcPr>
          <w:p>
            <w:pPr>
              <w:spacing w:after="0"/>
              <w:rPr>
                <w:sz w:val="17"/>
                <w:szCs w:val="17"/>
                <w:color w:val="auto"/>
              </w:rPr>
            </w:pPr>
          </w:p>
        </w:tc>
      </w:tr>
      <w:tr>
        <w:trPr>
          <w:trHeight w:val="206"/>
        </w:trPr>
        <w:tc>
          <w:tcPr>
            <w:tcW w:w="62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Ordinary dividend eligible for 15% rate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0.013</w:t>
            </w:r>
          </w:p>
        </w:tc>
        <w:tc>
          <w:tcPr>
            <w:tcW w:w="80" w:type="dxa"/>
            <w:vAlign w:val="bottom"/>
            <w:shd w:val="clear" w:color="auto" w:fill="CCEEFF"/>
          </w:tcPr>
          <w:p>
            <w:pPr>
              <w:spacing w:after="0"/>
              <w:rPr>
                <w:sz w:val="17"/>
                <w:szCs w:val="17"/>
                <w:color w:val="auto"/>
              </w:rPr>
            </w:pPr>
          </w:p>
        </w:tc>
      </w:tr>
      <w:tr>
        <w:trPr>
          <w:trHeight w:val="211"/>
        </w:trPr>
        <w:tc>
          <w:tcPr>
            <w:tcW w:w="6240" w:type="dxa"/>
            <w:vAlign w:val="bottom"/>
          </w:tcPr>
          <w:p>
            <w:pPr>
              <w:ind w:left="420"/>
              <w:spacing w:after="0"/>
              <w:rPr>
                <w:sz w:val="20"/>
                <w:szCs w:val="20"/>
                <w:color w:val="auto"/>
              </w:rPr>
            </w:pPr>
            <w:r>
              <w:rPr>
                <w:rFonts w:ascii="Arial" w:cs="Arial" w:eastAsia="Arial" w:hAnsi="Arial"/>
                <w:sz w:val="17"/>
                <w:szCs w:val="17"/>
                <w:color w:val="auto"/>
              </w:rPr>
              <w:t>Capital gain</w:t>
            </w:r>
          </w:p>
        </w:tc>
        <w:tc>
          <w:tcPr>
            <w:tcW w:w="2820" w:type="dxa"/>
            <w:vAlign w:val="bottom"/>
          </w:tcPr>
          <w:p>
            <w:pPr>
              <w:spacing w:after="0"/>
              <w:rPr>
                <w:sz w:val="18"/>
                <w:szCs w:val="18"/>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0.013</w:t>
            </w:r>
          </w:p>
        </w:tc>
        <w:tc>
          <w:tcPr>
            <w:tcW w:w="420" w:type="dxa"/>
            <w:vAlign w:val="bottom"/>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6"/>
        </w:trPr>
        <w:tc>
          <w:tcPr>
            <w:tcW w:w="6240" w:type="dxa"/>
            <w:vAlign w:val="bottom"/>
            <w:shd w:val="clear" w:color="auto" w:fill="CCEEFF"/>
          </w:tcPr>
          <w:p>
            <w:pPr>
              <w:spacing w:after="0"/>
              <w:rPr>
                <w:sz w:val="17"/>
                <w:szCs w:val="17"/>
                <w:color w:val="auto"/>
              </w:rPr>
            </w:pP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1.354</w:t>
            </w:r>
          </w:p>
        </w:tc>
        <w:tc>
          <w:tcPr>
            <w:tcW w:w="80" w:type="dxa"/>
            <w:vAlign w:val="bottom"/>
            <w:shd w:val="clear" w:color="auto" w:fill="CCEEFF"/>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ind w:right="500"/>
        <w:spacing w:after="0" w:line="273" w:lineRule="auto"/>
        <w:rPr>
          <w:sz w:val="20"/>
          <w:szCs w:val="20"/>
          <w:color w:val="auto"/>
        </w:rPr>
      </w:pPr>
      <w:r>
        <w:rPr>
          <w:rFonts w:ascii="Arial" w:cs="Arial" w:eastAsia="Arial" w:hAnsi="Arial"/>
          <w:sz w:val="17"/>
          <w:szCs w:val="17"/>
          <w:color w:val="auto"/>
        </w:rPr>
        <w:t>On November 3, 2010, the Trustees declared a quarterly cash dividend of $0.67 per common share, payable January 18, 2011 to common shareholders of record on January 3, 2011.</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OPERATING LEASES</w:t>
      </w:r>
    </w:p>
    <w:p>
      <w:pPr>
        <w:spacing w:after="0" w:line="9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At December 31, 2010, our 85 predominantly retail shopping center and mixed use properties are located in 13 states and the District of Columbia. There are approximately 2,400 leases with tenants providing a wide range of retail products and services. These tenants range from sole proprietorships to national retailers; no one tenant or corporate group of tenants accounts for more than 2.6% of annualized base rent.</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 Leases on apartments are generally for a period of one year or less.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445"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2010, minimum future commercial property rentals from noncancelable operating leases, before any reserve for uncollectible amounts and assuming no early lease terminations, at our operating properties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2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ind w:left="40"/>
              <w:spacing w:after="0"/>
              <w:rPr>
                <w:sz w:val="20"/>
                <w:szCs w:val="20"/>
                <w:color w:val="auto"/>
              </w:rPr>
            </w:pPr>
            <w:r>
              <w:rPr>
                <w:rFonts w:ascii="Arial" w:cs="Arial" w:eastAsia="Arial" w:hAnsi="Arial"/>
                <w:sz w:val="13"/>
                <w:szCs w:val="13"/>
                <w:b w:val="1"/>
                <w:bCs w:val="1"/>
                <w:color w:val="auto"/>
              </w:rPr>
              <w:t>(In thousands)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Year ending December 31,</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7"/>
                <w:szCs w:val="17"/>
                <w:color w:val="auto"/>
              </w:rPr>
              <w:t>2011</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377,121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344,775</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7"/>
                <w:szCs w:val="17"/>
                <w:color w:val="auto"/>
              </w:rPr>
              <w:t>2013</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297,424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247,311</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tcPr>
          <w:p>
            <w:pPr>
              <w:spacing w:after="0"/>
              <w:rPr>
                <w:sz w:val="20"/>
                <w:szCs w:val="20"/>
                <w:color w:val="auto"/>
              </w:rPr>
            </w:pPr>
            <w:r>
              <w:rPr>
                <w:rFonts w:ascii="Arial" w:cs="Arial" w:eastAsia="Arial" w:hAnsi="Arial"/>
                <w:sz w:val="17"/>
                <w:szCs w:val="17"/>
                <w:color w:val="auto"/>
              </w:rPr>
              <w:t>2015</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202,320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2"/>
              </w:rPr>
              <w:t>1,106,887</w:t>
            </w: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w w:val="92"/>
              </w:rPr>
              <w:t>2,575,838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NOTE 12.  COMPONENTS OF RENTAL INCOME AND EXPENSE</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85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540" w:type="dxa"/>
            <w:vAlign w:val="bottom"/>
            <w:gridSpan w:val="2"/>
          </w:tcPr>
          <w:p>
            <w:pPr>
              <w:spacing w:after="0"/>
              <w:rPr>
                <w:sz w:val="20"/>
                <w:szCs w:val="20"/>
                <w:color w:val="auto"/>
              </w:rPr>
            </w:pPr>
            <w:r>
              <w:rPr>
                <w:rFonts w:ascii="Arial" w:cs="Arial" w:eastAsia="Arial" w:hAnsi="Arial"/>
                <w:sz w:val="17"/>
                <w:szCs w:val="17"/>
                <w:color w:val="auto"/>
              </w:rPr>
              <w:t>The principal components of rental income are as follows:</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9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1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00" w:type="dxa"/>
            <w:vAlign w:val="bottom"/>
            <w:tcBorders>
              <w:bottom w:val="single" w:sz="8" w:color="auto"/>
            </w:tcBorders>
          </w:tcPr>
          <w:p>
            <w:pPr>
              <w:jc w:val="right"/>
              <w:ind w:right="141"/>
              <w:spacing w:after="0" w:line="134"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9"/>
              <w:spacing w:after="0" w:line="134"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78"/>
              </w:rPr>
              <w:t>(In thousands)</w:t>
            </w:r>
          </w:p>
        </w:tc>
        <w:tc>
          <w:tcPr>
            <w:tcW w:w="26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Minimum rents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40" w:type="dxa"/>
            <w:vAlign w:val="bottom"/>
            <w:gridSpan w:val="2"/>
          </w:tcPr>
          <w:p>
            <w:pPr>
              <w:ind w:left="420"/>
              <w:spacing w:after="0"/>
              <w:rPr>
                <w:sz w:val="20"/>
                <w:szCs w:val="20"/>
                <w:color w:val="auto"/>
              </w:rPr>
            </w:pPr>
            <w:r>
              <w:rPr>
                <w:rFonts w:ascii="Arial" w:cs="Arial" w:eastAsia="Arial" w:hAnsi="Arial"/>
                <w:sz w:val="17"/>
                <w:szCs w:val="17"/>
                <w:color w:val="auto"/>
              </w:rPr>
              <w:t>Retail and commercial</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w w:val="89"/>
              </w:rPr>
              <w:t>$ 381,012</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373,506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365,735</w:t>
            </w:r>
          </w:p>
        </w:tc>
        <w:tc>
          <w:tcPr>
            <w:tcW w:w="0" w:type="dxa"/>
            <w:vAlign w:val="bottom"/>
          </w:tcPr>
          <w:p>
            <w:pPr>
              <w:spacing w:after="0"/>
              <w:rPr>
                <w:sz w:val="1"/>
                <w:szCs w:val="1"/>
                <w:color w:val="auto"/>
              </w:rPr>
            </w:pPr>
          </w:p>
        </w:tc>
      </w:tr>
      <w:tr>
        <w:trPr>
          <w:trHeight w:val="206"/>
        </w:trPr>
        <w:tc>
          <w:tcPr>
            <w:tcW w:w="85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Residential</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18,326</w:t>
            </w:r>
          </w:p>
        </w:tc>
        <w:tc>
          <w:tcPr>
            <w:tcW w:w="0" w:type="dxa"/>
            <w:vAlign w:val="bottom"/>
          </w:tcPr>
          <w:p>
            <w:pPr>
              <w:spacing w:after="0"/>
              <w:rPr>
                <w:sz w:val="1"/>
                <w:szCs w:val="1"/>
                <w:color w:val="auto"/>
              </w:rPr>
            </w:pPr>
          </w:p>
        </w:tc>
      </w:tr>
      <w:tr>
        <w:trPr>
          <w:trHeight w:val="206"/>
        </w:trPr>
        <w:tc>
          <w:tcPr>
            <w:tcW w:w="8540" w:type="dxa"/>
            <w:vAlign w:val="bottom"/>
            <w:gridSpan w:val="2"/>
          </w:tcPr>
          <w:p>
            <w:pPr>
              <w:spacing w:after="0"/>
              <w:rPr>
                <w:sz w:val="20"/>
                <w:szCs w:val="20"/>
                <w:color w:val="auto"/>
              </w:rPr>
            </w:pPr>
            <w:r>
              <w:rPr>
                <w:rFonts w:ascii="Arial" w:cs="Arial" w:eastAsia="Arial" w:hAnsi="Arial"/>
                <w:sz w:val="17"/>
                <w:szCs w:val="17"/>
                <w:color w:val="auto"/>
              </w:rPr>
              <w:t>Cost reimbursement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107,658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104,052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103,118</w:t>
            </w:r>
          </w:p>
        </w:tc>
        <w:tc>
          <w:tcPr>
            <w:tcW w:w="0" w:type="dxa"/>
            <w:vAlign w:val="bottom"/>
          </w:tcPr>
          <w:p>
            <w:pPr>
              <w:spacing w:after="0"/>
              <w:rPr>
                <w:sz w:val="1"/>
                <w:szCs w:val="1"/>
                <w:color w:val="auto"/>
              </w:rPr>
            </w:pPr>
          </w:p>
        </w:tc>
      </w:tr>
      <w:tr>
        <w:trPr>
          <w:trHeight w:val="206"/>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Percentage rent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8,415</w:t>
            </w:r>
          </w:p>
        </w:tc>
        <w:tc>
          <w:tcPr>
            <w:tcW w:w="0" w:type="dxa"/>
            <w:vAlign w:val="bottom"/>
          </w:tcPr>
          <w:p>
            <w:pPr>
              <w:spacing w:after="0"/>
              <w:rPr>
                <w:sz w:val="1"/>
                <w:szCs w:val="1"/>
                <w:color w:val="auto"/>
              </w:rPr>
            </w:pPr>
          </w:p>
        </w:tc>
      </w:tr>
      <w:tr>
        <w:trPr>
          <w:trHeight w:val="206"/>
        </w:trPr>
        <w:tc>
          <w:tcPr>
            <w:tcW w:w="8540" w:type="dxa"/>
            <w:vAlign w:val="bottom"/>
            <w:gridSpan w:val="2"/>
          </w:tcPr>
          <w:p>
            <w:pPr>
              <w:spacing w:after="0"/>
              <w:rPr>
                <w:sz w:val="20"/>
                <w:szCs w:val="20"/>
                <w:color w:val="auto"/>
              </w:rPr>
            </w:pPr>
            <w:r>
              <w:rPr>
                <w:rFonts w:ascii="Arial" w:cs="Arial" w:eastAsia="Arial" w:hAnsi="Arial"/>
                <w:sz w:val="17"/>
                <w:szCs w:val="17"/>
                <w:color w:val="auto"/>
              </w:rPr>
              <w:t>Other</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8,901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5,461</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rental income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$ 525,528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512,725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501,055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auto"/>
        </w:rPr>
        <w:t>Minimum rents include $4.6 million, $5.4 million and $5.8 million for 2010, 2009 and 2008, respectively, to recognize minimum rents on a straight-line basis. In addition, minimum rents include $1.6 million, $1.7 million and $2.2 million for 2010, 2009 and 2008, respectively, to recognize income from the amortization of in-place leases.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rental expenses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70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Year Ended December 31,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0"/>
              <w:spacing w:after="0" w:line="134"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78"/>
              </w:rPr>
              <w:t>(In thousands)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Repairs and maintenance</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42,692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41,093</w:t>
            </w:r>
          </w:p>
        </w:tc>
        <w:tc>
          <w:tcPr>
            <w:tcW w:w="2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38,857</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7"/>
                <w:szCs w:val="17"/>
                <w:color w:val="auto"/>
              </w:rPr>
              <w:t>Utilities</w:t>
            </w: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18,594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17,964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18,085</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Management fees and costs</w:t>
            </w: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14,641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14,082</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7"/>
                <w:szCs w:val="17"/>
                <w:color w:val="auto"/>
              </w:rPr>
              <w:t>Payroll</w:t>
            </w: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7,920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7,781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8,089</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Bad debt expense</w:t>
            </w: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6,202</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7"/>
                <w:szCs w:val="17"/>
                <w:color w:val="auto"/>
              </w:rPr>
              <w:t>Ground rent</w:t>
            </w: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3,049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4,458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5,875</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Insurance</w:t>
            </w: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5,489</w:t>
            </w:r>
          </w:p>
        </w:tc>
        <w:tc>
          <w:tcPr>
            <w:tcW w:w="0" w:type="dxa"/>
            <w:vAlign w:val="bottom"/>
          </w:tcPr>
          <w:p>
            <w:pPr>
              <w:spacing w:after="0"/>
              <w:rPr>
                <w:sz w:val="1"/>
                <w:szCs w:val="1"/>
                <w:color w:val="auto"/>
              </w:rPr>
            </w:pPr>
          </w:p>
        </w:tc>
      </w:tr>
      <w:tr>
        <w:trPr>
          <w:trHeight w:val="206"/>
        </w:trPr>
        <w:tc>
          <w:tcPr>
            <w:tcW w:w="3700" w:type="dxa"/>
            <w:vAlign w:val="bottom"/>
          </w:tcPr>
          <w:p>
            <w:pPr>
              <w:spacing w:after="0"/>
              <w:rPr>
                <w:sz w:val="20"/>
                <w:szCs w:val="20"/>
                <w:color w:val="auto"/>
              </w:rPr>
            </w:pPr>
            <w:r>
              <w:rPr>
                <w:rFonts w:ascii="Arial" w:cs="Arial" w:eastAsia="Arial" w:hAnsi="Arial"/>
                <w:sz w:val="17"/>
                <w:szCs w:val="17"/>
                <w:color w:val="auto"/>
              </w:rPr>
              <w:t>Marketing</w:t>
            </w:r>
          </w:p>
        </w:tc>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4,847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5,953</w:t>
            </w:r>
          </w:p>
        </w:tc>
        <w:tc>
          <w:tcPr>
            <w:tcW w:w="0" w:type="dxa"/>
            <w:vAlign w:val="bottom"/>
          </w:tcPr>
          <w:p>
            <w:pPr>
              <w:spacing w:after="0"/>
              <w:rPr>
                <w:sz w:val="1"/>
                <w:szCs w:val="1"/>
                <w:color w:val="auto"/>
              </w:rPr>
            </w:pPr>
          </w:p>
        </w:tc>
      </w:tr>
      <w:tr>
        <w:trPr>
          <w:trHeight w:val="206"/>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w:t>
            </w:r>
          </w:p>
        </w:tc>
        <w:tc>
          <w:tcPr>
            <w:tcW w:w="4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6,831</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7"/>
                <w:szCs w:val="17"/>
                <w:color w:val="auto"/>
              </w:rPr>
              <w:t>Total rental expenses</w:t>
            </w:r>
          </w:p>
        </w:tc>
        <w:tc>
          <w:tcPr>
            <w:tcW w:w="4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00" w:type="dxa"/>
            <w:vAlign w:val="bottom"/>
            <w:vMerge w:val="continue"/>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w w:val="87"/>
              </w:rPr>
              <w:t>111,034</w:t>
            </w:r>
          </w:p>
        </w:tc>
        <w:tc>
          <w:tcPr>
            <w:tcW w:w="30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108,627</w:t>
            </w:r>
          </w:p>
        </w:tc>
        <w:tc>
          <w:tcPr>
            <w:tcW w:w="2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109,463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700" w:type="dxa"/>
            <w:vAlign w:val="bottom"/>
          </w:tcPr>
          <w:p>
            <w:pPr>
              <w:spacing w:after="0"/>
              <w:rPr>
                <w:sz w:val="24"/>
                <w:szCs w:val="24"/>
                <w:color w:val="auto"/>
              </w:rPr>
            </w:pPr>
          </w:p>
        </w:tc>
        <w:tc>
          <w:tcPr>
            <w:tcW w:w="4980" w:type="dxa"/>
            <w:vAlign w:val="bottom"/>
            <w:gridSpan w:val="2"/>
          </w:tcPr>
          <w:p>
            <w:pPr>
              <w:jc w:val="right"/>
              <w:ind w:right="2716"/>
              <w:spacing w:after="0"/>
              <w:rPr>
                <w:sz w:val="20"/>
                <w:szCs w:val="20"/>
                <w:color w:val="auto"/>
              </w:rPr>
            </w:pPr>
            <w:r>
              <w:rPr>
                <w:rFonts w:ascii="Arial" w:cs="Arial" w:eastAsia="Arial" w:hAnsi="Arial"/>
                <w:sz w:val="17"/>
                <w:szCs w:val="17"/>
                <w:color w:val="auto"/>
              </w:rPr>
              <w:t>F-28</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DISCONTINUED OPERATIONS</w:t>
      </w:r>
    </w:p>
    <w:p>
      <w:pPr>
        <w:spacing w:after="0" w:line="91"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Results of properties sold or held for sale which meet certain requirements, constitute discontinued operations and as such, the operations of these properties are classified as discontinued operations for all periods presented. A summary of the financial information for the discontinued operations is as follows:</w:t>
      </w:r>
    </w:p>
    <w:p>
      <w:pPr>
        <w:spacing w:after="0" w:line="132" w:lineRule="exact"/>
        <w:rPr>
          <w:sz w:val="20"/>
          <w:szCs w:val="20"/>
          <w:color w:val="auto"/>
        </w:rPr>
      </w:pPr>
    </w:p>
    <w:p>
      <w:pPr>
        <w:ind w:left="958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3175</wp:posOffset>
            </wp:positionV>
            <wp:extent cx="132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jc w:val="center"/>
        <w:ind w:left="9120"/>
        <w:spacing w:after="0"/>
        <w:tabs>
          <w:tab w:leader="none" w:pos="540" w:val="left"/>
          <w:tab w:leader="none" w:pos="540" w:val="left"/>
        </w:tabs>
        <w:rPr>
          <w:sz w:val="20"/>
          <w:szCs w:val="20"/>
          <w:color w:val="auto"/>
        </w:rPr>
      </w:pPr>
      <w:r>
        <w:rPr>
          <w:rFonts w:ascii="Arial" w:cs="Arial" w:eastAsia="Arial" w:hAnsi="Arial"/>
          <w:sz w:val="13"/>
          <w:szCs w:val="13"/>
          <w:b w:val="1"/>
          <w:bCs w:val="1"/>
          <w:color w:val="auto"/>
        </w:rPr>
        <w:t>2010</w:t>
      </w:r>
      <w:r>
        <w:rPr>
          <w:sz w:val="20"/>
          <w:szCs w:val="20"/>
          <w:color w:val="auto"/>
        </w:rPr>
        <w:tab/>
      </w:r>
      <w:r>
        <w:rPr>
          <w:rFonts w:ascii="Arial" w:cs="Arial" w:eastAsia="Arial" w:hAnsi="Arial"/>
          <w:sz w:val="13"/>
          <w:szCs w:val="13"/>
          <w:b w:val="1"/>
          <w:bCs w:val="1"/>
          <w:color w:val="auto"/>
        </w:rPr>
        <w:t>2009</w:t>
      </w:r>
      <w:r>
        <w:rPr>
          <w:sz w:val="20"/>
          <w:szCs w:val="20"/>
          <w:color w:val="auto"/>
        </w:rPr>
        <w:tab/>
      </w:r>
      <w:r>
        <w:rPr>
          <w:rFonts w:ascii="Arial" w:cs="Arial" w:eastAsia="Arial" w:hAnsi="Arial"/>
          <w:sz w:val="11"/>
          <w:szCs w:val="11"/>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5876290</wp:posOffset>
            </wp:positionH>
            <wp:positionV relativeFrom="paragraph">
              <wp:posOffset>-4445</wp:posOffset>
            </wp:positionV>
            <wp:extent cx="2527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730" cy="8255"/>
                    </a:xfrm>
                    <a:prstGeom prst="rect">
                      <a:avLst/>
                    </a:prstGeom>
                    <a:noFill/>
                  </pic:spPr>
                </pic:pic>
              </a:graphicData>
            </a:graphic>
          </wp:anchor>
        </w:drawing>
        <w:drawing>
          <wp:anchor simplePos="0" relativeHeight="251657728" behindDoc="1" locked="0" layoutInCell="0" allowOverlap="1">
            <wp:simplePos x="0" y="0"/>
            <wp:positionH relativeFrom="column">
              <wp:posOffset>6406515</wp:posOffset>
            </wp:positionH>
            <wp:positionV relativeFrom="paragraph">
              <wp:posOffset>-4445</wp:posOffset>
            </wp:positionV>
            <wp:extent cx="2203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0345" cy="8255"/>
                    </a:xfrm>
                    <a:prstGeom prst="rect">
                      <a:avLst/>
                    </a:prstGeom>
                    <a:noFill/>
                  </pic:spPr>
                </pic:pic>
              </a:graphicData>
            </a:graphic>
          </wp:anchor>
        </w:drawing>
        <w:drawing>
          <wp:anchor simplePos="0" relativeHeight="251657728" behindDoc="1" locked="0" layoutInCell="0" allowOverlap="1">
            <wp:simplePos x="0" y="0"/>
            <wp:positionH relativeFrom="column">
              <wp:posOffset>6896100</wp:posOffset>
            </wp:positionH>
            <wp:positionV relativeFrom="paragraph">
              <wp:posOffset>-4445</wp:posOffset>
            </wp:positionV>
            <wp:extent cx="3016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jc w:val="center"/>
        <w:ind w:left="9160"/>
        <w:spacing w:after="0" w:line="235" w:lineRule="auto"/>
        <w:rPr>
          <w:sz w:val="20"/>
          <w:szCs w:val="20"/>
          <w:color w:val="auto"/>
        </w:rPr>
      </w:pPr>
      <w:r>
        <w:rPr>
          <w:rFonts w:ascii="Arial" w:cs="Arial" w:eastAsia="Arial" w:hAnsi="Arial"/>
          <w:sz w:val="13"/>
          <w:szCs w:val="13"/>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Revenue from discontinued operations</w:t>
            </w:r>
          </w:p>
        </w:tc>
        <w:tc>
          <w:tcPr>
            <w:tcW w:w="3800" w:type="dxa"/>
            <w:vAlign w:val="bottom"/>
            <w:shd w:val="clear" w:color="auto" w:fill="CCEEFF"/>
          </w:tcPr>
          <w:p>
            <w:pPr>
              <w:ind w:left="3160"/>
              <w:spacing w:after="0"/>
              <w:rPr>
                <w:sz w:val="20"/>
                <w:szCs w:val="20"/>
                <w:color w:val="auto"/>
              </w:rPr>
            </w:pPr>
            <w:r>
              <w:rPr>
                <w:rFonts w:ascii="Arial" w:cs="Arial" w:eastAsia="Arial" w:hAnsi="Arial"/>
                <w:sz w:val="17"/>
                <w:szCs w:val="17"/>
                <w:color w:val="auto"/>
              </w:rPr>
              <w:t>$ 656</w:t>
            </w:r>
          </w:p>
        </w:tc>
        <w:tc>
          <w:tcPr>
            <w:tcW w:w="7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$728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$3,637</w:t>
            </w:r>
          </w:p>
        </w:tc>
      </w:tr>
      <w:tr>
        <w:trPr>
          <w:trHeight w:val="213"/>
        </w:trPr>
        <w:tc>
          <w:tcPr>
            <w:tcW w:w="6100" w:type="dxa"/>
            <w:vAlign w:val="bottom"/>
          </w:tcPr>
          <w:p>
            <w:pPr>
              <w:spacing w:after="0"/>
              <w:rPr>
                <w:sz w:val="20"/>
                <w:szCs w:val="20"/>
                <w:color w:val="auto"/>
              </w:rPr>
            </w:pPr>
            <w:r>
              <w:rPr>
                <w:rFonts w:ascii="Arial" w:cs="Arial" w:eastAsia="Arial" w:hAnsi="Arial"/>
                <w:sz w:val="17"/>
                <w:szCs w:val="17"/>
                <w:color w:val="auto"/>
              </w:rPr>
              <w:t>(Loss) income from discontinued operations</w:t>
            </w:r>
          </w:p>
        </w:tc>
        <w:tc>
          <w:tcPr>
            <w:tcW w:w="3800" w:type="dxa"/>
            <w:vAlign w:val="bottom"/>
          </w:tcPr>
          <w:p>
            <w:pPr>
              <w:ind w:left="3160"/>
              <w:spacing w:after="0"/>
              <w:rPr>
                <w:sz w:val="20"/>
                <w:szCs w:val="20"/>
                <w:color w:val="auto"/>
              </w:rPr>
            </w:pPr>
            <w:r>
              <w:rPr>
                <w:rFonts w:ascii="Arial" w:cs="Arial" w:eastAsia="Arial" w:hAnsi="Arial"/>
                <w:sz w:val="17"/>
                <w:szCs w:val="17"/>
                <w:color w:val="auto"/>
              </w:rPr>
              <w:t>$(280)</w:t>
            </w:r>
          </w:p>
        </w:tc>
        <w:tc>
          <w:tcPr>
            <w:tcW w:w="740" w:type="dxa"/>
            <w:vAlign w:val="bottom"/>
          </w:tcPr>
          <w:p>
            <w:pPr>
              <w:jc w:val="right"/>
              <w:ind w:right="116"/>
              <w:spacing w:after="0"/>
              <w:rPr>
                <w:sz w:val="20"/>
                <w:szCs w:val="20"/>
                <w:color w:val="auto"/>
              </w:rPr>
            </w:pPr>
            <w:r>
              <w:rPr>
                <w:rFonts w:ascii="Arial" w:cs="Arial" w:eastAsia="Arial" w:hAnsi="Arial"/>
                <w:sz w:val="17"/>
                <w:szCs w:val="17"/>
                <w:color w:val="auto"/>
              </w:rPr>
              <w:t>$195</w:t>
            </w:r>
          </w:p>
        </w:tc>
        <w:tc>
          <w:tcPr>
            <w:tcW w:w="780" w:type="dxa"/>
            <w:vAlign w:val="bottom"/>
          </w:tcPr>
          <w:p>
            <w:pPr>
              <w:jc w:val="right"/>
              <w:spacing w:after="0"/>
              <w:rPr>
                <w:sz w:val="20"/>
                <w:szCs w:val="20"/>
                <w:color w:val="auto"/>
              </w:rPr>
            </w:pPr>
            <w:r>
              <w:rPr>
                <w:rFonts w:ascii="Arial" w:cs="Arial" w:eastAsia="Arial" w:hAnsi="Arial"/>
                <w:sz w:val="17"/>
                <w:szCs w:val="17"/>
                <w:color w:val="auto"/>
              </w:rPr>
              <w:t>$1,965</w:t>
            </w:r>
          </w:p>
        </w:tc>
      </w:tr>
    </w:tbl>
    <w:p>
      <w:pPr>
        <w:spacing w:after="0" w:line="138"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In September 2008, we applied for a refund of taxes paid to the state of California related to our TRS activities, primarily the condominium units sold in 2005 and 2006 at Santana Row. The refund related to the condominium units of $1.1 million is included in “Discontinued operations—gain on sale of real estate” in 2008.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SHARE-BASED COMPENSATION PLANS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 summary of share-based compensation expense included in net income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8"/>
          </w:tcPr>
          <w:p>
            <w:pPr>
              <w:jc w:val="right"/>
              <w:ind w:right="54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34"/>
        </w:trPr>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Borders>
              <w:top w:val="single" w:sz="8" w:color="auto"/>
              <w:bottom w:val="single" w:sz="8" w:color="auto"/>
            </w:tcBorders>
          </w:tcPr>
          <w:p>
            <w:pPr>
              <w:jc w:val="right"/>
              <w:ind w:right="46"/>
              <w:spacing w:after="0" w:line="134"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49"/>
              <w:spacing w:after="0" w:line="134" w:lineRule="exact"/>
              <w:rPr>
                <w:sz w:val="20"/>
                <w:szCs w:val="20"/>
                <w:color w:val="auto"/>
              </w:rPr>
            </w:pPr>
            <w:r>
              <w:rPr>
                <w:rFonts w:ascii="Arial" w:cs="Arial" w:eastAsia="Arial" w:hAnsi="Arial"/>
                <w:sz w:val="13"/>
                <w:szCs w:val="13"/>
                <w:b w:val="1"/>
                <w:bCs w:val="1"/>
                <w:color w:val="auto"/>
              </w:rPr>
              <w:t>2009</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6"/>
              <w:spacing w:after="0" w:line="134"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ind w:left="120"/>
              <w:spacing w:after="0" w:line="134" w:lineRule="exact"/>
              <w:rPr>
                <w:sz w:val="20"/>
                <w:szCs w:val="20"/>
                <w:color w:val="auto"/>
              </w:rPr>
            </w:pPr>
            <w:r>
              <w:rPr>
                <w:rFonts w:ascii="Arial" w:cs="Arial" w:eastAsia="Arial" w:hAnsi="Arial"/>
                <w:sz w:val="13"/>
                <w:szCs w:val="13"/>
                <w:b w:val="1"/>
                <w:bCs w:val="1"/>
                <w:color w:val="auto"/>
                <w:w w:val="75"/>
              </w:rPr>
              <w:t>(In</w:t>
            </w:r>
          </w:p>
        </w:tc>
        <w:tc>
          <w:tcPr>
            <w:tcW w:w="78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1"/>
              </w:rPr>
              <w:t>thousands)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 incurred</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0" w:type="dxa"/>
            <w:vAlign w:val="bottom"/>
          </w:tcPr>
          <w:p>
            <w:pPr>
              <w:ind w:left="420"/>
              <w:spacing w:after="0"/>
              <w:rPr>
                <w:sz w:val="20"/>
                <w:szCs w:val="20"/>
                <w:color w:val="auto"/>
              </w:rPr>
            </w:pPr>
            <w:r>
              <w:rPr>
                <w:rFonts w:ascii="Arial" w:cs="Arial" w:eastAsia="Arial" w:hAnsi="Arial"/>
                <w:sz w:val="17"/>
                <w:szCs w:val="17"/>
                <w:color w:val="auto"/>
              </w:rPr>
              <w:t>Grants of common shares</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w w:val="88"/>
              </w:rPr>
              <w:t>$5,232</w:t>
            </w:r>
          </w:p>
        </w:tc>
        <w:tc>
          <w:tcPr>
            <w:tcW w:w="1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$5,718</w:t>
            </w:r>
          </w:p>
        </w:tc>
        <w:tc>
          <w:tcPr>
            <w:tcW w:w="3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$ 6,442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Grants of options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0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6,487</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7,139</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Capitalized share-based compensation</w:t>
            </w:r>
          </w:p>
        </w:tc>
        <w:tc>
          <w:tcPr>
            <w:tcW w:w="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(745)</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(945)</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(1,208)</w:t>
            </w: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17"/>
                <w:szCs w:val="17"/>
                <w:color w:val="auto"/>
              </w:rPr>
              <w:t>Share-based compensation expensed</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00" w:type="dxa"/>
            <w:vAlign w:val="bottom"/>
            <w:vMerge w:val="continue"/>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5,742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6,194</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$ 6,570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right="280"/>
        <w:spacing w:after="0" w:line="300" w:lineRule="auto"/>
        <w:rPr>
          <w:sz w:val="20"/>
          <w:szCs w:val="20"/>
          <w:color w:val="auto"/>
        </w:rPr>
      </w:pPr>
      <w:r>
        <w:rPr>
          <w:rFonts w:ascii="Arial" w:cs="Arial" w:eastAsia="Arial" w:hAnsi="Arial"/>
          <w:sz w:val="15"/>
          <w:szCs w:val="15"/>
          <w:color w:val="auto"/>
        </w:rPr>
        <w:t>As of December 31, 2010, we have grants outstanding under three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 Our 1993 Long Term Incentive Plan (the “1993 Plan”), which expired in May 2003, authorized the grant of share options, common shares and other share-based awards for up to 5,500,000 common shares of beneficial interest.</w:t>
      </w:r>
    </w:p>
    <w:p>
      <w:pPr>
        <w:spacing w:after="0" w:line="104" w:lineRule="exact"/>
        <w:rPr>
          <w:sz w:val="20"/>
          <w:szCs w:val="20"/>
          <w:color w:val="auto"/>
        </w:rPr>
      </w:pPr>
    </w:p>
    <w:p>
      <w:pPr>
        <w:ind w:right="280"/>
        <w:spacing w:after="0" w:line="280" w:lineRule="auto"/>
        <w:rPr>
          <w:sz w:val="20"/>
          <w:szCs w:val="20"/>
          <w:color w:val="auto"/>
        </w:rPr>
      </w:pPr>
      <w:r>
        <w:rPr>
          <w:rFonts w:ascii="Arial" w:cs="Arial" w:eastAsia="Arial" w:hAnsi="Arial"/>
          <w:sz w:val="16"/>
          <w:szCs w:val="16"/>
          <w:color w:val="auto"/>
        </w:rPr>
        <w:t>Option awards under all three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18"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As a result of the exercise of options, we had notes outstanding from our officers and employees for $0.8 million at December 31, 2007; the notes were fully repaid during 2008. Option awards made in 2001 and later do not provide for employees to be able to exercise their options with a loan from the Trust.</w:t>
      </w:r>
    </w:p>
    <w:p>
      <w:pPr>
        <w:spacing w:after="0" w:line="9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October 2010, Donald C. Wood, our Chief Executive Officer, was granted 60,931 shares of restricted stock valued at approximately $5,000,000, which will vest on October 12, 2015. Additionally, Mr. Wood’s annual base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445"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pay was increased from $700,000 to $850,000 per year effective November 1, 2010, his target bonus was increased from 100% of his base salary to 150% of his base salary beginning with his 2010 bonus, and his target amount for potential equity to be issued in February 2011 under our 2010 Plan was increased from $2.0 million to $4.0 million.</w:t>
      </w:r>
    </w:p>
    <w:p>
      <w:pPr>
        <w:spacing w:after="0" w:line="12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weighted-average assumption used to value options: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9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Year Ended December 31,</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34"/>
        </w:trPr>
        <w:tc>
          <w:tcPr>
            <w:tcW w:w="89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2010</w:t>
            </w:r>
          </w:p>
        </w:tc>
        <w:tc>
          <w:tcPr>
            <w:tcW w:w="60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2008</w:t>
            </w:r>
          </w:p>
        </w:tc>
        <w:tc>
          <w:tcPr>
            <w:tcW w:w="620" w:type="dxa"/>
            <w:vAlign w:val="bottom"/>
          </w:tcPr>
          <w:p>
            <w:pPr>
              <w:spacing w:after="0"/>
              <w:rPr>
                <w:sz w:val="11"/>
                <w:szCs w:val="11"/>
                <w:color w:val="auto"/>
              </w:rPr>
            </w:pP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w w:val="96"/>
              </w:rPr>
              <w:t>2007</w:t>
            </w:r>
          </w:p>
        </w:tc>
        <w:tc>
          <w:tcPr>
            <w:tcW w:w="180" w:type="dxa"/>
            <w:vAlign w:val="bottom"/>
          </w:tcPr>
          <w:p>
            <w:pPr>
              <w:spacing w:after="0"/>
              <w:rPr>
                <w:sz w:val="11"/>
                <w:szCs w:val="11"/>
                <w:color w:val="auto"/>
              </w:rPr>
            </w:pPr>
          </w:p>
        </w:tc>
      </w:tr>
      <w:tr>
        <w:trPr>
          <w:trHeight w:val="198"/>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94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w w:val="95"/>
              </w:rPr>
              <w:t>30.0%</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5"/>
              </w:rPr>
              <w:t>28.6%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21.4%</w:t>
            </w:r>
          </w:p>
        </w:tc>
      </w:tr>
      <w:tr>
        <w:trPr>
          <w:trHeight w:val="206"/>
        </w:trPr>
        <w:tc>
          <w:tcPr>
            <w:tcW w:w="89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940" w:type="dxa"/>
            <w:vAlign w:val="bottom"/>
            <w:gridSpan w:val="2"/>
          </w:tcPr>
          <w:p>
            <w:pPr>
              <w:jc w:val="right"/>
              <w:ind w:right="396"/>
              <w:spacing w:after="0"/>
              <w:rPr>
                <w:sz w:val="20"/>
                <w:szCs w:val="20"/>
                <w:color w:val="auto"/>
              </w:rPr>
            </w:pPr>
            <w:r>
              <w:rPr>
                <w:rFonts w:ascii="Arial" w:cs="Arial" w:eastAsia="Arial" w:hAnsi="Arial"/>
                <w:sz w:val="17"/>
                <w:szCs w:val="17"/>
                <w:color w:val="auto"/>
              </w:rPr>
              <w:t>4.0%</w:t>
            </w: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3.6%</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r>
      <w:tr>
        <w:trPr>
          <w:trHeight w:val="206"/>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80" w:type="dxa"/>
            <w:vAlign w:val="bottom"/>
            <w:shd w:val="clear" w:color="auto" w:fill="CCEEFF"/>
          </w:tcPr>
          <w:p>
            <w:pPr>
              <w:spacing w:after="0"/>
              <w:rPr>
                <w:sz w:val="17"/>
                <w:szCs w:val="17"/>
                <w:color w:val="auto"/>
              </w:rPr>
            </w:pP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940" w:type="dxa"/>
            <w:vAlign w:val="bottom"/>
            <w:gridSpan w:val="2"/>
          </w:tcPr>
          <w:p>
            <w:pPr>
              <w:jc w:val="right"/>
              <w:ind w:right="396"/>
              <w:spacing w:after="0"/>
              <w:rPr>
                <w:sz w:val="20"/>
                <w:szCs w:val="20"/>
                <w:color w:val="auto"/>
              </w:rPr>
            </w:pPr>
            <w:r>
              <w:rPr>
                <w:rFonts w:ascii="Arial" w:cs="Arial" w:eastAsia="Arial" w:hAnsi="Arial"/>
                <w:sz w:val="17"/>
                <w:szCs w:val="17"/>
                <w:color w:val="auto"/>
              </w:rPr>
              <w:t>1.9%</w:t>
            </w:r>
          </w:p>
        </w:tc>
        <w:tc>
          <w:tcPr>
            <w:tcW w:w="960" w:type="dxa"/>
            <w:vAlign w:val="bottom"/>
            <w:gridSpan w:val="2"/>
          </w:tcPr>
          <w:p>
            <w:pPr>
              <w:jc w:val="right"/>
              <w:ind w:right="480"/>
              <w:spacing w:after="0"/>
              <w:rPr>
                <w:sz w:val="20"/>
                <w:szCs w:val="20"/>
                <w:color w:val="auto"/>
              </w:rPr>
            </w:pPr>
            <w:r>
              <w:rPr>
                <w:rFonts w:ascii="Arial" w:cs="Arial" w:eastAsia="Arial" w:hAnsi="Arial"/>
                <w:sz w:val="17"/>
                <w:szCs w:val="17"/>
                <w:color w:val="auto"/>
              </w:rPr>
              <w:t>1.6%</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option activity for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3"/>
                <w:szCs w:val="13"/>
                <w:b w:val="1"/>
                <w:bCs w:val="1"/>
                <w:color w:val="auto"/>
                <w:w w:val="85"/>
              </w:rPr>
              <w:t>Weighted-</w:t>
            </w:r>
          </w:p>
        </w:tc>
        <w:tc>
          <w:tcPr>
            <w:tcW w:w="7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9"/>
              </w:rPr>
              <w:t>Weighted-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000" w:type="dxa"/>
            <w:vAlign w:val="bottom"/>
          </w:tcPr>
          <w:p>
            <w:pPr>
              <w:spacing w:after="0"/>
              <w:rPr>
                <w:sz w:val="12"/>
                <w:szCs w:val="12"/>
                <w:color w:val="auto"/>
              </w:rPr>
            </w:pPr>
          </w:p>
        </w:tc>
        <w:tc>
          <w:tcPr>
            <w:tcW w:w="144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5"/>
              </w:rPr>
              <w:t>Average</w:t>
            </w:r>
          </w:p>
        </w:tc>
        <w:tc>
          <w:tcPr>
            <w:tcW w:w="780" w:type="dxa"/>
            <w:vAlign w:val="bottom"/>
          </w:tcPr>
          <w:p>
            <w:pPr>
              <w:spacing w:after="0"/>
              <w:rPr>
                <w:sz w:val="12"/>
                <w:szCs w:val="12"/>
                <w:color w:val="auto"/>
              </w:rPr>
            </w:pPr>
          </w:p>
        </w:tc>
        <w:tc>
          <w:tcPr>
            <w:tcW w:w="138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89"/>
              </w:rPr>
              <w:t>Average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1"/>
        </w:trPr>
        <w:tc>
          <w:tcPr>
            <w:tcW w:w="6000" w:type="dxa"/>
            <w:vAlign w:val="bottom"/>
          </w:tcPr>
          <w:p>
            <w:pPr>
              <w:spacing w:after="0"/>
              <w:rPr>
                <w:sz w:val="12"/>
                <w:szCs w:val="12"/>
                <w:color w:val="auto"/>
              </w:rPr>
            </w:pPr>
          </w:p>
        </w:tc>
        <w:tc>
          <w:tcPr>
            <w:tcW w:w="1440" w:type="dxa"/>
            <w:vAlign w:val="bottom"/>
            <w:gridSpan w:val="2"/>
          </w:tcPr>
          <w:p>
            <w:pPr>
              <w:ind w:left="160"/>
              <w:spacing w:after="0" w:line="141" w:lineRule="exact"/>
              <w:rPr>
                <w:sz w:val="20"/>
                <w:szCs w:val="20"/>
                <w:color w:val="auto"/>
              </w:rPr>
            </w:pPr>
            <w:r>
              <w:rPr>
                <w:rFonts w:ascii="Arial" w:cs="Arial" w:eastAsia="Arial" w:hAnsi="Arial"/>
                <w:sz w:val="13"/>
                <w:szCs w:val="13"/>
                <w:b w:val="1"/>
                <w:bCs w:val="1"/>
                <w:color w:val="auto"/>
              </w:rPr>
              <w:t>Under</w:t>
            </w:r>
          </w:p>
        </w:tc>
        <w:tc>
          <w:tcPr>
            <w:tcW w:w="56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85"/>
              </w:rPr>
              <w:t>Exercise</w:t>
            </w:r>
          </w:p>
        </w:tc>
        <w:tc>
          <w:tcPr>
            <w:tcW w:w="780" w:type="dxa"/>
            <w:vAlign w:val="bottom"/>
          </w:tcPr>
          <w:p>
            <w:pPr>
              <w:spacing w:after="0"/>
              <w:rPr>
                <w:sz w:val="12"/>
                <w:szCs w:val="12"/>
                <w:color w:val="auto"/>
              </w:rPr>
            </w:pPr>
          </w:p>
        </w:tc>
        <w:tc>
          <w:tcPr>
            <w:tcW w:w="138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0"/>
              </w:rPr>
              <w:t>Remaining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54"/>
        </w:trPr>
        <w:tc>
          <w:tcPr>
            <w:tcW w:w="600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Option</w:t>
            </w:r>
          </w:p>
        </w:tc>
        <w:tc>
          <w:tcPr>
            <w:tcW w:w="120" w:type="dxa"/>
            <w:vAlign w:val="bottom"/>
          </w:tcPr>
          <w:p>
            <w:pPr>
              <w:spacing w:after="0"/>
              <w:rPr>
                <w:sz w:val="13"/>
                <w:szCs w:val="13"/>
                <w:color w:val="auto"/>
              </w:rPr>
            </w:pPr>
          </w:p>
        </w:tc>
        <w:tc>
          <w:tcPr>
            <w:tcW w:w="440" w:type="dxa"/>
            <w:vAlign w:val="bottom"/>
          </w:tcPr>
          <w:p>
            <w:pPr>
              <w:jc w:val="center"/>
              <w:ind w:right="39"/>
              <w:spacing w:after="0"/>
              <w:rPr>
                <w:sz w:val="20"/>
                <w:szCs w:val="20"/>
                <w:color w:val="auto"/>
              </w:rPr>
            </w:pPr>
            <w:r>
              <w:rPr>
                <w:rFonts w:ascii="Arial" w:cs="Arial" w:eastAsia="Arial" w:hAnsi="Arial"/>
                <w:sz w:val="13"/>
                <w:szCs w:val="13"/>
                <w:b w:val="1"/>
                <w:bCs w:val="1"/>
                <w:color w:val="auto"/>
                <w:w w:val="87"/>
              </w:rPr>
              <w:t>Price</w:t>
            </w:r>
          </w:p>
        </w:tc>
        <w:tc>
          <w:tcPr>
            <w:tcW w:w="7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1"/>
              </w:rPr>
              <w:t>Contractual Term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Borders>
              <w:top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3"/>
              </w:rPr>
              <w:t>(In years)</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Borders>
              <w:top w:val="single" w:sz="8" w:color="auto"/>
            </w:tcBorders>
            <w:gridSpan w:val="2"/>
          </w:tcPr>
          <w:p>
            <w:pPr>
              <w:jc w:val="center"/>
              <w:spacing w:after="0" w:line="134"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2009</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873,367</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59.35</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Granted</w:t>
            </w:r>
          </w:p>
        </w:tc>
        <w:tc>
          <w:tcPr>
            <w:tcW w:w="660" w:type="dxa"/>
            <w:vAlign w:val="bottom"/>
          </w:tcPr>
          <w:p>
            <w:pPr>
              <w:jc w:val="right"/>
              <w:spacing w:after="0"/>
              <w:rPr>
                <w:sz w:val="20"/>
                <w:szCs w:val="20"/>
                <w:color w:val="auto"/>
              </w:rPr>
            </w:pPr>
            <w:r>
              <w:rPr>
                <w:rFonts w:ascii="Arial" w:cs="Arial" w:eastAsia="Arial" w:hAnsi="Arial"/>
                <w:sz w:val="17"/>
                <w:szCs w:val="17"/>
                <w:color w:val="auto"/>
              </w:rPr>
              <w:t>717</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66.22</w:t>
            </w: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w w:val="96"/>
              </w:rPr>
              <w:t>(107,493)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38.77</w:t>
            </w:r>
          </w:p>
        </w:tc>
        <w:tc>
          <w:tcPr>
            <w:tcW w:w="7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00" w:type="dxa"/>
            <w:vAlign w:val="bottom"/>
          </w:tcPr>
          <w:p>
            <w:pPr>
              <w:spacing w:after="0"/>
              <w:rPr>
                <w:sz w:val="20"/>
                <w:szCs w:val="20"/>
                <w:color w:val="auto"/>
              </w:rPr>
            </w:pPr>
            <w:r>
              <w:rPr>
                <w:rFonts w:ascii="Arial" w:cs="Arial" w:eastAsia="Arial" w:hAnsi="Arial"/>
                <w:sz w:val="17"/>
                <w:szCs w:val="17"/>
                <w:color w:val="auto"/>
              </w:rPr>
              <w:t>Forfeited or expired</w:t>
            </w:r>
          </w:p>
        </w:tc>
        <w:tc>
          <w:tcPr>
            <w:tcW w:w="1440" w:type="dxa"/>
            <w:vAlign w:val="bottom"/>
            <w:gridSpan w:val="2"/>
          </w:tcPr>
          <w:p>
            <w:pPr>
              <w:jc w:val="right"/>
              <w:ind w:right="720"/>
              <w:spacing w:after="0"/>
              <w:rPr>
                <w:sz w:val="20"/>
                <w:szCs w:val="20"/>
                <w:color w:val="auto"/>
              </w:rPr>
            </w:pPr>
            <w:r>
              <w:rPr>
                <w:rFonts w:ascii="Arial" w:cs="Arial" w:eastAsia="Arial" w:hAnsi="Arial"/>
                <w:sz w:val="17"/>
                <w:szCs w:val="17"/>
                <w:color w:val="auto"/>
              </w:rPr>
              <w:t>(9,167)</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75.19</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757,424</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62.09</w:t>
            </w:r>
          </w:p>
        </w:tc>
        <w:tc>
          <w:tcPr>
            <w:tcW w:w="7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7"/>
                <w:szCs w:val="17"/>
                <w:color w:val="auto"/>
              </w:rPr>
              <w:t>Exercisable at December 31, 2010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394,565</w:t>
            </w:r>
          </w:p>
        </w:tc>
        <w:tc>
          <w:tcPr>
            <w:tcW w:w="7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63.80</w:t>
            </w:r>
          </w:p>
        </w:tc>
        <w:tc>
          <w:tcPr>
            <w:tcW w:w="2160" w:type="dxa"/>
            <w:vAlign w:val="bottom"/>
            <w:gridSpan w:val="3"/>
          </w:tcPr>
          <w:p>
            <w:pPr>
              <w:jc w:val="right"/>
              <w:ind w:right="400"/>
              <w:spacing w:after="0"/>
              <w:rPr>
                <w:sz w:val="20"/>
                <w:szCs w:val="20"/>
                <w:color w:val="auto"/>
              </w:rPr>
            </w:pPr>
            <w:r>
              <w:rPr>
                <w:rFonts w:ascii="Arial" w:cs="Arial" w:eastAsia="Arial" w:hAnsi="Arial"/>
                <w:sz w:val="17"/>
                <w:szCs w:val="17"/>
                <w:color w:val="auto"/>
              </w:rPr>
              <w:t>5.3</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6,067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The weighted-average grant-date fair value of options granted during 2010, 2009 and 2008 was $11.77 per share, $7.62 per share and $10.46 per share, respectively. The total cash received from options exercised during 2010, 2009 and 2008 was $4.2 million, $2.9 million and $8.0 million, respectively. The total intrinsic value of options exercised during the year ended December 31, 2010, 2009 and 2008 was $4.2 million, $4.6 million and $9.3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restricted share activity for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7"/>
              </w:rPr>
              <w:t>Weighted-Average</w:t>
            </w:r>
          </w:p>
        </w:tc>
      </w:tr>
      <w:tr>
        <w:trPr>
          <w:trHeight w:val="141"/>
        </w:trPr>
        <w:tc>
          <w:tcPr>
            <w:tcW w:w="38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ind w:left="60"/>
              <w:spacing w:after="0" w:line="141" w:lineRule="exact"/>
              <w:rPr>
                <w:sz w:val="20"/>
                <w:szCs w:val="20"/>
                <w:color w:val="auto"/>
              </w:rPr>
            </w:pPr>
            <w:r>
              <w:rPr>
                <w:rFonts w:ascii="Arial" w:cs="Arial" w:eastAsia="Arial" w:hAnsi="Arial"/>
                <w:sz w:val="13"/>
                <w:szCs w:val="13"/>
                <w:b w:val="1"/>
                <w:bCs w:val="1"/>
                <w:color w:val="auto"/>
              </w:rPr>
              <w:t>Grant-Date Fair</w:t>
            </w:r>
          </w:p>
        </w:tc>
      </w:tr>
      <w:tr>
        <w:trPr>
          <w:trHeight w:val="154"/>
        </w:trPr>
        <w:tc>
          <w:tcPr>
            <w:tcW w:w="38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3"/>
                <w:szCs w:val="13"/>
                <w:color w:val="auto"/>
              </w:rPr>
            </w:pPr>
          </w:p>
        </w:tc>
      </w:tr>
      <w:tr>
        <w:trPr>
          <w:trHeight w:val="198"/>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2009</w:t>
            </w:r>
          </w:p>
        </w:tc>
        <w:tc>
          <w:tcPr>
            <w:tcW w:w="5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200,254</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65.81</w:t>
            </w:r>
          </w:p>
        </w:tc>
        <w:tc>
          <w:tcPr>
            <w:tcW w:w="80" w:type="dxa"/>
            <w:vAlign w:val="bottom"/>
            <w:shd w:val="clear" w:color="auto" w:fill="CCEEFF"/>
          </w:tcPr>
          <w:p>
            <w:pPr>
              <w:spacing w:after="0"/>
              <w:rPr>
                <w:sz w:val="17"/>
                <w:szCs w:val="17"/>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7"/>
                <w:szCs w:val="17"/>
                <w:color w:val="auto"/>
              </w:rPr>
              <w:t>Granted</w:t>
            </w:r>
          </w:p>
        </w:tc>
        <w:tc>
          <w:tcPr>
            <w:tcW w:w="5620" w:type="dxa"/>
            <w:vAlign w:val="bottom"/>
            <w:gridSpan w:val="2"/>
          </w:tcPr>
          <w:p>
            <w:pPr>
              <w:jc w:val="right"/>
              <w:spacing w:after="0"/>
              <w:rPr>
                <w:sz w:val="20"/>
                <w:szCs w:val="20"/>
                <w:color w:val="auto"/>
              </w:rPr>
            </w:pPr>
            <w:r>
              <w:rPr>
                <w:rFonts w:ascii="Arial" w:cs="Arial" w:eastAsia="Arial" w:hAnsi="Arial"/>
                <w:sz w:val="17"/>
                <w:szCs w:val="17"/>
                <w:color w:val="auto"/>
              </w:rPr>
              <w:t>135,833</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73.51</w:t>
            </w:r>
          </w:p>
        </w:tc>
        <w:tc>
          <w:tcPr>
            <w:tcW w:w="80" w:type="dxa"/>
            <w:vAlign w:val="bottom"/>
          </w:tcPr>
          <w:p>
            <w:pPr>
              <w:spacing w:after="0"/>
              <w:rPr>
                <w:sz w:val="17"/>
                <w:szCs w:val="17"/>
                <w:color w:val="auto"/>
              </w:rPr>
            </w:pPr>
          </w:p>
        </w:tc>
      </w:tr>
      <w:tr>
        <w:trPr>
          <w:trHeight w:val="20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60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(64,799)</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72.41</w:t>
            </w:r>
          </w:p>
        </w:tc>
        <w:tc>
          <w:tcPr>
            <w:tcW w:w="80" w:type="dxa"/>
            <w:vAlign w:val="bottom"/>
            <w:shd w:val="clear" w:color="auto" w:fill="CCEEFF"/>
          </w:tcPr>
          <w:p>
            <w:pPr>
              <w:spacing w:after="0"/>
              <w:rPr>
                <w:sz w:val="17"/>
                <w:szCs w:val="17"/>
                <w:color w:val="auto"/>
              </w:rPr>
            </w:pPr>
          </w:p>
        </w:tc>
      </w:tr>
      <w:tr>
        <w:trPr>
          <w:trHeight w:val="211"/>
        </w:trPr>
        <w:tc>
          <w:tcPr>
            <w:tcW w:w="3860" w:type="dxa"/>
            <w:vAlign w:val="bottom"/>
          </w:tcPr>
          <w:p>
            <w:pPr>
              <w:spacing w:after="0"/>
              <w:rPr>
                <w:sz w:val="20"/>
                <w:szCs w:val="20"/>
                <w:color w:val="auto"/>
              </w:rPr>
            </w:pPr>
            <w:r>
              <w:rPr>
                <w:rFonts w:ascii="Arial" w:cs="Arial" w:eastAsia="Arial" w:hAnsi="Arial"/>
                <w:sz w:val="17"/>
                <w:szCs w:val="17"/>
                <w:color w:val="auto"/>
              </w:rPr>
              <w:t>Forfeited</w:t>
            </w:r>
          </w:p>
        </w:tc>
        <w:tc>
          <w:tcPr>
            <w:tcW w:w="50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(495)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89.06</w:t>
            </w:r>
          </w:p>
        </w:tc>
        <w:tc>
          <w:tcPr>
            <w:tcW w:w="80" w:type="dxa"/>
            <w:vAlign w:val="bottom"/>
          </w:tcPr>
          <w:p>
            <w:pPr>
              <w:spacing w:after="0"/>
              <w:rPr>
                <w:sz w:val="18"/>
                <w:szCs w:val="18"/>
                <w:color w:val="auto"/>
              </w:rPr>
            </w:pPr>
          </w:p>
        </w:tc>
      </w:tr>
      <w:tr>
        <w:trPr>
          <w:trHeight w:val="206"/>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2010</w:t>
            </w:r>
          </w:p>
        </w:tc>
        <w:tc>
          <w:tcPr>
            <w:tcW w:w="5000" w:type="dxa"/>
            <w:vAlign w:val="bottom"/>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270,793</w:t>
            </w:r>
          </w:p>
        </w:tc>
        <w:tc>
          <w:tcPr>
            <w:tcW w:w="4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68.07</w:t>
            </w:r>
          </w:p>
        </w:tc>
        <w:tc>
          <w:tcPr>
            <w:tcW w:w="80" w:type="dxa"/>
            <w:vAlign w:val="bottom"/>
            <w:shd w:val="clear" w:color="auto" w:fill="CCEEFF"/>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7"/>
        </w:trPr>
        <w:tc>
          <w:tcPr>
            <w:tcW w:w="3860" w:type="dxa"/>
            <w:vAlign w:val="bottom"/>
          </w:tcPr>
          <w:p>
            <w:pPr>
              <w:spacing w:after="0"/>
              <w:rPr>
                <w:sz w:val="24"/>
                <w:szCs w:val="24"/>
                <w:color w:val="auto"/>
              </w:rPr>
            </w:pPr>
          </w:p>
        </w:tc>
        <w:tc>
          <w:tcPr>
            <w:tcW w:w="6060" w:type="dxa"/>
            <w:vAlign w:val="bottom"/>
            <w:gridSpan w:val="3"/>
          </w:tcPr>
          <w:p>
            <w:pPr>
              <w:jc w:val="right"/>
              <w:ind w:right="4040"/>
              <w:spacing w:after="0"/>
              <w:rPr>
                <w:sz w:val="20"/>
                <w:szCs w:val="20"/>
                <w:color w:val="auto"/>
              </w:rPr>
            </w:pPr>
            <w:r>
              <w:rPr>
                <w:rFonts w:ascii="Arial" w:cs="Arial" w:eastAsia="Arial" w:hAnsi="Arial"/>
                <w:sz w:val="17"/>
                <w:szCs w:val="17"/>
                <w:color w:val="auto"/>
              </w:rPr>
              <w:t>F-30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320"/>
        <w:spacing w:after="0" w:line="305" w:lineRule="auto"/>
        <w:rPr>
          <w:sz w:val="20"/>
          <w:szCs w:val="20"/>
          <w:color w:val="auto"/>
        </w:rPr>
      </w:pPr>
      <w:r>
        <w:rPr>
          <w:rFonts w:ascii="Arial" w:cs="Arial" w:eastAsia="Arial" w:hAnsi="Arial"/>
          <w:sz w:val="16"/>
          <w:szCs w:val="16"/>
          <w:color w:val="auto"/>
        </w:rPr>
        <w:t>The weighted-average grant-date fair value of stock awarded in 2010, 2009 and 2008 was $73.51, $45.77 and $72.98, respectively. The total vesting-date fair value of shares vested during the year ended December 31, 2010, 2009 and 2008 was $4.3 million, $4.6 million and $5.9 million, respectively.</w:t>
      </w:r>
    </w:p>
    <w:p>
      <w:pPr>
        <w:spacing w:after="0" w:line="98" w:lineRule="exact"/>
        <w:rPr>
          <w:sz w:val="20"/>
          <w:szCs w:val="20"/>
          <w:color w:val="auto"/>
        </w:rPr>
      </w:pPr>
    </w:p>
    <w:p>
      <w:pPr>
        <w:ind w:right="140"/>
        <w:spacing w:after="0" w:line="342" w:lineRule="auto"/>
        <w:rPr>
          <w:sz w:val="20"/>
          <w:szCs w:val="20"/>
          <w:color w:val="auto"/>
        </w:rPr>
      </w:pPr>
      <w:r>
        <w:rPr>
          <w:rFonts w:ascii="Arial" w:cs="Arial" w:eastAsia="Arial" w:hAnsi="Arial"/>
          <w:sz w:val="15"/>
          <w:szCs w:val="15"/>
          <w:color w:val="auto"/>
        </w:rPr>
        <w:t>As of December 31, 2010, there was $14.0 million of total unrecognized compensation cost related to unvested share-based compensation arrangements (i.e. options and unvested shares) granted under our plans. This cost is expected to be recognized over the next 4.9 years with a weighted-average period of 3.1 years.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2010, common shares were awarded under various compensation plans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4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Date</w:t>
            </w:r>
          </w:p>
        </w:tc>
        <w:tc>
          <w:tcPr>
            <w:tcW w:w="220" w:type="dxa"/>
            <w:vAlign w:val="bottom"/>
          </w:tcPr>
          <w:p>
            <w:pPr>
              <w:spacing w:after="0"/>
              <w:rPr>
                <w:sz w:val="14"/>
                <w:szCs w:val="14"/>
                <w:color w:val="auto"/>
              </w:rPr>
            </w:pPr>
          </w:p>
        </w:tc>
        <w:tc>
          <w:tcPr>
            <w:tcW w:w="288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Award</w:t>
            </w: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Vesting Term</w:t>
            </w:r>
          </w:p>
        </w:tc>
        <w:tc>
          <w:tcPr>
            <w:tcW w:w="200" w:type="dxa"/>
            <w:vAlign w:val="bottom"/>
          </w:tcPr>
          <w:p>
            <w:pPr>
              <w:spacing w:after="0"/>
              <w:rPr>
                <w:sz w:val="14"/>
                <w:szCs w:val="14"/>
                <w:color w:val="auto"/>
              </w:rPr>
            </w:pPr>
          </w:p>
        </w:tc>
        <w:tc>
          <w:tcPr>
            <w:tcW w:w="274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Beneficiary</w:t>
            </w:r>
          </w:p>
        </w:tc>
      </w:tr>
      <w:tr>
        <w:trPr>
          <w:trHeight w:val="190"/>
        </w:trPr>
        <w:tc>
          <w:tcPr>
            <w:tcW w:w="2640" w:type="dxa"/>
            <w:vAlign w:val="bottom"/>
          </w:tcPr>
          <w:p>
            <w:pPr>
              <w:spacing w:after="0" w:line="190" w:lineRule="exact"/>
              <w:rPr>
                <w:sz w:val="20"/>
                <w:szCs w:val="20"/>
                <w:color w:val="auto"/>
              </w:rPr>
            </w:pPr>
            <w:r>
              <w:rPr>
                <w:rFonts w:ascii="Arial" w:cs="Arial" w:eastAsia="Arial" w:hAnsi="Arial"/>
                <w:sz w:val="17"/>
                <w:szCs w:val="17"/>
                <w:color w:val="auto"/>
              </w:rPr>
              <w:t>February 10, 2011</w:t>
            </w:r>
          </w:p>
        </w:tc>
        <w:tc>
          <w:tcPr>
            <w:tcW w:w="220" w:type="dxa"/>
            <w:vAlign w:val="bottom"/>
          </w:tcPr>
          <w:p>
            <w:pPr>
              <w:spacing w:after="0"/>
              <w:rPr>
                <w:sz w:val="16"/>
                <w:szCs w:val="16"/>
                <w:color w:val="auto"/>
              </w:rPr>
            </w:pPr>
          </w:p>
        </w:tc>
        <w:tc>
          <w:tcPr>
            <w:tcW w:w="2880" w:type="dxa"/>
            <w:vAlign w:val="bottom"/>
          </w:tcPr>
          <w:p>
            <w:pPr>
              <w:spacing w:after="0" w:line="190" w:lineRule="exact"/>
              <w:rPr>
                <w:sz w:val="20"/>
                <w:szCs w:val="20"/>
                <w:color w:val="auto"/>
              </w:rPr>
            </w:pPr>
            <w:r>
              <w:rPr>
                <w:rFonts w:ascii="Arial" w:cs="Arial" w:eastAsia="Arial" w:hAnsi="Arial"/>
                <w:sz w:val="17"/>
                <w:szCs w:val="17"/>
                <w:color w:val="auto"/>
              </w:rPr>
              <w:t>86,681 Restricted shares</w:t>
            </w:r>
          </w:p>
        </w:tc>
        <w:tc>
          <w:tcPr>
            <w:tcW w:w="220" w:type="dxa"/>
            <w:vAlign w:val="bottom"/>
          </w:tcPr>
          <w:p>
            <w:pPr>
              <w:spacing w:after="0"/>
              <w:rPr>
                <w:sz w:val="16"/>
                <w:szCs w:val="16"/>
                <w:color w:val="auto"/>
              </w:rPr>
            </w:pPr>
          </w:p>
        </w:tc>
        <w:tc>
          <w:tcPr>
            <w:tcW w:w="840" w:type="dxa"/>
            <w:vAlign w:val="bottom"/>
          </w:tcPr>
          <w:p>
            <w:pPr>
              <w:spacing w:after="0" w:line="190" w:lineRule="exact"/>
              <w:rPr>
                <w:sz w:val="20"/>
                <w:szCs w:val="20"/>
                <w:color w:val="auto"/>
              </w:rPr>
            </w:pPr>
            <w:r>
              <w:rPr>
                <w:rFonts w:ascii="Arial" w:cs="Arial" w:eastAsia="Arial" w:hAnsi="Arial"/>
                <w:sz w:val="17"/>
                <w:szCs w:val="17"/>
                <w:color w:val="auto"/>
                <w:w w:val="92"/>
              </w:rPr>
              <w:t>3 to 6 years</w:t>
            </w: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Pr>
          <w:p>
            <w:pPr>
              <w:spacing w:after="0" w:line="190" w:lineRule="exact"/>
              <w:rPr>
                <w:sz w:val="20"/>
                <w:szCs w:val="20"/>
                <w:color w:val="auto"/>
              </w:rPr>
            </w:pPr>
            <w:r>
              <w:rPr>
                <w:rFonts w:ascii="Arial" w:cs="Arial" w:eastAsia="Arial" w:hAnsi="Arial"/>
                <w:sz w:val="17"/>
                <w:szCs w:val="17"/>
                <w:color w:val="auto"/>
              </w:rPr>
              <w:t>Officers and key employees</w:t>
            </w:r>
          </w:p>
        </w:tc>
      </w:tr>
      <w:tr>
        <w:trPr>
          <w:trHeight w:val="213"/>
        </w:trPr>
        <w:tc>
          <w:tcPr>
            <w:tcW w:w="2640" w:type="dxa"/>
            <w:vAlign w:val="bottom"/>
          </w:tcPr>
          <w:p>
            <w:pPr>
              <w:spacing w:after="0"/>
              <w:rPr>
                <w:sz w:val="20"/>
                <w:szCs w:val="20"/>
                <w:color w:val="auto"/>
              </w:rPr>
            </w:pPr>
            <w:r>
              <w:rPr>
                <w:rFonts w:ascii="Arial" w:cs="Arial" w:eastAsia="Arial" w:hAnsi="Arial"/>
                <w:sz w:val="17"/>
                <w:szCs w:val="17"/>
                <w:color w:val="auto"/>
              </w:rPr>
              <w:t>January 3, 2011</w:t>
            </w:r>
          </w:p>
        </w:tc>
        <w:tc>
          <w:tcPr>
            <w:tcW w:w="3100" w:type="dxa"/>
            <w:vAlign w:val="bottom"/>
            <w:gridSpan w:val="2"/>
          </w:tcPr>
          <w:p>
            <w:pPr>
              <w:ind w:left="220"/>
              <w:spacing w:after="0"/>
              <w:rPr>
                <w:sz w:val="20"/>
                <w:szCs w:val="20"/>
                <w:color w:val="auto"/>
              </w:rPr>
            </w:pPr>
            <w:r>
              <w:rPr>
                <w:rFonts w:ascii="Arial" w:cs="Arial" w:eastAsia="Arial" w:hAnsi="Arial"/>
                <w:sz w:val="17"/>
                <w:szCs w:val="17"/>
                <w:color w:val="auto"/>
              </w:rPr>
              <w:t>4,172 Shares</w:t>
            </w:r>
          </w:p>
        </w:tc>
        <w:tc>
          <w:tcPr>
            <w:tcW w:w="2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Immediate</w:t>
            </w:r>
          </w:p>
        </w:tc>
        <w:tc>
          <w:tcPr>
            <w:tcW w:w="1680" w:type="dxa"/>
            <w:vAlign w:val="bottom"/>
          </w:tcPr>
          <w:p>
            <w:pPr>
              <w:spacing w:after="0"/>
              <w:rPr>
                <w:sz w:val="18"/>
                <w:szCs w:val="18"/>
                <w:color w:val="auto"/>
              </w:rPr>
            </w:pPr>
          </w:p>
        </w:tc>
        <w:tc>
          <w:tcPr>
            <w:tcW w:w="2940" w:type="dxa"/>
            <w:vAlign w:val="bottom"/>
            <w:gridSpan w:val="2"/>
          </w:tcPr>
          <w:p>
            <w:pPr>
              <w:ind w:left="200"/>
              <w:spacing w:after="0"/>
              <w:rPr>
                <w:sz w:val="20"/>
                <w:szCs w:val="20"/>
                <w:color w:val="auto"/>
              </w:rPr>
            </w:pPr>
            <w:r>
              <w:rPr>
                <w:rFonts w:ascii="Arial" w:cs="Arial" w:eastAsia="Arial" w:hAnsi="Arial"/>
                <w:sz w:val="17"/>
                <w:szCs w:val="17"/>
                <w:color w:val="auto"/>
              </w:rPr>
              <w:t>Trustees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SAVINGS AND RETIREMENT PLANS</w:t>
      </w:r>
    </w:p>
    <w:p>
      <w:pPr>
        <w:spacing w:after="0" w:line="9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have a savings and retirement plan in accordance with the provisions of Section 401(k) of the Code. Generally, employees can elect, at their discretion, to contribute a portion of their compensation up to a maximum of $16,500, $16,500 and $15,500 for 2010, 2009 and 2008, respectively. Under the plan, we contribute 50% of each employee’s elective deferrals up to 5% of eligible earnings. In addition, we may make discretionary contributions within the limits of deductibility set forth by the Code. Our employees are immediately eligible to become plan participants. Employees are eligible to receive matching contributions immediately on their participation; however, these matching payments will not vest until their first anniversary of employment. Our expense for the years ended December 31, 2010, 2009 and 2008 was approximately $596,000, $282,000 and $397,000, respectively.</w:t>
      </w:r>
    </w:p>
    <w:p>
      <w:pPr>
        <w:spacing w:after="0" w:line="123"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that allows the participants to defer a portion of their income. As of December 31, 2010 and 2009, we are liable to participants for approximately $5.7 million and $4.8 million, respectively, under this plan. Although this is an unfunded plan, we have purchased certain investments to match this obligation. Our obligation under this plan and the related investments are both included in the accompanying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EARNINGS PER SHARE</w:t>
      </w:r>
    </w:p>
    <w:p>
      <w:pPr>
        <w:spacing w:after="0" w:line="9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June 2008, the FASB issued a new accounting standard which requires unvested share-based payment awards that contain non-forfeitable rights to receive dividends (whether paid or unpaid) to be treated as participating securities and should be included in the computation of EPS pursuant to the two-class method. As part of our stock based compensation program, we issue restricted shares which typically vest over a three to six year period; these shares have non-forfeitable rights to dividends immediately after issuance.</w:t>
      </w:r>
    </w:p>
    <w:p>
      <w:pPr>
        <w:spacing w:after="0" w:line="13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EPS is calculated under the two-class method for all periods presented. The two-class method is an earnings allocation methodology whereby EPS for each class of common stock and participating securities is calculated according to dividends declared and participation rights in undistributed earnings. For 2009, 2008 and 2007, we had approximately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5" w:lineRule="exact"/>
        <w:rPr>
          <w:sz w:val="20"/>
          <w:szCs w:val="20"/>
          <w:color w:val="auto"/>
        </w:rPr>
      </w:pPr>
    </w:p>
    <w:p>
      <w:pPr>
        <w:ind w:right="740"/>
        <w:spacing w:after="0" w:line="273"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Approximately 0.2 million, 0.6 million and 0.4 million stock options have been excluded 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5"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color w:val="auto"/>
        </w:rPr>
        <w:t>2010, 2009 and 2008, respectively, as they were anti-dilutive. The conversions of downREIT operating partnership units and Series 1 Preferred Shares are anti-dilutive for all periods presented and accordingly, have been excluded from the weighted average common shares used to compute diluted EPS.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numerator and denominator of the basic and diluted EPS calculations: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4" w:lineRule="exact"/>
              <w:rPr>
                <w:sz w:val="20"/>
                <w:szCs w:val="20"/>
                <w:color w:val="auto"/>
              </w:rPr>
            </w:pPr>
            <w:r>
              <w:rPr>
                <w:rFonts w:ascii="Arial" w:cs="Arial" w:eastAsia="Arial" w:hAnsi="Arial"/>
                <w:sz w:val="13"/>
                <w:szCs w:val="13"/>
                <w:b w:val="1"/>
                <w:bCs w:val="1"/>
                <w:color w:val="auto"/>
              </w:rPr>
              <w:t>2010</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2009</w:t>
            </w: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7"/>
              <w:spacing w:after="0" w:line="134"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(In</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w w:val="71"/>
              </w:rPr>
              <w:t>thousands,</w:t>
            </w:r>
          </w:p>
        </w:tc>
        <w:tc>
          <w:tcPr>
            <w:tcW w:w="1820" w:type="dxa"/>
            <w:vAlign w:val="bottom"/>
            <w:gridSpan w:val="6"/>
          </w:tcPr>
          <w:p>
            <w:pPr>
              <w:jc w:val="right"/>
              <w:ind w:right="480"/>
              <w:spacing w:after="0" w:line="134" w:lineRule="exact"/>
              <w:rPr>
                <w:sz w:val="20"/>
                <w:szCs w:val="20"/>
                <w:color w:val="auto"/>
              </w:rPr>
            </w:pPr>
            <w:r>
              <w:rPr>
                <w:rFonts w:ascii="Arial" w:cs="Arial" w:eastAsia="Arial" w:hAnsi="Arial"/>
                <w:sz w:val="13"/>
                <w:szCs w:val="13"/>
                <w:b w:val="1"/>
                <w:bCs w:val="1"/>
                <w:color w:val="auto"/>
                <w:w w:val="95"/>
              </w:rPr>
              <w:t>except per share data)</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Income from continuing operations</w:t>
            </w: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127,107</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84"/>
              </w:rPr>
              <w:t>102,379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120,616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Preferred share dividends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7"/>
                <w:szCs w:val="17"/>
                <w:color w:val="auto"/>
              </w:rPr>
              <w:t>(5,447)</w:t>
            </w:r>
          </w:p>
        </w:tc>
        <w:tc>
          <w:tcPr>
            <w:tcW w:w="100" w:type="dxa"/>
            <w:vAlign w:val="bottom"/>
          </w:tcPr>
          <w:p>
            <w:pPr>
              <w:spacing w:after="0"/>
              <w:rPr>
                <w:sz w:val="17"/>
                <w:szCs w:val="17"/>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rPr>
              <w:t>(5,568)</w:t>
            </w: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(5,366)</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Less: Earnings allocated to unvested shares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7"/>
                <w:szCs w:val="17"/>
                <w:color w:val="auto"/>
              </w:rPr>
              <w:t>(572)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(510)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w w:val="96"/>
              </w:rPr>
              <w:t>Income from continuing operations available for common shareholders</w:t>
            </w:r>
          </w:p>
        </w:tc>
        <w:tc>
          <w:tcPr>
            <w:tcW w:w="3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120,547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9"/>
              </w:rPr>
              <w:t>95,760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114,203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Results from discontinued operations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1,493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14,537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Net income available for common shareholders, basic and diluted</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121,677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9"/>
              </w:rPr>
              <w:t>97,253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128,740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DENOMINATOR</w:t>
            </w: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outstanding—basic</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61,182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9"/>
              </w:rPr>
              <w:t>59,704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58,665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Effect of dilutive securities:</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Stock options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outstanding—diluted</w:t>
            </w:r>
          </w:p>
        </w:tc>
        <w:tc>
          <w:tcPr>
            <w:tcW w:w="3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61,324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w w:val="99"/>
              </w:rPr>
              <w:t>59,830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58,889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 BASIC</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Continuing operations</w:t>
            </w: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Discontinued operations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20"/>
                <w:szCs w:val="20"/>
                <w:color w:val="auto"/>
              </w:rPr>
            </w:pPr>
            <w:r>
              <w:rPr>
                <w:rFonts w:ascii="Arial" w:cs="Arial" w:eastAsia="Arial" w:hAnsi="Arial"/>
                <w:sz w:val="17"/>
                <w:szCs w:val="17"/>
                <w:color w:val="auto"/>
              </w:rPr>
              <w:t>Gain on sale of real estate</w:t>
            </w:r>
          </w:p>
        </w:tc>
        <w:tc>
          <w:tcPr>
            <w:tcW w:w="3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17"/>
                <w:szCs w:val="17"/>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99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w:t>
            </w:r>
            <w:r>
              <w:rPr>
                <w:rFonts w:ascii="Arial" w:cs="Arial" w:eastAsia="Arial" w:hAnsi="Arial"/>
                <w:sz w:val="17"/>
                <w:szCs w:val="17"/>
                <w:u w:val="single" w:color="auto"/>
                <w:color w:val="auto"/>
              </w:rPr>
              <w:t>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r>
              <w:rPr>
                <w:rFonts w:ascii="Arial" w:cs="Arial" w:eastAsia="Arial" w:hAnsi="Arial"/>
                <w:sz w:val="17"/>
                <w:szCs w:val="17"/>
                <w:u w:val="single" w:color="auto"/>
                <w:color w:val="auto"/>
              </w:rPr>
              <w:t>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EARNINGS PER COMMON SHARE, DILUTED</w:t>
            </w: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Continuing operations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auto"/>
              </w:rPr>
              <w:t>Discontinued operations</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0.01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w:t>
            </w:r>
          </w:p>
        </w:tc>
        <w:tc>
          <w:tcPr>
            <w:tcW w:w="3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160" w:type="dxa"/>
            <w:vAlign w:val="bottom"/>
          </w:tcPr>
          <w:p>
            <w:pPr>
              <w:spacing w:after="0"/>
              <w:rPr>
                <w:sz w:val="18"/>
                <w:szCs w:val="18"/>
                <w:color w:val="auto"/>
              </w:rPr>
            </w:pPr>
          </w:p>
        </w:tc>
        <w:tc>
          <w:tcPr>
            <w:tcW w:w="34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1.98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1.63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Income from continuing operations attributable to the Trust</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121,660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9"/>
              </w:rPr>
              <w:t>96,811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115,250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160" w:type="dxa"/>
            <w:vAlign w:val="bottom"/>
          </w:tcPr>
          <w:p>
            <w:pPr>
              <w:spacing w:after="0"/>
              <w:rPr>
                <w:sz w:val="24"/>
                <w:szCs w:val="24"/>
                <w:color w:val="auto"/>
              </w:rPr>
            </w:pPr>
          </w:p>
        </w:tc>
        <w:tc>
          <w:tcPr>
            <w:tcW w:w="3460" w:type="dxa"/>
            <w:vAlign w:val="bottom"/>
            <w:gridSpan w:val="2"/>
          </w:tcPr>
          <w:p>
            <w:pPr>
              <w:jc w:val="right"/>
              <w:ind w:right="2667"/>
              <w:spacing w:after="0"/>
              <w:rPr>
                <w:sz w:val="20"/>
                <w:szCs w:val="20"/>
                <w:color w:val="auto"/>
              </w:rPr>
            </w:pPr>
            <w:r>
              <w:rPr>
                <w:rFonts w:ascii="Arial" w:cs="Arial" w:eastAsia="Arial" w:hAnsi="Arial"/>
                <w:sz w:val="17"/>
                <w:szCs w:val="17"/>
                <w:color w:val="auto"/>
              </w:rPr>
              <w:t>F-32</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SELECTED QUARTERLY FINANCIAL DATA (UNAUDITED)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Summarized quarterly financial data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21"/>
              <w:spacing w:after="0"/>
              <w:rPr>
                <w:sz w:val="20"/>
                <w:szCs w:val="20"/>
                <w:color w:val="auto"/>
              </w:rPr>
            </w:pPr>
            <w:r>
              <w:rPr>
                <w:rFonts w:ascii="Arial" w:cs="Arial" w:eastAsia="Arial" w:hAnsi="Arial"/>
                <w:sz w:val="13"/>
                <w:szCs w:val="13"/>
                <w:b w:val="1"/>
                <w:bCs w:val="1"/>
                <w:color w:val="auto"/>
                <w:w w:val="92"/>
              </w:rPr>
              <w:t>First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176"/>
              <w:spacing w:after="0"/>
              <w:rPr>
                <w:sz w:val="20"/>
                <w:szCs w:val="20"/>
                <w:color w:val="auto"/>
              </w:rPr>
            </w:pPr>
            <w:r>
              <w:rPr>
                <w:rFonts w:ascii="Arial" w:cs="Arial" w:eastAsia="Arial" w:hAnsi="Arial"/>
                <w:sz w:val="13"/>
                <w:szCs w:val="13"/>
                <w:b w:val="1"/>
                <w:bCs w:val="1"/>
                <w:color w:val="auto"/>
                <w:w w:val="85"/>
              </w:rPr>
              <w:t>Second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Third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Fourth</w:t>
            </w:r>
          </w:p>
        </w:tc>
      </w:tr>
      <w:tr>
        <w:trPr>
          <w:trHeight w:val="154"/>
        </w:trPr>
        <w:tc>
          <w:tcPr>
            <w:tcW w:w="5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7"/>
              </w:rPr>
              <w:t>Quarter</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3"/>
              </w:rPr>
              <w:t>Quarter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3"/>
              </w:rPr>
              <w:t>Quarter</w:t>
            </w:r>
          </w:p>
        </w:tc>
        <w:tc>
          <w:tcPr>
            <w:tcW w:w="120" w:type="dxa"/>
            <w:vAlign w:val="bottom"/>
          </w:tcPr>
          <w:p>
            <w:pPr>
              <w:spacing w:after="0"/>
              <w:rPr>
                <w:sz w:val="13"/>
                <w:szCs w:val="13"/>
                <w:color w:val="auto"/>
              </w:rPr>
            </w:pPr>
          </w:p>
        </w:tc>
      </w:tr>
      <w:tr>
        <w:trPr>
          <w:trHeight w:val="134"/>
        </w:trPr>
        <w:tc>
          <w:tcPr>
            <w:tcW w:w="5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(In thousands,</w:t>
            </w:r>
          </w:p>
        </w:tc>
        <w:tc>
          <w:tcPr>
            <w:tcW w:w="3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72"/>
              </w:rPr>
              <w:t>except</w:t>
            </w:r>
          </w:p>
        </w:tc>
        <w:tc>
          <w:tcPr>
            <w:tcW w:w="96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w w:val="94"/>
              </w:rPr>
              <w:t>per share data)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Revenue(1)</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138,324</w:t>
            </w:r>
          </w:p>
        </w:tc>
        <w:tc>
          <w:tcPr>
            <w:tcW w:w="1000" w:type="dxa"/>
            <w:vAlign w:val="bottom"/>
            <w:gridSpan w:val="3"/>
          </w:tcPr>
          <w:p>
            <w:pPr>
              <w:ind w:left="300"/>
              <w:spacing w:after="0"/>
              <w:rPr>
                <w:sz w:val="20"/>
                <w:szCs w:val="20"/>
                <w:color w:val="auto"/>
              </w:rPr>
            </w:pPr>
            <w:r>
              <w:rPr>
                <w:rFonts w:ascii="Arial" w:cs="Arial" w:eastAsia="Arial" w:hAnsi="Arial"/>
                <w:sz w:val="17"/>
                <w:szCs w:val="17"/>
                <w:color w:val="auto"/>
                <w:w w:val="89"/>
              </w:rPr>
              <w:t>$ 133,689</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133,913</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138,748</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58,982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56,116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56,164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59,212</w:t>
            </w: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Net income(2)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30,554</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32,368</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31,010</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34,305</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31,114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29,640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32,816</w:t>
            </w: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Net income available for common shareholders(2)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29,085</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30,979</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29,504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32,681</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share—basic(2)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0.50</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0.53</w:t>
            </w:r>
          </w:p>
        </w:tc>
      </w:tr>
      <w:tr>
        <w:trPr>
          <w:trHeight w:val="213"/>
        </w:trPr>
        <w:tc>
          <w:tcPr>
            <w:tcW w:w="5440" w:type="dxa"/>
            <w:vAlign w:val="bottom"/>
          </w:tcPr>
          <w:p>
            <w:pPr>
              <w:spacing w:after="0"/>
              <w:rPr>
                <w:sz w:val="20"/>
                <w:szCs w:val="20"/>
                <w:color w:val="auto"/>
              </w:rPr>
            </w:pPr>
            <w:r>
              <w:rPr>
                <w:rFonts w:ascii="Arial" w:cs="Arial" w:eastAsia="Arial" w:hAnsi="Arial"/>
                <w:sz w:val="17"/>
                <w:szCs w:val="17"/>
                <w:color w:val="auto"/>
              </w:rPr>
              <w:t>Earnings per common share—diluted(2)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0.47</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0.50</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0.48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0.53</w:t>
            </w:r>
          </w:p>
        </w:tc>
      </w:tr>
      <w:tr>
        <w:trPr>
          <w:trHeight w:val="327"/>
        </w:trPr>
        <w:tc>
          <w:tcPr>
            <w:tcW w:w="5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ind w:right="21"/>
              <w:spacing w:after="0"/>
              <w:rPr>
                <w:sz w:val="20"/>
                <w:szCs w:val="20"/>
                <w:color w:val="auto"/>
              </w:rPr>
            </w:pPr>
            <w:r>
              <w:rPr>
                <w:rFonts w:ascii="Arial" w:cs="Arial" w:eastAsia="Arial" w:hAnsi="Arial"/>
                <w:sz w:val="13"/>
                <w:szCs w:val="13"/>
                <w:b w:val="1"/>
                <w:bCs w:val="1"/>
                <w:color w:val="auto"/>
                <w:w w:val="92"/>
              </w:rPr>
              <w:t>First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176"/>
              <w:spacing w:after="0"/>
              <w:rPr>
                <w:sz w:val="20"/>
                <w:szCs w:val="20"/>
                <w:color w:val="auto"/>
              </w:rPr>
            </w:pPr>
            <w:r>
              <w:rPr>
                <w:rFonts w:ascii="Arial" w:cs="Arial" w:eastAsia="Arial" w:hAnsi="Arial"/>
                <w:sz w:val="13"/>
                <w:szCs w:val="13"/>
                <w:b w:val="1"/>
                <w:bCs w:val="1"/>
                <w:color w:val="auto"/>
                <w:w w:val="85"/>
              </w:rPr>
              <w:t>Second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Third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Fourth</w:t>
            </w:r>
          </w:p>
        </w:tc>
      </w:tr>
      <w:tr>
        <w:trPr>
          <w:trHeight w:val="154"/>
        </w:trPr>
        <w:tc>
          <w:tcPr>
            <w:tcW w:w="54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7"/>
              </w:rPr>
              <w:t>Quarter</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3"/>
              </w:rPr>
              <w:t>Quarter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3"/>
              </w:rPr>
              <w:t>Quarter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3"/>
              </w:rPr>
              <w:t>Quarter</w:t>
            </w:r>
          </w:p>
        </w:tc>
        <w:tc>
          <w:tcPr>
            <w:tcW w:w="120" w:type="dxa"/>
            <w:vAlign w:val="bottom"/>
          </w:tcPr>
          <w:p>
            <w:pPr>
              <w:spacing w:after="0"/>
              <w:rPr>
                <w:sz w:val="13"/>
                <w:szCs w:val="13"/>
                <w:color w:val="auto"/>
              </w:rPr>
            </w:pPr>
          </w:p>
        </w:tc>
      </w:tr>
      <w:tr>
        <w:trPr>
          <w:trHeight w:val="134"/>
        </w:trPr>
        <w:tc>
          <w:tcPr>
            <w:tcW w:w="5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(In thousands,</w:t>
            </w:r>
          </w:p>
        </w:tc>
        <w:tc>
          <w:tcPr>
            <w:tcW w:w="3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72"/>
              </w:rPr>
              <w:t>except</w:t>
            </w:r>
          </w:p>
        </w:tc>
        <w:tc>
          <w:tcPr>
            <w:tcW w:w="96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w w:val="94"/>
              </w:rPr>
              <w:t>per share data)</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Revenue(1)</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131,031</w:t>
            </w:r>
          </w:p>
        </w:tc>
        <w:tc>
          <w:tcPr>
            <w:tcW w:w="1000" w:type="dxa"/>
            <w:vAlign w:val="bottom"/>
            <w:gridSpan w:val="3"/>
          </w:tcPr>
          <w:p>
            <w:pPr>
              <w:ind w:left="300"/>
              <w:spacing w:after="0"/>
              <w:rPr>
                <w:sz w:val="20"/>
                <w:szCs w:val="20"/>
                <w:color w:val="auto"/>
              </w:rPr>
            </w:pPr>
            <w:r>
              <w:rPr>
                <w:rFonts w:ascii="Arial" w:cs="Arial" w:eastAsia="Arial" w:hAnsi="Arial"/>
                <w:sz w:val="17"/>
                <w:szCs w:val="17"/>
                <w:color w:val="auto"/>
                <w:w w:val="89"/>
              </w:rPr>
              <w:t>$ 130,225</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w w:val="97"/>
              </w:rPr>
              <w:t>130,841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138,421</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34,279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55,423</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57,577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63,304</w:t>
            </w: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Net income(2)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11,873</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29,794</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28,839</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33,366</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 attributable to the Trust(2)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28,417</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27,433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31,970</w:t>
            </w:r>
          </w:p>
        </w:tc>
      </w:tr>
      <w:tr>
        <w:trPr>
          <w:trHeight w:val="206"/>
        </w:trPr>
        <w:tc>
          <w:tcPr>
            <w:tcW w:w="5440" w:type="dxa"/>
            <w:vAlign w:val="bottom"/>
          </w:tcPr>
          <w:p>
            <w:pPr>
              <w:spacing w:after="0"/>
              <w:rPr>
                <w:sz w:val="20"/>
                <w:szCs w:val="20"/>
                <w:color w:val="auto"/>
              </w:rPr>
            </w:pPr>
            <w:r>
              <w:rPr>
                <w:rFonts w:ascii="Arial" w:cs="Arial" w:eastAsia="Arial" w:hAnsi="Arial"/>
                <w:sz w:val="17"/>
                <w:szCs w:val="17"/>
                <w:color w:val="auto"/>
              </w:rPr>
              <w:t>Net income available for common shareholders(2)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10,349</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28,282</w:t>
            </w:r>
          </w:p>
        </w:tc>
        <w:tc>
          <w:tcPr>
            <w:tcW w:w="1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27,297</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31,835</w:t>
            </w:r>
          </w:p>
        </w:tc>
      </w:tr>
      <w:tr>
        <w:trPr>
          <w:trHeight w:val="206"/>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share—basic(2)</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0.48</w:t>
            </w:r>
          </w:p>
        </w:tc>
        <w:tc>
          <w:tcPr>
            <w:tcW w:w="1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0.52</w:t>
            </w:r>
          </w:p>
        </w:tc>
      </w:tr>
      <w:tr>
        <w:trPr>
          <w:trHeight w:val="213"/>
        </w:trPr>
        <w:tc>
          <w:tcPr>
            <w:tcW w:w="5440" w:type="dxa"/>
            <w:vAlign w:val="bottom"/>
          </w:tcPr>
          <w:p>
            <w:pPr>
              <w:spacing w:after="0"/>
              <w:rPr>
                <w:sz w:val="20"/>
                <w:szCs w:val="20"/>
                <w:color w:val="auto"/>
              </w:rPr>
            </w:pPr>
            <w:r>
              <w:rPr>
                <w:rFonts w:ascii="Arial" w:cs="Arial" w:eastAsia="Arial" w:hAnsi="Arial"/>
                <w:sz w:val="17"/>
                <w:szCs w:val="17"/>
                <w:color w:val="auto"/>
              </w:rPr>
              <w:t>Earnings per common share—diluted(2)</w:t>
            </w:r>
          </w:p>
        </w:tc>
        <w:tc>
          <w:tcPr>
            <w:tcW w:w="2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0.17</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0.48</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0.45</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26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05" w:lineRule="exact"/>
        <w:rPr>
          <w:sz w:val="20"/>
          <w:szCs w:val="20"/>
          <w:color w:val="auto"/>
        </w:rPr>
      </w:pPr>
    </w:p>
    <w:p>
      <w:pPr>
        <w:ind w:left="460" w:hanging="457"/>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Revenue has been reduced to reflect the results of discontinued operations. Revenue from discontinued operations, by quarter, is summarized as follows: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First</w:t>
            </w:r>
          </w:p>
        </w:tc>
        <w:tc>
          <w:tcPr>
            <w:tcW w:w="380" w:type="dxa"/>
            <w:vAlign w:val="bottom"/>
          </w:tcPr>
          <w:p>
            <w:pPr>
              <w:spacing w:after="0"/>
              <w:rPr>
                <w:sz w:val="13"/>
                <w:szCs w:val="13"/>
                <w:color w:val="auto"/>
              </w:rPr>
            </w:pPr>
          </w:p>
        </w:tc>
        <w:tc>
          <w:tcPr>
            <w:tcW w:w="1200" w:type="dxa"/>
            <w:vAlign w:val="bottom"/>
            <w:gridSpan w:val="3"/>
          </w:tcPr>
          <w:p>
            <w:pPr>
              <w:jc w:val="right"/>
              <w:ind w:right="780"/>
              <w:spacing w:after="0"/>
              <w:rPr>
                <w:sz w:val="20"/>
                <w:szCs w:val="20"/>
                <w:color w:val="auto"/>
              </w:rPr>
            </w:pPr>
            <w:r>
              <w:rPr>
                <w:rFonts w:ascii="Arial" w:cs="Arial" w:eastAsia="Arial" w:hAnsi="Arial"/>
                <w:sz w:val="13"/>
                <w:szCs w:val="13"/>
                <w:b w:val="1"/>
                <w:bCs w:val="1"/>
                <w:color w:val="auto"/>
                <w:w w:val="85"/>
              </w:rPr>
              <w:t>Second</w:t>
            </w:r>
          </w:p>
        </w:tc>
        <w:tc>
          <w:tcPr>
            <w:tcW w:w="460" w:type="dxa"/>
            <w:vAlign w:val="bottom"/>
            <w:gridSpan w:val="2"/>
          </w:tcPr>
          <w:p>
            <w:pPr>
              <w:ind w:left="60"/>
              <w:spacing w:after="0"/>
              <w:rPr>
                <w:sz w:val="20"/>
                <w:szCs w:val="20"/>
                <w:color w:val="auto"/>
              </w:rPr>
            </w:pPr>
            <w:r>
              <w:rPr>
                <w:rFonts w:ascii="Arial" w:cs="Arial" w:eastAsia="Arial" w:hAnsi="Arial"/>
                <w:sz w:val="13"/>
                <w:szCs w:val="13"/>
                <w:b w:val="1"/>
                <w:bCs w:val="1"/>
                <w:color w:val="auto"/>
              </w:rPr>
              <w:t>Third</w:t>
            </w:r>
          </w:p>
        </w:tc>
        <w:tc>
          <w:tcPr>
            <w:tcW w:w="660" w:type="dxa"/>
            <w:vAlign w:val="bottom"/>
          </w:tcPr>
          <w:p>
            <w:pPr>
              <w:spacing w:after="0"/>
              <w:rPr>
                <w:sz w:val="13"/>
                <w:szCs w:val="13"/>
                <w:color w:val="auto"/>
              </w:rPr>
            </w:pPr>
          </w:p>
        </w:tc>
        <w:tc>
          <w:tcPr>
            <w:tcW w:w="540" w:type="dxa"/>
            <w:vAlign w:val="bottom"/>
            <w:gridSpan w:val="3"/>
          </w:tcPr>
          <w:p>
            <w:pPr>
              <w:ind w:left="40"/>
              <w:spacing w:after="0"/>
              <w:rPr>
                <w:sz w:val="20"/>
                <w:szCs w:val="20"/>
                <w:color w:val="auto"/>
              </w:rPr>
            </w:pPr>
            <w:r>
              <w:rPr>
                <w:rFonts w:ascii="Arial" w:cs="Arial" w:eastAsia="Arial" w:hAnsi="Arial"/>
                <w:sz w:val="13"/>
                <w:szCs w:val="13"/>
                <w:b w:val="1"/>
                <w:bCs w:val="1"/>
                <w:color w:val="auto"/>
              </w:rPr>
              <w:t>Fourth</w:t>
            </w:r>
          </w:p>
        </w:tc>
      </w:tr>
      <w:tr>
        <w:trPr>
          <w:trHeight w:val="154"/>
        </w:trPr>
        <w:tc>
          <w:tcPr>
            <w:tcW w:w="46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w w:val="93"/>
              </w:rPr>
              <w:t>Quarter</w:t>
            </w:r>
          </w:p>
        </w:tc>
        <w:tc>
          <w:tcPr>
            <w:tcW w:w="360" w:type="dxa"/>
            <w:vAlign w:val="bottom"/>
          </w:tcPr>
          <w:p>
            <w:pPr>
              <w:spacing w:after="0"/>
              <w:rPr>
                <w:sz w:val="13"/>
                <w:szCs w:val="13"/>
                <w:color w:val="auto"/>
              </w:rPr>
            </w:pPr>
          </w:p>
        </w:tc>
        <w:tc>
          <w:tcPr>
            <w:tcW w:w="1580" w:type="dxa"/>
            <w:vAlign w:val="bottom"/>
            <w:gridSpan w:val="4"/>
          </w:tcPr>
          <w:p>
            <w:pPr>
              <w:ind w:left="380"/>
              <w:spacing w:after="0"/>
              <w:rPr>
                <w:sz w:val="20"/>
                <w:szCs w:val="20"/>
                <w:color w:val="auto"/>
              </w:rPr>
            </w:pPr>
            <w:r>
              <w:rPr>
                <w:rFonts w:ascii="Arial" w:cs="Arial" w:eastAsia="Arial" w:hAnsi="Arial"/>
                <w:sz w:val="13"/>
                <w:szCs w:val="13"/>
                <w:b w:val="1"/>
                <w:bCs w:val="1"/>
                <w:color w:val="auto"/>
              </w:rPr>
              <w:t>Quarter</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w w:val="93"/>
              </w:rPr>
              <w:t>Quarter</w:t>
            </w:r>
          </w:p>
        </w:tc>
        <w:tc>
          <w:tcPr>
            <w:tcW w:w="1200" w:type="dxa"/>
            <w:vAlign w:val="bottom"/>
            <w:gridSpan w:val="4"/>
          </w:tcPr>
          <w:p>
            <w:pPr>
              <w:ind w:left="660"/>
              <w:spacing w:after="0"/>
              <w:rPr>
                <w:sz w:val="20"/>
                <w:szCs w:val="20"/>
                <w:color w:val="auto"/>
              </w:rPr>
            </w:pPr>
            <w:r>
              <w:rPr>
                <w:rFonts w:ascii="Arial" w:cs="Arial" w:eastAsia="Arial" w:hAnsi="Arial"/>
                <w:sz w:val="13"/>
                <w:szCs w:val="13"/>
                <w:b w:val="1"/>
                <w:bCs w:val="1"/>
                <w:color w:val="auto"/>
              </w:rPr>
              <w:t>Quarter</w:t>
            </w: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4"/>
        </w:trPr>
        <w:tc>
          <w:tcPr>
            <w:tcW w:w="4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20"/>
              <w:spacing w:after="0" w:line="134" w:lineRule="exact"/>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2010 revenue from discontinued operations</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146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98"/>
              </w:rPr>
              <w:t>146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213</w:t>
            </w:r>
          </w:p>
        </w:tc>
      </w:tr>
      <w:tr>
        <w:trPr>
          <w:trHeight w:val="213"/>
        </w:trPr>
        <w:tc>
          <w:tcPr>
            <w:tcW w:w="4680" w:type="dxa"/>
            <w:vAlign w:val="bottom"/>
          </w:tcPr>
          <w:p>
            <w:pPr>
              <w:spacing w:after="0"/>
              <w:rPr>
                <w:sz w:val="20"/>
                <w:szCs w:val="20"/>
                <w:color w:val="auto"/>
              </w:rPr>
            </w:pPr>
            <w:r>
              <w:rPr>
                <w:rFonts w:ascii="Arial" w:cs="Arial" w:eastAsia="Arial" w:hAnsi="Arial"/>
                <w:sz w:val="17"/>
                <w:szCs w:val="17"/>
                <w:color w:val="auto"/>
              </w:rPr>
              <w:t>2009 revenue from discontinued operations</w:t>
            </w:r>
          </w:p>
        </w:tc>
        <w:tc>
          <w:tcPr>
            <w:tcW w:w="1860" w:type="dxa"/>
            <w:vAlign w:val="bottom"/>
            <w:gridSpan w:val="2"/>
          </w:tcPr>
          <w:p>
            <w:pPr>
              <w:ind w:left="176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360"/>
              <w:spacing w:after="0"/>
              <w:rPr>
                <w:sz w:val="20"/>
                <w:szCs w:val="20"/>
                <w:color w:val="auto"/>
              </w:rPr>
            </w:pPr>
            <w:r>
              <w:rPr>
                <w:rFonts w:ascii="Arial" w:cs="Arial" w:eastAsia="Arial" w:hAnsi="Arial"/>
                <w:sz w:val="17"/>
                <w:szCs w:val="17"/>
                <w:color w:val="auto"/>
              </w:rPr>
              <w:t>169</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7"/>
                <w:szCs w:val="17"/>
                <w:color w:val="auto"/>
                <w:w w:val="98"/>
              </w:rPr>
              <w:t>215</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152</w:t>
            </w:r>
          </w:p>
        </w:tc>
        <w:tc>
          <w:tcPr>
            <w:tcW w:w="80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192</w:t>
            </w:r>
          </w:p>
        </w:tc>
      </w:tr>
    </w:tbl>
    <w:p>
      <w:pPr>
        <w:spacing w:after="0" w:line="177" w:lineRule="exact"/>
        <w:rPr>
          <w:sz w:val="20"/>
          <w:szCs w:val="20"/>
          <w:color w:val="auto"/>
        </w:rPr>
      </w:pPr>
    </w:p>
    <w:p>
      <w:pPr>
        <w:ind w:left="460" w:right="40" w:hanging="457"/>
        <w:spacing w:after="0" w:line="273"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First quarter and fourth quarter 2009 and fourth quarter 2010 amounts include adjustments to the accrual for litigation regarding a parcel of land located adjacent to Santana Row. See Note 8 for further discussion of the matter.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SUBSEQUENT EVENT</w:t>
      </w:r>
    </w:p>
    <w:p>
      <w:pPr>
        <w:spacing w:after="0" w:line="91"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On January 19, 2011, we acquired the fee interest in Tower Shops located in Davie, Florida for a net purchase price of approximately $66.1 million which includes the assumption of a mortgage loan of approximately $41.0 million. The mortgage loan bears interest at 6.52%, is interest only until July 2011 at which time it converts to a 30-year amortization schedule and matures in July 2015. The loan is pre-payable after June 2011 and we expect to repay the loan during 2011 which will include a 3% prepayment premium on the outstanding loan balance. The property contains approximately 372,000 square feet of gross leasable area and is shadow-anchored by Home Depot and Costco</w:t>
      </w:r>
      <w:r>
        <w:rPr>
          <w:rFonts w:ascii="Arial" w:cs="Arial" w:eastAsia="Arial" w:hAnsi="Arial"/>
          <w:sz w:val="16"/>
          <w:szCs w:val="16"/>
          <w:b w:val="1"/>
          <w:bCs w:val="1"/>
          <w:color w:val="auto"/>
        </w:rPr>
        <w:t>.</w:t>
      </w:r>
      <w:r>
        <w:rPr>
          <w:rFonts w:ascii="Arial" w:cs="Arial" w:eastAsia="Arial" w:hAnsi="Arial"/>
          <w:sz w:val="16"/>
          <w:szCs w:val="16"/>
          <w:color w:val="auto"/>
        </w:rPr>
        <w:t xml:space="preserve"> The purchase price allocation will be finalized after certain valuation studies are complete.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445"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FEDERAL REALTY INVESTMENT TRUST</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SCHEDULE III</w:t>
      </w:r>
    </w:p>
    <w:p>
      <w:pPr>
        <w:jc w:val="center"/>
        <w:ind w:right="100"/>
        <w:spacing w:after="0" w:line="229" w:lineRule="auto"/>
        <w:rPr>
          <w:sz w:val="20"/>
          <w:szCs w:val="20"/>
          <w:color w:val="auto"/>
        </w:rPr>
      </w:pPr>
      <w:r>
        <w:rPr>
          <w:rFonts w:ascii="Arial" w:cs="Arial" w:eastAsia="Arial" w:hAnsi="Arial"/>
          <w:sz w:val="21"/>
          <w:szCs w:val="21"/>
          <w:b w:val="1"/>
          <w:bCs w:val="1"/>
          <w:color w:val="auto"/>
        </w:rPr>
        <w:t>SUMMARY OF REAL ESTATE AND ACCUMULATED</w:t>
      </w:r>
    </w:p>
    <w:p>
      <w:pPr>
        <w:jc w:val="center"/>
        <w:ind w:right="100"/>
        <w:spacing w:after="0"/>
        <w:rPr>
          <w:sz w:val="20"/>
          <w:szCs w:val="20"/>
          <w:color w:val="auto"/>
        </w:rPr>
      </w:pPr>
      <w:r>
        <w:rPr>
          <w:rFonts w:ascii="Arial" w:cs="Arial" w:eastAsia="Arial" w:hAnsi="Arial"/>
          <w:sz w:val="21"/>
          <w:szCs w:val="21"/>
          <w:b w:val="1"/>
          <w:bCs w:val="1"/>
          <w:color w:val="auto"/>
        </w:rPr>
        <w:t>DEPRECIATION</w:t>
      </w:r>
    </w:p>
    <w:p>
      <w:pPr>
        <w:ind w:left="4920"/>
        <w:spacing w:after="0"/>
        <w:rPr>
          <w:sz w:val="20"/>
          <w:szCs w:val="20"/>
          <w:color w:val="auto"/>
        </w:rPr>
      </w:pPr>
      <w:r>
        <w:rPr>
          <w:rFonts w:ascii="Arial" w:cs="Arial" w:eastAsia="Arial" w:hAnsi="Arial"/>
          <w:sz w:val="17"/>
          <w:szCs w:val="17"/>
          <w:b w:val="1"/>
          <w:bCs w:val="1"/>
          <w:color w:val="auto"/>
        </w:rPr>
        <w:t>DECEMBER 31, 2010</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2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60" w:type="dxa"/>
            <w:vAlign w:val="bottom"/>
          </w:tcPr>
          <w:p>
            <w:pPr>
              <w:spacing w:after="0"/>
              <w:rPr>
                <w:sz w:val="13"/>
                <w:szCs w:val="13"/>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COLUMN B</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99"/>
              </w:rPr>
              <w:t>COLUMN C</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COLUMN D</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COLUMN F</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COLUMN G</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H</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1"/>
        </w:trPr>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3"/>
              </w:rPr>
              <w:t>Life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3"/>
                <w:szCs w:val="13"/>
                <w:b w:val="1"/>
                <w:bCs w:val="1"/>
                <w:color w:val="auto"/>
              </w:rPr>
              <w:t>Gross amount at which carried at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3"/>
                <w:szCs w:val="13"/>
                <w:b w:val="1"/>
                <w:bCs w:val="1"/>
                <w:color w:val="auto"/>
                <w:w w:val="92"/>
              </w:rPr>
              <w:t>Initial cost to company</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82"/>
              </w:rPr>
              <w:t>close of period</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in latest</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jc w:val="center"/>
              <w:ind w:right="80"/>
              <w:spacing w:after="0" w:line="121" w:lineRule="exact"/>
              <w:rPr>
                <w:sz w:val="20"/>
                <w:szCs w:val="20"/>
                <w:color w:val="auto"/>
              </w:rPr>
            </w:pPr>
            <w:r>
              <w:rPr>
                <w:rFonts w:ascii="Arial" w:cs="Arial" w:eastAsia="Arial" w:hAnsi="Arial"/>
                <w:sz w:val="13"/>
                <w:szCs w:val="13"/>
                <w:b w:val="1"/>
                <w:bCs w:val="1"/>
                <w:color w:val="auto"/>
                <w:w w:val="90"/>
              </w:rPr>
              <w:t>Capitalized</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0"/>
              </w:rPr>
              <w:t>Accumulated</w:t>
            </w: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1" w:lineRule="exact"/>
              <w:rPr>
                <w:sz w:val="20"/>
                <w:szCs w:val="20"/>
                <w:color w:val="auto"/>
              </w:rPr>
            </w:pPr>
            <w:r>
              <w:rPr>
                <w:rFonts w:ascii="Arial" w:cs="Arial" w:eastAsia="Arial" w:hAnsi="Arial"/>
                <w:sz w:val="13"/>
                <w:szCs w:val="13"/>
                <w:b w:val="1"/>
                <w:bCs w:val="1"/>
                <w:color w:val="auto"/>
                <w:w w:val="85"/>
              </w:rPr>
              <w:t>Subsequent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3"/>
                <w:szCs w:val="13"/>
                <w:b w:val="1"/>
                <w:bCs w:val="1"/>
                <w:color w:val="auto"/>
                <w:w w:val="88"/>
              </w:rPr>
              <w:t>Depreciation</w:t>
            </w:r>
          </w:p>
        </w:tc>
        <w:tc>
          <w:tcPr>
            <w:tcW w:w="108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00"/>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81"/>
              </w:rPr>
              <w:t>to</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00"/>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4"/>
              </w:rPr>
              <w:t>and</w:t>
            </w:r>
          </w:p>
        </w:tc>
        <w:tc>
          <w:tcPr>
            <w:tcW w:w="10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2"/>
              </w:rPr>
              <w:t>Date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54"/>
        </w:trPr>
        <w:tc>
          <w:tcPr>
            <w:tcW w:w="192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6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9"/>
              </w:rPr>
              <w:t>Encumbrance</w:t>
            </w:r>
          </w:p>
        </w:tc>
        <w:tc>
          <w:tcPr>
            <w:tcW w:w="120" w:type="dxa"/>
            <w:vAlign w:val="bottom"/>
          </w:tcPr>
          <w:p>
            <w:pPr>
              <w:spacing w:after="0"/>
              <w:rPr>
                <w:sz w:val="13"/>
                <w:szCs w:val="13"/>
                <w:color w:val="auto"/>
              </w:rPr>
            </w:pPr>
          </w:p>
        </w:tc>
        <w:tc>
          <w:tcPr>
            <w:tcW w:w="600" w:type="dxa"/>
            <w:vAlign w:val="bottom"/>
          </w:tcPr>
          <w:p>
            <w:pPr>
              <w:jc w:val="right"/>
              <w:ind w:right="156"/>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4"/>
              </w:rPr>
              <w:t>Improvements</w:t>
            </w:r>
          </w:p>
        </w:tc>
        <w:tc>
          <w:tcPr>
            <w:tcW w:w="40" w:type="dxa"/>
            <w:vAlign w:val="bottom"/>
          </w:tcPr>
          <w:p>
            <w:pPr>
              <w:spacing w:after="0"/>
              <w:rPr>
                <w:sz w:val="13"/>
                <w:szCs w:val="13"/>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580" w:type="dxa"/>
            <w:vAlign w:val="bottom"/>
          </w:tcPr>
          <w:p>
            <w:pPr>
              <w:jc w:val="right"/>
              <w:ind w:right="156"/>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w w:val="94"/>
              </w:rPr>
              <w:t>Improvements</w:t>
            </w:r>
          </w:p>
        </w:tc>
        <w:tc>
          <w:tcPr>
            <w:tcW w:w="40" w:type="dxa"/>
            <w:vAlign w:val="bottom"/>
          </w:tcPr>
          <w:p>
            <w:pPr>
              <w:spacing w:after="0"/>
              <w:rPr>
                <w:sz w:val="13"/>
                <w:szCs w:val="13"/>
                <w:color w:val="auto"/>
              </w:rPr>
            </w:pPr>
          </w:p>
        </w:tc>
        <w:tc>
          <w:tcPr>
            <w:tcW w:w="60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Amortization</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Construction</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20" w:type="dxa"/>
            <w:vAlign w:val="bottom"/>
            <w:gridSpan w:val="3"/>
            <w:shd w:val="clear" w:color="auto" w:fill="CCEEFF"/>
          </w:tcPr>
          <w:p>
            <w:pPr>
              <w:spacing w:after="0" w:line="134" w:lineRule="exact"/>
              <w:rPr>
                <w:sz w:val="20"/>
                <w:szCs w:val="20"/>
                <w:color w:val="auto"/>
              </w:rPr>
            </w:pPr>
            <w:r>
              <w:rPr>
                <w:rFonts w:ascii="Arial" w:cs="Arial" w:eastAsia="Arial" w:hAnsi="Arial"/>
                <w:sz w:val="13"/>
                <w:szCs w:val="13"/>
                <w:color w:val="auto"/>
              </w:rPr>
              <w:t>150 POST STREET (California)</w:t>
            </w:r>
          </w:p>
        </w:tc>
        <w:tc>
          <w:tcPr>
            <w:tcW w:w="360" w:type="dxa"/>
            <w:vAlign w:val="bottom"/>
            <w:shd w:val="clear" w:color="auto" w:fill="CCEEFF"/>
          </w:tcPr>
          <w:p>
            <w:pPr>
              <w:jc w:val="right"/>
              <w:ind w:right="36"/>
              <w:spacing w:after="0" w:line="134" w:lineRule="exact"/>
              <w:rPr>
                <w:sz w:val="20"/>
                <w:szCs w:val="20"/>
                <w:color w:val="auto"/>
              </w:rPr>
            </w:pPr>
            <w:r>
              <w:rPr>
                <w:rFonts w:ascii="Arial" w:cs="Arial" w:eastAsia="Arial" w:hAnsi="Arial"/>
                <w:sz w:val="13"/>
                <w:szCs w:val="13"/>
                <w:color w:val="auto"/>
              </w:rPr>
              <w:t>CA</w:t>
            </w:r>
          </w:p>
        </w:tc>
        <w:tc>
          <w:tcPr>
            <w:tcW w:w="2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80"/>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11,685</w:t>
            </w:r>
          </w:p>
        </w:tc>
        <w:tc>
          <w:tcPr>
            <w:tcW w:w="36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9,181</w:t>
            </w: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36"/>
              <w:spacing w:after="0" w:line="134"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16,995</w:t>
            </w:r>
          </w:p>
        </w:tc>
        <w:tc>
          <w:tcPr>
            <w:tcW w:w="1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11,685</w:t>
            </w:r>
          </w:p>
        </w:tc>
        <w:tc>
          <w:tcPr>
            <w:tcW w:w="32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26,176</w:t>
            </w:r>
          </w:p>
        </w:tc>
        <w:tc>
          <w:tcPr>
            <w:tcW w:w="64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$ 37,861</w:t>
            </w:r>
          </w:p>
        </w:tc>
        <w:tc>
          <w:tcPr>
            <w:tcW w:w="160" w:type="dxa"/>
            <w:vAlign w:val="bottom"/>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12,545</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1908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10/23/97</w:t>
            </w:r>
          </w:p>
        </w:tc>
        <w:tc>
          <w:tcPr>
            <w:tcW w:w="7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tcPr>
          <w:p>
            <w:pPr>
              <w:spacing w:after="0" w:line="141" w:lineRule="exact"/>
              <w:rPr>
                <w:sz w:val="20"/>
                <w:szCs w:val="20"/>
                <w:color w:val="auto"/>
              </w:rPr>
            </w:pPr>
            <w:r>
              <w:rPr>
                <w:rFonts w:ascii="Arial" w:cs="Arial" w:eastAsia="Arial" w:hAnsi="Arial"/>
                <w:sz w:val="13"/>
                <w:szCs w:val="13"/>
                <w:color w:val="auto"/>
              </w:rPr>
              <w:t>ANDORRA (Pennsylvania)</w:t>
            </w:r>
          </w:p>
        </w:tc>
        <w:tc>
          <w:tcPr>
            <w:tcW w:w="3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PA</w:t>
            </w:r>
          </w:p>
        </w:tc>
        <w:tc>
          <w:tcPr>
            <w:tcW w:w="240" w:type="dxa"/>
            <w:vAlign w:val="bottom"/>
          </w:tcPr>
          <w:p>
            <w:pPr>
              <w:spacing w:after="0"/>
              <w:rPr>
                <w:sz w:val="12"/>
                <w:szCs w:val="12"/>
                <w:color w:val="auto"/>
              </w:rPr>
            </w:pP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2,432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12,346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8,994</w:t>
            </w:r>
          </w:p>
        </w:tc>
        <w:tc>
          <w:tcPr>
            <w:tcW w:w="14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2,432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21,340</w:t>
            </w:r>
          </w:p>
        </w:tc>
        <w:tc>
          <w:tcPr>
            <w:tcW w:w="6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23,772</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13,686</w:t>
            </w: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1953</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01/12/88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ASSEMBLY SQUARE</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ind w:left="200"/>
              <w:spacing w:after="0" w:line="141" w:lineRule="exact"/>
              <w:rPr>
                <w:sz w:val="20"/>
                <w:szCs w:val="20"/>
                <w:color w:val="auto"/>
              </w:rPr>
            </w:pPr>
            <w:r>
              <w:rPr>
                <w:rFonts w:ascii="Arial" w:cs="Arial" w:eastAsia="Arial" w:hAnsi="Arial"/>
                <w:sz w:val="13"/>
                <w:szCs w:val="13"/>
                <w:color w:val="auto"/>
                <w:w w:val="99"/>
              </w:rPr>
              <w:t>MARKETPLACE/ASSEMBLY</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9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ROW (Massachusetts)</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MA</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54,615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34,196</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105,090</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54,615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139,286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193,901</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11,071</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2005-2010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THE AVENUE AT WHITE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920" w:type="dxa"/>
            <w:vAlign w:val="bottom"/>
            <w:gridSpan w:val="3"/>
          </w:tcPr>
          <w:p>
            <w:pPr>
              <w:ind w:left="200"/>
              <w:spacing w:after="0"/>
              <w:rPr>
                <w:sz w:val="20"/>
                <w:szCs w:val="20"/>
                <w:color w:val="auto"/>
              </w:rPr>
            </w:pPr>
            <w:r>
              <w:rPr>
                <w:rFonts w:ascii="Arial" w:cs="Arial" w:eastAsia="Arial" w:hAnsi="Arial"/>
                <w:sz w:val="13"/>
                <w:szCs w:val="13"/>
                <w:color w:val="auto"/>
              </w:rPr>
              <w:t>MARSH (Maryland)</w:t>
            </w: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MD</w:t>
            </w:r>
          </w:p>
        </w:tc>
        <w:tc>
          <w:tcPr>
            <w:tcW w:w="2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57,837</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72,432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2,641</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75,073</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95,755</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10,393</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03/08/07</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BALA CYNWYD (Pennsylvania)</w:t>
            </w:r>
          </w:p>
        </w:tc>
        <w:tc>
          <w:tcPr>
            <w:tcW w:w="3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PA</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3,565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14,466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15,625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30,090</w:t>
            </w:r>
          </w:p>
        </w:tc>
        <w:tc>
          <w:tcPr>
            <w:tcW w:w="6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33,656</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11,551</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1955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09/22/93</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tcPr>
          <w:p>
            <w:pPr>
              <w:spacing w:after="0" w:line="141" w:lineRule="exact"/>
              <w:rPr>
                <w:sz w:val="20"/>
                <w:szCs w:val="20"/>
                <w:color w:val="auto"/>
              </w:rPr>
            </w:pPr>
            <w:r>
              <w:rPr>
                <w:rFonts w:ascii="Arial" w:cs="Arial" w:eastAsia="Arial" w:hAnsi="Arial"/>
                <w:sz w:val="13"/>
                <w:szCs w:val="13"/>
                <w:color w:val="auto"/>
              </w:rPr>
              <w:t>BARRACKS ROAD (Virginia)</w:t>
            </w:r>
          </w:p>
        </w:tc>
        <w:tc>
          <w:tcPr>
            <w:tcW w:w="3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VA</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39,850</w:t>
            </w:r>
          </w:p>
        </w:tc>
        <w:tc>
          <w:tcPr>
            <w:tcW w:w="12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4,363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16,459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30,139</w:t>
            </w:r>
          </w:p>
        </w:tc>
        <w:tc>
          <w:tcPr>
            <w:tcW w:w="14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4,363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46,598</w:t>
            </w:r>
          </w:p>
        </w:tc>
        <w:tc>
          <w:tcPr>
            <w:tcW w:w="6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50,961</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30,242</w:t>
            </w: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1958</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12/31/85</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BETHESDA ROW (Maryland)</w:t>
            </w:r>
          </w:p>
        </w:tc>
        <w:tc>
          <w:tcPr>
            <w:tcW w:w="360" w:type="dxa"/>
            <w:vAlign w:val="bottom"/>
            <w:shd w:val="clear" w:color="auto" w:fill="CCEEFF"/>
          </w:tcPr>
          <w:p>
            <w:pPr>
              <w:jc w:val="right"/>
              <w:ind w:right="36"/>
              <w:spacing w:after="0" w:line="133" w:lineRule="exact"/>
              <w:rPr>
                <w:sz w:val="20"/>
                <w:szCs w:val="20"/>
                <w:color w:val="auto"/>
              </w:rPr>
            </w:pPr>
            <w:r>
              <w:rPr>
                <w:rFonts w:ascii="Arial" w:cs="Arial" w:eastAsia="Arial" w:hAnsi="Arial"/>
                <w:sz w:val="13"/>
                <w:szCs w:val="13"/>
                <w:color w:val="auto"/>
              </w:rPr>
              <w:t>MD</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24,131</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36,971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35,406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134,771</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42,378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164,770</w:t>
            </w:r>
          </w:p>
        </w:tc>
        <w:tc>
          <w:tcPr>
            <w:tcW w:w="64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207,148</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31,241</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1945-2008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12/31/93,</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w w:val="94"/>
              </w:rPr>
              <w:t>35 -50 years</w:t>
            </w:r>
          </w:p>
        </w:tc>
        <w:tc>
          <w:tcPr>
            <w:tcW w:w="0" w:type="dxa"/>
            <w:vAlign w:val="bottom"/>
          </w:tcPr>
          <w:p>
            <w:pPr>
              <w:spacing w:after="0"/>
              <w:rPr>
                <w:sz w:val="1"/>
                <w:szCs w:val="1"/>
                <w:color w:val="auto"/>
              </w:rPr>
            </w:pPr>
          </w:p>
        </w:tc>
      </w:tr>
      <w:tr>
        <w:trPr>
          <w:trHeight w:val="141"/>
        </w:trPr>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1/20/06,</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9/25/08,</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9/30/08,</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&amp; 12/27/10</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20" w:type="dxa"/>
            <w:vAlign w:val="bottom"/>
            <w:gridSpan w:val="3"/>
          </w:tcPr>
          <w:p>
            <w:pPr>
              <w:spacing w:after="0" w:line="141" w:lineRule="exact"/>
              <w:rPr>
                <w:sz w:val="20"/>
                <w:szCs w:val="20"/>
                <w:color w:val="auto"/>
              </w:rPr>
            </w:pPr>
            <w:r>
              <w:rPr>
                <w:rFonts w:ascii="Arial" w:cs="Arial" w:eastAsia="Arial" w:hAnsi="Arial"/>
                <w:sz w:val="13"/>
                <w:szCs w:val="13"/>
                <w:color w:val="auto"/>
              </w:rPr>
              <w:t>BRICK PLAZA (New Jersey)</w:t>
            </w:r>
          </w:p>
        </w:tc>
        <w:tc>
          <w:tcPr>
            <w:tcW w:w="3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NJ</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29,429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24,715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33,228</w:t>
            </w:r>
          </w:p>
        </w:tc>
        <w:tc>
          <w:tcPr>
            <w:tcW w:w="14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3,923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54,020</w:t>
            </w:r>
          </w:p>
        </w:tc>
        <w:tc>
          <w:tcPr>
            <w:tcW w:w="6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57,943</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35,659</w:t>
            </w:r>
          </w:p>
        </w:tc>
        <w:tc>
          <w:tcPr>
            <w:tcW w:w="980" w:type="dxa"/>
            <w:vAlign w:val="bottom"/>
          </w:tcPr>
          <w:p>
            <w:pPr>
              <w:jc w:val="right"/>
              <w:spacing w:after="0" w:line="141" w:lineRule="exact"/>
              <w:rPr>
                <w:sz w:val="20"/>
                <w:szCs w:val="20"/>
                <w:color w:val="auto"/>
              </w:rPr>
            </w:pPr>
            <w:r>
              <w:rPr>
                <w:rFonts w:ascii="Arial" w:cs="Arial" w:eastAsia="Arial" w:hAnsi="Arial"/>
                <w:sz w:val="13"/>
                <w:szCs w:val="13"/>
                <w:color w:val="auto"/>
              </w:rPr>
              <w:t>1958</w:t>
            </w: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12/28/89</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BRISTOL (Connecticut)</w:t>
            </w:r>
          </w:p>
        </w:tc>
        <w:tc>
          <w:tcPr>
            <w:tcW w:w="3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CT</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3,856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15,959</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8,456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3,856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24,415</w:t>
            </w:r>
          </w:p>
        </w:tc>
        <w:tc>
          <w:tcPr>
            <w:tcW w:w="6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28,271</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10,655</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09/22/95</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CHELSEA COMMONS</w:t>
            </w:r>
          </w:p>
        </w:tc>
        <w:tc>
          <w:tcPr>
            <w:tcW w:w="360" w:type="dxa"/>
            <w:vAlign w:val="bottom"/>
          </w:tcPr>
          <w:p>
            <w:pPr>
              <w:jc w:val="right"/>
              <w:ind w:right="36"/>
              <w:spacing w:after="0" w:line="133" w:lineRule="exact"/>
              <w:rPr>
                <w:sz w:val="20"/>
                <w:szCs w:val="20"/>
                <w:color w:val="auto"/>
              </w:rPr>
            </w:pPr>
            <w:r>
              <w:rPr>
                <w:rFonts w:ascii="Arial" w:cs="Arial" w:eastAsia="Arial" w:hAnsi="Arial"/>
                <w:sz w:val="13"/>
                <w:szCs w:val="13"/>
                <w:color w:val="auto"/>
              </w:rPr>
              <w:t>MA</w:t>
            </w:r>
          </w:p>
        </w:tc>
        <w:tc>
          <w:tcPr>
            <w:tcW w:w="240" w:type="dxa"/>
            <w:vAlign w:val="bottom"/>
          </w:tcPr>
          <w:p>
            <w:pPr>
              <w:spacing w:after="0"/>
              <w:rPr>
                <w:sz w:val="11"/>
                <w:szCs w:val="11"/>
                <w:color w:val="auto"/>
              </w:rPr>
            </w:pP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7,440</w:t>
            </w: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3"/>
                <w:szCs w:val="13"/>
                <w:color w:val="auto"/>
              </w:rPr>
              <w:t>9,417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19,466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1,385</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9,396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20,872</w:t>
            </w:r>
          </w:p>
        </w:tc>
        <w:tc>
          <w:tcPr>
            <w:tcW w:w="64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30,268</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2,289</w:t>
            </w:r>
          </w:p>
        </w:tc>
        <w:tc>
          <w:tcPr>
            <w:tcW w:w="10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1962/1969/2008</w:t>
            </w:r>
          </w:p>
        </w:tc>
        <w:tc>
          <w:tcPr>
            <w:tcW w:w="8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08/25/06,</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(Massachusetts)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1/30/07,</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&amp; 7/16/08</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COLORADO BLVD (California)</w:t>
            </w:r>
          </w:p>
        </w:tc>
        <w:tc>
          <w:tcPr>
            <w:tcW w:w="360" w:type="dxa"/>
            <w:vAlign w:val="bottom"/>
            <w:shd w:val="clear" w:color="auto" w:fill="CCEEFF"/>
          </w:tcPr>
          <w:p>
            <w:pPr>
              <w:jc w:val="right"/>
              <w:ind w:right="36"/>
              <w:spacing w:after="0" w:line="133" w:lineRule="exact"/>
              <w:rPr>
                <w:sz w:val="20"/>
                <w:szCs w:val="20"/>
                <w:color w:val="auto"/>
              </w:rPr>
            </w:pPr>
            <w:r>
              <w:rPr>
                <w:rFonts w:ascii="Arial" w:cs="Arial" w:eastAsia="Arial" w:hAnsi="Arial"/>
                <w:sz w:val="13"/>
                <w:szCs w:val="13"/>
                <w:color w:val="auto"/>
              </w:rPr>
              <w:t>CA</w:t>
            </w:r>
          </w:p>
        </w:tc>
        <w:tc>
          <w:tcPr>
            <w:tcW w:w="2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4,071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7,371</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11,442</w:t>
            </w:r>
          </w:p>
        </w:tc>
        <w:tc>
          <w:tcPr>
            <w:tcW w:w="640" w:type="dxa"/>
            <w:vAlign w:val="bottom"/>
            <w:gridSpan w:val="3"/>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16,704</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6,576</w:t>
            </w:r>
          </w:p>
        </w:tc>
        <w:tc>
          <w:tcPr>
            <w:tcW w:w="108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w w:val="92"/>
              </w:rPr>
              <w:t>1905/1915/1980’s</w:t>
            </w: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12/31/96</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&amp; 8/14/98</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CONGRESSIONAL PLAZA</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920" w:type="dxa"/>
            <w:vAlign w:val="bottom"/>
            <w:gridSpan w:val="3"/>
          </w:tcPr>
          <w:p>
            <w:pPr>
              <w:ind w:left="200"/>
              <w:spacing w:after="0"/>
              <w:rPr>
                <w:sz w:val="20"/>
                <w:szCs w:val="20"/>
                <w:color w:val="auto"/>
              </w:rPr>
            </w:pPr>
            <w:r>
              <w:rPr>
                <w:rFonts w:ascii="Arial" w:cs="Arial" w:eastAsia="Arial" w:hAnsi="Arial"/>
                <w:sz w:val="13"/>
                <w:szCs w:val="13"/>
                <w:color w:val="auto"/>
              </w:rPr>
              <w:t>(Maryland)</w:t>
            </w: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MD</w:t>
            </w:r>
          </w:p>
        </w:tc>
        <w:tc>
          <w:tcPr>
            <w:tcW w:w="2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61,082</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70,279</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71,299</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39,445</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1965/2003</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04/01/65</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COURTHOUSE CENTER</w:t>
            </w: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92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MD</w:t>
            </w:r>
          </w:p>
        </w:tc>
        <w:tc>
          <w:tcPr>
            <w:tcW w:w="2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2,616</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4,366</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12/17/97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tcPr>
          <w:p>
            <w:pPr>
              <w:spacing w:after="0" w:line="141" w:lineRule="exact"/>
              <w:rPr>
                <w:sz w:val="20"/>
                <w:szCs w:val="20"/>
                <w:color w:val="auto"/>
              </w:rPr>
            </w:pPr>
            <w:r>
              <w:rPr>
                <w:rFonts w:ascii="Arial" w:cs="Arial" w:eastAsia="Arial" w:hAnsi="Arial"/>
                <w:sz w:val="13"/>
                <w:szCs w:val="13"/>
                <w:color w:val="auto"/>
              </w:rPr>
              <w:t>COURTYARD SHOPS (Florida)</w:t>
            </w:r>
          </w:p>
        </w:tc>
        <w:tc>
          <w:tcPr>
            <w:tcW w:w="360" w:type="dxa"/>
            <w:vAlign w:val="bottom"/>
          </w:tcPr>
          <w:p>
            <w:pPr>
              <w:jc w:val="right"/>
              <w:ind w:right="36"/>
              <w:spacing w:after="0" w:line="141" w:lineRule="exact"/>
              <w:rPr>
                <w:sz w:val="20"/>
                <w:szCs w:val="20"/>
                <w:color w:val="auto"/>
              </w:rPr>
            </w:pPr>
            <w:r>
              <w:rPr>
                <w:rFonts w:ascii="Arial" w:cs="Arial" w:eastAsia="Arial" w:hAnsi="Arial"/>
                <w:sz w:val="13"/>
                <w:szCs w:val="13"/>
                <w:color w:val="auto"/>
              </w:rPr>
              <w:t>FL</w:t>
            </w:r>
          </w:p>
        </w:tc>
        <w:tc>
          <w:tcPr>
            <w:tcW w:w="240" w:type="dxa"/>
            <w:vAlign w:val="bottom"/>
          </w:tcPr>
          <w:p>
            <w:pPr>
              <w:spacing w:after="0"/>
              <w:rPr>
                <w:sz w:val="12"/>
                <w:szCs w:val="12"/>
                <w:color w:val="auto"/>
              </w:rPr>
            </w:pPr>
          </w:p>
        </w:tc>
        <w:tc>
          <w:tcPr>
            <w:tcW w:w="6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7,388</w:t>
            </w:r>
          </w:p>
        </w:tc>
        <w:tc>
          <w:tcPr>
            <w:tcW w:w="12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16,862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21,851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1,004</w:t>
            </w:r>
          </w:p>
        </w:tc>
        <w:tc>
          <w:tcPr>
            <w:tcW w:w="14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3"/>
                <w:szCs w:val="13"/>
                <w:color w:val="auto"/>
              </w:rPr>
              <w:t>16,894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22,823</w:t>
            </w:r>
          </w:p>
        </w:tc>
        <w:tc>
          <w:tcPr>
            <w:tcW w:w="6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39,717</w:t>
            </w: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1,906</w:t>
            </w:r>
          </w:p>
        </w:tc>
        <w:tc>
          <w:tcPr>
            <w:tcW w:w="10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1990/1998</w:t>
            </w: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09/04/08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CROSSROADS (Illinois)</w:t>
            </w:r>
          </w:p>
        </w:tc>
        <w:tc>
          <w:tcPr>
            <w:tcW w:w="3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IL</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4,635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11,611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12,979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4,635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24,590</w:t>
            </w:r>
          </w:p>
        </w:tc>
        <w:tc>
          <w:tcPr>
            <w:tcW w:w="6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29,225</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9,896</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07/19/93</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CROW CANYON COMMONS</w:t>
            </w:r>
          </w:p>
        </w:tc>
        <w:tc>
          <w:tcPr>
            <w:tcW w:w="360" w:type="dxa"/>
            <w:vAlign w:val="bottom"/>
          </w:tcPr>
          <w:p>
            <w:pPr>
              <w:jc w:val="right"/>
              <w:ind w:right="36"/>
              <w:spacing w:after="0" w:line="133" w:lineRule="exact"/>
              <w:rPr>
                <w:sz w:val="20"/>
                <w:szCs w:val="20"/>
                <w:color w:val="auto"/>
              </w:rPr>
            </w:pPr>
            <w:r>
              <w:rPr>
                <w:rFonts w:ascii="Arial" w:cs="Arial" w:eastAsia="Arial" w:hAnsi="Arial"/>
                <w:sz w:val="13"/>
                <w:szCs w:val="13"/>
                <w:color w:val="auto"/>
              </w:rPr>
              <w:t>CA</w:t>
            </w:r>
          </w:p>
        </w:tc>
        <w:tc>
          <w:tcPr>
            <w:tcW w:w="240" w:type="dxa"/>
            <w:vAlign w:val="bottom"/>
          </w:tcPr>
          <w:p>
            <w:pPr>
              <w:spacing w:after="0"/>
              <w:rPr>
                <w:sz w:val="11"/>
                <w:szCs w:val="11"/>
                <w:color w:val="auto"/>
              </w:rPr>
            </w:pPr>
          </w:p>
        </w:tc>
        <w:tc>
          <w:tcPr>
            <w:tcW w:w="6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20,395</w:t>
            </w: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3"/>
                <w:szCs w:val="13"/>
                <w:color w:val="auto"/>
              </w:rPr>
              <w:t>8,638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54,575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2,050</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8,638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56,625</w:t>
            </w:r>
          </w:p>
        </w:tc>
        <w:tc>
          <w:tcPr>
            <w:tcW w:w="64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65,263</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8,573</w:t>
            </w:r>
          </w:p>
        </w:tc>
        <w:tc>
          <w:tcPr>
            <w:tcW w:w="10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w w:val="96"/>
              </w:rPr>
              <w:t>Late 1970’s/2006</w:t>
            </w:r>
          </w:p>
        </w:tc>
        <w:tc>
          <w:tcPr>
            <w:tcW w:w="8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12/29/05</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1920" w:type="dxa"/>
            <w:vAlign w:val="bottom"/>
            <w:gridSpan w:val="3"/>
          </w:tcPr>
          <w:p>
            <w:pPr>
              <w:ind w:left="200"/>
              <w:spacing w:after="0"/>
              <w:rPr>
                <w:sz w:val="20"/>
                <w:szCs w:val="20"/>
                <w:color w:val="auto"/>
              </w:rPr>
            </w:pPr>
            <w:r>
              <w:rPr>
                <w:rFonts w:ascii="Arial" w:cs="Arial" w:eastAsia="Arial" w:hAnsi="Arial"/>
                <w:sz w:val="13"/>
                <w:szCs w:val="13"/>
                <w:color w:val="auto"/>
              </w:rPr>
              <w:t>(California)</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&amp; 02/28/07</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w w:val="94"/>
              </w:rPr>
              <w:t>DEDHAM PLAZA (Massachusetts)</w:t>
            </w:r>
          </w:p>
        </w:tc>
        <w:tc>
          <w:tcPr>
            <w:tcW w:w="3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MA</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12,287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12,918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7,803</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12,287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20,721</w:t>
            </w:r>
          </w:p>
        </w:tc>
        <w:tc>
          <w:tcPr>
            <w:tcW w:w="6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33,008</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9,900</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1959</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12/31/93</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DEL MAR VILLAGE (Florida)</w:t>
            </w:r>
          </w:p>
        </w:tc>
        <w:tc>
          <w:tcPr>
            <w:tcW w:w="360" w:type="dxa"/>
            <w:vAlign w:val="bottom"/>
          </w:tcPr>
          <w:p>
            <w:pPr>
              <w:jc w:val="right"/>
              <w:ind w:right="36"/>
              <w:spacing w:after="0" w:line="133" w:lineRule="exact"/>
              <w:rPr>
                <w:sz w:val="20"/>
                <w:szCs w:val="20"/>
                <w:color w:val="auto"/>
              </w:rPr>
            </w:pPr>
            <w:r>
              <w:rPr>
                <w:rFonts w:ascii="Arial" w:cs="Arial" w:eastAsia="Arial" w:hAnsi="Arial"/>
                <w:sz w:val="13"/>
                <w:szCs w:val="13"/>
                <w:color w:val="auto"/>
              </w:rPr>
              <w:t>FL</w:t>
            </w:r>
          </w:p>
        </w:tc>
        <w:tc>
          <w:tcPr>
            <w:tcW w:w="240" w:type="dxa"/>
            <w:vAlign w:val="bottom"/>
          </w:tcPr>
          <w:p>
            <w:pPr>
              <w:spacing w:after="0"/>
              <w:rPr>
                <w:sz w:val="11"/>
                <w:szCs w:val="11"/>
                <w:color w:val="auto"/>
              </w:rPr>
            </w:pPr>
          </w:p>
        </w:tc>
        <w:tc>
          <w:tcPr>
            <w:tcW w:w="6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3"/>
                <w:szCs w:val="13"/>
                <w:color w:val="auto"/>
              </w:rPr>
              <w:t>14,218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Arial" w:cs="Arial" w:eastAsia="Arial" w:hAnsi="Arial"/>
                <w:sz w:val="13"/>
                <w:szCs w:val="13"/>
                <w:color w:val="auto"/>
              </w:rPr>
              <w:t>39,559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1,103</w:t>
            </w:r>
          </w:p>
        </w:tc>
        <w:tc>
          <w:tcPr>
            <w:tcW w:w="14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3"/>
                <w:szCs w:val="13"/>
                <w:color w:val="auto"/>
              </w:rPr>
              <w:t>14,180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40,700</w:t>
            </w:r>
          </w:p>
        </w:tc>
        <w:tc>
          <w:tcPr>
            <w:tcW w:w="64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54,880</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3,509</w:t>
            </w:r>
          </w:p>
        </w:tc>
        <w:tc>
          <w:tcPr>
            <w:tcW w:w="108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1982/1984</w:t>
            </w:r>
          </w:p>
        </w:tc>
        <w:tc>
          <w:tcPr>
            <w:tcW w:w="8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5/30/08</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&amp; 7/11/08</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2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EASTGATE (North Carolina)</w:t>
            </w:r>
          </w:p>
        </w:tc>
        <w:tc>
          <w:tcPr>
            <w:tcW w:w="360" w:type="dxa"/>
            <w:vAlign w:val="bottom"/>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NC</w:t>
            </w:r>
          </w:p>
        </w:tc>
        <w:tc>
          <w:tcPr>
            <w:tcW w:w="2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5,775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18,994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24,769</w:t>
            </w:r>
          </w:p>
        </w:tc>
        <w:tc>
          <w:tcPr>
            <w:tcW w:w="64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26,377</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13,219</w:t>
            </w:r>
          </w:p>
        </w:tc>
        <w:tc>
          <w:tcPr>
            <w:tcW w:w="9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1963</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12/18/86</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920" w:type="dxa"/>
            <w:vAlign w:val="bottom"/>
            <w:gridSpan w:val="3"/>
          </w:tcPr>
          <w:p>
            <w:pPr>
              <w:spacing w:after="0" w:line="133" w:lineRule="exact"/>
              <w:rPr>
                <w:sz w:val="20"/>
                <w:szCs w:val="20"/>
                <w:color w:val="auto"/>
              </w:rPr>
            </w:pPr>
            <w:r>
              <w:rPr>
                <w:rFonts w:ascii="Arial" w:cs="Arial" w:eastAsia="Arial" w:hAnsi="Arial"/>
                <w:sz w:val="13"/>
                <w:szCs w:val="13"/>
                <w:color w:val="auto"/>
              </w:rPr>
              <w:t>ELLISBURG CIRCLE (New</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gridSpan w:val="3"/>
          </w:tcPr>
          <w:p>
            <w:pPr>
              <w:ind w:left="200"/>
              <w:spacing w:after="0"/>
              <w:rPr>
                <w:sz w:val="20"/>
                <w:szCs w:val="20"/>
                <w:color w:val="auto"/>
              </w:rPr>
            </w:pPr>
            <w:r>
              <w:rPr>
                <w:rFonts w:ascii="Arial" w:cs="Arial" w:eastAsia="Arial" w:hAnsi="Arial"/>
                <w:sz w:val="13"/>
                <w:szCs w:val="13"/>
                <w:color w:val="auto"/>
              </w:rPr>
              <w:t>Jersey)</w:t>
            </w:r>
          </w:p>
        </w:tc>
        <w:tc>
          <w:tcPr>
            <w:tcW w:w="360" w:type="dxa"/>
            <w:vAlign w:val="bottom"/>
          </w:tcPr>
          <w:p>
            <w:pPr>
              <w:jc w:val="right"/>
              <w:ind w:right="36"/>
              <w:spacing w:after="0"/>
              <w:rPr>
                <w:sz w:val="20"/>
                <w:szCs w:val="20"/>
                <w:color w:val="auto"/>
              </w:rPr>
            </w:pPr>
            <w:r>
              <w:rPr>
                <w:rFonts w:ascii="Arial" w:cs="Arial" w:eastAsia="Arial" w:hAnsi="Arial"/>
                <w:sz w:val="13"/>
                <w:szCs w:val="13"/>
                <w:color w:val="auto"/>
              </w:rPr>
              <w:t>NJ</w:t>
            </w:r>
          </w:p>
        </w:tc>
        <w:tc>
          <w:tcPr>
            <w:tcW w:w="2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4,028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11,309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12,680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24,004</w:t>
            </w:r>
          </w:p>
        </w:tc>
        <w:tc>
          <w:tcPr>
            <w:tcW w:w="640" w:type="dxa"/>
            <w:vAlign w:val="bottom"/>
            <w:gridSpan w:val="3"/>
          </w:tcPr>
          <w:p>
            <w:pPr>
              <w:jc w:val="right"/>
              <w:ind w:right="100"/>
              <w:spacing w:after="0"/>
              <w:rPr>
                <w:sz w:val="20"/>
                <w:szCs w:val="20"/>
                <w:color w:val="auto"/>
              </w:rPr>
            </w:pPr>
            <w:r>
              <w:rPr>
                <w:rFonts w:ascii="Arial" w:cs="Arial" w:eastAsia="Arial" w:hAnsi="Arial"/>
                <w:sz w:val="13"/>
                <w:szCs w:val="13"/>
                <w:color w:val="auto"/>
              </w:rPr>
              <w:t>28,017</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15,047</w:t>
            </w:r>
          </w:p>
        </w:tc>
        <w:tc>
          <w:tcPr>
            <w:tcW w:w="980" w:type="dxa"/>
            <w:vAlign w:val="bottom"/>
          </w:tcPr>
          <w:p>
            <w:pPr>
              <w:jc w:val="right"/>
              <w:spacing w:after="0"/>
              <w:rPr>
                <w:sz w:val="20"/>
                <w:szCs w:val="20"/>
                <w:color w:val="auto"/>
              </w:rPr>
            </w:pPr>
            <w:r>
              <w:rPr>
                <w:rFonts w:ascii="Arial" w:cs="Arial" w:eastAsia="Arial" w:hAnsi="Arial"/>
                <w:sz w:val="13"/>
                <w:szCs w:val="13"/>
                <w:color w:val="auto"/>
              </w:rPr>
              <w:t>1959</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10/16/92</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520"/>
          </w:cols>
          <w:pgMar w:left="240" w:top="445" w:right="1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29" w:lineRule="auto"/>
        <w:rPr>
          <w:sz w:val="20"/>
          <w:szCs w:val="20"/>
          <w:color w:val="auto"/>
        </w:rPr>
      </w:pPr>
      <w:r>
        <w:rPr>
          <w:rFonts w:ascii="Arial" w:cs="Arial" w:eastAsia="Arial" w:hAnsi="Arial"/>
          <w:sz w:val="21"/>
          <w:szCs w:val="21"/>
          <w:b w:val="1"/>
          <w:bCs w:val="1"/>
          <w:color w:val="auto"/>
        </w:rPr>
        <w:t>SUMMARY OF REAL ESTATE AND ACCUMULATED</w:t>
      </w:r>
    </w:p>
    <w:p>
      <w:pPr>
        <w:jc w:val="center"/>
        <w:spacing w:after="0"/>
        <w:rPr>
          <w:sz w:val="20"/>
          <w:szCs w:val="20"/>
          <w:color w:val="auto"/>
        </w:rPr>
      </w:pPr>
      <w:r>
        <w:rPr>
          <w:rFonts w:ascii="Arial" w:cs="Arial" w:eastAsia="Arial" w:hAnsi="Arial"/>
          <w:sz w:val="21"/>
          <w:szCs w:val="21"/>
          <w:b w:val="1"/>
          <w:bCs w:val="1"/>
          <w:color w:val="auto"/>
        </w:rPr>
        <w:t>DEPRECIATION—CONTINUED</w:t>
      </w:r>
    </w:p>
    <w:p>
      <w:pPr>
        <w:ind w:left="4920"/>
        <w:spacing w:after="0"/>
        <w:rPr>
          <w:sz w:val="20"/>
          <w:szCs w:val="20"/>
          <w:color w:val="auto"/>
        </w:rPr>
      </w:pPr>
      <w:r>
        <w:rPr>
          <w:rFonts w:ascii="Arial" w:cs="Arial" w:eastAsia="Arial" w:hAnsi="Arial"/>
          <w:sz w:val="17"/>
          <w:szCs w:val="17"/>
          <w:b w:val="1"/>
          <w:bCs w:val="1"/>
          <w:color w:val="auto"/>
        </w:rPr>
        <w:t>DECEMBER 31, 2010</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9"/>
              </w:rPr>
              <w:t>COLUMN D</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COLUMN F</w:t>
            </w:r>
          </w:p>
        </w:tc>
        <w:tc>
          <w:tcPr>
            <w:tcW w:w="14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G</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H</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1"/>
        </w:trPr>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3"/>
              </w:rPr>
              <w:t>Life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vMerge w:val="restart"/>
          </w:tcPr>
          <w:p>
            <w:pPr>
              <w:jc w:val="right"/>
              <w:ind w:right="320"/>
              <w:spacing w:after="0"/>
              <w:rPr>
                <w:sz w:val="20"/>
                <w:szCs w:val="20"/>
                <w:color w:val="auto"/>
              </w:rPr>
            </w:pPr>
            <w:r>
              <w:rPr>
                <w:rFonts w:ascii="Arial" w:cs="Arial" w:eastAsia="Arial" w:hAnsi="Arial"/>
                <w:sz w:val="13"/>
                <w:szCs w:val="13"/>
                <w:b w:val="1"/>
                <w:bCs w:val="1"/>
                <w:color w:val="auto"/>
                <w:w w:val="97"/>
              </w:rPr>
              <w:t>Gross amount at which carried at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40" w:type="dxa"/>
            <w:vAlign w:val="bottom"/>
            <w:gridSpan w:val="6"/>
            <w:vMerge w:val="continue"/>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ind w:left="200"/>
              <w:spacing w:after="0"/>
              <w:rPr>
                <w:sz w:val="20"/>
                <w:szCs w:val="20"/>
                <w:color w:val="auto"/>
              </w:rPr>
            </w:pPr>
            <w:r>
              <w:rPr>
                <w:rFonts w:ascii="Arial" w:cs="Arial" w:eastAsia="Arial" w:hAnsi="Arial"/>
                <w:sz w:val="13"/>
                <w:szCs w:val="13"/>
                <w:b w:val="1"/>
                <w:bCs w:val="1"/>
                <w:color w:val="auto"/>
              </w:rPr>
              <w:t>Initial cost to company</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1660" w:type="dxa"/>
            <w:vAlign w:val="bottom"/>
            <w:gridSpan w:val="3"/>
          </w:tcPr>
          <w:p>
            <w:pPr>
              <w:jc w:val="right"/>
              <w:ind w:right="96"/>
              <w:spacing w:after="0"/>
              <w:rPr>
                <w:sz w:val="20"/>
                <w:szCs w:val="20"/>
                <w:color w:val="auto"/>
              </w:rPr>
            </w:pPr>
            <w:r>
              <w:rPr>
                <w:rFonts w:ascii="Arial" w:cs="Arial" w:eastAsia="Arial" w:hAnsi="Arial"/>
                <w:sz w:val="13"/>
                <w:szCs w:val="13"/>
                <w:b w:val="1"/>
                <w:bCs w:val="1"/>
                <w:color w:val="auto"/>
              </w:rPr>
              <w:t>close of period</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in latest</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0"/>
              </w:rPr>
              <w:t>Capitalized</w:t>
            </w:r>
          </w:p>
        </w:tc>
        <w:tc>
          <w:tcPr>
            <w:tcW w:w="1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5"/>
              </w:rPr>
              <w:t>Subsequent</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1"/>
              </w:rPr>
              <w:t>Depreciation</w:t>
            </w: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5"/>
              </w:rPr>
              <w:t>Date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80"/>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7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1"/>
              </w:rPr>
              <w:t>to</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86"/>
              </w:rPr>
              <w:t>and</w:t>
            </w:r>
          </w:p>
        </w:tc>
        <w:tc>
          <w:tcPr>
            <w:tcW w:w="14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7"/>
              </w:rPr>
              <w:t>of</w:t>
            </w: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2"/>
              </w:rPr>
              <w:t>Date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54"/>
        </w:trPr>
        <w:tc>
          <w:tcPr>
            <w:tcW w:w="170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6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Encumbrance</w:t>
            </w:r>
          </w:p>
        </w:tc>
        <w:tc>
          <w:tcPr>
            <w:tcW w:w="860" w:type="dxa"/>
            <w:vAlign w:val="bottom"/>
            <w:gridSpan w:val="2"/>
          </w:tcPr>
          <w:p>
            <w:pPr>
              <w:ind w:left="200"/>
              <w:spacing w:after="0"/>
              <w:rPr>
                <w:sz w:val="20"/>
                <w:szCs w:val="20"/>
                <w:color w:val="auto"/>
              </w:rPr>
            </w:pPr>
            <w:r>
              <w:rPr>
                <w:rFonts w:ascii="Arial" w:cs="Arial" w:eastAsia="Arial" w:hAnsi="Arial"/>
                <w:sz w:val="13"/>
                <w:szCs w:val="13"/>
                <w:b w:val="1"/>
                <w:bCs w:val="1"/>
                <w:color w:val="auto"/>
              </w:rPr>
              <w:t>Land</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Improvements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Acquisition</w:t>
            </w:r>
          </w:p>
        </w:tc>
        <w:tc>
          <w:tcPr>
            <w:tcW w:w="14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Land</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w w:val="87"/>
              </w:rPr>
              <w:t>Improvements</w:t>
            </w:r>
          </w:p>
        </w:tc>
        <w:tc>
          <w:tcPr>
            <w:tcW w:w="14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4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Construction</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700" w:type="dxa"/>
            <w:vAlign w:val="bottom"/>
            <w:gridSpan w:val="3"/>
            <w:shd w:val="clear" w:color="auto" w:fill="CCEEFF"/>
          </w:tcPr>
          <w:p>
            <w:pPr>
              <w:spacing w:after="0" w:line="126" w:lineRule="exact"/>
              <w:rPr>
                <w:sz w:val="20"/>
                <w:szCs w:val="20"/>
                <w:color w:val="auto"/>
              </w:rPr>
            </w:pPr>
            <w:r>
              <w:rPr>
                <w:rFonts w:ascii="Arial" w:cs="Arial" w:eastAsia="Arial" w:hAnsi="Arial"/>
                <w:sz w:val="13"/>
                <w:szCs w:val="13"/>
                <w:color w:val="auto"/>
              </w:rPr>
              <w:t>ESCONDIDO PROMENADE</w:t>
            </w:r>
          </w:p>
        </w:tc>
        <w:tc>
          <w:tcPr>
            <w:tcW w:w="360" w:type="dxa"/>
            <w:vAlign w:val="bottom"/>
            <w:shd w:val="clear" w:color="auto" w:fill="CCEEFF"/>
          </w:tcPr>
          <w:p>
            <w:pPr>
              <w:jc w:val="right"/>
              <w:ind w:right="16"/>
              <w:spacing w:after="0" w:line="126"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580"/>
              <w:spacing w:after="0" w:line="126"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19,117</w:t>
            </w:r>
          </w:p>
        </w:tc>
        <w:tc>
          <w:tcPr>
            <w:tcW w:w="94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15,829</w:t>
            </w: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8,721</w:t>
            </w:r>
          </w:p>
        </w:tc>
        <w:tc>
          <w:tcPr>
            <w:tcW w:w="86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3"/>
                <w:szCs w:val="13"/>
                <w:color w:val="auto"/>
              </w:rPr>
              <w:t>19,117</w:t>
            </w:r>
          </w:p>
        </w:tc>
        <w:tc>
          <w:tcPr>
            <w:tcW w:w="9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3"/>
                <w:szCs w:val="13"/>
                <w:color w:val="auto"/>
              </w:rPr>
              <w:t>24,550</w:t>
            </w:r>
          </w:p>
        </w:tc>
        <w:tc>
          <w:tcPr>
            <w:tcW w:w="54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3"/>
                <w:szCs w:val="13"/>
                <w:color w:val="auto"/>
              </w:rPr>
              <w:t>43,667</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6,800</w:t>
            </w:r>
          </w:p>
        </w:tc>
        <w:tc>
          <w:tcPr>
            <w:tcW w:w="1000" w:type="dxa"/>
            <w:vAlign w:val="bottom"/>
            <w:gridSpan w:val="3"/>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1987</w:t>
            </w:r>
          </w:p>
        </w:tc>
        <w:tc>
          <w:tcPr>
            <w:tcW w:w="860" w:type="dxa"/>
            <w:vAlign w:val="bottom"/>
            <w:gridSpan w:val="2"/>
            <w:shd w:val="clear" w:color="auto" w:fill="CCEEFF"/>
          </w:tcPr>
          <w:p>
            <w:pPr>
              <w:jc w:val="right"/>
              <w:ind w:right="140"/>
              <w:spacing w:after="0" w:line="126" w:lineRule="exact"/>
              <w:rPr>
                <w:sz w:val="20"/>
                <w:szCs w:val="20"/>
                <w:color w:val="auto"/>
              </w:rPr>
            </w:pPr>
            <w:r>
              <w:rPr>
                <w:rFonts w:ascii="Arial" w:cs="Arial" w:eastAsia="Arial" w:hAnsi="Arial"/>
                <w:sz w:val="13"/>
                <w:szCs w:val="13"/>
                <w:color w:val="auto"/>
              </w:rPr>
              <w:t>12/31/96</w:t>
            </w:r>
          </w:p>
        </w:tc>
        <w:tc>
          <w:tcPr>
            <w:tcW w:w="76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&amp; 11/10/10</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rPr>
              <w:t>FALLS PLAZA (Virginia)</w:t>
            </w:r>
          </w:p>
        </w:tc>
        <w:tc>
          <w:tcPr>
            <w:tcW w:w="360" w:type="dxa"/>
            <w:vAlign w:val="bottom"/>
          </w:tcPr>
          <w:p>
            <w:pPr>
              <w:jc w:val="right"/>
              <w:ind w:right="16"/>
              <w:spacing w:after="0" w:line="133" w:lineRule="exact"/>
              <w:rPr>
                <w:sz w:val="20"/>
                <w:szCs w:val="20"/>
                <w:color w:val="auto"/>
              </w:rPr>
            </w:pPr>
            <w:r>
              <w:rPr>
                <w:rFonts w:ascii="Arial" w:cs="Arial" w:eastAsia="Arial" w:hAnsi="Arial"/>
                <w:sz w:val="13"/>
                <w:szCs w:val="13"/>
                <w:color w:val="auto"/>
              </w:rPr>
              <w:t>VA</w:t>
            </w:r>
          </w:p>
        </w:tc>
        <w:tc>
          <w:tcPr>
            <w:tcW w:w="60" w:type="dxa"/>
            <w:vAlign w:val="bottom"/>
          </w:tcPr>
          <w:p>
            <w:pPr>
              <w:spacing w:after="0"/>
              <w:rPr>
                <w:sz w:val="11"/>
                <w:szCs w:val="11"/>
                <w:color w:val="auto"/>
              </w:rPr>
            </w:pPr>
          </w:p>
        </w:tc>
        <w:tc>
          <w:tcPr>
            <w:tcW w:w="920" w:type="dxa"/>
            <w:vAlign w:val="bottom"/>
            <w:gridSpan w:val="2"/>
          </w:tcPr>
          <w:p>
            <w:pPr>
              <w:ind w:left="5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1,798</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1,270</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9,241</w:t>
            </w:r>
          </w:p>
        </w:tc>
        <w:tc>
          <w:tcPr>
            <w:tcW w:w="8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1,819</w:t>
            </w:r>
          </w:p>
        </w:tc>
        <w:tc>
          <w:tcPr>
            <w:tcW w:w="9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10,490</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12,309</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6,411</w:t>
            </w:r>
          </w:p>
        </w:tc>
        <w:tc>
          <w:tcPr>
            <w:tcW w:w="10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1960-1962</w:t>
            </w: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09/30/67</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25 years</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&amp; 10/05/72</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FEASTERVILLE</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PA</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1,600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12,064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1958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07/23/80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w w:val="98"/>
              </w:rPr>
              <w:t>FEDERAL PLAZA (Maryland)</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MD</w:t>
            </w:r>
          </w:p>
        </w:tc>
        <w:tc>
          <w:tcPr>
            <w:tcW w:w="98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31,901</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10,216</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17,895</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34,662</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10,216</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52,557</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62,773</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30,712</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1970</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06/29/89</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FIFTH AVENUE (California)</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(4)</w:t>
            </w:r>
          </w:p>
        </w:tc>
        <w:tc>
          <w:tcPr>
            <w:tcW w:w="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3,844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3,874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12,574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4,147</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1888-1995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1996-1997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FINLEY SQUARE (Illinois)</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IL</w:t>
            </w: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9,252</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9,544</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13,679</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9,252</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23,223</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32,475</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12,820</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1974</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04/27/95</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w w:val="96"/>
              </w:rPr>
              <w:t>FLOURTOWN (Pennsylvania)</w:t>
            </w:r>
          </w:p>
        </w:tc>
        <w:tc>
          <w:tcPr>
            <w:tcW w:w="3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PA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1,345</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3,943</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10,542</w:t>
            </w:r>
          </w:p>
        </w:tc>
        <w:tc>
          <w:tcPr>
            <w:tcW w:w="8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1,470</w:t>
            </w:r>
          </w:p>
        </w:tc>
        <w:tc>
          <w:tcPr>
            <w:tcW w:w="9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14,360</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15,830</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7,074</w:t>
            </w:r>
          </w:p>
        </w:tc>
        <w:tc>
          <w:tcPr>
            <w:tcW w:w="100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1957</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04/25/80</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FOREST HILLS (New York)</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NY</w:t>
            </w: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2,885</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2,885</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2,334</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3,031</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5,073</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8,104</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2,158</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1937-1987</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12/16/97</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FRESH MEADOWS (New</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York)</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NY</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24,625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25,255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24,628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45,588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70,216</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1946-1949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12/05/97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w w:val="98"/>
              </w:rPr>
              <w:t>FRIENDSHIP CTR (District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tcPr>
          <w:p>
            <w:pPr>
              <w:ind w:left="200"/>
              <w:spacing w:after="0"/>
              <w:rPr>
                <w:sz w:val="20"/>
                <w:szCs w:val="20"/>
                <w:color w:val="auto"/>
              </w:rPr>
            </w:pPr>
            <w:r>
              <w:rPr>
                <w:rFonts w:ascii="Arial" w:cs="Arial" w:eastAsia="Arial" w:hAnsi="Arial"/>
                <w:sz w:val="13"/>
                <w:szCs w:val="13"/>
                <w:color w:val="auto"/>
              </w:rPr>
              <w:t>Columbia)</w:t>
            </w:r>
          </w:p>
        </w:tc>
        <w:tc>
          <w:tcPr>
            <w:tcW w:w="360" w:type="dxa"/>
            <w:vAlign w:val="bottom"/>
          </w:tcPr>
          <w:p>
            <w:pPr>
              <w:jc w:val="right"/>
              <w:ind w:right="16"/>
              <w:spacing w:after="0"/>
              <w:rPr>
                <w:sz w:val="20"/>
                <w:szCs w:val="20"/>
                <w:color w:val="auto"/>
              </w:rPr>
            </w:pPr>
            <w:r>
              <w:rPr>
                <w:rFonts w:ascii="Arial" w:cs="Arial" w:eastAsia="Arial" w:hAnsi="Arial"/>
                <w:sz w:val="13"/>
                <w:szCs w:val="13"/>
                <w:color w:val="auto"/>
              </w:rPr>
              <w:t>DC</w:t>
            </w:r>
          </w:p>
        </w:tc>
        <w:tc>
          <w:tcPr>
            <w:tcW w:w="60" w:type="dxa"/>
            <w:vAlign w:val="bottom"/>
          </w:tcPr>
          <w:p>
            <w:pPr>
              <w:spacing w:after="0"/>
              <w:rPr>
                <w:sz w:val="13"/>
                <w:szCs w:val="13"/>
                <w:color w:val="auto"/>
              </w:rPr>
            </w:pPr>
          </w:p>
        </w:tc>
        <w:tc>
          <w:tcPr>
            <w:tcW w:w="9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12,696</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20,803</w:t>
            </w:r>
          </w:p>
        </w:tc>
        <w:tc>
          <w:tcPr>
            <w:tcW w:w="720" w:type="dxa"/>
            <w:vAlign w:val="bottom"/>
          </w:tcPr>
          <w:p>
            <w:pPr>
              <w:jc w:val="right"/>
              <w:spacing w:after="0"/>
              <w:rPr>
                <w:sz w:val="20"/>
                <w:szCs w:val="20"/>
                <w:color w:val="auto"/>
              </w:rPr>
            </w:pPr>
            <w:r>
              <w:rPr>
                <w:rFonts w:ascii="Arial" w:cs="Arial" w:eastAsia="Arial" w:hAnsi="Arial"/>
                <w:sz w:val="13"/>
                <w:szCs w:val="13"/>
                <w:color w:val="auto"/>
              </w:rPr>
              <w:t>855</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12,696</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21,658</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34,354</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5,562</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1998</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09/21/01</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GAITHERSBURG SQUARE</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MD</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7,701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5,271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19,011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24,984</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1966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04/22/93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GARDEN MARKET (Illinois)</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IL</w:t>
            </w: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2,677</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4,829</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4,866</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2,677</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9,695</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12,372</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4,845</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1958</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07/28/94</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GOVERNOR PLAZA</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MD</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2,068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4,905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23,673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25,741</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1963</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10/01/85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rPr>
              <w:t>GRATIOT PLAZA (Michigan)</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jc w:val="right"/>
              <w:ind w:right="16"/>
              <w:spacing w:after="0"/>
              <w:rPr>
                <w:sz w:val="20"/>
                <w:szCs w:val="20"/>
                <w:color w:val="auto"/>
              </w:rPr>
            </w:pPr>
            <w:r>
              <w:rPr>
                <w:rFonts w:ascii="Arial" w:cs="Arial" w:eastAsia="Arial" w:hAnsi="Arial"/>
                <w:sz w:val="13"/>
                <w:szCs w:val="13"/>
                <w:color w:val="auto"/>
              </w:rPr>
              <w:t>MI</w:t>
            </w:r>
          </w:p>
        </w:tc>
        <w:tc>
          <w:tcPr>
            <w:tcW w:w="60" w:type="dxa"/>
            <w:vAlign w:val="bottom"/>
          </w:tcPr>
          <w:p>
            <w:pPr>
              <w:spacing w:after="0"/>
              <w:rPr>
                <w:sz w:val="13"/>
                <w:szCs w:val="13"/>
                <w:color w:val="auto"/>
              </w:rPr>
            </w:pPr>
          </w:p>
        </w:tc>
        <w:tc>
          <w:tcPr>
            <w:tcW w:w="92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525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1,601</w:t>
            </w:r>
          </w:p>
        </w:tc>
        <w:tc>
          <w:tcPr>
            <w:tcW w:w="720" w:type="dxa"/>
            <w:vAlign w:val="bottom"/>
          </w:tcPr>
          <w:p>
            <w:pPr>
              <w:jc w:val="right"/>
              <w:spacing w:after="0"/>
              <w:rPr>
                <w:sz w:val="20"/>
                <w:szCs w:val="20"/>
                <w:color w:val="auto"/>
              </w:rPr>
            </w:pPr>
            <w:r>
              <w:rPr>
                <w:rFonts w:ascii="Arial" w:cs="Arial" w:eastAsia="Arial" w:hAnsi="Arial"/>
                <w:sz w:val="13"/>
                <w:szCs w:val="13"/>
                <w:color w:val="auto"/>
              </w:rPr>
              <w:t>16,761</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525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18,362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18,887</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11,872</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1964</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03/29/73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3/4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GREENWICH AVENUE</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(Connecticut)</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CT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7,484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5,445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13,969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2,813</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1900-1993</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HAUPPAUGE (New York)</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NY</w:t>
            </w:r>
          </w:p>
        </w:tc>
        <w:tc>
          <w:tcPr>
            <w:tcW w:w="98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15,022</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8,791</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15,262</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3,930</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8,791</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19,192</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27,983</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7,053</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1963</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08/06/98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HERMOSA AVE. (California)</w:t>
            </w:r>
          </w:p>
        </w:tc>
        <w:tc>
          <w:tcPr>
            <w:tcW w:w="3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1,116</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280</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4,213</w:t>
            </w:r>
          </w:p>
        </w:tc>
        <w:tc>
          <w:tcPr>
            <w:tcW w:w="8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1,368</w:t>
            </w:r>
          </w:p>
        </w:tc>
        <w:tc>
          <w:tcPr>
            <w:tcW w:w="9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4,241</w:t>
            </w:r>
          </w:p>
        </w:tc>
        <w:tc>
          <w:tcPr>
            <w:tcW w:w="5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5,609</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1,798</w:t>
            </w:r>
          </w:p>
        </w:tc>
        <w:tc>
          <w:tcPr>
            <w:tcW w:w="100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1922</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09/17/97</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rPr>
              <w:t>HOLLYWOOD BLVD.</w:t>
            </w:r>
          </w:p>
        </w:tc>
        <w:tc>
          <w:tcPr>
            <w:tcW w:w="360" w:type="dxa"/>
            <w:vAlign w:val="bottom"/>
          </w:tcPr>
          <w:p>
            <w:pPr>
              <w:jc w:val="right"/>
              <w:ind w:right="16"/>
              <w:spacing w:after="0" w:line="133" w:lineRule="exact"/>
              <w:rPr>
                <w:sz w:val="20"/>
                <w:szCs w:val="20"/>
                <w:color w:val="auto"/>
              </w:rPr>
            </w:pPr>
            <w:r>
              <w:rPr>
                <w:rFonts w:ascii="Arial" w:cs="Arial" w:eastAsia="Arial" w:hAnsi="Arial"/>
                <w:sz w:val="13"/>
                <w:szCs w:val="13"/>
                <w:color w:val="auto"/>
              </w:rPr>
              <w:t>CA</w:t>
            </w:r>
          </w:p>
        </w:tc>
        <w:tc>
          <w:tcPr>
            <w:tcW w:w="60" w:type="dxa"/>
            <w:vAlign w:val="bottom"/>
          </w:tcPr>
          <w:p>
            <w:pPr>
              <w:spacing w:after="0"/>
              <w:rPr>
                <w:sz w:val="11"/>
                <w:szCs w:val="11"/>
                <w:color w:val="auto"/>
              </w:rPr>
            </w:pPr>
          </w:p>
        </w:tc>
        <w:tc>
          <w:tcPr>
            <w:tcW w:w="920" w:type="dxa"/>
            <w:vAlign w:val="bottom"/>
            <w:gridSpan w:val="2"/>
          </w:tcPr>
          <w:p>
            <w:pPr>
              <w:ind w:left="5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8,300</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16,920</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13,956</w:t>
            </w:r>
          </w:p>
        </w:tc>
        <w:tc>
          <w:tcPr>
            <w:tcW w:w="8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8,300</w:t>
            </w:r>
          </w:p>
        </w:tc>
        <w:tc>
          <w:tcPr>
            <w:tcW w:w="9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30,876</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39,176</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6,021</w:t>
            </w:r>
          </w:p>
        </w:tc>
        <w:tc>
          <w:tcPr>
            <w:tcW w:w="10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1929/1991</w:t>
            </w: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3/22/99</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1700" w:type="dxa"/>
            <w:vAlign w:val="bottom"/>
            <w:gridSpan w:val="3"/>
          </w:tcPr>
          <w:p>
            <w:pPr>
              <w:ind w:left="200"/>
              <w:spacing w:after="0"/>
              <w:rPr>
                <w:sz w:val="20"/>
                <w:szCs w:val="20"/>
                <w:color w:val="auto"/>
              </w:rPr>
            </w:pPr>
            <w:r>
              <w:rPr>
                <w:rFonts w:ascii="Arial" w:cs="Arial" w:eastAsia="Arial" w:hAnsi="Arial"/>
                <w:sz w:val="13"/>
                <w:szCs w:val="13"/>
                <w:color w:val="auto"/>
              </w:rPr>
              <w:t>(California)</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&amp; 6/18/99</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HOUSTON STREET (Texas)</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(8)</w:t>
            </w:r>
          </w:p>
        </w:tc>
        <w:tc>
          <w:tcPr>
            <w:tcW w:w="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TX</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14,680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1,976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14,778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50,995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65,773</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20,183</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var</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rPr>
              <w:t>HUNTINGTON (New York)</w:t>
            </w:r>
          </w:p>
        </w:tc>
        <w:tc>
          <w:tcPr>
            <w:tcW w:w="360" w:type="dxa"/>
            <w:vAlign w:val="bottom"/>
          </w:tcPr>
          <w:p>
            <w:pPr>
              <w:jc w:val="right"/>
              <w:ind w:right="16"/>
              <w:spacing w:after="0" w:line="133" w:lineRule="exact"/>
              <w:rPr>
                <w:sz w:val="20"/>
                <w:szCs w:val="20"/>
                <w:color w:val="auto"/>
              </w:rPr>
            </w:pPr>
            <w:r>
              <w:rPr>
                <w:rFonts w:ascii="Arial" w:cs="Arial" w:eastAsia="Arial" w:hAnsi="Arial"/>
                <w:sz w:val="13"/>
                <w:szCs w:val="13"/>
                <w:color w:val="auto"/>
              </w:rPr>
              <w:t>NY</w:t>
            </w:r>
          </w:p>
        </w:tc>
        <w:tc>
          <w:tcPr>
            <w:tcW w:w="60" w:type="dxa"/>
            <w:vAlign w:val="bottom"/>
          </w:tcPr>
          <w:p>
            <w:pPr>
              <w:spacing w:after="0"/>
              <w:rPr>
                <w:sz w:val="11"/>
                <w:szCs w:val="11"/>
                <w:color w:val="auto"/>
              </w:rPr>
            </w:pPr>
          </w:p>
        </w:tc>
        <w:tc>
          <w:tcPr>
            <w:tcW w:w="920" w:type="dxa"/>
            <w:vAlign w:val="bottom"/>
            <w:gridSpan w:val="2"/>
          </w:tcPr>
          <w:p>
            <w:pPr>
              <w:ind w:left="580"/>
              <w:spacing w:after="0" w:line="133" w:lineRule="exact"/>
              <w:rPr>
                <w:sz w:val="20"/>
                <w:szCs w:val="20"/>
                <w:color w:val="auto"/>
              </w:rPr>
            </w:pPr>
            <w:r>
              <w:rPr>
                <w:rFonts w:ascii="Arial" w:cs="Arial" w:eastAsia="Arial" w:hAnsi="Arial"/>
                <w:sz w:val="13"/>
                <w:szCs w:val="13"/>
                <w:color w:val="auto"/>
              </w:rPr>
              <w:t>—</w:t>
            </w:r>
          </w:p>
        </w:tc>
        <w:tc>
          <w:tcPr>
            <w:tcW w:w="860" w:type="dxa"/>
            <w:vAlign w:val="bottom"/>
            <w:gridSpan w:val="2"/>
          </w:tcPr>
          <w:p>
            <w:pPr>
              <w:ind w:left="520"/>
              <w:spacing w:after="0" w:line="133"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16,008</w:t>
            </w:r>
          </w:p>
        </w:tc>
        <w:tc>
          <w:tcPr>
            <w:tcW w:w="720" w:type="dxa"/>
            <w:vAlign w:val="bottom"/>
          </w:tcPr>
          <w:p>
            <w:pPr>
              <w:jc w:val="right"/>
              <w:spacing w:after="0" w:line="133" w:lineRule="exact"/>
              <w:rPr>
                <w:sz w:val="20"/>
                <w:szCs w:val="20"/>
                <w:color w:val="auto"/>
              </w:rPr>
            </w:pPr>
            <w:r>
              <w:rPr>
                <w:rFonts w:ascii="Arial" w:cs="Arial" w:eastAsia="Arial" w:hAnsi="Arial"/>
                <w:sz w:val="13"/>
                <w:szCs w:val="13"/>
                <w:color w:val="auto"/>
              </w:rPr>
              <w:t>22,776</w:t>
            </w:r>
          </w:p>
        </w:tc>
        <w:tc>
          <w:tcPr>
            <w:tcW w:w="86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11,713</w:t>
            </w:r>
          </w:p>
        </w:tc>
        <w:tc>
          <w:tcPr>
            <w:tcW w:w="9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27,071</w:t>
            </w:r>
          </w:p>
        </w:tc>
        <w:tc>
          <w:tcPr>
            <w:tcW w:w="54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38,784</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3"/>
                <w:szCs w:val="13"/>
                <w:color w:val="auto"/>
              </w:rPr>
              <w:t>8,079</w:t>
            </w:r>
          </w:p>
        </w:tc>
        <w:tc>
          <w:tcPr>
            <w:tcW w:w="1000" w:type="dxa"/>
            <w:vAlign w:val="bottom"/>
            <w:gridSpan w:val="3"/>
          </w:tcPr>
          <w:p>
            <w:pPr>
              <w:jc w:val="right"/>
              <w:ind w:right="140"/>
              <w:spacing w:after="0" w:line="133" w:lineRule="exact"/>
              <w:rPr>
                <w:sz w:val="20"/>
                <w:szCs w:val="20"/>
                <w:color w:val="auto"/>
              </w:rPr>
            </w:pPr>
            <w:r>
              <w:rPr>
                <w:rFonts w:ascii="Arial" w:cs="Arial" w:eastAsia="Arial" w:hAnsi="Arial"/>
                <w:sz w:val="13"/>
                <w:szCs w:val="13"/>
                <w:color w:val="auto"/>
              </w:rPr>
              <w:t>1962</w:t>
            </w: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12/12/88</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&amp; 10/26/07</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HUNTINGTON SQUARE</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1980/2004-</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(New York)</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NY</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10,075</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10,079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10,079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2007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08/16/10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tcPr>
          <w:p>
            <w:pPr>
              <w:spacing w:after="0" w:line="133" w:lineRule="exact"/>
              <w:rPr>
                <w:sz w:val="20"/>
                <w:szCs w:val="20"/>
                <w:color w:val="auto"/>
              </w:rPr>
            </w:pPr>
            <w:r>
              <w:rPr>
                <w:rFonts w:ascii="Arial" w:cs="Arial" w:eastAsia="Arial" w:hAnsi="Arial"/>
                <w:sz w:val="13"/>
                <w:szCs w:val="13"/>
                <w:color w:val="auto"/>
              </w:rPr>
              <w:t>IDYLWOOD PLAZA</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tcPr>
          <w:p>
            <w:pPr>
              <w:ind w:left="200"/>
              <w:spacing w:after="0"/>
              <w:rPr>
                <w:sz w:val="20"/>
                <w:szCs w:val="20"/>
                <w:color w:val="auto"/>
              </w:rPr>
            </w:pPr>
            <w:r>
              <w:rPr>
                <w:rFonts w:ascii="Arial" w:cs="Arial" w:eastAsia="Arial" w:hAnsi="Arial"/>
                <w:sz w:val="13"/>
                <w:szCs w:val="13"/>
                <w:color w:val="auto"/>
              </w:rPr>
              <w:t>(Virginia)</w:t>
            </w:r>
          </w:p>
        </w:tc>
        <w:tc>
          <w:tcPr>
            <w:tcW w:w="360" w:type="dxa"/>
            <w:vAlign w:val="bottom"/>
          </w:tcPr>
          <w:p>
            <w:pPr>
              <w:jc w:val="right"/>
              <w:ind w:right="16"/>
              <w:spacing w:after="0"/>
              <w:rPr>
                <w:sz w:val="20"/>
                <w:szCs w:val="20"/>
                <w:color w:val="auto"/>
              </w:rPr>
            </w:pPr>
            <w:r>
              <w:rPr>
                <w:rFonts w:ascii="Arial" w:cs="Arial" w:eastAsia="Arial" w:hAnsi="Arial"/>
                <w:sz w:val="13"/>
                <w:szCs w:val="13"/>
                <w:color w:val="auto"/>
              </w:rPr>
              <w:t>VA</w:t>
            </w:r>
          </w:p>
        </w:tc>
        <w:tc>
          <w:tcPr>
            <w:tcW w:w="980" w:type="dxa"/>
            <w:vAlign w:val="bottom"/>
            <w:gridSpan w:val="3"/>
          </w:tcPr>
          <w:p>
            <w:pPr>
              <w:jc w:val="right"/>
              <w:ind w:right="140"/>
              <w:spacing w:after="0"/>
              <w:rPr>
                <w:sz w:val="20"/>
                <w:szCs w:val="20"/>
                <w:color w:val="auto"/>
              </w:rPr>
            </w:pPr>
            <w:r>
              <w:rPr>
                <w:rFonts w:ascii="Arial" w:cs="Arial" w:eastAsia="Arial" w:hAnsi="Arial"/>
                <w:sz w:val="13"/>
                <w:szCs w:val="13"/>
                <w:color w:val="auto"/>
              </w:rPr>
              <w:t>16,544</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4,308</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10,026</w:t>
            </w:r>
          </w:p>
        </w:tc>
        <w:tc>
          <w:tcPr>
            <w:tcW w:w="720" w:type="dxa"/>
            <w:vAlign w:val="bottom"/>
          </w:tcPr>
          <w:p>
            <w:pPr>
              <w:jc w:val="right"/>
              <w:spacing w:after="0"/>
              <w:rPr>
                <w:sz w:val="20"/>
                <w:szCs w:val="20"/>
                <w:color w:val="auto"/>
              </w:rPr>
            </w:pPr>
            <w:r>
              <w:rPr>
                <w:rFonts w:ascii="Arial" w:cs="Arial" w:eastAsia="Arial" w:hAnsi="Arial"/>
                <w:sz w:val="13"/>
                <w:szCs w:val="13"/>
                <w:color w:val="auto"/>
              </w:rPr>
              <w:t>1,637</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4,308</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11,663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15,971</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5,620</w:t>
            </w: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1991</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04/15/94</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KINGS COURT (California)</w:t>
            </w:r>
          </w:p>
        </w:tc>
        <w:tc>
          <w:tcPr>
            <w:tcW w:w="3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52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10,714</w:t>
            </w: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886</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11,600</w:t>
            </w:r>
          </w:p>
        </w:tc>
        <w:tc>
          <w:tcPr>
            <w:tcW w:w="68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11,600</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5,735</w:t>
            </w:r>
          </w:p>
        </w:tc>
        <w:tc>
          <w:tcPr>
            <w:tcW w:w="100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1960</w:t>
            </w: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08/24/98</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26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LANCASTER (Pennsylvania)</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PA</w:t>
            </w:r>
          </w:p>
        </w:tc>
        <w:tc>
          <w:tcPr>
            <w:tcW w:w="98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4,907</w:t>
            </w:r>
          </w:p>
        </w:tc>
        <w:tc>
          <w:tcPr>
            <w:tcW w:w="86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2,103</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10,658</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76</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12,685</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12,761</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6,094</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1958</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04/24/80</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LANGHORNE SQUARE</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PA</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720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2,974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19,590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20,310</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10,665</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1966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01/31/85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00" w:type="dxa"/>
            <w:vAlign w:val="bottom"/>
            <w:gridSpan w:val="3"/>
          </w:tcPr>
          <w:p>
            <w:pPr>
              <w:spacing w:after="0" w:line="141" w:lineRule="exact"/>
              <w:rPr>
                <w:sz w:val="20"/>
                <w:szCs w:val="20"/>
                <w:color w:val="auto"/>
              </w:rPr>
            </w:pPr>
            <w:r>
              <w:rPr>
                <w:rFonts w:ascii="Arial" w:cs="Arial" w:eastAsia="Arial" w:hAnsi="Arial"/>
                <w:sz w:val="13"/>
                <w:szCs w:val="13"/>
                <w:color w:val="auto"/>
              </w:rPr>
              <w:t>LAUREL (Maryland)</w:t>
            </w:r>
          </w:p>
        </w:tc>
        <w:tc>
          <w:tcPr>
            <w:tcW w:w="360" w:type="dxa"/>
            <w:vAlign w:val="bottom"/>
          </w:tcPr>
          <w:p>
            <w:pPr>
              <w:jc w:val="right"/>
              <w:ind w:right="16"/>
              <w:spacing w:after="0" w:line="141" w:lineRule="exact"/>
              <w:rPr>
                <w:sz w:val="20"/>
                <w:szCs w:val="20"/>
                <w:color w:val="auto"/>
              </w:rPr>
            </w:pPr>
            <w:r>
              <w:rPr>
                <w:rFonts w:ascii="Arial" w:cs="Arial" w:eastAsia="Arial" w:hAnsi="Arial"/>
                <w:sz w:val="13"/>
                <w:szCs w:val="13"/>
                <w:color w:val="auto"/>
              </w:rPr>
              <w:t>MD</w:t>
            </w:r>
          </w:p>
        </w:tc>
        <w:tc>
          <w:tcPr>
            <w:tcW w:w="60" w:type="dxa"/>
            <w:vAlign w:val="bottom"/>
          </w:tcPr>
          <w:p>
            <w:pPr>
              <w:spacing w:after="0"/>
              <w:rPr>
                <w:sz w:val="12"/>
                <w:szCs w:val="12"/>
                <w:color w:val="auto"/>
              </w:rPr>
            </w:pPr>
          </w:p>
        </w:tc>
        <w:tc>
          <w:tcPr>
            <w:tcW w:w="92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7,458</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22,525</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17,626</w:t>
            </w:r>
          </w:p>
        </w:tc>
        <w:tc>
          <w:tcPr>
            <w:tcW w:w="8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7,576</w:t>
            </w:r>
          </w:p>
        </w:tc>
        <w:tc>
          <w:tcPr>
            <w:tcW w:w="9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40,033</w:t>
            </w:r>
          </w:p>
        </w:tc>
        <w:tc>
          <w:tcPr>
            <w:tcW w:w="5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47,609</w:t>
            </w:r>
          </w:p>
        </w:tc>
        <w:tc>
          <w:tcPr>
            <w:tcW w:w="14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29,137</w:t>
            </w:r>
          </w:p>
        </w:tc>
        <w:tc>
          <w:tcPr>
            <w:tcW w:w="100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1956</w:t>
            </w: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08/15/86</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LAWRENCE PARK</w:t>
            </w: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PA</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28,246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5,723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7,160</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24,844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30,578</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20,822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1972</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07/23/80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445"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29" w:lineRule="auto"/>
        <w:rPr>
          <w:sz w:val="20"/>
          <w:szCs w:val="20"/>
          <w:color w:val="auto"/>
        </w:rPr>
      </w:pPr>
      <w:r>
        <w:rPr>
          <w:rFonts w:ascii="Arial" w:cs="Arial" w:eastAsia="Arial" w:hAnsi="Arial"/>
          <w:sz w:val="21"/>
          <w:szCs w:val="21"/>
          <w:b w:val="1"/>
          <w:bCs w:val="1"/>
          <w:color w:val="auto"/>
        </w:rPr>
        <w:t>SUMMARY OF REAL ESTATE AND ACCUMULATED</w:t>
      </w:r>
    </w:p>
    <w:p>
      <w:pPr>
        <w:jc w:val="center"/>
        <w:spacing w:after="0"/>
        <w:rPr>
          <w:sz w:val="20"/>
          <w:szCs w:val="20"/>
          <w:color w:val="auto"/>
        </w:rPr>
      </w:pPr>
      <w:r>
        <w:rPr>
          <w:rFonts w:ascii="Arial" w:cs="Arial" w:eastAsia="Arial" w:hAnsi="Arial"/>
          <w:sz w:val="21"/>
          <w:szCs w:val="21"/>
          <w:b w:val="1"/>
          <w:bCs w:val="1"/>
          <w:color w:val="auto"/>
        </w:rPr>
        <w:t>DEPRECIATION—CONTINUED</w:t>
      </w:r>
    </w:p>
    <w:p>
      <w:pPr>
        <w:ind w:left="4920"/>
        <w:spacing w:after="0"/>
        <w:rPr>
          <w:sz w:val="20"/>
          <w:szCs w:val="20"/>
          <w:color w:val="auto"/>
        </w:rPr>
      </w:pPr>
      <w:r>
        <w:rPr>
          <w:rFonts w:ascii="Arial" w:cs="Arial" w:eastAsia="Arial" w:hAnsi="Arial"/>
          <w:sz w:val="17"/>
          <w:szCs w:val="17"/>
          <w:b w:val="1"/>
          <w:bCs w:val="1"/>
          <w:color w:val="auto"/>
        </w:rPr>
        <w:t>DECEMBER 31, 2010</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9"/>
              </w:rPr>
              <w:t>COLUMN C</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D</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w w:val="98"/>
              </w:rPr>
              <w:t>COLUMN E</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COLUMN F</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COLUMN G</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COLUMN H</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1"/>
        </w:trPr>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89"/>
              </w:rPr>
              <w:t>Life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6"/>
            <w:vMerge w:val="restart"/>
          </w:tcPr>
          <w:p>
            <w:pPr>
              <w:ind w:left="180"/>
              <w:spacing w:after="0"/>
              <w:rPr>
                <w:sz w:val="20"/>
                <w:szCs w:val="20"/>
                <w:color w:val="auto"/>
              </w:rPr>
            </w:pPr>
            <w:r>
              <w:rPr>
                <w:rFonts w:ascii="Arial" w:cs="Arial" w:eastAsia="Arial" w:hAnsi="Arial"/>
                <w:sz w:val="13"/>
                <w:szCs w:val="13"/>
                <w:b w:val="1"/>
                <w:bCs w:val="1"/>
                <w:color w:val="auto"/>
              </w:rPr>
              <w:t>Gross amount at which carried at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64"/>
        </w:trPr>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restart"/>
          </w:tcPr>
          <w:p>
            <w:pPr>
              <w:jc w:val="center"/>
              <w:ind w:right="140"/>
              <w:spacing w:after="0" w:line="141" w:lineRule="exact"/>
              <w:rPr>
                <w:sz w:val="20"/>
                <w:szCs w:val="20"/>
                <w:color w:val="auto"/>
              </w:rPr>
            </w:pPr>
            <w:r>
              <w:rPr>
                <w:rFonts w:ascii="Arial" w:cs="Arial" w:eastAsia="Arial" w:hAnsi="Arial"/>
                <w:sz w:val="13"/>
                <w:szCs w:val="13"/>
                <w:b w:val="1"/>
                <w:bCs w:val="1"/>
                <w:color w:val="auto"/>
                <w:w w:val="82"/>
              </w:rPr>
              <w:t>Cost</w:t>
            </w:r>
          </w:p>
        </w:tc>
        <w:tc>
          <w:tcPr>
            <w:tcW w:w="2320" w:type="dxa"/>
            <w:vAlign w:val="bottom"/>
            <w:gridSpan w:val="6"/>
            <w:vMerge w:val="continue"/>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center"/>
              <w:ind w:right="80"/>
              <w:spacing w:after="0" w:line="141"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Initial cost to company</w:t>
            </w:r>
          </w:p>
        </w:tc>
        <w:tc>
          <w:tcPr>
            <w:tcW w:w="8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w w:val="84"/>
              </w:rPr>
              <w:t>close of period</w:t>
            </w: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860" w:type="dxa"/>
            <w:vAlign w:val="bottom"/>
            <w:gridSpan w:val="2"/>
            <w:vMerge w:val="restart"/>
          </w:tcPr>
          <w:p>
            <w:pPr>
              <w:jc w:val="center"/>
              <w:ind w:right="140"/>
              <w:spacing w:after="0" w:line="141" w:lineRule="exact"/>
              <w:rPr>
                <w:sz w:val="20"/>
                <w:szCs w:val="20"/>
                <w:color w:val="auto"/>
              </w:rPr>
            </w:pPr>
            <w:r>
              <w:rPr>
                <w:rFonts w:ascii="Arial" w:cs="Arial" w:eastAsia="Arial" w:hAnsi="Arial"/>
                <w:sz w:val="13"/>
                <w:szCs w:val="13"/>
                <w:b w:val="1"/>
                <w:bCs w:val="1"/>
                <w:color w:val="auto"/>
                <w:w w:val="93"/>
              </w:rPr>
              <w:t>Capitalized</w:t>
            </w:r>
          </w:p>
        </w:tc>
        <w:tc>
          <w:tcPr>
            <w:tcW w:w="700" w:type="dxa"/>
            <w:vAlign w:val="bottom"/>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restart"/>
          </w:tcPr>
          <w:p>
            <w:pPr>
              <w:jc w:val="center"/>
              <w:ind w:right="120"/>
              <w:spacing w:after="0" w:line="141" w:lineRule="exact"/>
              <w:rPr>
                <w:sz w:val="20"/>
                <w:szCs w:val="20"/>
                <w:color w:val="auto"/>
              </w:rPr>
            </w:pPr>
            <w:r>
              <w:rPr>
                <w:rFonts w:ascii="Arial" w:cs="Arial" w:eastAsia="Arial" w:hAnsi="Arial"/>
                <w:sz w:val="13"/>
                <w:szCs w:val="13"/>
                <w:b w:val="1"/>
                <w:bCs w:val="1"/>
                <w:color w:val="auto"/>
                <w:w w:val="90"/>
              </w:rPr>
              <w:t>Accumulated</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restart"/>
          </w:tcPr>
          <w:p>
            <w:pPr>
              <w:jc w:val="center"/>
              <w:ind w:right="60"/>
              <w:spacing w:after="0" w:line="141"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4"/>
        </w:trPr>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85"/>
              </w:rPr>
              <w:t>Subsequent</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8"/>
              </w:rPr>
              <w:t>Depreciation</w:t>
            </w:r>
          </w:p>
        </w:tc>
        <w:tc>
          <w:tcPr>
            <w:tcW w:w="10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5"/>
              </w:rPr>
              <w:t>Date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1"/>
              </w:rPr>
              <w:t>Building and</w:t>
            </w: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7"/>
              </w:rPr>
              <w:t>to</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4"/>
              </w:rPr>
              <w:t>and</w:t>
            </w:r>
          </w:p>
        </w:tc>
        <w:tc>
          <w:tcPr>
            <w:tcW w:w="10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of</w:t>
            </w:r>
          </w:p>
        </w:tc>
        <w:tc>
          <w:tcPr>
            <w:tcW w:w="8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5"/>
              </w:rPr>
              <w:t>Date</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54"/>
        </w:trPr>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2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Encumbrance</w:t>
            </w:r>
          </w:p>
        </w:tc>
        <w:tc>
          <w:tcPr>
            <w:tcW w:w="8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Improvements</w:t>
            </w: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Acquisition</w:t>
            </w:r>
          </w:p>
        </w:tc>
        <w:tc>
          <w:tcPr>
            <w:tcW w:w="700" w:type="dxa"/>
            <w:vAlign w:val="bottom"/>
          </w:tcPr>
          <w:p>
            <w:pPr>
              <w:jc w:val="right"/>
              <w:ind w:right="136"/>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7"/>
              </w:rPr>
              <w:t>Improvements</w:t>
            </w: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Amortization</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Construction</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Acquired</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760" w:type="dxa"/>
            <w:vAlign w:val="bottom"/>
            <w:gridSpan w:val="3"/>
            <w:shd w:val="clear" w:color="auto" w:fill="CCEEFF"/>
          </w:tcPr>
          <w:p>
            <w:pPr>
              <w:spacing w:after="0" w:line="134" w:lineRule="exact"/>
              <w:rPr>
                <w:sz w:val="20"/>
                <w:szCs w:val="20"/>
                <w:color w:val="auto"/>
              </w:rPr>
            </w:pPr>
            <w:r>
              <w:rPr>
                <w:rFonts w:ascii="Arial" w:cs="Arial" w:eastAsia="Arial" w:hAnsi="Arial"/>
                <w:sz w:val="13"/>
                <w:szCs w:val="13"/>
                <w:color w:val="auto"/>
              </w:rPr>
              <w:t>LEESBURG PLAZA (Virginia)</w:t>
            </w: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VA</w:t>
            </w:r>
          </w:p>
        </w:tc>
        <w:tc>
          <w:tcPr>
            <w:tcW w:w="940" w:type="dxa"/>
            <w:vAlign w:val="bottom"/>
            <w:gridSpan w:val="3"/>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28,786</w:t>
            </w:r>
          </w:p>
        </w:tc>
        <w:tc>
          <w:tcPr>
            <w:tcW w:w="8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8,184</w:t>
            </w: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10,722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3"/>
                <w:szCs w:val="13"/>
                <w:color w:val="auto"/>
              </w:rPr>
              <w:t>15,613</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8,184</w:t>
            </w:r>
          </w:p>
        </w:tc>
        <w:tc>
          <w:tcPr>
            <w:tcW w:w="9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26,335</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34,519</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7,935</w:t>
            </w:r>
          </w:p>
        </w:tc>
        <w:tc>
          <w:tcPr>
            <w:tcW w:w="8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1967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09/15/98</w:t>
            </w:r>
          </w:p>
        </w:tc>
        <w:tc>
          <w:tcPr>
            <w:tcW w:w="7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rPr>
              <w:t>LINDEN SQUARE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(Massachusetts)</w:t>
            </w:r>
          </w:p>
        </w:tc>
        <w:tc>
          <w:tcPr>
            <w:tcW w:w="320" w:type="dxa"/>
            <w:vAlign w:val="bottom"/>
          </w:tcPr>
          <w:p>
            <w:pPr>
              <w:jc w:val="right"/>
              <w:spacing w:after="0"/>
              <w:rPr>
                <w:sz w:val="20"/>
                <w:szCs w:val="20"/>
                <w:color w:val="auto"/>
              </w:rPr>
            </w:pPr>
            <w:r>
              <w:rPr>
                <w:rFonts w:ascii="Arial" w:cs="Arial" w:eastAsia="Arial" w:hAnsi="Arial"/>
                <w:sz w:val="13"/>
                <w:szCs w:val="13"/>
                <w:color w:val="auto"/>
              </w:rPr>
              <w:t>MA</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79,382</w:t>
            </w:r>
          </w:p>
        </w:tc>
        <w:tc>
          <w:tcPr>
            <w:tcW w:w="800" w:type="dxa"/>
            <w:vAlign w:val="bottom"/>
          </w:tcPr>
          <w:p>
            <w:pPr>
              <w:jc w:val="right"/>
              <w:spacing w:after="0"/>
              <w:rPr>
                <w:sz w:val="20"/>
                <w:szCs w:val="20"/>
                <w:color w:val="auto"/>
              </w:rPr>
            </w:pPr>
            <w:r>
              <w:rPr>
                <w:rFonts w:ascii="Arial" w:cs="Arial" w:eastAsia="Arial" w:hAnsi="Arial"/>
                <w:sz w:val="13"/>
                <w:szCs w:val="13"/>
                <w:color w:val="auto"/>
              </w:rPr>
              <w:t>19,247</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46,072</w:t>
            </w:r>
          </w:p>
        </w:tc>
        <w:tc>
          <w:tcPr>
            <w:tcW w:w="700" w:type="dxa"/>
            <w:vAlign w:val="bottom"/>
          </w:tcPr>
          <w:p>
            <w:pPr>
              <w:jc w:val="right"/>
              <w:spacing w:after="0"/>
              <w:rPr>
                <w:sz w:val="20"/>
                <w:szCs w:val="20"/>
                <w:color w:val="auto"/>
              </w:rPr>
            </w:pPr>
            <w:r>
              <w:rPr>
                <w:rFonts w:ascii="Arial" w:cs="Arial" w:eastAsia="Arial" w:hAnsi="Arial"/>
                <w:sz w:val="13"/>
                <w:szCs w:val="13"/>
                <w:color w:val="auto"/>
              </w:rPr>
              <w:t>79,269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65,432</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144,701</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5,854</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1960-2008</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08/24/06</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LOEHMANN'S PLAZA</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VA</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37,224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16,301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31,386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32,634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20,397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07/21/83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tcPr>
          <w:p>
            <w:pPr>
              <w:spacing w:after="0" w:line="141" w:lineRule="exact"/>
              <w:rPr>
                <w:sz w:val="20"/>
                <w:szCs w:val="20"/>
                <w:color w:val="auto"/>
              </w:rPr>
            </w:pPr>
            <w:r>
              <w:rPr>
                <w:rFonts w:ascii="Arial" w:cs="Arial" w:eastAsia="Arial" w:hAnsi="Arial"/>
                <w:sz w:val="13"/>
                <w:szCs w:val="13"/>
                <w:color w:val="auto"/>
              </w:rPr>
              <w:t>MELVILLE MALL (New York)</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NY</w:t>
            </w:r>
          </w:p>
        </w:tc>
        <w:tc>
          <w:tcPr>
            <w:tcW w:w="940" w:type="dxa"/>
            <w:vAlign w:val="bottom"/>
            <w:gridSpan w:val="3"/>
          </w:tcPr>
          <w:p>
            <w:pPr>
              <w:jc w:val="right"/>
              <w:ind w:right="120"/>
              <w:spacing w:after="0" w:line="141" w:lineRule="exact"/>
              <w:rPr>
                <w:sz w:val="20"/>
                <w:szCs w:val="20"/>
                <w:color w:val="auto"/>
              </w:rPr>
            </w:pPr>
            <w:r>
              <w:rPr>
                <w:rFonts w:ascii="Arial" w:cs="Arial" w:eastAsia="Arial" w:hAnsi="Arial"/>
                <w:sz w:val="13"/>
                <w:szCs w:val="13"/>
                <w:color w:val="auto"/>
              </w:rPr>
              <w:t>22,785</w:t>
            </w: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35,622</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32,882</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263</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35,622</w:t>
            </w:r>
          </w:p>
        </w:tc>
        <w:tc>
          <w:tcPr>
            <w:tcW w:w="9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33,145</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68,767</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4,000</w:t>
            </w: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1974</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10/16/06</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w w:val="99"/>
              </w:rPr>
              <w:t>MERCER MALL (New Jersey)</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NJ</w:t>
            </w:r>
          </w:p>
        </w:tc>
        <w:tc>
          <w:tcPr>
            <w:tcW w:w="940" w:type="dxa"/>
            <w:vAlign w:val="bottom"/>
            <w:gridSpan w:val="3"/>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48,706</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4,488</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70,076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30,528</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5,032</w:t>
            </w:r>
          </w:p>
        </w:tc>
        <w:tc>
          <w:tcPr>
            <w:tcW w:w="9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100,060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105,092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25,291</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1975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10/14/03</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9"/>
              </w:rPr>
              <w:t>25 - 35 years</w:t>
            </w: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rPr>
              <w:t>MID PIKE PLAZA (Maryland)</w:t>
            </w:r>
          </w:p>
        </w:tc>
        <w:tc>
          <w:tcPr>
            <w:tcW w:w="320" w:type="dxa"/>
            <w:vAlign w:val="bottom"/>
          </w:tcPr>
          <w:p>
            <w:pPr>
              <w:jc w:val="right"/>
              <w:spacing w:after="0" w:line="133" w:lineRule="exact"/>
              <w:rPr>
                <w:sz w:val="20"/>
                <w:szCs w:val="20"/>
                <w:color w:val="auto"/>
              </w:rPr>
            </w:pPr>
            <w:r>
              <w:rPr>
                <w:rFonts w:ascii="Arial" w:cs="Arial" w:eastAsia="Arial" w:hAnsi="Arial"/>
                <w:sz w:val="13"/>
                <w:szCs w:val="13"/>
                <w:color w:val="auto"/>
              </w:rPr>
              <w:t>MD</w:t>
            </w:r>
          </w:p>
        </w:tc>
        <w:tc>
          <w:tcPr>
            <w:tcW w:w="60" w:type="dxa"/>
            <w:vAlign w:val="bottom"/>
          </w:tcPr>
          <w:p>
            <w:pPr>
              <w:spacing w:after="0"/>
              <w:rPr>
                <w:sz w:val="11"/>
                <w:szCs w:val="11"/>
                <w:color w:val="auto"/>
              </w:rPr>
            </w:pPr>
          </w:p>
        </w:tc>
        <w:tc>
          <w:tcPr>
            <w:tcW w:w="880" w:type="dxa"/>
            <w:vAlign w:val="bottom"/>
            <w:gridSpan w:val="2"/>
          </w:tcPr>
          <w:p>
            <w:pPr>
              <w:ind w:left="580"/>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3"/>
                <w:szCs w:val="13"/>
                <w:color w:val="auto"/>
              </w:rPr>
              <w:t>10,335</w:t>
            </w: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3" w:lineRule="exact"/>
              <w:rPr>
                <w:sz w:val="20"/>
                <w:szCs w:val="20"/>
                <w:color w:val="auto"/>
              </w:rPr>
            </w:pPr>
            <w:r>
              <w:rPr>
                <w:rFonts w:ascii="Arial" w:cs="Arial" w:eastAsia="Arial" w:hAnsi="Arial"/>
                <w:sz w:val="13"/>
                <w:szCs w:val="13"/>
                <w:color w:val="auto"/>
              </w:rPr>
              <w:t>37,339</w:t>
            </w:r>
          </w:p>
        </w:tc>
        <w:tc>
          <w:tcPr>
            <w:tcW w:w="700" w:type="dxa"/>
            <w:vAlign w:val="bottom"/>
          </w:tcPr>
          <w:p>
            <w:pPr>
              <w:jc w:val="right"/>
              <w:spacing w:after="0" w:line="133" w:lineRule="exact"/>
              <w:rPr>
                <w:sz w:val="20"/>
                <w:szCs w:val="20"/>
                <w:color w:val="auto"/>
              </w:rPr>
            </w:pPr>
            <w:r>
              <w:rPr>
                <w:rFonts w:ascii="Arial" w:cs="Arial" w:eastAsia="Arial" w:hAnsi="Arial"/>
                <w:sz w:val="13"/>
                <w:szCs w:val="13"/>
                <w:color w:val="auto"/>
              </w:rPr>
              <w:t>7,517</w:t>
            </w:r>
          </w:p>
        </w:tc>
        <w:tc>
          <w:tcPr>
            <w:tcW w:w="92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40,157</w:t>
            </w:r>
          </w:p>
        </w:tc>
        <w:tc>
          <w:tcPr>
            <w:tcW w:w="12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3"/>
                <w:szCs w:val="13"/>
                <w:color w:val="auto"/>
              </w:rPr>
              <w:t>47,674</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6,367</w:t>
            </w:r>
          </w:p>
        </w:tc>
        <w:tc>
          <w:tcPr>
            <w:tcW w:w="880" w:type="dxa"/>
            <w:vAlign w:val="bottom"/>
          </w:tcPr>
          <w:p>
            <w:pPr>
              <w:jc w:val="right"/>
              <w:spacing w:after="0" w:line="133" w:lineRule="exact"/>
              <w:rPr>
                <w:sz w:val="20"/>
                <w:szCs w:val="20"/>
                <w:color w:val="auto"/>
              </w:rPr>
            </w:pPr>
            <w:r>
              <w:rPr>
                <w:rFonts w:ascii="Arial" w:cs="Arial" w:eastAsia="Arial" w:hAnsi="Arial"/>
                <w:sz w:val="13"/>
                <w:szCs w:val="13"/>
                <w:color w:val="auto"/>
              </w:rPr>
              <w:t>1963</w:t>
            </w:r>
          </w:p>
        </w:tc>
        <w:tc>
          <w:tcPr>
            <w:tcW w:w="120" w:type="dxa"/>
            <w:vAlign w:val="bottom"/>
          </w:tcPr>
          <w:p>
            <w:pPr>
              <w:spacing w:after="0"/>
              <w:rPr>
                <w:sz w:val="11"/>
                <w:szCs w:val="11"/>
                <w:color w:val="auto"/>
              </w:rPr>
            </w:pPr>
          </w:p>
        </w:tc>
        <w:tc>
          <w:tcPr>
            <w:tcW w:w="84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05/18/82</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50"/>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&amp; 10/26/07</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MOUNT VERNON/SOUTH</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VA</w:t>
            </w:r>
          </w:p>
        </w:tc>
        <w:tc>
          <w:tcPr>
            <w:tcW w:w="94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10,937</w:t>
            </w: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10,068</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33,501</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34,743</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10,189</w:t>
            </w:r>
          </w:p>
        </w:tc>
        <w:tc>
          <w:tcPr>
            <w:tcW w:w="9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68,123</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78,312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15,535</w:t>
            </w:r>
          </w:p>
        </w:tc>
        <w:tc>
          <w:tcPr>
            <w:tcW w:w="10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w w:val="91"/>
              </w:rPr>
              <w:t>1972/1966/1974</w:t>
            </w: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shd w:val="clear" w:color="auto" w:fill="CCEEFF"/>
          </w:tcPr>
          <w:p>
            <w:pPr>
              <w:ind w:left="200"/>
              <w:spacing w:after="0" w:line="141" w:lineRule="exact"/>
              <w:rPr>
                <w:sz w:val="20"/>
                <w:szCs w:val="20"/>
                <w:color w:val="auto"/>
              </w:rPr>
            </w:pPr>
            <w:r>
              <w:rPr>
                <w:rFonts w:ascii="Arial" w:cs="Arial" w:eastAsia="Arial" w:hAnsi="Arial"/>
                <w:sz w:val="13"/>
                <w:szCs w:val="13"/>
                <w:color w:val="auto"/>
              </w:rPr>
              <w:t>VALLEY/7770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03/31/03,</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760" w:type="dxa"/>
            <w:vAlign w:val="bottom"/>
            <w:gridSpan w:val="3"/>
            <w:shd w:val="clear" w:color="auto" w:fill="CCEEFF"/>
          </w:tcPr>
          <w:p>
            <w:pPr>
              <w:ind w:left="200"/>
              <w:spacing w:after="0" w:line="141" w:lineRule="exact"/>
              <w:rPr>
                <w:sz w:val="20"/>
                <w:szCs w:val="20"/>
                <w:color w:val="auto"/>
              </w:rPr>
            </w:pPr>
            <w:r>
              <w:rPr>
                <w:rFonts w:ascii="Arial" w:cs="Arial" w:eastAsia="Arial" w:hAnsi="Arial"/>
                <w:sz w:val="13"/>
                <w:szCs w:val="13"/>
                <w:color w:val="auto"/>
              </w:rPr>
              <w:t>RICHMOND HWY.</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3/21/03,</w:t>
            </w: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(Virginia)</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&amp; 1/27/06</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rPr>
              <w:t>TOWN CENTER OF NEW</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BRITAIN (Pennsylvania)</w:t>
            </w:r>
          </w:p>
        </w:tc>
        <w:tc>
          <w:tcPr>
            <w:tcW w:w="320" w:type="dxa"/>
            <w:vAlign w:val="bottom"/>
          </w:tcPr>
          <w:p>
            <w:pPr>
              <w:jc w:val="right"/>
              <w:spacing w:after="0"/>
              <w:rPr>
                <w:sz w:val="20"/>
                <w:szCs w:val="20"/>
                <w:color w:val="auto"/>
              </w:rPr>
            </w:pPr>
            <w:r>
              <w:rPr>
                <w:rFonts w:ascii="Arial" w:cs="Arial" w:eastAsia="Arial" w:hAnsi="Arial"/>
                <w:sz w:val="13"/>
                <w:szCs w:val="13"/>
                <w:color w:val="auto"/>
              </w:rPr>
              <w:t>PA</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1,282</w:t>
            </w:r>
          </w:p>
        </w:tc>
        <w:tc>
          <w:tcPr>
            <w:tcW w:w="800" w:type="dxa"/>
            <w:vAlign w:val="bottom"/>
          </w:tcPr>
          <w:p>
            <w:pPr>
              <w:jc w:val="right"/>
              <w:spacing w:after="0"/>
              <w:rPr>
                <w:sz w:val="20"/>
                <w:szCs w:val="20"/>
                <w:color w:val="auto"/>
              </w:rPr>
            </w:pPr>
            <w:r>
              <w:rPr>
                <w:rFonts w:ascii="Arial" w:cs="Arial" w:eastAsia="Arial" w:hAnsi="Arial"/>
                <w:sz w:val="13"/>
                <w:szCs w:val="13"/>
                <w:color w:val="auto"/>
              </w:rPr>
              <w:t>12,285</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874</w:t>
            </w:r>
          </w:p>
        </w:tc>
        <w:tc>
          <w:tcPr>
            <w:tcW w:w="700" w:type="dxa"/>
            <w:vAlign w:val="bottom"/>
          </w:tcPr>
          <w:p>
            <w:pPr>
              <w:jc w:val="right"/>
              <w:spacing w:after="0"/>
              <w:rPr>
                <w:sz w:val="20"/>
                <w:szCs w:val="20"/>
                <w:color w:val="auto"/>
              </w:rPr>
            </w:pPr>
            <w:r>
              <w:rPr>
                <w:rFonts w:ascii="Arial" w:cs="Arial" w:eastAsia="Arial" w:hAnsi="Arial"/>
                <w:sz w:val="13"/>
                <w:szCs w:val="13"/>
                <w:color w:val="auto"/>
              </w:rPr>
              <w:t>1,262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13,179</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14,441</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1,906</w:t>
            </w:r>
          </w:p>
        </w:tc>
        <w:tc>
          <w:tcPr>
            <w:tcW w:w="880" w:type="dxa"/>
            <w:vAlign w:val="bottom"/>
          </w:tcPr>
          <w:p>
            <w:pPr>
              <w:jc w:val="right"/>
              <w:spacing w:after="0"/>
              <w:rPr>
                <w:sz w:val="20"/>
                <w:szCs w:val="20"/>
                <w:color w:val="auto"/>
              </w:rPr>
            </w:pPr>
            <w:r>
              <w:rPr>
                <w:rFonts w:ascii="Arial" w:cs="Arial" w:eastAsia="Arial" w:hAnsi="Arial"/>
                <w:sz w:val="13"/>
                <w:szCs w:val="13"/>
                <w:color w:val="auto"/>
              </w:rPr>
              <w:t>1969</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06/29/06</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NORTH DARTMOUTH</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(Massachusetts)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27,214</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(17,846)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08/24/06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760" w:type="dxa"/>
            <w:vAlign w:val="bottom"/>
            <w:gridSpan w:val="3"/>
          </w:tcPr>
          <w:p>
            <w:pPr>
              <w:spacing w:after="0" w:line="141" w:lineRule="exact"/>
              <w:rPr>
                <w:sz w:val="20"/>
                <w:szCs w:val="20"/>
                <w:color w:val="auto"/>
              </w:rPr>
            </w:pPr>
            <w:r>
              <w:rPr>
                <w:rFonts w:ascii="Arial" w:cs="Arial" w:eastAsia="Arial" w:hAnsi="Arial"/>
                <w:sz w:val="13"/>
                <w:szCs w:val="13"/>
                <w:color w:val="auto"/>
              </w:rPr>
              <w:t>NORTHEAST (Pennsylvania)</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PA</w:t>
            </w:r>
          </w:p>
        </w:tc>
        <w:tc>
          <w:tcPr>
            <w:tcW w:w="60" w:type="dxa"/>
            <w:vAlign w:val="bottom"/>
          </w:tcPr>
          <w:p>
            <w:pPr>
              <w:spacing w:after="0"/>
              <w:rPr>
                <w:sz w:val="12"/>
                <w:szCs w:val="12"/>
                <w:color w:val="auto"/>
              </w:rPr>
            </w:pPr>
          </w:p>
        </w:tc>
        <w:tc>
          <w:tcPr>
            <w:tcW w:w="88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1,152</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10,596</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11,374</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1,153</w:t>
            </w:r>
          </w:p>
        </w:tc>
        <w:tc>
          <w:tcPr>
            <w:tcW w:w="9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21,969</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23,122</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15,369</w:t>
            </w: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1959</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08/30/83</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NORTH LAKE COMMONS</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(Illinois)</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IL</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2,782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2,749</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11,507</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14,135</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5,407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04/27/94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tcPr>
          <w:p>
            <w:pPr>
              <w:spacing w:after="0" w:line="141" w:lineRule="exact"/>
              <w:rPr>
                <w:sz w:val="20"/>
                <w:szCs w:val="20"/>
                <w:color w:val="auto"/>
              </w:rPr>
            </w:pPr>
            <w:r>
              <w:rPr>
                <w:rFonts w:ascii="Arial" w:cs="Arial" w:eastAsia="Arial" w:hAnsi="Arial"/>
                <w:sz w:val="13"/>
                <w:szCs w:val="13"/>
                <w:color w:val="auto"/>
              </w:rPr>
              <w:t>OLD KEENE MILL (Virginia)</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VA</w:t>
            </w:r>
          </w:p>
        </w:tc>
        <w:tc>
          <w:tcPr>
            <w:tcW w:w="60" w:type="dxa"/>
            <w:vAlign w:val="bottom"/>
          </w:tcPr>
          <w:p>
            <w:pPr>
              <w:spacing w:after="0"/>
              <w:rPr>
                <w:sz w:val="12"/>
                <w:szCs w:val="12"/>
                <w:color w:val="auto"/>
              </w:rPr>
            </w:pPr>
          </w:p>
        </w:tc>
        <w:tc>
          <w:tcPr>
            <w:tcW w:w="88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638</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998</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4,355</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638</w:t>
            </w:r>
          </w:p>
        </w:tc>
        <w:tc>
          <w:tcPr>
            <w:tcW w:w="9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5,353</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5,991</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4,530</w:t>
            </w: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1968</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06/15/76</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w w:val="94"/>
              </w:rPr>
              <w:t>33 1/3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OLD TOWN CENTER</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80"/>
              <w:spacing w:after="0" w:line="133"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3,420</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2,765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28,127</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3,420</w:t>
            </w:r>
          </w:p>
        </w:tc>
        <w:tc>
          <w:tcPr>
            <w:tcW w:w="9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30,892</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34,312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14,771</w:t>
            </w:r>
          </w:p>
        </w:tc>
        <w:tc>
          <w:tcPr>
            <w:tcW w:w="8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1962,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10/22/97</w:t>
            </w: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(California)</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1997-1998</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w w:val="97"/>
              </w:rPr>
              <w:t>PAN AM SHOPPING CENTER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(Virginia)</w:t>
            </w:r>
          </w:p>
        </w:tc>
        <w:tc>
          <w:tcPr>
            <w:tcW w:w="320" w:type="dxa"/>
            <w:vAlign w:val="bottom"/>
          </w:tcPr>
          <w:p>
            <w:pPr>
              <w:jc w:val="right"/>
              <w:spacing w:after="0"/>
              <w:rPr>
                <w:sz w:val="20"/>
                <w:szCs w:val="20"/>
                <w:color w:val="auto"/>
              </w:rPr>
            </w:pPr>
            <w:r>
              <w:rPr>
                <w:rFonts w:ascii="Arial" w:cs="Arial" w:eastAsia="Arial" w:hAnsi="Arial"/>
                <w:sz w:val="13"/>
                <w:szCs w:val="13"/>
                <w:color w:val="auto"/>
              </w:rPr>
              <w:t>VA</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8,694</w:t>
            </w:r>
          </w:p>
        </w:tc>
        <w:tc>
          <w:tcPr>
            <w:tcW w:w="800" w:type="dxa"/>
            <w:vAlign w:val="bottom"/>
          </w:tcPr>
          <w:p>
            <w:pPr>
              <w:jc w:val="right"/>
              <w:spacing w:after="0"/>
              <w:rPr>
                <w:sz w:val="20"/>
                <w:szCs w:val="20"/>
                <w:color w:val="auto"/>
              </w:rPr>
            </w:pPr>
            <w:r>
              <w:rPr>
                <w:rFonts w:ascii="Arial" w:cs="Arial" w:eastAsia="Arial" w:hAnsi="Arial"/>
                <w:sz w:val="13"/>
                <w:szCs w:val="13"/>
                <w:color w:val="auto"/>
              </w:rPr>
              <w:t>12,929</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6,901</w:t>
            </w:r>
          </w:p>
        </w:tc>
        <w:tc>
          <w:tcPr>
            <w:tcW w:w="700" w:type="dxa"/>
            <w:vAlign w:val="bottom"/>
          </w:tcPr>
          <w:p>
            <w:pPr>
              <w:jc w:val="right"/>
              <w:spacing w:after="0"/>
              <w:rPr>
                <w:sz w:val="20"/>
                <w:szCs w:val="20"/>
                <w:color w:val="auto"/>
              </w:rPr>
            </w:pPr>
            <w:r>
              <w:rPr>
                <w:rFonts w:ascii="Arial" w:cs="Arial" w:eastAsia="Arial" w:hAnsi="Arial"/>
                <w:sz w:val="13"/>
                <w:szCs w:val="13"/>
                <w:color w:val="auto"/>
              </w:rPr>
              <w:t>8,695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19,829</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28,524</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10,747</w:t>
            </w:r>
          </w:p>
        </w:tc>
        <w:tc>
          <w:tcPr>
            <w:tcW w:w="880" w:type="dxa"/>
            <w:vAlign w:val="bottom"/>
          </w:tcPr>
          <w:p>
            <w:pPr>
              <w:jc w:val="right"/>
              <w:spacing w:after="0"/>
              <w:rPr>
                <w:sz w:val="20"/>
                <w:szCs w:val="20"/>
                <w:color w:val="auto"/>
              </w:rPr>
            </w:pPr>
            <w:r>
              <w:rPr>
                <w:rFonts w:ascii="Arial" w:cs="Arial" w:eastAsia="Arial" w:hAnsi="Arial"/>
                <w:sz w:val="13"/>
                <w:szCs w:val="13"/>
                <w:color w:val="auto"/>
              </w:rPr>
              <w:t>1979</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02/05/93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PENTAGON ROW (Virginia)</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VA</w:t>
            </w:r>
          </w:p>
        </w:tc>
        <w:tc>
          <w:tcPr>
            <w:tcW w:w="94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53,437</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2,955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3"/>
                <w:szCs w:val="13"/>
                <w:color w:val="auto"/>
              </w:rPr>
              <w:t>85,710</w:t>
            </w:r>
          </w:p>
        </w:tc>
        <w:tc>
          <w:tcPr>
            <w:tcW w:w="7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88,665</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88,665</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28,580</w:t>
            </w:r>
          </w:p>
        </w:tc>
        <w:tc>
          <w:tcPr>
            <w:tcW w:w="10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3"/>
                <w:szCs w:val="13"/>
                <w:color w:val="auto"/>
              </w:rPr>
              <w:t>1999 - 2002</w:t>
            </w:r>
          </w:p>
        </w:tc>
        <w:tc>
          <w:tcPr>
            <w:tcW w:w="7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1998</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&amp; 11/22/10</w:t>
            </w: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760" w:type="dxa"/>
            <w:vAlign w:val="bottom"/>
            <w:gridSpan w:val="3"/>
          </w:tcPr>
          <w:p>
            <w:pPr>
              <w:spacing w:after="0" w:line="141" w:lineRule="exact"/>
              <w:rPr>
                <w:sz w:val="20"/>
                <w:szCs w:val="20"/>
                <w:color w:val="auto"/>
              </w:rPr>
            </w:pPr>
            <w:r>
              <w:rPr>
                <w:rFonts w:ascii="Arial" w:cs="Arial" w:eastAsia="Arial" w:hAnsi="Arial"/>
                <w:sz w:val="13"/>
                <w:szCs w:val="13"/>
                <w:color w:val="auto"/>
              </w:rPr>
              <w:t>PERRING PLAZA (Maryland)</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MD</w:t>
            </w:r>
          </w:p>
        </w:tc>
        <w:tc>
          <w:tcPr>
            <w:tcW w:w="60" w:type="dxa"/>
            <w:vAlign w:val="bottom"/>
          </w:tcPr>
          <w:p>
            <w:pPr>
              <w:spacing w:after="0"/>
              <w:rPr>
                <w:sz w:val="12"/>
                <w:szCs w:val="12"/>
                <w:color w:val="auto"/>
              </w:rPr>
            </w:pPr>
          </w:p>
        </w:tc>
        <w:tc>
          <w:tcPr>
            <w:tcW w:w="880" w:type="dxa"/>
            <w:vAlign w:val="bottom"/>
            <w:gridSpan w:val="2"/>
          </w:tcPr>
          <w:p>
            <w:pPr>
              <w:ind w:left="58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2,800</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6,461</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18,048</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2,800</w:t>
            </w:r>
          </w:p>
        </w:tc>
        <w:tc>
          <w:tcPr>
            <w:tcW w:w="9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24,509</w:t>
            </w:r>
          </w:p>
        </w:tc>
        <w:tc>
          <w:tcPr>
            <w:tcW w:w="1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27,309</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17,402</w:t>
            </w: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1963</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10/01/85</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PIKE 7 (Virginia)</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VA</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9,709</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22,799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2,956</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9,653</w:t>
            </w:r>
          </w:p>
        </w:tc>
        <w:tc>
          <w:tcPr>
            <w:tcW w:w="1040" w:type="dxa"/>
            <w:vAlign w:val="bottom"/>
            <w:gridSpan w:val="3"/>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25,811</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35,464</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10,643</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1968</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03/31/97</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rPr>
              <w:t>QUEEN ANNE PLAZA</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(Massachusetts)</w:t>
            </w:r>
          </w:p>
        </w:tc>
        <w:tc>
          <w:tcPr>
            <w:tcW w:w="320" w:type="dxa"/>
            <w:vAlign w:val="bottom"/>
          </w:tcPr>
          <w:p>
            <w:pPr>
              <w:jc w:val="right"/>
              <w:spacing w:after="0"/>
              <w:rPr>
                <w:sz w:val="20"/>
                <w:szCs w:val="20"/>
                <w:color w:val="auto"/>
              </w:rPr>
            </w:pPr>
            <w:r>
              <w:rPr>
                <w:rFonts w:ascii="Arial" w:cs="Arial" w:eastAsia="Arial" w:hAnsi="Arial"/>
                <w:sz w:val="13"/>
                <w:szCs w:val="13"/>
                <w:color w:val="auto"/>
              </w:rPr>
              <w:t>MA</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3,319</w:t>
            </w:r>
          </w:p>
        </w:tc>
        <w:tc>
          <w:tcPr>
            <w:tcW w:w="800" w:type="dxa"/>
            <w:vAlign w:val="bottom"/>
          </w:tcPr>
          <w:p>
            <w:pPr>
              <w:jc w:val="right"/>
              <w:spacing w:after="0"/>
              <w:rPr>
                <w:sz w:val="20"/>
                <w:szCs w:val="20"/>
                <w:color w:val="auto"/>
              </w:rPr>
            </w:pPr>
            <w:r>
              <w:rPr>
                <w:rFonts w:ascii="Arial" w:cs="Arial" w:eastAsia="Arial" w:hAnsi="Arial"/>
                <w:sz w:val="13"/>
                <w:szCs w:val="13"/>
                <w:color w:val="auto"/>
              </w:rPr>
              <w:t>8,457</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3,883</w:t>
            </w:r>
          </w:p>
        </w:tc>
        <w:tc>
          <w:tcPr>
            <w:tcW w:w="700" w:type="dxa"/>
            <w:vAlign w:val="bottom"/>
          </w:tcPr>
          <w:p>
            <w:pPr>
              <w:jc w:val="right"/>
              <w:spacing w:after="0"/>
              <w:rPr>
                <w:sz w:val="20"/>
                <w:szCs w:val="20"/>
                <w:color w:val="auto"/>
              </w:rPr>
            </w:pPr>
            <w:r>
              <w:rPr>
                <w:rFonts w:ascii="Arial" w:cs="Arial" w:eastAsia="Arial" w:hAnsi="Arial"/>
                <w:sz w:val="13"/>
                <w:szCs w:val="13"/>
                <w:color w:val="auto"/>
              </w:rPr>
              <w:t>3,319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12,340</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15,659</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6,871</w:t>
            </w:r>
          </w:p>
        </w:tc>
        <w:tc>
          <w:tcPr>
            <w:tcW w:w="880" w:type="dxa"/>
            <w:vAlign w:val="bottom"/>
          </w:tcPr>
          <w:p>
            <w:pPr>
              <w:jc w:val="right"/>
              <w:spacing w:after="0"/>
              <w:rPr>
                <w:sz w:val="20"/>
                <w:szCs w:val="20"/>
                <w:color w:val="auto"/>
              </w:rPr>
            </w:pPr>
            <w:r>
              <w:rPr>
                <w:rFonts w:ascii="Arial" w:cs="Arial" w:eastAsia="Arial" w:hAnsi="Arial"/>
                <w:sz w:val="13"/>
                <w:szCs w:val="13"/>
                <w:color w:val="auto"/>
              </w:rPr>
              <w:t>1967</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12/23/94</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QUINCE ORCHARD PLAZA</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3,197</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10,653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18,871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21,799</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11,698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04/22/93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w w:val="99"/>
              </w:rPr>
              <w:t>ROCKVILLE TOWN SQUARE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tcPr>
          <w:p>
            <w:pPr>
              <w:jc w:val="right"/>
              <w:spacing w:after="0"/>
              <w:rPr>
                <w:sz w:val="20"/>
                <w:szCs w:val="20"/>
                <w:color w:val="auto"/>
              </w:rPr>
            </w:pPr>
            <w:r>
              <w:rPr>
                <w:rFonts w:ascii="Arial" w:cs="Arial" w:eastAsia="Arial" w:hAnsi="Arial"/>
                <w:sz w:val="13"/>
                <w:szCs w:val="13"/>
                <w:color w:val="auto"/>
              </w:rPr>
              <w:t>MD</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8,092</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29,207</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37,299</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37,299</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4,706</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2005-2007</w:t>
            </w:r>
          </w:p>
        </w:tc>
        <w:tc>
          <w:tcPr>
            <w:tcW w:w="72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50 years</w:t>
            </w:r>
          </w:p>
        </w:tc>
        <w:tc>
          <w:tcPr>
            <w:tcW w:w="0" w:type="dxa"/>
            <w:vAlign w:val="bottom"/>
          </w:tcPr>
          <w:p>
            <w:pPr>
              <w:spacing w:after="0"/>
              <w:rPr>
                <w:sz w:val="1"/>
                <w:szCs w:val="1"/>
                <w:color w:val="auto"/>
              </w:rPr>
            </w:pPr>
          </w:p>
        </w:tc>
      </w:tr>
      <w:tr>
        <w:trPr>
          <w:trHeight w:val="132"/>
        </w:trPr>
        <w:tc>
          <w:tcPr>
            <w:tcW w:w="176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ROLLINGWOOD APTS.</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23,567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552</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5,560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7,786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6,574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1960</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01/15/71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 years</w:t>
            </w:r>
          </w:p>
        </w:tc>
        <w:tc>
          <w:tcPr>
            <w:tcW w:w="0" w:type="dxa"/>
            <w:vAlign w:val="bottom"/>
          </w:tcPr>
          <w:p>
            <w:pPr>
              <w:spacing w:after="0"/>
              <w:rPr>
                <w:sz w:val="1"/>
                <w:szCs w:val="1"/>
                <w:color w:val="auto"/>
              </w:rPr>
            </w:pPr>
          </w:p>
        </w:tc>
      </w:tr>
      <w:tr>
        <w:trPr>
          <w:trHeight w:val="132"/>
        </w:trPr>
        <w:tc>
          <w:tcPr>
            <w:tcW w:w="1760" w:type="dxa"/>
            <w:vAlign w:val="bottom"/>
            <w:gridSpan w:val="3"/>
          </w:tcPr>
          <w:p>
            <w:pPr>
              <w:spacing w:after="0" w:line="133" w:lineRule="exact"/>
              <w:rPr>
                <w:sz w:val="20"/>
                <w:szCs w:val="20"/>
                <w:color w:val="auto"/>
              </w:rPr>
            </w:pPr>
            <w:r>
              <w:rPr>
                <w:rFonts w:ascii="Arial" w:cs="Arial" w:eastAsia="Arial" w:hAnsi="Arial"/>
                <w:sz w:val="13"/>
                <w:szCs w:val="13"/>
                <w:color w:val="auto"/>
                <w:w w:val="97"/>
              </w:rPr>
              <w:t>SAM'S PARK &amp; SHOP (District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760" w:type="dxa"/>
            <w:vAlign w:val="bottom"/>
            <w:gridSpan w:val="3"/>
          </w:tcPr>
          <w:p>
            <w:pPr>
              <w:ind w:left="200"/>
              <w:spacing w:after="0"/>
              <w:rPr>
                <w:sz w:val="20"/>
                <w:szCs w:val="20"/>
                <w:color w:val="auto"/>
              </w:rPr>
            </w:pPr>
            <w:r>
              <w:rPr>
                <w:rFonts w:ascii="Arial" w:cs="Arial" w:eastAsia="Arial" w:hAnsi="Arial"/>
                <w:sz w:val="13"/>
                <w:szCs w:val="13"/>
                <w:color w:val="auto"/>
              </w:rPr>
              <w:t>of Columbia)</w:t>
            </w:r>
          </w:p>
        </w:tc>
        <w:tc>
          <w:tcPr>
            <w:tcW w:w="320" w:type="dxa"/>
            <w:vAlign w:val="bottom"/>
          </w:tcPr>
          <w:p>
            <w:pPr>
              <w:jc w:val="right"/>
              <w:spacing w:after="0"/>
              <w:rPr>
                <w:sz w:val="20"/>
                <w:szCs w:val="20"/>
                <w:color w:val="auto"/>
              </w:rPr>
            </w:pPr>
            <w:r>
              <w:rPr>
                <w:rFonts w:ascii="Arial" w:cs="Arial" w:eastAsia="Arial" w:hAnsi="Arial"/>
                <w:sz w:val="13"/>
                <w:szCs w:val="13"/>
                <w:color w:val="auto"/>
              </w:rPr>
              <w:t>DC</w:t>
            </w:r>
          </w:p>
        </w:tc>
        <w:tc>
          <w:tcPr>
            <w:tcW w:w="60" w:type="dxa"/>
            <w:vAlign w:val="bottom"/>
          </w:tcPr>
          <w:p>
            <w:pPr>
              <w:spacing w:after="0"/>
              <w:rPr>
                <w:sz w:val="13"/>
                <w:szCs w:val="13"/>
                <w:color w:val="auto"/>
              </w:rPr>
            </w:pPr>
          </w:p>
        </w:tc>
        <w:tc>
          <w:tcPr>
            <w:tcW w:w="8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4,840</w:t>
            </w:r>
          </w:p>
        </w:tc>
        <w:tc>
          <w:tcPr>
            <w:tcW w:w="800" w:type="dxa"/>
            <w:vAlign w:val="bottom"/>
          </w:tcPr>
          <w:p>
            <w:pPr>
              <w:jc w:val="right"/>
              <w:spacing w:after="0"/>
              <w:rPr>
                <w:sz w:val="20"/>
                <w:szCs w:val="20"/>
                <w:color w:val="auto"/>
              </w:rPr>
            </w:pPr>
            <w:r>
              <w:rPr>
                <w:rFonts w:ascii="Arial" w:cs="Arial" w:eastAsia="Arial" w:hAnsi="Arial"/>
                <w:sz w:val="13"/>
                <w:szCs w:val="13"/>
                <w:color w:val="auto"/>
              </w:rPr>
              <w:t>6,319</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1,391</w:t>
            </w:r>
          </w:p>
        </w:tc>
        <w:tc>
          <w:tcPr>
            <w:tcW w:w="700" w:type="dxa"/>
            <w:vAlign w:val="bottom"/>
          </w:tcPr>
          <w:p>
            <w:pPr>
              <w:jc w:val="right"/>
              <w:spacing w:after="0"/>
              <w:rPr>
                <w:sz w:val="20"/>
                <w:szCs w:val="20"/>
                <w:color w:val="auto"/>
              </w:rPr>
            </w:pPr>
            <w:r>
              <w:rPr>
                <w:rFonts w:ascii="Arial" w:cs="Arial" w:eastAsia="Arial" w:hAnsi="Arial"/>
                <w:sz w:val="13"/>
                <w:szCs w:val="13"/>
                <w:color w:val="auto"/>
              </w:rPr>
              <w:t>4,840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7,710</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12,550</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3,361</w:t>
            </w:r>
          </w:p>
        </w:tc>
        <w:tc>
          <w:tcPr>
            <w:tcW w:w="880" w:type="dxa"/>
            <w:vAlign w:val="bottom"/>
          </w:tcPr>
          <w:p>
            <w:pPr>
              <w:jc w:val="right"/>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12/01/95</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76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SANTANA ROW (California)</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41,969</w:t>
            </w:r>
          </w:p>
        </w:tc>
        <w:tc>
          <w:tcPr>
            <w:tcW w:w="8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1,161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507,180</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49,725</w:t>
            </w:r>
          </w:p>
        </w:tc>
        <w:tc>
          <w:tcPr>
            <w:tcW w:w="9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500,585</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3"/>
              </w:rPr>
              <w:t>550,310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83,274</w:t>
            </w:r>
          </w:p>
        </w:tc>
        <w:tc>
          <w:tcPr>
            <w:tcW w:w="10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1999-2010</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03/05/97</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w w:val="89"/>
              </w:rPr>
              <w:t>40 - 50 years</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5"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III</w:t>
      </w:r>
    </w:p>
    <w:p>
      <w:pPr>
        <w:jc w:val="center"/>
        <w:spacing w:after="0" w:line="229" w:lineRule="auto"/>
        <w:rPr>
          <w:sz w:val="20"/>
          <w:szCs w:val="20"/>
          <w:color w:val="auto"/>
        </w:rPr>
      </w:pPr>
      <w:r>
        <w:rPr>
          <w:rFonts w:ascii="Arial" w:cs="Arial" w:eastAsia="Arial" w:hAnsi="Arial"/>
          <w:sz w:val="21"/>
          <w:szCs w:val="21"/>
          <w:b w:val="1"/>
          <w:bCs w:val="1"/>
          <w:color w:val="auto"/>
        </w:rPr>
        <w:t>SUMMARY OF REAL ESTATE AND ACCUMULATED</w:t>
      </w:r>
    </w:p>
    <w:p>
      <w:pPr>
        <w:jc w:val="center"/>
        <w:spacing w:after="0"/>
        <w:rPr>
          <w:sz w:val="20"/>
          <w:szCs w:val="20"/>
          <w:color w:val="auto"/>
        </w:rPr>
      </w:pPr>
      <w:r>
        <w:rPr>
          <w:rFonts w:ascii="Arial" w:cs="Arial" w:eastAsia="Arial" w:hAnsi="Arial"/>
          <w:sz w:val="21"/>
          <w:szCs w:val="21"/>
          <w:b w:val="1"/>
          <w:bCs w:val="1"/>
          <w:color w:val="auto"/>
        </w:rPr>
        <w:t>DEPRECIATION—CONTINUED</w:t>
      </w:r>
    </w:p>
    <w:p>
      <w:pPr>
        <w:ind w:left="4920"/>
        <w:spacing w:after="0"/>
        <w:rPr>
          <w:sz w:val="20"/>
          <w:szCs w:val="20"/>
          <w:color w:val="auto"/>
        </w:rPr>
      </w:pPr>
      <w:r>
        <w:rPr>
          <w:rFonts w:ascii="Arial" w:cs="Arial" w:eastAsia="Arial" w:hAnsi="Arial"/>
          <w:sz w:val="17"/>
          <w:szCs w:val="17"/>
          <w:b w:val="1"/>
          <w:bCs w:val="1"/>
          <w:color w:val="auto"/>
        </w:rPr>
        <w:t>DECEMBER 31, 2010</w:t>
      </w:r>
    </w:p>
    <w:p>
      <w:pPr>
        <w:spacing w:after="0" w:line="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800" w:type="dxa"/>
            <w:vAlign w:val="bottom"/>
            <w:gridSpan w:val="3"/>
          </w:tcPr>
          <w:p>
            <w:pPr>
              <w:spacing w:after="0"/>
              <w:rPr>
                <w:sz w:val="20"/>
                <w:szCs w:val="20"/>
                <w:color w:val="auto"/>
              </w:rPr>
            </w:pPr>
            <w:r>
              <w:rPr>
                <w:rFonts w:ascii="Arial" w:cs="Arial" w:eastAsia="Arial" w:hAnsi="Arial"/>
                <w:sz w:val="13"/>
                <w:szCs w:val="13"/>
                <w:b w:val="1"/>
                <w:bCs w:val="1"/>
                <w:color w:val="auto"/>
              </w:rPr>
              <w:t>COLUMN A</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40"/>
              <w:spacing w:after="0"/>
              <w:rPr>
                <w:sz w:val="20"/>
                <w:szCs w:val="20"/>
                <w:color w:val="auto"/>
              </w:rPr>
            </w:pPr>
            <w:r>
              <w:rPr>
                <w:rFonts w:ascii="Arial" w:cs="Arial" w:eastAsia="Arial" w:hAnsi="Arial"/>
                <w:sz w:val="13"/>
                <w:szCs w:val="13"/>
                <w:b w:val="1"/>
                <w:bCs w:val="1"/>
                <w:color w:val="auto"/>
              </w:rPr>
              <w:t>COLUMN B</w:t>
            </w:r>
          </w:p>
        </w:tc>
        <w:tc>
          <w:tcPr>
            <w:tcW w:w="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D</w:t>
            </w:r>
          </w:p>
        </w:tc>
        <w:tc>
          <w:tcPr>
            <w:tcW w:w="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98"/>
              </w:rPr>
              <w:t>COLUMN E</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COLUMN F</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COLUMN H</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21"/>
        </w:trPr>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3"/>
                <w:szCs w:val="13"/>
                <w:b w:val="1"/>
                <w:bCs w:val="1"/>
                <w:color w:val="auto"/>
                <w:w w:val="93"/>
              </w:rPr>
              <w:t>Life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gridSpan w:val="8"/>
            <w:vMerge w:val="restart"/>
          </w:tcPr>
          <w:p>
            <w:pPr>
              <w:jc w:val="center"/>
              <w:ind w:right="120"/>
              <w:spacing w:after="0"/>
              <w:rPr>
                <w:sz w:val="20"/>
                <w:szCs w:val="20"/>
                <w:color w:val="auto"/>
              </w:rPr>
            </w:pPr>
            <w:r>
              <w:rPr>
                <w:rFonts w:ascii="Arial" w:cs="Arial" w:eastAsia="Arial" w:hAnsi="Arial"/>
                <w:sz w:val="13"/>
                <w:szCs w:val="13"/>
                <w:b w:val="1"/>
                <w:bCs w:val="1"/>
                <w:color w:val="auto"/>
                <w:w w:val="89"/>
              </w:rPr>
              <w:t>Gross amount at which carried at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gridSpan w:val="8"/>
            <w:vMerge w:val="continue"/>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54"/>
        </w:trPr>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Initial cost to company</w:t>
            </w:r>
          </w:p>
        </w:tc>
        <w:tc>
          <w:tcPr>
            <w:tcW w:w="12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Cost</w:t>
            </w:r>
          </w:p>
        </w:tc>
        <w:tc>
          <w:tcPr>
            <w:tcW w:w="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6"/>
              </w:rPr>
              <w:t>close of period</w:t>
            </w: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in latest</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90"/>
              </w:rPr>
              <w:t>Capitalized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w w:val="88"/>
              </w:rPr>
              <w:t>Accumulated</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40"/>
              <w:spacing w:after="0" w:line="121" w:lineRule="exact"/>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85"/>
              </w:rPr>
              <w:t>Subsequent</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8"/>
              </w:rPr>
              <w:t>Depreciation</w:t>
            </w: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41"/>
        </w:trPr>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w w:val="93"/>
              </w:rPr>
              <w:t>Building and</w:t>
            </w:r>
          </w:p>
        </w:tc>
        <w:tc>
          <w:tcPr>
            <w:tcW w:w="120" w:type="dxa"/>
            <w:vAlign w:val="bottom"/>
          </w:tcPr>
          <w:p>
            <w:pPr>
              <w:spacing w:after="0"/>
              <w:rPr>
                <w:sz w:val="12"/>
                <w:szCs w:val="12"/>
                <w:color w:val="auto"/>
              </w:rPr>
            </w:pPr>
          </w:p>
        </w:tc>
        <w:tc>
          <w:tcPr>
            <w:tcW w:w="80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81"/>
              </w:rPr>
              <w:t>to</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88"/>
              </w:rPr>
              <w:t>Building and</w:t>
            </w: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86"/>
              </w:rPr>
              <w:t>and</w:t>
            </w:r>
          </w:p>
        </w:tc>
        <w:tc>
          <w:tcPr>
            <w:tcW w:w="8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81"/>
              </w:rPr>
              <w:t>of</w:t>
            </w:r>
          </w:p>
        </w:tc>
        <w:tc>
          <w:tcPr>
            <w:tcW w:w="82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2"/>
              </w:rPr>
              <w:t>Date</w:t>
            </w:r>
          </w:p>
        </w:tc>
        <w:tc>
          <w:tcPr>
            <w:tcW w:w="76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54"/>
        </w:trPr>
        <w:tc>
          <w:tcPr>
            <w:tcW w:w="1800" w:type="dxa"/>
            <w:vAlign w:val="bottom"/>
            <w:gridSpan w:val="3"/>
          </w:tcPr>
          <w:p>
            <w:pPr>
              <w:spacing w:after="0"/>
              <w:rPr>
                <w:sz w:val="20"/>
                <w:szCs w:val="20"/>
                <w:color w:val="auto"/>
              </w:rPr>
            </w:pPr>
            <w:r>
              <w:rPr>
                <w:rFonts w:ascii="Arial" w:cs="Arial" w:eastAsia="Arial" w:hAnsi="Arial"/>
                <w:sz w:val="13"/>
                <w:szCs w:val="13"/>
                <w:b w:val="1"/>
                <w:bCs w:val="1"/>
                <w:color w:val="auto"/>
              </w:rPr>
              <w:t>Descriptions</w:t>
            </w:r>
          </w:p>
        </w:tc>
        <w:tc>
          <w:tcPr>
            <w:tcW w:w="320" w:type="dxa"/>
            <w:vAlign w:val="bottom"/>
          </w:tcPr>
          <w:p>
            <w:pPr>
              <w:spacing w:after="0"/>
              <w:rPr>
                <w:sz w:val="13"/>
                <w:szCs w:val="13"/>
                <w:color w:val="auto"/>
              </w:rPr>
            </w:pPr>
          </w:p>
        </w:tc>
        <w:tc>
          <w:tcPr>
            <w:tcW w:w="900" w:type="dxa"/>
            <w:vAlign w:val="bottom"/>
            <w:gridSpan w:val="4"/>
          </w:tcPr>
          <w:p>
            <w:pPr>
              <w:ind w:left="60"/>
              <w:spacing w:after="0"/>
              <w:rPr>
                <w:sz w:val="20"/>
                <w:szCs w:val="20"/>
                <w:color w:val="auto"/>
              </w:rPr>
            </w:pPr>
            <w:r>
              <w:rPr>
                <w:rFonts w:ascii="Arial" w:cs="Arial" w:eastAsia="Arial" w:hAnsi="Arial"/>
                <w:sz w:val="13"/>
                <w:szCs w:val="13"/>
                <w:b w:val="1"/>
                <w:bCs w:val="1"/>
                <w:color w:val="auto"/>
                <w:w w:val="95"/>
              </w:rPr>
              <w:t>Encumbrance</w:t>
            </w:r>
          </w:p>
        </w:tc>
        <w:tc>
          <w:tcPr>
            <w:tcW w:w="60" w:type="dxa"/>
            <w:vAlign w:val="bottom"/>
          </w:tcPr>
          <w:p>
            <w:pPr>
              <w:spacing w:after="0"/>
              <w:rPr>
                <w:sz w:val="13"/>
                <w:szCs w:val="13"/>
                <w:color w:val="auto"/>
              </w:rPr>
            </w:pPr>
          </w:p>
        </w:tc>
        <w:tc>
          <w:tcPr>
            <w:tcW w:w="820" w:type="dxa"/>
            <w:vAlign w:val="bottom"/>
            <w:gridSpan w:val="2"/>
          </w:tcPr>
          <w:p>
            <w:pPr>
              <w:ind w:left="20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2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Acquisition</w:t>
            </w:r>
          </w:p>
        </w:tc>
        <w:tc>
          <w:tcPr>
            <w:tcW w:w="4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3"/>
                <w:szCs w:val="13"/>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4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Amortization</w:t>
            </w:r>
          </w:p>
        </w:tc>
        <w:tc>
          <w:tcPr>
            <w:tcW w:w="8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Construction</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800" w:type="dxa"/>
            <w:vAlign w:val="bottom"/>
            <w:gridSpan w:val="3"/>
            <w:shd w:val="clear" w:color="auto" w:fill="CCEEFF"/>
          </w:tcPr>
          <w:p>
            <w:pPr>
              <w:spacing w:after="0" w:line="134" w:lineRule="exact"/>
              <w:rPr>
                <w:sz w:val="20"/>
                <w:szCs w:val="20"/>
                <w:color w:val="auto"/>
              </w:rPr>
            </w:pPr>
            <w:r>
              <w:rPr>
                <w:rFonts w:ascii="Arial" w:cs="Arial" w:eastAsia="Arial" w:hAnsi="Arial"/>
                <w:sz w:val="13"/>
                <w:szCs w:val="13"/>
                <w:color w:val="auto"/>
              </w:rPr>
              <w:t>SAUGUS (Massachusetts)</w:t>
            </w: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MA</w:t>
            </w: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4,383</w:t>
            </w:r>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8,291</w:t>
            </w:r>
          </w:p>
        </w:tc>
        <w:tc>
          <w:tcPr>
            <w:tcW w:w="92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3"/>
                <w:szCs w:val="13"/>
                <w:color w:val="auto"/>
              </w:rPr>
              <w:t>1,218</w:t>
            </w:r>
          </w:p>
        </w:tc>
        <w:tc>
          <w:tcPr>
            <w:tcW w:w="780" w:type="dxa"/>
            <w:vAlign w:val="bottom"/>
            <w:gridSpan w:val="3"/>
            <w:shd w:val="clear" w:color="auto" w:fill="CCEEFF"/>
          </w:tcPr>
          <w:p>
            <w:pPr>
              <w:jc w:val="right"/>
              <w:ind w:right="40"/>
              <w:spacing w:after="0" w:line="134" w:lineRule="exact"/>
              <w:rPr>
                <w:sz w:val="20"/>
                <w:szCs w:val="20"/>
                <w:color w:val="auto"/>
              </w:rPr>
            </w:pPr>
            <w:r>
              <w:rPr>
                <w:rFonts w:ascii="Arial" w:cs="Arial" w:eastAsia="Arial" w:hAnsi="Arial"/>
                <w:sz w:val="13"/>
                <w:szCs w:val="13"/>
                <w:color w:val="auto"/>
              </w:rPr>
              <w:t>4,383</w:t>
            </w:r>
          </w:p>
        </w:tc>
        <w:tc>
          <w:tcPr>
            <w:tcW w:w="9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9,509</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3"/>
                <w:szCs w:val="13"/>
                <w:color w:val="auto"/>
              </w:rPr>
              <w:t>13,892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3,912</w:t>
            </w:r>
          </w:p>
        </w:tc>
        <w:tc>
          <w:tcPr>
            <w:tcW w:w="860" w:type="dxa"/>
            <w:vAlign w:val="bottom"/>
            <w:gridSpan w:val="2"/>
            <w:shd w:val="clear" w:color="auto" w:fill="CCEEFF"/>
          </w:tcPr>
          <w:p>
            <w:pPr>
              <w:jc w:val="right"/>
              <w:ind w:right="120"/>
              <w:spacing w:after="0" w:line="134" w:lineRule="exact"/>
              <w:rPr>
                <w:sz w:val="20"/>
                <w:szCs w:val="20"/>
                <w:color w:val="auto"/>
              </w:rPr>
            </w:pPr>
            <w:r>
              <w:rPr>
                <w:rFonts w:ascii="Arial" w:cs="Arial" w:eastAsia="Arial" w:hAnsi="Arial"/>
                <w:sz w:val="13"/>
                <w:szCs w:val="13"/>
                <w:color w:val="auto"/>
              </w:rPr>
              <w:t>1976</w:t>
            </w:r>
          </w:p>
        </w:tc>
        <w:tc>
          <w:tcPr>
            <w:tcW w:w="8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3"/>
                <w:szCs w:val="13"/>
                <w:color w:val="auto"/>
              </w:rPr>
              <w:t>10/01/96</w:t>
            </w:r>
          </w:p>
        </w:tc>
        <w:tc>
          <w:tcPr>
            <w:tcW w:w="76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tcPr>
          <w:p>
            <w:pPr>
              <w:spacing w:after="0" w:line="133" w:lineRule="exact"/>
              <w:rPr>
                <w:sz w:val="20"/>
                <w:szCs w:val="20"/>
                <w:color w:val="auto"/>
              </w:rPr>
            </w:pPr>
            <w:r>
              <w:rPr>
                <w:rFonts w:ascii="Arial" w:cs="Arial" w:eastAsia="Arial" w:hAnsi="Arial"/>
                <w:sz w:val="13"/>
                <w:szCs w:val="13"/>
                <w:color w:val="auto"/>
              </w:rPr>
              <w:t>VILLAGE AT SHIRLINGTON</w:t>
            </w:r>
          </w:p>
        </w:tc>
        <w:tc>
          <w:tcPr>
            <w:tcW w:w="320" w:type="dxa"/>
            <w:vAlign w:val="bottom"/>
          </w:tcPr>
          <w:p>
            <w:pPr>
              <w:jc w:val="right"/>
              <w:spacing w:after="0" w:line="133" w:lineRule="exact"/>
              <w:rPr>
                <w:sz w:val="20"/>
                <w:szCs w:val="20"/>
                <w:color w:val="auto"/>
              </w:rPr>
            </w:pPr>
            <w:r>
              <w:rPr>
                <w:rFonts w:ascii="Arial" w:cs="Arial" w:eastAsia="Arial" w:hAnsi="Arial"/>
                <w:sz w:val="13"/>
                <w:szCs w:val="13"/>
                <w:color w:val="auto"/>
              </w:rPr>
              <w:t>VA</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6,327</w:t>
            </w:r>
          </w:p>
        </w:tc>
        <w:tc>
          <w:tcPr>
            <w:tcW w:w="880" w:type="dxa"/>
            <w:vAlign w:val="bottom"/>
            <w:gridSpan w:val="3"/>
          </w:tcPr>
          <w:p>
            <w:pPr>
              <w:jc w:val="right"/>
              <w:ind w:right="100"/>
              <w:spacing w:after="0" w:line="133" w:lineRule="exact"/>
              <w:rPr>
                <w:sz w:val="20"/>
                <w:szCs w:val="20"/>
                <w:color w:val="auto"/>
              </w:rPr>
            </w:pPr>
            <w:r>
              <w:rPr>
                <w:rFonts w:ascii="Arial" w:cs="Arial" w:eastAsia="Arial" w:hAnsi="Arial"/>
                <w:sz w:val="13"/>
                <w:szCs w:val="13"/>
                <w:color w:val="auto"/>
              </w:rPr>
              <w:t>9,761</w:t>
            </w:r>
          </w:p>
        </w:tc>
        <w:tc>
          <w:tcPr>
            <w:tcW w:w="820" w:type="dxa"/>
            <w:vAlign w:val="bottom"/>
          </w:tcPr>
          <w:p>
            <w:pPr>
              <w:jc w:val="right"/>
              <w:spacing w:after="0" w:line="133" w:lineRule="exact"/>
              <w:rPr>
                <w:sz w:val="20"/>
                <w:szCs w:val="20"/>
                <w:color w:val="auto"/>
              </w:rPr>
            </w:pPr>
            <w:r>
              <w:rPr>
                <w:rFonts w:ascii="Arial" w:cs="Arial" w:eastAsia="Arial" w:hAnsi="Arial"/>
                <w:sz w:val="13"/>
                <w:szCs w:val="13"/>
                <w:color w:val="auto"/>
              </w:rPr>
              <w:t>14,808</w:t>
            </w:r>
          </w:p>
        </w:tc>
        <w:tc>
          <w:tcPr>
            <w:tcW w:w="920" w:type="dxa"/>
            <w:vAlign w:val="bottom"/>
            <w:gridSpan w:val="3"/>
          </w:tcPr>
          <w:p>
            <w:pPr>
              <w:jc w:val="right"/>
              <w:ind w:right="80"/>
              <w:spacing w:after="0" w:line="133" w:lineRule="exact"/>
              <w:rPr>
                <w:sz w:val="20"/>
                <w:szCs w:val="20"/>
                <w:color w:val="auto"/>
              </w:rPr>
            </w:pPr>
            <w:r>
              <w:rPr>
                <w:rFonts w:ascii="Arial" w:cs="Arial" w:eastAsia="Arial" w:hAnsi="Arial"/>
                <w:sz w:val="13"/>
                <w:szCs w:val="13"/>
                <w:color w:val="auto"/>
              </w:rPr>
              <w:t>29,205</w:t>
            </w:r>
          </w:p>
        </w:tc>
        <w:tc>
          <w:tcPr>
            <w:tcW w:w="780" w:type="dxa"/>
            <w:vAlign w:val="bottom"/>
            <w:gridSpan w:val="3"/>
          </w:tcPr>
          <w:p>
            <w:pPr>
              <w:jc w:val="right"/>
              <w:ind w:right="40"/>
              <w:spacing w:after="0" w:line="133" w:lineRule="exact"/>
              <w:rPr>
                <w:sz w:val="20"/>
                <w:szCs w:val="20"/>
                <w:color w:val="auto"/>
              </w:rPr>
            </w:pPr>
            <w:r>
              <w:rPr>
                <w:rFonts w:ascii="Arial" w:cs="Arial" w:eastAsia="Arial" w:hAnsi="Arial"/>
                <w:sz w:val="13"/>
                <w:szCs w:val="13"/>
                <w:color w:val="auto"/>
              </w:rPr>
              <w:t>5,798</w:t>
            </w:r>
          </w:p>
        </w:tc>
        <w:tc>
          <w:tcPr>
            <w:tcW w:w="90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47,976</w:t>
            </w:r>
          </w:p>
        </w:tc>
        <w:tc>
          <w:tcPr>
            <w:tcW w:w="60" w:type="dxa"/>
            <w:vAlign w:val="bottom"/>
          </w:tcPr>
          <w:p>
            <w:pPr>
              <w:spacing w:after="0"/>
              <w:rPr>
                <w:sz w:val="11"/>
                <w:szCs w:val="11"/>
                <w:color w:val="auto"/>
              </w:rPr>
            </w:pPr>
          </w:p>
        </w:tc>
        <w:tc>
          <w:tcPr>
            <w:tcW w:w="620" w:type="dxa"/>
            <w:vAlign w:val="bottom"/>
            <w:gridSpan w:val="2"/>
          </w:tcPr>
          <w:p>
            <w:pPr>
              <w:jc w:val="right"/>
              <w:spacing w:after="0" w:line="133" w:lineRule="exact"/>
              <w:rPr>
                <w:sz w:val="20"/>
                <w:szCs w:val="20"/>
                <w:color w:val="auto"/>
              </w:rPr>
            </w:pPr>
            <w:r>
              <w:rPr>
                <w:rFonts w:ascii="Arial" w:cs="Arial" w:eastAsia="Arial" w:hAnsi="Arial"/>
                <w:sz w:val="13"/>
                <w:szCs w:val="13"/>
                <w:color w:val="auto"/>
              </w:rPr>
              <w:t>53,774</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13,483</w:t>
            </w:r>
          </w:p>
        </w:tc>
        <w:tc>
          <w:tcPr>
            <w:tcW w:w="860" w:type="dxa"/>
            <w:vAlign w:val="bottom"/>
            <w:gridSpan w:val="2"/>
          </w:tcPr>
          <w:p>
            <w:pPr>
              <w:jc w:val="right"/>
              <w:ind w:right="120"/>
              <w:spacing w:after="0" w:line="133" w:lineRule="exact"/>
              <w:rPr>
                <w:sz w:val="20"/>
                <w:szCs w:val="20"/>
                <w:color w:val="auto"/>
              </w:rPr>
            </w:pPr>
            <w:r>
              <w:rPr>
                <w:rFonts w:ascii="Arial" w:cs="Arial" w:eastAsia="Arial" w:hAnsi="Arial"/>
                <w:sz w:val="13"/>
                <w:szCs w:val="13"/>
                <w:color w:val="auto"/>
              </w:rPr>
              <w:t>1940,</w:t>
            </w:r>
          </w:p>
        </w:tc>
        <w:tc>
          <w:tcPr>
            <w:tcW w:w="820" w:type="dxa"/>
            <w:vAlign w:val="bottom"/>
            <w:gridSpan w:val="2"/>
          </w:tcPr>
          <w:p>
            <w:pPr>
              <w:jc w:val="right"/>
              <w:ind w:right="100"/>
              <w:spacing w:after="0" w:line="133" w:lineRule="exact"/>
              <w:rPr>
                <w:sz w:val="20"/>
                <w:szCs w:val="20"/>
                <w:color w:val="auto"/>
              </w:rPr>
            </w:pPr>
            <w:r>
              <w:rPr>
                <w:rFonts w:ascii="Arial" w:cs="Arial" w:eastAsia="Arial" w:hAnsi="Arial"/>
                <w:sz w:val="13"/>
                <w:szCs w:val="13"/>
                <w:color w:val="auto"/>
              </w:rPr>
              <w:t>12/21/95</w:t>
            </w:r>
          </w:p>
        </w:tc>
        <w:tc>
          <w:tcPr>
            <w:tcW w:w="760" w:type="dxa"/>
            <w:vAlign w:val="bottom"/>
            <w:gridSpan w:val="2"/>
          </w:tcPr>
          <w:p>
            <w:pPr>
              <w:jc w:val="right"/>
              <w:ind w:right="60"/>
              <w:spacing w:after="0" w:line="133"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50"/>
        </w:trPr>
        <w:tc>
          <w:tcPr>
            <w:tcW w:w="1800" w:type="dxa"/>
            <w:vAlign w:val="bottom"/>
            <w:gridSpan w:val="3"/>
          </w:tcPr>
          <w:p>
            <w:pPr>
              <w:ind w:left="200"/>
              <w:spacing w:after="0"/>
              <w:rPr>
                <w:sz w:val="20"/>
                <w:szCs w:val="20"/>
                <w:color w:val="auto"/>
              </w:rPr>
            </w:pPr>
            <w:r>
              <w:rPr>
                <w:rFonts w:ascii="Arial" w:cs="Arial" w:eastAsia="Arial" w:hAnsi="Arial"/>
                <w:sz w:val="13"/>
                <w:szCs w:val="13"/>
                <w:color w:val="auto"/>
              </w:rPr>
              <w:t>(Virginia)</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2006-2009</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w w:val="98"/>
              </w:rPr>
              <w:t>SHOPPERS WORLD (Virginia)</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VA</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5,551</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10,211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18,863</w:t>
            </w:r>
          </w:p>
        </w:tc>
        <w:tc>
          <w:tcPr>
            <w:tcW w:w="92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1,147</w:t>
            </w:r>
          </w:p>
        </w:tc>
        <w:tc>
          <w:tcPr>
            <w:tcW w:w="78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10,225</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19,996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30,221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2,519</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1975-2001</w:t>
            </w: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05/30/07</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tcPr>
          <w:p>
            <w:pPr>
              <w:spacing w:after="0" w:line="133" w:lineRule="exact"/>
              <w:rPr>
                <w:sz w:val="20"/>
                <w:szCs w:val="20"/>
                <w:color w:val="auto"/>
              </w:rPr>
            </w:pPr>
            <w:r>
              <w:rPr>
                <w:rFonts w:ascii="Arial" w:cs="Arial" w:eastAsia="Arial" w:hAnsi="Arial"/>
                <w:sz w:val="13"/>
                <w:szCs w:val="13"/>
                <w:color w:val="auto"/>
              </w:rPr>
              <w:t>THE SHOPPES AT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NOTTINGHAM SQUARE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800" w:type="dxa"/>
            <w:vAlign w:val="bottom"/>
            <w:gridSpan w:val="3"/>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tcPr>
          <w:p>
            <w:pPr>
              <w:jc w:val="right"/>
              <w:spacing w:after="0"/>
              <w:rPr>
                <w:sz w:val="20"/>
                <w:szCs w:val="20"/>
                <w:color w:val="auto"/>
              </w:rPr>
            </w:pPr>
            <w:r>
              <w:rPr>
                <w:rFonts w:ascii="Arial" w:cs="Arial" w:eastAsia="Arial" w:hAnsi="Arial"/>
                <w:sz w:val="13"/>
                <w:szCs w:val="13"/>
                <w:color w:val="auto"/>
              </w:rPr>
              <w:t>MD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27,029</w:t>
            </w:r>
          </w:p>
        </w:tc>
        <w:tc>
          <w:tcPr>
            <w:tcW w:w="820" w:type="dxa"/>
            <w:vAlign w:val="bottom"/>
          </w:tcPr>
          <w:p>
            <w:pPr>
              <w:jc w:val="right"/>
              <w:spacing w:after="0"/>
              <w:rPr>
                <w:sz w:val="20"/>
                <w:szCs w:val="20"/>
                <w:color w:val="auto"/>
              </w:rPr>
            </w:pPr>
            <w:r>
              <w:rPr>
                <w:rFonts w:ascii="Arial" w:cs="Arial" w:eastAsia="Arial" w:hAnsi="Arial"/>
                <w:sz w:val="13"/>
                <w:szCs w:val="13"/>
                <w:color w:val="auto"/>
              </w:rPr>
              <w:t>12,849</w:t>
            </w:r>
          </w:p>
        </w:tc>
        <w:tc>
          <w:tcPr>
            <w:tcW w:w="920" w:type="dxa"/>
            <w:vAlign w:val="bottom"/>
            <w:gridSpan w:val="3"/>
          </w:tcPr>
          <w:p>
            <w:pPr>
              <w:jc w:val="right"/>
              <w:ind w:right="40"/>
              <w:spacing w:after="0"/>
              <w:rPr>
                <w:sz w:val="20"/>
                <w:szCs w:val="20"/>
                <w:color w:val="auto"/>
              </w:rPr>
            </w:pPr>
            <w:r>
              <w:rPr>
                <w:rFonts w:ascii="Arial" w:cs="Arial" w:eastAsia="Arial" w:hAnsi="Arial"/>
                <w:sz w:val="13"/>
                <w:szCs w:val="13"/>
                <w:color w:val="auto"/>
              </w:rPr>
              <w:t>(12,308)</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14,692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12,878</w:t>
            </w: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27,570</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1,726</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2005-2006</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03/08/07</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w w:val="97"/>
              </w:rPr>
              <w:t>THIRD STREET PROMENADE</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(California) (9)</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22,645</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12,709</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41,193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25,125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51,422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76,547</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22,083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1888-2000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800" w:type="dxa"/>
            <w:vAlign w:val="bottom"/>
            <w:gridSpan w:val="3"/>
          </w:tcPr>
          <w:p>
            <w:pPr>
              <w:spacing w:after="0" w:line="141" w:lineRule="exact"/>
              <w:rPr>
                <w:sz w:val="20"/>
                <w:szCs w:val="20"/>
                <w:color w:val="auto"/>
              </w:rPr>
            </w:pPr>
            <w:r>
              <w:rPr>
                <w:rFonts w:ascii="Arial" w:cs="Arial" w:eastAsia="Arial" w:hAnsi="Arial"/>
                <w:sz w:val="13"/>
                <w:szCs w:val="13"/>
                <w:color w:val="auto"/>
              </w:rPr>
              <w:t>TOWER (Virginia)</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VA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ind w:left="36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7,170</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10,518</w:t>
            </w:r>
          </w:p>
        </w:tc>
        <w:tc>
          <w:tcPr>
            <w:tcW w:w="92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2,719</w:t>
            </w:r>
          </w:p>
        </w:tc>
        <w:tc>
          <w:tcPr>
            <w:tcW w:w="7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7,280</w:t>
            </w: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13,127</w:t>
            </w:r>
          </w:p>
        </w:tc>
        <w:tc>
          <w:tcPr>
            <w:tcW w:w="60" w:type="dxa"/>
            <w:vAlign w:val="bottom"/>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20,407</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5,219</w:t>
            </w: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1953-1960</w:t>
            </w: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08/24/98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8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TROY (New Jersey)</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NJ</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3,126</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5,193</w:t>
            </w:r>
          </w:p>
        </w:tc>
        <w:tc>
          <w:tcPr>
            <w:tcW w:w="92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16,992</w:t>
            </w:r>
          </w:p>
        </w:tc>
        <w:tc>
          <w:tcPr>
            <w:tcW w:w="78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4,028</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21,283</w:t>
            </w: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25,311</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15,840</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1966</w:t>
            </w: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07/23/80</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22 years</w:t>
            </w:r>
          </w:p>
        </w:tc>
        <w:tc>
          <w:tcPr>
            <w:tcW w:w="0" w:type="dxa"/>
            <w:vAlign w:val="bottom"/>
          </w:tcPr>
          <w:p>
            <w:pPr>
              <w:spacing w:after="0"/>
              <w:rPr>
                <w:sz w:val="1"/>
                <w:szCs w:val="1"/>
                <w:color w:val="auto"/>
              </w:rPr>
            </w:pPr>
          </w:p>
        </w:tc>
      </w:tr>
      <w:tr>
        <w:trPr>
          <w:trHeight w:val="141"/>
        </w:trPr>
        <w:tc>
          <w:tcPr>
            <w:tcW w:w="1800" w:type="dxa"/>
            <w:vAlign w:val="bottom"/>
            <w:gridSpan w:val="3"/>
          </w:tcPr>
          <w:p>
            <w:pPr>
              <w:spacing w:after="0" w:line="141" w:lineRule="exact"/>
              <w:rPr>
                <w:sz w:val="20"/>
                <w:szCs w:val="20"/>
                <w:color w:val="auto"/>
              </w:rPr>
            </w:pPr>
            <w:r>
              <w:rPr>
                <w:rFonts w:ascii="Arial" w:cs="Arial" w:eastAsia="Arial" w:hAnsi="Arial"/>
                <w:sz w:val="13"/>
                <w:szCs w:val="13"/>
                <w:color w:val="auto"/>
              </w:rPr>
              <w:t>TYSON'S STATION (Virginia)</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VA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5,713</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388</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453</w:t>
            </w:r>
          </w:p>
        </w:tc>
        <w:tc>
          <w:tcPr>
            <w:tcW w:w="92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3,082</w:t>
            </w:r>
          </w:p>
        </w:tc>
        <w:tc>
          <w:tcPr>
            <w:tcW w:w="7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475</w:t>
            </w: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3,448</w:t>
            </w:r>
          </w:p>
        </w:tc>
        <w:tc>
          <w:tcPr>
            <w:tcW w:w="60" w:type="dxa"/>
            <w:vAlign w:val="bottom"/>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3,923</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3,025</w:t>
            </w: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1954</w:t>
            </w: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01/17/78</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17 years</w:t>
            </w:r>
          </w:p>
        </w:tc>
        <w:tc>
          <w:tcPr>
            <w:tcW w:w="0" w:type="dxa"/>
            <w:vAlign w:val="bottom"/>
          </w:tcPr>
          <w:p>
            <w:pPr>
              <w:spacing w:after="0"/>
              <w:rPr>
                <w:sz w:val="1"/>
                <w:szCs w:val="1"/>
                <w:color w:val="auto"/>
              </w:rPr>
            </w:pPr>
          </w:p>
        </w:tc>
      </w:tr>
      <w:tr>
        <w:trPr>
          <w:trHeight w:val="141"/>
        </w:trPr>
        <w:tc>
          <w:tcPr>
            <w:tcW w:w="18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WESTGATE MALL (California)</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CA</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6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6,319</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107,284</w:t>
            </w:r>
          </w:p>
        </w:tc>
        <w:tc>
          <w:tcPr>
            <w:tcW w:w="92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3,584</w:t>
            </w:r>
          </w:p>
        </w:tc>
        <w:tc>
          <w:tcPr>
            <w:tcW w:w="78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6,319</w:t>
            </w:r>
          </w:p>
        </w:tc>
        <w:tc>
          <w:tcPr>
            <w:tcW w:w="960" w:type="dxa"/>
            <w:vAlign w:val="bottom"/>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110,868</w:t>
            </w:r>
          </w:p>
        </w:tc>
        <w:tc>
          <w:tcPr>
            <w:tcW w:w="740" w:type="dxa"/>
            <w:vAlign w:val="bottom"/>
            <w:gridSpan w:val="3"/>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117,187</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18,903</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1960-1966</w:t>
            </w: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03/31/04</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tcPr>
          <w:p>
            <w:pPr>
              <w:spacing w:after="0" w:line="133" w:lineRule="exact"/>
              <w:rPr>
                <w:sz w:val="20"/>
                <w:szCs w:val="20"/>
                <w:color w:val="auto"/>
              </w:rPr>
            </w:pPr>
            <w:r>
              <w:rPr>
                <w:rFonts w:ascii="Arial" w:cs="Arial" w:eastAsia="Arial" w:hAnsi="Arial"/>
                <w:sz w:val="13"/>
                <w:szCs w:val="13"/>
                <w:color w:val="auto"/>
              </w:rPr>
              <w:t>WHITE MARSH PLAZA</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tcPr>
          <w:p>
            <w:pPr>
              <w:jc w:val="right"/>
              <w:spacing w:after="0"/>
              <w:rPr>
                <w:sz w:val="20"/>
                <w:szCs w:val="20"/>
                <w:color w:val="auto"/>
              </w:rPr>
            </w:pPr>
            <w:r>
              <w:rPr>
                <w:rFonts w:ascii="Arial" w:cs="Arial" w:eastAsia="Arial" w:hAnsi="Arial"/>
                <w:sz w:val="13"/>
                <w:szCs w:val="13"/>
                <w:color w:val="auto"/>
              </w:rPr>
              <w:t>MD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9,706</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3,478</w:t>
            </w:r>
          </w:p>
        </w:tc>
        <w:tc>
          <w:tcPr>
            <w:tcW w:w="820" w:type="dxa"/>
            <w:vAlign w:val="bottom"/>
          </w:tcPr>
          <w:p>
            <w:pPr>
              <w:jc w:val="right"/>
              <w:spacing w:after="0"/>
              <w:rPr>
                <w:sz w:val="20"/>
                <w:szCs w:val="20"/>
                <w:color w:val="auto"/>
              </w:rPr>
            </w:pPr>
            <w:r>
              <w:rPr>
                <w:rFonts w:ascii="Arial" w:cs="Arial" w:eastAsia="Arial" w:hAnsi="Arial"/>
                <w:sz w:val="13"/>
                <w:szCs w:val="13"/>
                <w:color w:val="auto"/>
              </w:rPr>
              <w:t>21,413</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131</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3,478</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21,544</w:t>
            </w: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25,022</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3,052</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1987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03/08/07</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WHITE MARSH OTHER</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(Maryland)</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MD</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37,812</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(10,772)</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27,009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1,874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28,883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1985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03/08/07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800" w:type="dxa"/>
            <w:vAlign w:val="bottom"/>
            <w:gridSpan w:val="3"/>
          </w:tcPr>
          <w:p>
            <w:pPr>
              <w:spacing w:after="0" w:line="141" w:lineRule="exact"/>
              <w:rPr>
                <w:sz w:val="20"/>
                <w:szCs w:val="20"/>
                <w:color w:val="auto"/>
              </w:rPr>
            </w:pPr>
            <w:r>
              <w:rPr>
                <w:rFonts w:ascii="Arial" w:cs="Arial" w:eastAsia="Arial" w:hAnsi="Arial"/>
                <w:sz w:val="13"/>
                <w:szCs w:val="13"/>
                <w:color w:val="auto"/>
              </w:rPr>
              <w:t>WILDWOOD (Maryland)</w:t>
            </w:r>
          </w:p>
        </w:tc>
        <w:tc>
          <w:tcPr>
            <w:tcW w:w="320" w:type="dxa"/>
            <w:vAlign w:val="bottom"/>
          </w:tcPr>
          <w:p>
            <w:pPr>
              <w:jc w:val="right"/>
              <w:spacing w:after="0" w:line="141" w:lineRule="exact"/>
              <w:rPr>
                <w:sz w:val="20"/>
                <w:szCs w:val="20"/>
                <w:color w:val="auto"/>
              </w:rPr>
            </w:pPr>
            <w:r>
              <w:rPr>
                <w:rFonts w:ascii="Arial" w:cs="Arial" w:eastAsia="Arial" w:hAnsi="Arial"/>
                <w:sz w:val="13"/>
                <w:szCs w:val="13"/>
                <w:color w:val="auto"/>
              </w:rPr>
              <w:t>MD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24,827</w:t>
            </w:r>
          </w:p>
        </w:tc>
        <w:tc>
          <w:tcPr>
            <w:tcW w:w="88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9,111</w:t>
            </w: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1,061</w:t>
            </w:r>
          </w:p>
        </w:tc>
        <w:tc>
          <w:tcPr>
            <w:tcW w:w="920" w:type="dxa"/>
            <w:vAlign w:val="bottom"/>
            <w:gridSpan w:val="3"/>
          </w:tcPr>
          <w:p>
            <w:pPr>
              <w:jc w:val="right"/>
              <w:ind w:right="80"/>
              <w:spacing w:after="0" w:line="141" w:lineRule="exact"/>
              <w:rPr>
                <w:sz w:val="20"/>
                <w:szCs w:val="20"/>
                <w:color w:val="auto"/>
              </w:rPr>
            </w:pPr>
            <w:r>
              <w:rPr>
                <w:rFonts w:ascii="Arial" w:cs="Arial" w:eastAsia="Arial" w:hAnsi="Arial"/>
                <w:sz w:val="13"/>
                <w:szCs w:val="13"/>
                <w:color w:val="auto"/>
              </w:rPr>
              <w:t>7,836</w:t>
            </w:r>
          </w:p>
        </w:tc>
        <w:tc>
          <w:tcPr>
            <w:tcW w:w="780" w:type="dxa"/>
            <w:vAlign w:val="bottom"/>
            <w:gridSpan w:val="3"/>
          </w:tcPr>
          <w:p>
            <w:pPr>
              <w:jc w:val="right"/>
              <w:ind w:right="40"/>
              <w:spacing w:after="0" w:line="141" w:lineRule="exact"/>
              <w:rPr>
                <w:sz w:val="20"/>
                <w:szCs w:val="20"/>
                <w:color w:val="auto"/>
              </w:rPr>
            </w:pPr>
            <w:r>
              <w:rPr>
                <w:rFonts w:ascii="Arial" w:cs="Arial" w:eastAsia="Arial" w:hAnsi="Arial"/>
                <w:sz w:val="13"/>
                <w:szCs w:val="13"/>
                <w:color w:val="auto"/>
              </w:rPr>
              <w:t>9,111</w:t>
            </w: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8,897</w:t>
            </w:r>
          </w:p>
        </w:tc>
        <w:tc>
          <w:tcPr>
            <w:tcW w:w="60" w:type="dxa"/>
            <w:vAlign w:val="bottom"/>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18,008</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7,584</w:t>
            </w:r>
          </w:p>
        </w:tc>
        <w:tc>
          <w:tcPr>
            <w:tcW w:w="8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1958</w:t>
            </w: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05/05/69</w:t>
            </w:r>
          </w:p>
        </w:tc>
        <w:tc>
          <w:tcPr>
            <w:tcW w:w="76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w w:val="94"/>
              </w:rPr>
              <w:t>33 1/3 years</w:t>
            </w:r>
          </w:p>
        </w:tc>
        <w:tc>
          <w:tcPr>
            <w:tcW w:w="0" w:type="dxa"/>
            <w:vAlign w:val="bottom"/>
          </w:tcPr>
          <w:p>
            <w:pPr>
              <w:spacing w:after="0"/>
              <w:rPr>
                <w:sz w:val="1"/>
                <w:szCs w:val="1"/>
                <w:color w:val="auto"/>
              </w:rPr>
            </w:pPr>
          </w:p>
        </w:tc>
      </w:tr>
      <w:tr>
        <w:trPr>
          <w:trHeight w:val="132"/>
        </w:trPr>
        <w:tc>
          <w:tcPr>
            <w:tcW w:w="1800" w:type="dxa"/>
            <w:vAlign w:val="bottom"/>
            <w:gridSpan w:val="3"/>
            <w:shd w:val="clear" w:color="auto" w:fill="CCEEFF"/>
          </w:tcPr>
          <w:p>
            <w:pPr>
              <w:spacing w:after="0" w:line="133" w:lineRule="exact"/>
              <w:rPr>
                <w:sz w:val="20"/>
                <w:szCs w:val="20"/>
                <w:color w:val="auto"/>
              </w:rPr>
            </w:pPr>
            <w:r>
              <w:rPr>
                <w:rFonts w:ascii="Arial" w:cs="Arial" w:eastAsia="Arial" w:hAnsi="Arial"/>
                <w:sz w:val="13"/>
                <w:szCs w:val="13"/>
                <w:color w:val="auto"/>
              </w:rPr>
              <w:t>WILLOW GROVE</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shd w:val="clear" w:color="auto" w:fill="CCEEFF"/>
          </w:tcPr>
          <w:p>
            <w:pPr>
              <w:ind w:left="200"/>
              <w:spacing w:after="0"/>
              <w:rPr>
                <w:sz w:val="20"/>
                <w:szCs w:val="20"/>
                <w:color w:val="auto"/>
              </w:rPr>
            </w:pPr>
            <w:r>
              <w:rPr>
                <w:rFonts w:ascii="Arial" w:cs="Arial" w:eastAsia="Arial" w:hAnsi="Arial"/>
                <w:sz w:val="13"/>
                <w:szCs w:val="13"/>
                <w:color w:val="auto"/>
              </w:rPr>
              <w:t>(Pennsylvania)</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PA</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1,499</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6,643</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19,761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26,404</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27,903</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19,079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1953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11/20/84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tcPr>
          <w:p>
            <w:pPr>
              <w:spacing w:after="0" w:line="133" w:lineRule="exact"/>
              <w:rPr>
                <w:sz w:val="20"/>
                <w:szCs w:val="20"/>
                <w:color w:val="auto"/>
              </w:rPr>
            </w:pPr>
            <w:r>
              <w:rPr>
                <w:rFonts w:ascii="Arial" w:cs="Arial" w:eastAsia="Arial" w:hAnsi="Arial"/>
                <w:sz w:val="13"/>
                <w:szCs w:val="13"/>
                <w:color w:val="auto"/>
              </w:rPr>
              <w:t>SHOPS AT WILLOW LAWN</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tcPr>
          <w:p>
            <w:pPr>
              <w:ind w:left="200"/>
              <w:spacing w:after="0"/>
              <w:rPr>
                <w:sz w:val="20"/>
                <w:szCs w:val="20"/>
                <w:color w:val="auto"/>
              </w:rPr>
            </w:pPr>
            <w:r>
              <w:rPr>
                <w:rFonts w:ascii="Arial" w:cs="Arial" w:eastAsia="Arial" w:hAnsi="Arial"/>
                <w:sz w:val="13"/>
                <w:szCs w:val="13"/>
                <w:color w:val="auto"/>
              </w:rPr>
              <w:t>(Virginia)</w:t>
            </w:r>
          </w:p>
        </w:tc>
        <w:tc>
          <w:tcPr>
            <w:tcW w:w="320" w:type="dxa"/>
            <w:vAlign w:val="bottom"/>
          </w:tcPr>
          <w:p>
            <w:pPr>
              <w:jc w:val="right"/>
              <w:spacing w:after="0"/>
              <w:rPr>
                <w:sz w:val="20"/>
                <w:szCs w:val="20"/>
                <w:color w:val="auto"/>
              </w:rPr>
            </w:pPr>
            <w:r>
              <w:rPr>
                <w:rFonts w:ascii="Arial" w:cs="Arial" w:eastAsia="Arial" w:hAnsi="Arial"/>
                <w:sz w:val="13"/>
                <w:szCs w:val="13"/>
                <w:color w:val="auto"/>
              </w:rPr>
              <w:t>VA</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3"/>
                <w:szCs w:val="13"/>
                <w:color w:val="auto"/>
              </w:rPr>
              <w:t>3,192</w:t>
            </w:r>
          </w:p>
        </w:tc>
        <w:tc>
          <w:tcPr>
            <w:tcW w:w="820" w:type="dxa"/>
            <w:vAlign w:val="bottom"/>
          </w:tcPr>
          <w:p>
            <w:pPr>
              <w:jc w:val="right"/>
              <w:spacing w:after="0"/>
              <w:rPr>
                <w:sz w:val="20"/>
                <w:szCs w:val="20"/>
                <w:color w:val="auto"/>
              </w:rPr>
            </w:pPr>
            <w:r>
              <w:rPr>
                <w:rFonts w:ascii="Arial" w:cs="Arial" w:eastAsia="Arial" w:hAnsi="Arial"/>
                <w:sz w:val="13"/>
                <w:szCs w:val="13"/>
                <w:color w:val="auto"/>
              </w:rPr>
              <w:t>7,723</w:t>
            </w:r>
          </w:p>
        </w:tc>
        <w:tc>
          <w:tcPr>
            <w:tcW w:w="920" w:type="dxa"/>
            <w:vAlign w:val="bottom"/>
            <w:gridSpan w:val="3"/>
          </w:tcPr>
          <w:p>
            <w:pPr>
              <w:jc w:val="right"/>
              <w:ind w:right="80"/>
              <w:spacing w:after="0"/>
              <w:rPr>
                <w:sz w:val="20"/>
                <w:szCs w:val="20"/>
                <w:color w:val="auto"/>
              </w:rPr>
            </w:pPr>
            <w:r>
              <w:rPr>
                <w:rFonts w:ascii="Arial" w:cs="Arial" w:eastAsia="Arial" w:hAnsi="Arial"/>
                <w:sz w:val="13"/>
                <w:szCs w:val="13"/>
                <w:color w:val="auto"/>
              </w:rPr>
              <w:t>66,786</w:t>
            </w:r>
          </w:p>
        </w:tc>
        <w:tc>
          <w:tcPr>
            <w:tcW w:w="780" w:type="dxa"/>
            <w:vAlign w:val="bottom"/>
            <w:gridSpan w:val="3"/>
          </w:tcPr>
          <w:p>
            <w:pPr>
              <w:jc w:val="right"/>
              <w:ind w:right="40"/>
              <w:spacing w:after="0"/>
              <w:rPr>
                <w:sz w:val="20"/>
                <w:szCs w:val="20"/>
                <w:color w:val="auto"/>
              </w:rPr>
            </w:pPr>
            <w:r>
              <w:rPr>
                <w:rFonts w:ascii="Arial" w:cs="Arial" w:eastAsia="Arial" w:hAnsi="Arial"/>
                <w:sz w:val="13"/>
                <w:szCs w:val="13"/>
                <w:color w:val="auto"/>
              </w:rPr>
              <w:t>7,790</w:t>
            </w: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69,911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77,701</w:t>
            </w:r>
          </w:p>
        </w:tc>
        <w:tc>
          <w:tcPr>
            <w:tcW w:w="12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42,496</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1957</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12/05/83</w:t>
            </w: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41"/>
        </w:trPr>
        <w:tc>
          <w:tcPr>
            <w:tcW w:w="18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w w:val="98"/>
              </w:rPr>
              <w:t>WYNNEWOOD (Pennsylvania)</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PA</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28,785</w:t>
            </w: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8,055</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13,759</w:t>
            </w:r>
          </w:p>
        </w:tc>
        <w:tc>
          <w:tcPr>
            <w:tcW w:w="92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15,519</w:t>
            </w:r>
          </w:p>
        </w:tc>
        <w:tc>
          <w:tcPr>
            <w:tcW w:w="78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8,055</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29,278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37,333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14,913</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1948</w:t>
            </w:r>
          </w:p>
        </w:tc>
        <w:tc>
          <w:tcPr>
            <w:tcW w:w="8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10/29/96</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35 years</w:t>
            </w:r>
          </w:p>
        </w:tc>
        <w:tc>
          <w:tcPr>
            <w:tcW w:w="0" w:type="dxa"/>
            <w:vAlign w:val="bottom"/>
          </w:tcPr>
          <w:p>
            <w:pPr>
              <w:spacing w:after="0"/>
              <w:rPr>
                <w:sz w:val="1"/>
                <w:szCs w:val="1"/>
                <w:color w:val="auto"/>
              </w:rPr>
            </w:pPr>
          </w:p>
        </w:tc>
      </w:tr>
      <w:tr>
        <w:trPr>
          <w:trHeight w:val="132"/>
        </w:trPr>
        <w:tc>
          <w:tcPr>
            <w:tcW w:w="1800" w:type="dxa"/>
            <w:vAlign w:val="bottom"/>
            <w:gridSpan w:val="3"/>
          </w:tcPr>
          <w:p>
            <w:pPr>
              <w:spacing w:after="0" w:line="133" w:lineRule="exact"/>
              <w:rPr>
                <w:sz w:val="20"/>
                <w:szCs w:val="20"/>
                <w:color w:val="auto"/>
              </w:rPr>
            </w:pPr>
            <w:r>
              <w:rPr>
                <w:rFonts w:ascii="Arial" w:cs="Arial" w:eastAsia="Arial" w:hAnsi="Arial"/>
                <w:sz w:val="13"/>
                <w:szCs w:val="13"/>
                <w:color w:val="auto"/>
              </w:rPr>
              <w:t>MISCELLANEOUS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800" w:type="dxa"/>
            <w:vAlign w:val="bottom"/>
            <w:gridSpan w:val="3"/>
          </w:tcPr>
          <w:p>
            <w:pPr>
              <w:ind w:left="200"/>
              <w:spacing w:after="0"/>
              <w:rPr>
                <w:sz w:val="20"/>
                <w:szCs w:val="20"/>
                <w:color w:val="auto"/>
              </w:rPr>
            </w:pPr>
            <w:r>
              <w:rPr>
                <w:rFonts w:ascii="Arial" w:cs="Arial" w:eastAsia="Arial" w:hAnsi="Arial"/>
                <w:sz w:val="13"/>
                <w:szCs w:val="13"/>
                <w:color w:val="auto"/>
              </w:rPr>
              <w:t>INVESTMENTS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ind w:left="3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6,176</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12,135</w:t>
            </w:r>
          </w:p>
        </w:tc>
        <w:tc>
          <w:tcPr>
            <w:tcW w:w="120" w:type="dxa"/>
            <w:vAlign w:val="bottom"/>
          </w:tcPr>
          <w:p>
            <w:pPr>
              <w:spacing w:after="0"/>
              <w:rPr>
                <w:sz w:val="13"/>
                <w:szCs w:val="13"/>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6,176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12,135</w:t>
            </w:r>
          </w:p>
        </w:tc>
        <w:tc>
          <w:tcPr>
            <w:tcW w:w="60" w:type="dxa"/>
            <w:vAlign w:val="bottom"/>
          </w:tcPr>
          <w:p>
            <w:pPr>
              <w:spacing w:after="0"/>
              <w:rPr>
                <w:sz w:val="13"/>
                <w:szCs w:val="13"/>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3"/>
                <w:szCs w:val="13"/>
                <w:color w:val="auto"/>
              </w:rPr>
              <w:t>18,311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300</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1800" w:type="dxa"/>
            <w:vAlign w:val="bottom"/>
            <w:gridSpan w:val="3"/>
            <w:shd w:val="clear" w:color="auto" w:fill="CCEEFF"/>
          </w:tcPr>
          <w:p>
            <w:pPr>
              <w:spacing w:after="0" w:line="141" w:lineRule="exact"/>
              <w:rPr>
                <w:sz w:val="20"/>
                <w:szCs w:val="20"/>
                <w:color w:val="auto"/>
              </w:rPr>
            </w:pPr>
            <w:r>
              <w:rPr>
                <w:rFonts w:ascii="Arial" w:cs="Arial" w:eastAsia="Arial" w:hAnsi="Arial"/>
                <w:sz w:val="13"/>
                <w:szCs w:val="13"/>
                <w:color w:val="auto"/>
              </w:rPr>
              <w:t>TOTALS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589,441</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w w:val="89"/>
              </w:rPr>
              <w:t>$789,331</w:t>
            </w:r>
          </w:p>
        </w:tc>
        <w:tc>
          <w:tcPr>
            <w:tcW w:w="8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$1,226,058</w:t>
            </w:r>
          </w:p>
        </w:tc>
        <w:tc>
          <w:tcPr>
            <w:tcW w:w="92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   1,880,553</w:t>
            </w:r>
          </w:p>
        </w:tc>
        <w:tc>
          <w:tcPr>
            <w:tcW w:w="78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w w:val="85"/>
              </w:rPr>
              <w:t>$786,332</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9"/>
              </w:rPr>
              <w:t>$3,109,610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u w:val="single" w:color="auto"/>
                <w:color w:val="auto"/>
                <w:w w:val="92"/>
              </w:rPr>
              <w:t>$</w:t>
            </w:r>
            <w:r>
              <w:rPr>
                <w:rFonts w:ascii="Arial" w:cs="Arial" w:eastAsia="Arial" w:hAnsi="Arial"/>
                <w:sz w:val="13"/>
                <w:szCs w:val="13"/>
                <w:color w:val="auto"/>
                <w:w w:val="92"/>
              </w:rPr>
              <w:t>3,895,942</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w w:val="94"/>
              </w:rPr>
              <w:t>$   1,035,204</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5"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4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Three Years Ended December 31, 2010</w:t>
      </w:r>
    </w:p>
    <w:p>
      <w:pPr>
        <w:spacing w:after="0" w:line="87"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Reconciliation of Total Cost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$ 3,452,847</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Acquisitions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122,662</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820"/>
              <w:spacing w:after="0"/>
              <w:rPr>
                <w:sz w:val="20"/>
                <w:szCs w:val="20"/>
                <w:color w:val="auto"/>
              </w:rPr>
            </w:pPr>
            <w:r>
              <w:rPr>
                <w:rFonts w:ascii="Arial" w:cs="Arial" w:eastAsia="Arial" w:hAnsi="Arial"/>
                <w:sz w:val="17"/>
                <w:szCs w:val="17"/>
                <w:color w:val="auto"/>
              </w:rPr>
              <w:t>Improvements</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144,192</w:t>
            </w: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(46,016)</w:t>
            </w:r>
          </w:p>
        </w:tc>
        <w:tc>
          <w:tcPr>
            <w:tcW w:w="0" w:type="dxa"/>
            <w:vAlign w:val="bottom"/>
          </w:tcPr>
          <w:p>
            <w:pPr>
              <w:spacing w:after="0"/>
              <w:rPr>
                <w:sz w:val="1"/>
                <w:szCs w:val="1"/>
                <w:color w:val="auto"/>
              </w:rPr>
            </w:pPr>
          </w:p>
        </w:tc>
      </w:tr>
      <w:tr>
        <w:trPr>
          <w:trHeight w:val="20"/>
        </w:trPr>
        <w:tc>
          <w:tcPr>
            <w:tcW w:w="10500" w:type="dxa"/>
            <w:vAlign w:val="bottom"/>
            <w:gridSpan w:val="2"/>
            <w:vMerge w:val="restart"/>
          </w:tcPr>
          <w:p>
            <w:pPr>
              <w:spacing w:after="0"/>
              <w:rPr>
                <w:sz w:val="20"/>
                <w:szCs w:val="20"/>
                <w:color w:val="auto"/>
              </w:rPr>
            </w:pPr>
            <w:r>
              <w:rPr>
                <w:rFonts w:ascii="Arial" w:cs="Arial" w:eastAsia="Arial" w:hAnsi="Arial"/>
                <w:sz w:val="17"/>
                <w:szCs w:val="17"/>
                <w:color w:val="auto"/>
              </w:rPr>
              <w:t>Balance, December 31, 2008</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500" w:type="dxa"/>
            <w:vAlign w:val="bottom"/>
            <w:gridSpan w:val="2"/>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3,673,685</w:t>
            </w: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500" w:type="dxa"/>
            <w:vAlign w:val="bottom"/>
            <w:gridSpan w:val="2"/>
          </w:tcPr>
          <w:p>
            <w:pPr>
              <w:ind w:left="820"/>
              <w:spacing w:after="0"/>
              <w:rPr>
                <w:sz w:val="20"/>
                <w:szCs w:val="20"/>
                <w:color w:val="auto"/>
              </w:rPr>
            </w:pPr>
            <w:r>
              <w:rPr>
                <w:rFonts w:ascii="Arial" w:cs="Arial" w:eastAsia="Arial" w:hAnsi="Arial"/>
                <w:sz w:val="17"/>
                <w:szCs w:val="17"/>
                <w:color w:val="auto"/>
              </w:rPr>
              <w:t>Acquisitions</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34,485</w:t>
            </w: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Improvements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93,304</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(42,240)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2009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3,759,234</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Additions during period</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Acquisitions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34,855</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820"/>
              <w:spacing w:after="0"/>
              <w:rPr>
                <w:sz w:val="20"/>
                <w:szCs w:val="20"/>
                <w:color w:val="auto"/>
              </w:rPr>
            </w:pPr>
            <w:r>
              <w:rPr>
                <w:rFonts w:ascii="Arial" w:cs="Arial" w:eastAsia="Arial" w:hAnsi="Arial"/>
                <w:sz w:val="17"/>
                <w:szCs w:val="17"/>
                <w:color w:val="auto"/>
              </w:rPr>
              <w:t>Consolidation of VIE</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06"/>
        </w:trPr>
        <w:tc>
          <w:tcPr>
            <w:tcW w:w="105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Improvements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97,129</w:t>
            </w:r>
          </w:p>
        </w:tc>
        <w:tc>
          <w:tcPr>
            <w:tcW w:w="0" w:type="dxa"/>
            <w:vAlign w:val="bottom"/>
          </w:tcPr>
          <w:p>
            <w:pPr>
              <w:spacing w:after="0"/>
              <w:rPr>
                <w:sz w:val="1"/>
                <w:szCs w:val="1"/>
                <w:color w:val="auto"/>
              </w:rPr>
            </w:pPr>
          </w:p>
        </w:tc>
      </w:tr>
      <w:tr>
        <w:trPr>
          <w:trHeight w:val="206"/>
        </w:trPr>
        <w:tc>
          <w:tcPr>
            <w:tcW w:w="10500" w:type="dxa"/>
            <w:vAlign w:val="bottom"/>
            <w:gridSpan w:val="2"/>
          </w:tcPr>
          <w:p>
            <w:pPr>
              <w:ind w:left="420"/>
              <w:spacing w:after="0"/>
              <w:rPr>
                <w:sz w:val="20"/>
                <w:szCs w:val="20"/>
                <w:color w:val="auto"/>
              </w:rPr>
            </w:pPr>
            <w:r>
              <w:rPr>
                <w:rFonts w:ascii="Arial" w:cs="Arial" w:eastAsia="Arial" w:hAnsi="Arial"/>
                <w:sz w:val="17"/>
                <w:szCs w:val="17"/>
                <w:color w:val="auto"/>
              </w:rPr>
              <w:t>Deduction during period—disposition and retirements of property</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(13,587)</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9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0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6"/>
              </w:rPr>
              <w:t>$ 3,895,942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9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(A)</w:t>
        <w:tab/>
        <w:t>For Federal tax purposes, the aggregate cost basis is approximately $3.4 billion as of December 31, 2010.</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5"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REAL ESTATE AND ACCUMULATED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DEPRECIATION—CONTINUED</w:t>
      </w:r>
    </w:p>
    <w:p>
      <w:pPr>
        <w:spacing w:after="0" w:line="140"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Three Years Ended December 31, 2010</w:t>
      </w:r>
    </w:p>
    <w:p>
      <w:pPr>
        <w:spacing w:after="0" w:line="87"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Reconciliation of Accumulated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Depreciation and Amortization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2007</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756,703</w:t>
            </w:r>
          </w:p>
        </w:tc>
        <w:tc>
          <w:tcPr>
            <w:tcW w:w="0" w:type="dxa"/>
            <w:vAlign w:val="bottom"/>
          </w:tcPr>
          <w:p>
            <w:pPr>
              <w:spacing w:after="0"/>
              <w:rPr>
                <w:sz w:val="1"/>
                <w:szCs w:val="1"/>
                <w:color w:val="auto"/>
              </w:rPr>
            </w:pPr>
          </w:p>
        </w:tc>
      </w:tr>
      <w:tr>
        <w:trPr>
          <w:trHeight w:val="206"/>
        </w:trPr>
        <w:tc>
          <w:tcPr>
            <w:tcW w:w="5220" w:type="dxa"/>
            <w:vAlign w:val="bottom"/>
          </w:tcPr>
          <w:p>
            <w:pPr>
              <w:ind w:left="420"/>
              <w:spacing w:after="0"/>
              <w:rPr>
                <w:sz w:val="20"/>
                <w:szCs w:val="20"/>
                <w:color w:val="auto"/>
              </w:rPr>
            </w:pPr>
            <w:r>
              <w:rPr>
                <w:rFonts w:ascii="Arial" w:cs="Arial" w:eastAsia="Arial" w:hAnsi="Arial"/>
                <w:sz w:val="17"/>
                <w:szCs w:val="17"/>
                <w:color w:val="auto"/>
                <w:w w:val="98"/>
              </w:rPr>
              <w:t>Additions during period—depreciation and amortization expense</w:t>
            </w:r>
          </w:p>
        </w:tc>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101,321</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Deductions during period—disposition and retirements of property</w:t>
            </w:r>
          </w:p>
        </w:tc>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(11,766)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Balance, December 31, 2008</w:t>
            </w:r>
          </w:p>
        </w:tc>
        <w:tc>
          <w:tcPr>
            <w:tcW w:w="5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846,258</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8"/>
              </w:rPr>
              <w:t>Additions during period—depreciation and amortization expense</w:t>
            </w:r>
          </w:p>
        </w:tc>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103,698</w:t>
            </w:r>
          </w:p>
        </w:tc>
        <w:tc>
          <w:tcPr>
            <w:tcW w:w="0" w:type="dxa"/>
            <w:vAlign w:val="bottom"/>
          </w:tcPr>
          <w:p>
            <w:pPr>
              <w:spacing w:after="0"/>
              <w:rPr>
                <w:sz w:val="1"/>
                <w:szCs w:val="1"/>
                <w:color w:val="auto"/>
              </w:rPr>
            </w:pPr>
          </w:p>
        </w:tc>
      </w:tr>
      <w:tr>
        <w:trPr>
          <w:trHeight w:val="206"/>
        </w:trPr>
        <w:tc>
          <w:tcPr>
            <w:tcW w:w="5220" w:type="dxa"/>
            <w:vAlign w:val="bottom"/>
          </w:tcPr>
          <w:p>
            <w:pPr>
              <w:ind w:left="420"/>
              <w:spacing w:after="0"/>
              <w:rPr>
                <w:sz w:val="20"/>
                <w:szCs w:val="20"/>
                <w:color w:val="auto"/>
              </w:rPr>
            </w:pPr>
            <w:r>
              <w:rPr>
                <w:rFonts w:ascii="Arial" w:cs="Arial" w:eastAsia="Arial" w:hAnsi="Arial"/>
                <w:sz w:val="17"/>
                <w:szCs w:val="17"/>
                <w:color w:val="auto"/>
                <w:w w:val="96"/>
              </w:rPr>
              <w:t>Deductions during period—disposition and retirements of property</w:t>
            </w:r>
          </w:p>
        </w:tc>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(11,869)</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2009</w:t>
            </w:r>
          </w:p>
        </w:tc>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938,087</w:t>
            </w:r>
          </w:p>
        </w:tc>
        <w:tc>
          <w:tcPr>
            <w:tcW w:w="0" w:type="dxa"/>
            <w:vAlign w:val="bottom"/>
          </w:tcPr>
          <w:p>
            <w:pPr>
              <w:spacing w:after="0"/>
              <w:rPr>
                <w:sz w:val="1"/>
                <w:szCs w:val="1"/>
                <w:color w:val="auto"/>
              </w:rPr>
            </w:pPr>
          </w:p>
        </w:tc>
      </w:tr>
      <w:tr>
        <w:trPr>
          <w:trHeight w:val="206"/>
        </w:trPr>
        <w:tc>
          <w:tcPr>
            <w:tcW w:w="5220" w:type="dxa"/>
            <w:vAlign w:val="bottom"/>
          </w:tcPr>
          <w:p>
            <w:pPr>
              <w:ind w:left="420"/>
              <w:spacing w:after="0"/>
              <w:rPr>
                <w:sz w:val="20"/>
                <w:szCs w:val="20"/>
                <w:color w:val="auto"/>
              </w:rPr>
            </w:pPr>
            <w:r>
              <w:rPr>
                <w:rFonts w:ascii="Arial" w:cs="Arial" w:eastAsia="Arial" w:hAnsi="Arial"/>
                <w:sz w:val="17"/>
                <w:szCs w:val="17"/>
                <w:color w:val="auto"/>
                <w:w w:val="98"/>
              </w:rPr>
              <w:t>Additions during period—depreciation and amortization expense</w:t>
            </w:r>
          </w:p>
        </w:tc>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108,261</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Deductions during period—disposition and retirements of property</w:t>
            </w:r>
          </w:p>
        </w:tc>
        <w:tc>
          <w:tcPr>
            <w:tcW w:w="5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(11,144)</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7"/>
                <w:szCs w:val="17"/>
                <w:color w:val="auto"/>
              </w:rPr>
              <w:t>Balance, December 31, 2010</w:t>
            </w:r>
          </w:p>
        </w:tc>
        <w:tc>
          <w:tcPr>
            <w:tcW w:w="5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1,035,204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220" w:type="dxa"/>
            <w:vAlign w:val="bottom"/>
          </w:tcPr>
          <w:p>
            <w:pPr>
              <w:spacing w:after="0"/>
              <w:rPr>
                <w:sz w:val="24"/>
                <w:szCs w:val="24"/>
                <w:color w:val="auto"/>
              </w:rPr>
            </w:pPr>
          </w:p>
        </w:tc>
        <w:tc>
          <w:tcPr>
            <w:tcW w:w="5400" w:type="dxa"/>
            <w:vAlign w:val="bottom"/>
            <w:gridSpan w:val="2"/>
          </w:tcPr>
          <w:p>
            <w:pPr>
              <w:jc w:val="right"/>
              <w:ind w:right="4667"/>
              <w:spacing w:after="0"/>
              <w:rPr>
                <w:sz w:val="20"/>
                <w:szCs w:val="20"/>
                <w:color w:val="auto"/>
              </w:rPr>
            </w:pPr>
            <w:r>
              <w:rPr>
                <w:rFonts w:ascii="Arial" w:cs="Arial" w:eastAsia="Arial" w:hAnsi="Arial"/>
                <w:sz w:val="17"/>
                <w:szCs w:val="17"/>
                <w:color w:val="auto"/>
              </w:rPr>
              <w:t>F-39</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IV</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MORTGAGE LOANS ON REAL ESTATE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 Ended December 31, 2010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00" w:type="dxa"/>
            <w:vAlign w:val="bottom"/>
            <w:gridSpan w:val="2"/>
          </w:tcPr>
          <w:p>
            <w:pPr>
              <w:ind w:left="820"/>
              <w:spacing w:after="0"/>
              <w:rPr>
                <w:sz w:val="20"/>
                <w:szCs w:val="20"/>
                <w:color w:val="auto"/>
              </w:rPr>
            </w:pPr>
            <w:r>
              <w:rPr>
                <w:rFonts w:ascii="Arial" w:cs="Arial" w:eastAsia="Arial" w:hAnsi="Arial"/>
                <w:sz w:val="13"/>
                <w:szCs w:val="13"/>
                <w:b w:val="1"/>
                <w:bCs w:val="1"/>
                <w:color w:val="auto"/>
              </w:rPr>
              <w:t>Column A</w:t>
            </w:r>
          </w:p>
        </w:tc>
        <w:tc>
          <w:tcPr>
            <w:tcW w:w="2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1"/>
              </w:rPr>
              <w:t>Column B</w:t>
            </w:r>
          </w:p>
        </w:tc>
        <w:tc>
          <w:tcPr>
            <w:tcW w:w="24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3"/>
                <w:szCs w:val="13"/>
                <w:b w:val="1"/>
                <w:bCs w:val="1"/>
                <w:color w:val="auto"/>
              </w:rPr>
              <w:t>Column C</w:t>
            </w:r>
          </w:p>
        </w:tc>
        <w:tc>
          <w:tcPr>
            <w:tcW w:w="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1"/>
              </w:rPr>
              <w:t>Column D</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Column E</w:t>
            </w:r>
          </w:p>
        </w:tc>
        <w:tc>
          <w:tcPr>
            <w:tcW w:w="8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w w:val="90"/>
              </w:rPr>
              <w:t>Column F</w:t>
            </w:r>
          </w:p>
        </w:tc>
        <w:tc>
          <w:tcPr>
            <w:tcW w:w="12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0"/>
              </w:rPr>
              <w:t>Column G</w:t>
            </w:r>
          </w:p>
        </w:tc>
        <w:tc>
          <w:tcPr>
            <w:tcW w:w="14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Column H</w:t>
            </w:r>
          </w:p>
        </w:tc>
        <w:tc>
          <w:tcPr>
            <w:tcW w:w="0" w:type="dxa"/>
            <w:vAlign w:val="bottom"/>
          </w:tcPr>
          <w:p>
            <w:pPr>
              <w:spacing w:after="0"/>
              <w:rPr>
                <w:sz w:val="1"/>
                <w:szCs w:val="1"/>
                <w:color w:val="auto"/>
              </w:rPr>
            </w:pPr>
          </w:p>
        </w:tc>
      </w:tr>
      <w:tr>
        <w:trPr>
          <w:trHeight w:val="121"/>
        </w:trPr>
        <w:tc>
          <w:tcPr>
            <w:tcW w:w="1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top w:val="single" w:sz="8" w:color="auto"/>
            </w:tcBorders>
            <w:gridSpan w:val="2"/>
          </w:tcPr>
          <w:p>
            <w:pPr>
              <w:jc w:val="center"/>
              <w:spacing w:after="0" w:line="121" w:lineRule="exact"/>
              <w:rPr>
                <w:sz w:val="20"/>
                <w:szCs w:val="20"/>
                <w:color w:val="auto"/>
              </w:rPr>
            </w:pPr>
            <w:r>
              <w:rPr>
                <w:rFonts w:ascii="Arial" w:cs="Arial" w:eastAsia="Arial" w:hAnsi="Arial"/>
                <w:sz w:val="13"/>
                <w:szCs w:val="13"/>
                <w:b w:val="1"/>
                <w:bCs w:val="1"/>
                <w:color w:val="auto"/>
                <w:w w:val="94"/>
              </w:rPr>
              <w:t>Principal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w w:val="89"/>
              </w:rPr>
              <w:t>Amount</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w w:val="88"/>
              </w:rPr>
              <w:t>of Loans</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w w:val="89"/>
              </w:rPr>
              <w:t>Subject to</w:t>
            </w: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Periodic Payment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2"/>
                <w:szCs w:val="12"/>
                <w:color w:val="auto"/>
              </w:rPr>
            </w:pPr>
          </w:p>
        </w:tc>
        <w:tc>
          <w:tcPr>
            <w:tcW w:w="68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w w:val="91"/>
              </w:rPr>
              <w:t>delinquent</w:t>
            </w:r>
          </w:p>
        </w:tc>
        <w:tc>
          <w:tcPr>
            <w:tcW w:w="0" w:type="dxa"/>
            <w:vAlign w:val="bottom"/>
          </w:tcPr>
          <w:p>
            <w:pPr>
              <w:spacing w:after="0"/>
              <w:rPr>
                <w:sz w:val="1"/>
                <w:szCs w:val="1"/>
                <w:color w:val="auto"/>
              </w:rPr>
            </w:pPr>
          </w:p>
        </w:tc>
      </w:tr>
      <w:tr>
        <w:trPr>
          <w:trHeight w:val="128"/>
        </w:trPr>
        <w:tc>
          <w:tcPr>
            <w:tcW w:w="1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Prior</w:t>
            </w:r>
          </w:p>
        </w:tc>
        <w:tc>
          <w:tcPr>
            <w:tcW w:w="124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Face Amount</w:t>
            </w:r>
          </w:p>
        </w:tc>
        <w:tc>
          <w:tcPr>
            <w:tcW w:w="12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680" w:type="dxa"/>
            <w:vAlign w:val="bottom"/>
            <w:gridSpan w:val="3"/>
          </w:tcPr>
          <w:p>
            <w:pPr>
              <w:jc w:val="center"/>
              <w:ind w:right="80"/>
              <w:spacing w:after="0" w:line="129" w:lineRule="exact"/>
              <w:rPr>
                <w:sz w:val="20"/>
                <w:szCs w:val="20"/>
                <w:color w:val="auto"/>
              </w:rPr>
            </w:pPr>
            <w:r>
              <w:rPr>
                <w:rFonts w:ascii="Arial" w:cs="Arial" w:eastAsia="Arial" w:hAnsi="Arial"/>
                <w:sz w:val="13"/>
                <w:szCs w:val="13"/>
                <w:b w:val="1"/>
                <w:bCs w:val="1"/>
                <w:color w:val="auto"/>
                <w:w w:val="94"/>
              </w:rPr>
              <w:t>Principal</w:t>
            </w:r>
          </w:p>
        </w:tc>
        <w:tc>
          <w:tcPr>
            <w:tcW w:w="0" w:type="dxa"/>
            <w:vAlign w:val="bottom"/>
          </w:tcPr>
          <w:p>
            <w:pPr>
              <w:spacing w:after="0"/>
              <w:rPr>
                <w:sz w:val="1"/>
                <w:szCs w:val="1"/>
                <w:color w:val="auto"/>
              </w:rPr>
            </w:pPr>
          </w:p>
        </w:tc>
      </w:tr>
      <w:tr>
        <w:trPr>
          <w:trHeight w:val="167"/>
        </w:trPr>
        <w:tc>
          <w:tcPr>
            <w:tcW w:w="2200" w:type="dxa"/>
            <w:vAlign w:val="bottom"/>
            <w:tcBorders>
              <w:bottom w:val="single" w:sz="8" w:color="auto"/>
            </w:tcBorders>
            <w:gridSpan w:val="2"/>
          </w:tcPr>
          <w:p>
            <w:pPr>
              <w:ind w:left="580"/>
              <w:spacing w:after="0"/>
              <w:rPr>
                <w:sz w:val="20"/>
                <w:szCs w:val="20"/>
                <w:color w:val="auto"/>
              </w:rPr>
            </w:pPr>
            <w:r>
              <w:rPr>
                <w:rFonts w:ascii="Arial" w:cs="Arial" w:eastAsia="Arial" w:hAnsi="Arial"/>
                <w:sz w:val="13"/>
                <w:szCs w:val="13"/>
                <w:b w:val="1"/>
                <w:bCs w:val="1"/>
                <w:color w:val="auto"/>
              </w:rPr>
              <w:t>Description of Lien</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Interest Rate</w:t>
            </w:r>
          </w:p>
        </w:tc>
        <w:tc>
          <w:tcPr>
            <w:tcW w:w="240" w:type="dxa"/>
            <w:vAlign w:val="bottom"/>
          </w:tcPr>
          <w:p>
            <w:pPr>
              <w:spacing w:after="0"/>
              <w:rPr>
                <w:sz w:val="14"/>
                <w:szCs w:val="14"/>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Maturity Date</w:t>
            </w:r>
          </w:p>
        </w:tc>
        <w:tc>
          <w:tcPr>
            <w:tcW w:w="2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Terms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Liens</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of Mortgages</w:t>
            </w:r>
          </w:p>
        </w:tc>
        <w:tc>
          <w:tcPr>
            <w:tcW w:w="5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of Mortgages(1)</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or Interest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Mortgage on</w:t>
            </w:r>
          </w:p>
        </w:tc>
        <w:tc>
          <w:tcPr>
            <w:tcW w:w="1500" w:type="dxa"/>
            <w:vAlign w:val="bottom"/>
            <w:gridSpan w:val="2"/>
            <w:shd w:val="clear" w:color="auto" w:fill="CCEEFF"/>
          </w:tcPr>
          <w:p>
            <w:pPr>
              <w:ind w:left="260"/>
              <w:spacing w:after="0" w:line="190" w:lineRule="exact"/>
              <w:rPr>
                <w:sz w:val="20"/>
                <w:szCs w:val="20"/>
                <w:color w:val="auto"/>
              </w:rPr>
            </w:pPr>
            <w:r>
              <w:rPr>
                <w:rFonts w:ascii="Arial" w:cs="Arial" w:eastAsia="Arial" w:hAnsi="Arial"/>
                <w:sz w:val="17"/>
                <w:szCs w:val="17"/>
                <w:color w:val="auto"/>
              </w:rPr>
              <w:t>8% or 10%</w:t>
            </w: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May 2021</w:t>
            </w:r>
          </w:p>
        </w:tc>
        <w:tc>
          <w:tcPr>
            <w:tcW w:w="1700" w:type="dxa"/>
            <w:vAlign w:val="bottom"/>
            <w:gridSpan w:val="2"/>
            <w:shd w:val="clear" w:color="auto" w:fill="CCEEFF"/>
          </w:tcPr>
          <w:p>
            <w:pPr>
              <w:ind w:left="260"/>
              <w:spacing w:after="0" w:line="190" w:lineRule="exact"/>
              <w:rPr>
                <w:sz w:val="20"/>
                <w:szCs w:val="20"/>
                <w:color w:val="auto"/>
              </w:rPr>
            </w:pPr>
            <w:r>
              <w:rPr>
                <w:rFonts w:ascii="Arial" w:cs="Arial" w:eastAsia="Arial" w:hAnsi="Arial"/>
                <w:sz w:val="17"/>
                <w:szCs w:val="17"/>
                <w:color w:val="auto"/>
              </w:rPr>
              <w:t>Interest only</w:t>
            </w:r>
          </w:p>
        </w:tc>
        <w:tc>
          <w:tcPr>
            <w:tcW w:w="360" w:type="dxa"/>
            <w:vAlign w:val="bottom"/>
            <w:gridSpan w:val="2"/>
            <w:shd w:val="clear" w:color="auto" w:fill="CCEEFF"/>
          </w:tcPr>
          <w:p>
            <w:pPr>
              <w:ind w:left="260"/>
              <w:spacing w:after="0" w:line="190"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ind w:left="220"/>
              <w:spacing w:after="0" w:line="190"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line="190" w:lineRule="exact"/>
              <w:rPr>
                <w:sz w:val="20"/>
                <w:szCs w:val="20"/>
                <w:color w:val="auto"/>
              </w:rPr>
            </w:pPr>
            <w:r>
              <w:rPr>
                <w:rFonts w:ascii="Arial" w:cs="Arial" w:eastAsia="Arial" w:hAnsi="Arial"/>
                <w:sz w:val="17"/>
                <w:szCs w:val="17"/>
                <w:color w:val="auto"/>
              </w:rPr>
              <w:t>20,113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line="190" w:lineRule="exact"/>
              <w:rPr>
                <w:sz w:val="20"/>
                <w:szCs w:val="20"/>
                <w:color w:val="auto"/>
              </w:rPr>
            </w:pPr>
            <w:r>
              <w:rPr>
                <w:rFonts w:ascii="Arial" w:cs="Arial" w:eastAsia="Arial" w:hAnsi="Arial"/>
                <w:sz w:val="17"/>
                <w:szCs w:val="17"/>
                <w:color w:val="auto"/>
              </w:rPr>
              <w:t>20,113(2)</w:t>
            </w:r>
          </w:p>
        </w:tc>
        <w:tc>
          <w:tcPr>
            <w:tcW w:w="360" w:type="dxa"/>
            <w:vAlign w:val="bottom"/>
            <w:gridSpan w:val="2"/>
            <w:shd w:val="clear" w:color="auto" w:fill="CCEEFF"/>
          </w:tcPr>
          <w:p>
            <w:pPr>
              <w:jc w:val="right"/>
              <w:ind w:right="76"/>
              <w:spacing w:after="0" w:line="190" w:lineRule="exact"/>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 buildings in</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based on</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monthly; balloon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Philadelphia, PA</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timing of</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payment due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draws, plus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at maturity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participation</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2200" w:type="dxa"/>
            <w:vAlign w:val="bottom"/>
            <w:gridSpan w:val="2"/>
          </w:tcPr>
          <w:p>
            <w:pPr>
              <w:spacing w:after="0"/>
              <w:rPr>
                <w:sz w:val="20"/>
                <w:szCs w:val="20"/>
                <w:color w:val="auto"/>
              </w:rPr>
            </w:pPr>
            <w:r>
              <w:rPr>
                <w:rFonts w:ascii="Arial" w:cs="Arial" w:eastAsia="Arial" w:hAnsi="Arial"/>
                <w:sz w:val="17"/>
                <w:szCs w:val="17"/>
                <w:color w:val="auto"/>
                <w:w w:val="96"/>
              </w:rPr>
              <w:t>Mortgage on retail buildings in</w:t>
            </w:r>
          </w:p>
        </w:tc>
        <w:tc>
          <w:tcPr>
            <w:tcW w:w="1500" w:type="dxa"/>
            <w:vAlign w:val="bottom"/>
            <w:gridSpan w:val="2"/>
          </w:tcPr>
          <w:p>
            <w:pPr>
              <w:ind w:left="260"/>
              <w:spacing w:after="0"/>
              <w:rPr>
                <w:sz w:val="20"/>
                <w:szCs w:val="20"/>
                <w:color w:val="auto"/>
              </w:rPr>
            </w:pPr>
            <w:r>
              <w:rPr>
                <w:rFonts w:ascii="Arial" w:cs="Arial" w:eastAsia="Arial" w:hAnsi="Arial"/>
                <w:sz w:val="17"/>
                <w:szCs w:val="17"/>
                <w:color w:val="auto"/>
              </w:rPr>
              <w:t>10% plus</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auto"/>
              </w:rPr>
              <w:t>May 2021</w:t>
            </w: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Interest only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9,250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9,250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7"/>
                <w:szCs w:val="17"/>
                <w:color w:val="auto"/>
              </w:rPr>
              <w:t>Philadelphia, PA</w:t>
            </w:r>
          </w:p>
        </w:tc>
        <w:tc>
          <w:tcPr>
            <w:tcW w:w="1500" w:type="dxa"/>
            <w:vAlign w:val="bottom"/>
            <w:gridSpan w:val="2"/>
          </w:tcPr>
          <w:p>
            <w:pPr>
              <w:ind w:left="260"/>
              <w:spacing w:after="0"/>
              <w:rPr>
                <w:sz w:val="20"/>
                <w:szCs w:val="20"/>
                <w:color w:val="auto"/>
              </w:rPr>
            </w:pPr>
            <w:r>
              <w:rPr>
                <w:rFonts w:ascii="Arial" w:cs="Arial" w:eastAsia="Arial" w:hAnsi="Arial"/>
                <w:sz w:val="17"/>
                <w:szCs w:val="17"/>
                <w:color w:val="auto"/>
              </w:rPr>
              <w:t>participation</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monthly;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w w:val="89"/>
              </w:rPr>
              <w:t>balloon payment due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at maturity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Second Mortgage</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9%</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August 2016</w:t>
            </w: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Principal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36,000(4)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15,030</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11,818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on hotel in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interest; balloon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San Jose, CA</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payment due</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at maturity(3)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200" w:type="dxa"/>
            <w:vAlign w:val="bottom"/>
            <w:gridSpan w:val="2"/>
          </w:tcPr>
          <w:p>
            <w:pPr>
              <w:spacing w:after="0"/>
              <w:rPr>
                <w:sz w:val="20"/>
                <w:szCs w:val="20"/>
                <w:color w:val="auto"/>
              </w:rPr>
            </w:pPr>
            <w:r>
              <w:rPr>
                <w:rFonts w:ascii="Arial" w:cs="Arial" w:eastAsia="Arial" w:hAnsi="Arial"/>
                <w:sz w:val="17"/>
                <w:szCs w:val="17"/>
                <w:color w:val="auto"/>
              </w:rPr>
              <w:t>Mortgage on</w:t>
            </w:r>
          </w:p>
        </w:tc>
        <w:tc>
          <w:tcPr>
            <w:tcW w:w="1500" w:type="dxa"/>
            <w:vAlign w:val="bottom"/>
            <w:gridSpan w:val="2"/>
          </w:tcPr>
          <w:p>
            <w:pPr>
              <w:ind w:left="260"/>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auto"/>
                <w:w w:val="94"/>
              </w:rPr>
              <w:t>December 2014</w:t>
            </w: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w w:val="90"/>
              </w:rPr>
              <w:t>Interest only monthly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3,632</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7"/>
                <w:szCs w:val="17"/>
                <w:color w:val="auto"/>
              </w:rPr>
              <w:t>3,632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7"/>
                <w:szCs w:val="17"/>
                <w:color w:val="auto"/>
              </w:rPr>
              <w:t>restaurant in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w w:val="93"/>
              </w:rPr>
              <w:t>through January 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7"/>
                <w:szCs w:val="17"/>
                <w:color w:val="auto"/>
              </w:rPr>
              <w:t>Rockville, MD</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2011; balloon</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payment due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gridSpan w:val="2"/>
          </w:tcPr>
          <w:p>
            <w:pPr>
              <w:ind w:left="260"/>
              <w:spacing w:after="0"/>
              <w:rPr>
                <w:sz w:val="20"/>
                <w:szCs w:val="20"/>
                <w:color w:val="auto"/>
              </w:rPr>
            </w:pPr>
            <w:r>
              <w:rPr>
                <w:rFonts w:ascii="Arial" w:cs="Arial" w:eastAsia="Arial" w:hAnsi="Arial"/>
                <w:sz w:val="17"/>
                <w:szCs w:val="17"/>
                <w:color w:val="auto"/>
              </w:rPr>
              <w:t>at maturity(5)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20"/>
                <w:szCs w:val="20"/>
                <w:color w:val="auto"/>
              </w:rPr>
            </w:pPr>
            <w:r>
              <w:rPr>
                <w:rFonts w:ascii="Arial" w:cs="Arial" w:eastAsia="Arial" w:hAnsi="Arial"/>
                <w:sz w:val="17"/>
                <w:szCs w:val="17"/>
                <w:color w:val="auto"/>
                <w:w w:val="84"/>
              </w:rPr>
              <w:t>36,000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48,025(6)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44,813(6)</w:t>
            </w:r>
          </w:p>
        </w:tc>
        <w:tc>
          <w:tcPr>
            <w:tcW w:w="36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1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60" w:hanging="457"/>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For Federal tax purposes, the aggregate tax basis is approximately $48.0 million as of December 31, 2010.</w:t>
      </w:r>
    </w:p>
    <w:p>
      <w:pPr>
        <w:spacing w:after="0" w:line="17" w:lineRule="exact"/>
        <w:rPr>
          <w:rFonts w:ascii="Arial" w:cs="Arial" w:eastAsia="Arial" w:hAnsi="Arial"/>
          <w:sz w:val="17"/>
          <w:szCs w:val="17"/>
          <w:color w:val="auto"/>
        </w:rPr>
      </w:pPr>
    </w:p>
    <w:p>
      <w:pPr>
        <w:ind w:left="460" w:hanging="457"/>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mortgage is available for up to $25.0 million.</w:t>
      </w:r>
    </w:p>
    <w:p>
      <w:pPr>
        <w:spacing w:after="0" w:line="10" w:lineRule="exact"/>
        <w:rPr>
          <w:rFonts w:ascii="Arial" w:cs="Arial" w:eastAsia="Arial" w:hAnsi="Arial"/>
          <w:sz w:val="17"/>
          <w:szCs w:val="17"/>
          <w:color w:val="auto"/>
        </w:rPr>
      </w:pPr>
    </w:p>
    <w:p>
      <w:pPr>
        <w:ind w:left="460" w:right="140" w:hanging="457"/>
        <w:spacing w:after="0" w:line="252"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This note was amended on August 4, 2006. The amended note decreased the interest from 14% to 9% per annum, and requires monthly payments of principal and interest based on 15-year amortization schedule.</w:t>
      </w:r>
    </w:p>
    <w:p>
      <w:pPr>
        <w:ind w:left="460" w:hanging="457"/>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do not hold the first mortgage loan on this property. Accordingly, the amount of the prior lien at December 31, 2010 is estimated.</w:t>
      </w:r>
    </w:p>
    <w:p>
      <w:pPr>
        <w:spacing w:after="0" w:line="10" w:lineRule="exact"/>
        <w:rPr>
          <w:rFonts w:ascii="Arial" w:cs="Arial" w:eastAsia="Arial" w:hAnsi="Arial"/>
          <w:sz w:val="17"/>
          <w:szCs w:val="17"/>
          <w:color w:val="auto"/>
        </w:rPr>
      </w:pPr>
    </w:p>
    <w:p>
      <w:pPr>
        <w:ind w:left="460" w:right="160" w:hanging="457"/>
        <w:spacing w:after="0" w:line="252"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Beginning February 1, 2011, the note requires monthly payments of principal and interest based on a 30-year amortization schedule. The borrower has one, three-year extension option with an interest rate of 12% which increases 1% in each subsequent year of the extension term.</w:t>
      </w:r>
    </w:p>
    <w:p>
      <w:pPr>
        <w:ind w:left="460" w:right="80" w:hanging="457"/>
        <w:spacing w:after="0" w:line="272"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March 30, 2010, we acquired the first mortgage loan on a shopping center located in Norwalk, Connecticut. The first mortgage loan bears interest at 7.25%, matures on September 1, 2032, and as of December 31, 2010, had an outstanding contractual principal balance of $11.3 million. Since November 5, 2008, we have held the second mortgage on this shopping center and a first mortgage on an adjacent commercial building which had an outstanding balance of $7.4 million at December 31, 2010. All of these loans are currently in default and foreclosure proceedings have been filed. As more fully described in Note 3 to the Consolidated Financial Statements, effective March 30, 2010, we have determined we are the primary beneficiary of this VIE and consolidated the shopping center and adjacent building as of March 30, 2010. Therefore, our investment in the property of approximately $18.3 million is included in “real estate” in the consolidated balance sheet as of December 31, 2010.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45"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80" w:type="dxa"/>
            <w:vAlign w:val="bottom"/>
          </w:tcPr>
          <w:p>
            <w:pPr>
              <w:spacing w:after="0"/>
              <w:rPr>
                <w:sz w:val="17"/>
                <w:szCs w:val="17"/>
                <w:color w:val="auto"/>
              </w:rPr>
            </w:pPr>
          </w:p>
        </w:tc>
        <w:tc>
          <w:tcPr>
            <w:tcW w:w="804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99"/>
              </w:rPr>
              <w:t>FEDERAL REALTY INVESTMENT TRUST</w:t>
            </w:r>
          </w:p>
        </w:tc>
        <w:tc>
          <w:tcPr>
            <w:tcW w:w="0" w:type="dxa"/>
            <w:vAlign w:val="bottom"/>
          </w:tcPr>
          <w:p>
            <w:pPr>
              <w:spacing w:after="0"/>
              <w:rPr>
                <w:sz w:val="1"/>
                <w:szCs w:val="1"/>
                <w:color w:val="auto"/>
              </w:rPr>
            </w:pPr>
          </w:p>
        </w:tc>
      </w:tr>
      <w:tr>
        <w:trPr>
          <w:trHeight w:val="206"/>
        </w:trPr>
        <w:tc>
          <w:tcPr>
            <w:tcW w:w="3380" w:type="dxa"/>
            <w:vAlign w:val="bottom"/>
          </w:tcPr>
          <w:p>
            <w:pPr>
              <w:spacing w:after="0"/>
              <w:rPr>
                <w:sz w:val="17"/>
                <w:szCs w:val="17"/>
                <w:color w:val="auto"/>
              </w:rPr>
            </w:pPr>
          </w:p>
        </w:tc>
        <w:tc>
          <w:tcPr>
            <w:tcW w:w="804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99"/>
              </w:rPr>
              <w:t>SCHEDULE IV</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804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98"/>
              </w:rPr>
              <w:t>MORTGAGE LOANS ON REAL ESTATE—CONTINUED</w:t>
            </w:r>
          </w:p>
        </w:tc>
        <w:tc>
          <w:tcPr>
            <w:tcW w:w="0" w:type="dxa"/>
            <w:vAlign w:val="bottom"/>
          </w:tcPr>
          <w:p>
            <w:pPr>
              <w:spacing w:after="0"/>
              <w:rPr>
                <w:sz w:val="1"/>
                <w:szCs w:val="1"/>
                <w:color w:val="auto"/>
              </w:rPr>
            </w:pPr>
          </w:p>
        </w:tc>
      </w:tr>
      <w:tr>
        <w:trPr>
          <w:trHeight w:val="347"/>
        </w:trPr>
        <w:tc>
          <w:tcPr>
            <w:tcW w:w="3380" w:type="dxa"/>
            <w:vAlign w:val="bottom"/>
          </w:tcPr>
          <w:p>
            <w:pPr>
              <w:spacing w:after="0"/>
              <w:rPr>
                <w:sz w:val="24"/>
                <w:szCs w:val="24"/>
                <w:color w:val="auto"/>
              </w:rPr>
            </w:pPr>
          </w:p>
        </w:tc>
        <w:tc>
          <w:tcPr>
            <w:tcW w:w="804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88"/>
              </w:rPr>
              <w:t>Three Years Ended December 31, 2010</w:t>
            </w:r>
          </w:p>
        </w:tc>
        <w:tc>
          <w:tcPr>
            <w:tcW w:w="0" w:type="dxa"/>
            <w:vAlign w:val="bottom"/>
          </w:tcPr>
          <w:p>
            <w:pPr>
              <w:spacing w:after="0"/>
              <w:rPr>
                <w:sz w:val="1"/>
                <w:szCs w:val="1"/>
                <w:color w:val="auto"/>
              </w:rPr>
            </w:pPr>
          </w:p>
        </w:tc>
      </w:tr>
      <w:tr>
        <w:trPr>
          <w:trHeight w:val="271"/>
        </w:trPr>
        <w:tc>
          <w:tcPr>
            <w:tcW w:w="3380" w:type="dxa"/>
            <w:vAlign w:val="bottom"/>
          </w:tcPr>
          <w:p>
            <w:pPr>
              <w:spacing w:after="0"/>
              <w:rPr>
                <w:sz w:val="23"/>
                <w:szCs w:val="23"/>
                <w:color w:val="auto"/>
              </w:rPr>
            </w:pPr>
          </w:p>
        </w:tc>
        <w:tc>
          <w:tcPr>
            <w:tcW w:w="8040" w:type="dxa"/>
            <w:vAlign w:val="bottom"/>
            <w:gridSpan w:val="3"/>
          </w:tcPr>
          <w:p>
            <w:pPr>
              <w:jc w:val="center"/>
              <w:ind w:right="3380"/>
              <w:spacing w:after="0"/>
              <w:rPr>
                <w:sz w:val="20"/>
                <w:szCs w:val="20"/>
                <w:color w:val="auto"/>
              </w:rPr>
            </w:pPr>
            <w:r>
              <w:rPr>
                <w:rFonts w:ascii="Arial" w:cs="Arial" w:eastAsia="Arial" w:hAnsi="Arial"/>
                <w:sz w:val="17"/>
                <w:szCs w:val="17"/>
                <w:b w:val="1"/>
                <w:bCs w:val="1"/>
                <w:color w:val="auto"/>
                <w:w w:val="90"/>
              </w:rPr>
              <w:t>Reconciliation of Carrying Amount</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8040" w:type="dxa"/>
            <w:vAlign w:val="bottom"/>
            <w:gridSpan w:val="3"/>
          </w:tcPr>
          <w:p>
            <w:pPr>
              <w:jc w:val="center"/>
              <w:ind w:right="3360"/>
              <w:spacing w:after="0"/>
              <w:rPr>
                <w:sz w:val="20"/>
                <w:szCs w:val="20"/>
                <w:color w:val="auto"/>
              </w:rPr>
            </w:pPr>
            <w:r>
              <w:rPr>
                <w:rFonts w:ascii="Arial" w:cs="Arial" w:eastAsia="Arial" w:hAnsi="Arial"/>
                <w:sz w:val="17"/>
                <w:szCs w:val="17"/>
                <w:b w:val="1"/>
                <w:bCs w:val="1"/>
                <w:color w:val="auto"/>
                <w:w w:val="88"/>
              </w:rPr>
              <w:t>(In thousands)</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2007</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$ 40,638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Issuance of loans</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820"/>
              <w:spacing w:after="0"/>
              <w:rPr>
                <w:sz w:val="20"/>
                <w:szCs w:val="20"/>
                <w:color w:val="auto"/>
              </w:rPr>
            </w:pPr>
            <w:r>
              <w:rPr>
                <w:rFonts w:ascii="Arial" w:cs="Arial" w:eastAsia="Arial" w:hAnsi="Arial"/>
                <w:sz w:val="17"/>
                <w:szCs w:val="17"/>
                <w:color w:val="auto"/>
              </w:rPr>
              <w:t>Loan fee</w:t>
            </w:r>
          </w:p>
        </w:tc>
        <w:tc>
          <w:tcPr>
            <w:tcW w:w="8040" w:type="dxa"/>
            <w:vAlign w:val="bottom"/>
            <w:gridSpan w:val="3"/>
          </w:tcPr>
          <w:p>
            <w:pPr>
              <w:jc w:val="right"/>
              <w:ind w:right="40"/>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Deductions during period:</w:t>
            </w:r>
          </w:p>
        </w:tc>
        <w:tc>
          <w:tcPr>
            <w:tcW w:w="7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820"/>
              <w:spacing w:after="0"/>
              <w:rPr>
                <w:sz w:val="20"/>
                <w:szCs w:val="20"/>
                <w:color w:val="auto"/>
              </w:rPr>
            </w:pPr>
            <w:r>
              <w:rPr>
                <w:rFonts w:ascii="Arial" w:cs="Arial" w:eastAsia="Arial" w:hAnsi="Arial"/>
                <w:sz w:val="17"/>
                <w:szCs w:val="17"/>
                <w:color w:val="auto"/>
                <w:w w:val="97"/>
              </w:rPr>
              <w:t>Collection and satisfaction of loans</w:t>
            </w:r>
          </w:p>
        </w:tc>
        <w:tc>
          <w:tcPr>
            <w:tcW w:w="8040" w:type="dxa"/>
            <w:vAlign w:val="bottom"/>
            <w:gridSpan w:val="3"/>
          </w:tcPr>
          <w:p>
            <w:pPr>
              <w:jc w:val="right"/>
              <w:ind w:right="40"/>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Amortization of discount/loan fee</w:t>
            </w:r>
          </w:p>
        </w:tc>
        <w:tc>
          <w:tcPr>
            <w:tcW w:w="73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20"/>
                <w:szCs w:val="20"/>
                <w:color w:val="auto"/>
              </w:rPr>
            </w:pPr>
            <w:r>
              <w:rPr>
                <w:rFonts w:ascii="Arial" w:cs="Arial" w:eastAsia="Arial" w:hAnsi="Arial"/>
                <w:sz w:val="17"/>
                <w:szCs w:val="17"/>
                <w:color w:val="auto"/>
              </w:rPr>
              <w:t>Balance, December 31, 2008</w:t>
            </w:r>
          </w:p>
        </w:tc>
        <w:tc>
          <w:tcPr>
            <w:tcW w:w="7940" w:type="dxa"/>
            <w:vAlign w:val="bottom"/>
            <w:gridSpan w:val="2"/>
          </w:tcPr>
          <w:p>
            <w:pPr>
              <w:jc w:val="right"/>
              <w:spacing w:after="0"/>
              <w:rPr>
                <w:sz w:val="20"/>
                <w:szCs w:val="20"/>
                <w:color w:val="auto"/>
              </w:rPr>
            </w:pPr>
            <w:r>
              <w:rPr>
                <w:rFonts w:ascii="Arial" w:cs="Arial" w:eastAsia="Arial" w:hAnsi="Arial"/>
                <w:sz w:val="17"/>
                <w:szCs w:val="17"/>
                <w:color w:val="auto"/>
              </w:rPr>
              <w:t>45,780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Additions during period:</w:t>
            </w:r>
          </w:p>
        </w:tc>
        <w:tc>
          <w:tcPr>
            <w:tcW w:w="7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820"/>
              <w:spacing w:after="0"/>
              <w:rPr>
                <w:sz w:val="20"/>
                <w:szCs w:val="20"/>
                <w:color w:val="auto"/>
              </w:rPr>
            </w:pPr>
            <w:r>
              <w:rPr>
                <w:rFonts w:ascii="Arial" w:cs="Arial" w:eastAsia="Arial" w:hAnsi="Arial"/>
                <w:sz w:val="17"/>
                <w:szCs w:val="17"/>
                <w:color w:val="auto"/>
              </w:rPr>
              <w:t>Issuance of loans</w:t>
            </w:r>
          </w:p>
        </w:tc>
        <w:tc>
          <w:tcPr>
            <w:tcW w:w="7940" w:type="dxa"/>
            <w:vAlign w:val="bottom"/>
            <w:gridSpan w:val="2"/>
          </w:tcPr>
          <w:p>
            <w:pPr>
              <w:jc w:val="right"/>
              <w:spacing w:after="0"/>
              <w:rPr>
                <w:sz w:val="20"/>
                <w:szCs w:val="20"/>
                <w:color w:val="auto"/>
              </w:rPr>
            </w:pPr>
            <w:r>
              <w:rPr>
                <w:rFonts w:ascii="Arial" w:cs="Arial" w:eastAsia="Arial" w:hAnsi="Arial"/>
                <w:sz w:val="17"/>
                <w:szCs w:val="17"/>
                <w:color w:val="auto"/>
              </w:rPr>
              <w:t>2,759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Loan fee</w:t>
            </w:r>
          </w:p>
        </w:tc>
        <w:tc>
          <w:tcPr>
            <w:tcW w:w="8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6"/>
        </w:trPr>
        <w:tc>
          <w:tcPr>
            <w:tcW w:w="338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7"/>
              </w:rPr>
              <w:t>Collection and satisfaction of loans</w:t>
            </w:r>
          </w:p>
        </w:tc>
        <w:tc>
          <w:tcPr>
            <w:tcW w:w="8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11"/>
        </w:trPr>
        <w:tc>
          <w:tcPr>
            <w:tcW w:w="3380" w:type="dxa"/>
            <w:vAlign w:val="bottom"/>
          </w:tcPr>
          <w:p>
            <w:pPr>
              <w:ind w:left="820"/>
              <w:spacing w:after="0"/>
              <w:rPr>
                <w:sz w:val="20"/>
                <w:szCs w:val="20"/>
                <w:color w:val="auto"/>
              </w:rPr>
            </w:pPr>
            <w:r>
              <w:rPr>
                <w:rFonts w:ascii="Arial" w:cs="Arial" w:eastAsia="Arial" w:hAnsi="Arial"/>
                <w:sz w:val="17"/>
                <w:szCs w:val="17"/>
                <w:color w:val="auto"/>
              </w:rPr>
              <w:t>Amortization of discount /loan fee</w:t>
            </w:r>
          </w:p>
        </w:tc>
        <w:tc>
          <w:tcPr>
            <w:tcW w:w="73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2009</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420"/>
              <w:spacing w:after="0"/>
              <w:rPr>
                <w:sz w:val="20"/>
                <w:szCs w:val="20"/>
                <w:color w:val="auto"/>
              </w:rPr>
            </w:pPr>
            <w:r>
              <w:rPr>
                <w:rFonts w:ascii="Arial" w:cs="Arial" w:eastAsia="Arial" w:hAnsi="Arial"/>
                <w:sz w:val="17"/>
                <w:szCs w:val="17"/>
                <w:color w:val="auto"/>
              </w:rPr>
              <w:t>Additions during period:</w:t>
            </w:r>
          </w:p>
        </w:tc>
        <w:tc>
          <w:tcPr>
            <w:tcW w:w="7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Issuance of loans</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tcPr>
          <w:p>
            <w:pPr>
              <w:ind w:left="420"/>
              <w:spacing w:after="0"/>
              <w:rPr>
                <w:sz w:val="20"/>
                <w:szCs w:val="20"/>
                <w:color w:val="auto"/>
              </w:rPr>
            </w:pPr>
            <w:r>
              <w:rPr>
                <w:rFonts w:ascii="Arial" w:cs="Arial" w:eastAsia="Arial" w:hAnsi="Arial"/>
                <w:sz w:val="17"/>
                <w:szCs w:val="17"/>
                <w:color w:val="auto"/>
              </w:rPr>
              <w:t>Deductions during period:</w:t>
            </w:r>
          </w:p>
        </w:tc>
        <w:tc>
          <w:tcPr>
            <w:tcW w:w="7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7"/>
              </w:rPr>
              <w:t>Collection and satisfaction of loans</w:t>
            </w:r>
          </w:p>
        </w:tc>
        <w:tc>
          <w:tcPr>
            <w:tcW w:w="8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06"/>
        </w:trPr>
        <w:tc>
          <w:tcPr>
            <w:tcW w:w="3380" w:type="dxa"/>
            <w:vAlign w:val="bottom"/>
          </w:tcPr>
          <w:p>
            <w:pPr>
              <w:ind w:left="820"/>
              <w:spacing w:after="0"/>
              <w:rPr>
                <w:sz w:val="20"/>
                <w:szCs w:val="20"/>
                <w:color w:val="auto"/>
              </w:rPr>
            </w:pPr>
            <w:r>
              <w:rPr>
                <w:rFonts w:ascii="Arial" w:cs="Arial" w:eastAsia="Arial" w:hAnsi="Arial"/>
                <w:sz w:val="17"/>
                <w:szCs w:val="17"/>
                <w:color w:val="auto"/>
              </w:rPr>
              <w:t>Amortization of discount</w:t>
            </w:r>
          </w:p>
        </w:tc>
        <w:tc>
          <w:tcPr>
            <w:tcW w:w="7940" w:type="dxa"/>
            <w:vAlign w:val="bottom"/>
            <w:gridSpan w:val="2"/>
          </w:tcPr>
          <w:p>
            <w:pPr>
              <w:jc w:val="right"/>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ind w:left="820"/>
              <w:spacing w:after="0"/>
              <w:rPr>
                <w:sz w:val="20"/>
                <w:szCs w:val="20"/>
                <w:color w:val="auto"/>
              </w:rPr>
            </w:pPr>
            <w:r>
              <w:rPr>
                <w:rFonts w:ascii="Arial" w:cs="Arial" w:eastAsia="Arial" w:hAnsi="Arial"/>
                <w:sz w:val="17"/>
                <w:szCs w:val="17"/>
                <w:color w:val="auto"/>
              </w:rPr>
              <w:t>Consolidation of VIE</w:t>
            </w:r>
          </w:p>
        </w:tc>
        <w:tc>
          <w:tcPr>
            <w:tcW w:w="7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(18,311)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7"/>
                <w:szCs w:val="17"/>
                <w:color w:val="auto"/>
              </w:rPr>
              <w:t>Balance, December 31, 2010</w:t>
            </w:r>
          </w:p>
        </w:tc>
        <w:tc>
          <w:tcPr>
            <w:tcW w:w="7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vMerge w:val="continue"/>
          </w:tcPr>
          <w:p>
            <w:pPr>
              <w:spacing w:after="0"/>
              <w:rPr>
                <w:sz w:val="18"/>
                <w:szCs w:val="18"/>
                <w:color w:val="auto"/>
              </w:rPr>
            </w:pPr>
          </w:p>
        </w:tc>
        <w:tc>
          <w:tcPr>
            <w:tcW w:w="7940" w:type="dxa"/>
            <w:vAlign w:val="bottom"/>
            <w:gridSpan w:val="2"/>
          </w:tcPr>
          <w:p>
            <w:pPr>
              <w:jc w:val="right"/>
              <w:spacing w:after="0"/>
              <w:rPr>
                <w:sz w:val="20"/>
                <w:szCs w:val="20"/>
                <w:color w:val="auto"/>
              </w:rPr>
            </w:pPr>
            <w:r>
              <w:rPr>
                <w:rFonts w:ascii="Arial" w:cs="Arial" w:eastAsia="Arial" w:hAnsi="Arial"/>
                <w:sz w:val="17"/>
                <w:szCs w:val="17"/>
                <w:color w:val="auto"/>
              </w:rPr>
              <w:t>$ 44,813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380" w:type="dxa"/>
            <w:vAlign w:val="bottom"/>
          </w:tcPr>
          <w:p>
            <w:pPr>
              <w:spacing w:after="0"/>
              <w:rPr>
                <w:sz w:val="24"/>
                <w:szCs w:val="24"/>
                <w:color w:val="auto"/>
              </w:rPr>
            </w:pPr>
          </w:p>
        </w:tc>
        <w:tc>
          <w:tcPr>
            <w:tcW w:w="8040" w:type="dxa"/>
            <w:vAlign w:val="bottom"/>
            <w:gridSpan w:val="3"/>
          </w:tcPr>
          <w:p>
            <w:pPr>
              <w:jc w:val="center"/>
              <w:ind w:right="3360"/>
              <w:spacing w:after="0"/>
              <w:rPr>
                <w:sz w:val="20"/>
                <w:szCs w:val="20"/>
                <w:color w:val="auto"/>
              </w:rPr>
            </w:pPr>
            <w:r>
              <w:rPr>
                <w:rFonts w:ascii="Arial" w:cs="Arial" w:eastAsia="Arial" w:hAnsi="Arial"/>
                <w:sz w:val="17"/>
                <w:szCs w:val="17"/>
                <w:color w:val="auto"/>
                <w:w w:val="91"/>
              </w:rPr>
              <w:t>F-41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880"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560" w:type="dxa"/>
            <w:vAlign w:val="bottom"/>
          </w:tcPr>
          <w:p>
            <w:pPr>
              <w:jc w:val="center"/>
              <w:ind w:right="1776"/>
              <w:spacing w:after="0"/>
              <w:rPr>
                <w:sz w:val="20"/>
                <w:szCs w:val="20"/>
                <w:color w:val="auto"/>
              </w:rPr>
            </w:pPr>
            <w:r>
              <w:rPr>
                <w:rFonts w:ascii="Arial" w:cs="Arial" w:eastAsia="Arial" w:hAnsi="Arial"/>
                <w:sz w:val="17"/>
                <w:szCs w:val="17"/>
                <w:b w:val="1"/>
                <w:bCs w:val="1"/>
                <w:color w:val="auto"/>
              </w:rPr>
              <w:t>EXHIBIT INDEX</w:t>
            </w:r>
          </w:p>
        </w:tc>
      </w:tr>
      <w:tr>
        <w:trPr>
          <w:trHeight w:val="323"/>
        </w:trPr>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Exhibit</w:t>
            </w: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74"/>
        </w:trPr>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No.</w:t>
            </w:r>
          </w:p>
        </w:tc>
        <w:tc>
          <w:tcPr>
            <w:tcW w:w="760" w:type="dxa"/>
            <w:vAlign w:val="bottom"/>
          </w:tcPr>
          <w:p>
            <w:pPr>
              <w:spacing w:after="0"/>
              <w:rPr>
                <w:sz w:val="15"/>
                <w:szCs w:val="15"/>
                <w:color w:val="auto"/>
              </w:rPr>
            </w:pPr>
          </w:p>
        </w:tc>
        <w:tc>
          <w:tcPr>
            <w:tcW w:w="1022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183"/>
        </w:trPr>
        <w:tc>
          <w:tcPr>
            <w:tcW w:w="440" w:type="dxa"/>
            <w:vAlign w:val="bottom"/>
          </w:tcPr>
          <w:p>
            <w:pPr>
              <w:jc w:val="right"/>
              <w:spacing w:after="0" w:line="183" w:lineRule="exact"/>
              <w:rPr>
                <w:sz w:val="20"/>
                <w:szCs w:val="20"/>
                <w:color w:val="auto"/>
              </w:rPr>
            </w:pPr>
            <w:r>
              <w:rPr>
                <w:rFonts w:ascii="Arial" w:cs="Arial" w:eastAsia="Arial" w:hAnsi="Arial"/>
                <w:sz w:val="17"/>
                <w:szCs w:val="17"/>
                <w:color w:val="auto"/>
              </w:rPr>
              <w:t>3.1</w:t>
            </w:r>
          </w:p>
        </w:tc>
        <w:tc>
          <w:tcPr>
            <w:tcW w:w="760" w:type="dxa"/>
            <w:vAlign w:val="bottom"/>
          </w:tcPr>
          <w:p>
            <w:pPr>
              <w:spacing w:after="0"/>
              <w:rPr>
                <w:sz w:val="15"/>
                <w:szCs w:val="15"/>
                <w:color w:val="auto"/>
              </w:rPr>
            </w:pPr>
          </w:p>
        </w:tc>
        <w:tc>
          <w:tcPr>
            <w:tcW w:w="66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w w:val="74"/>
              </w:rPr>
              <w:t>Declaration</w:t>
            </w:r>
          </w:p>
        </w:tc>
        <w:tc>
          <w:tcPr>
            <w:tcW w:w="9560" w:type="dxa"/>
            <w:vAlign w:val="bottom"/>
          </w:tcPr>
          <w:p>
            <w:pPr>
              <w:ind w:left="160"/>
              <w:spacing w:after="0" w:line="183" w:lineRule="exact"/>
              <w:rPr>
                <w:sz w:val="20"/>
                <w:szCs w:val="20"/>
                <w:color w:val="auto"/>
              </w:rPr>
            </w:pPr>
            <w:r>
              <w:rPr>
                <w:rFonts w:ascii="Arial" w:cs="Arial" w:eastAsia="Arial" w:hAnsi="Arial"/>
                <w:sz w:val="17"/>
                <w:szCs w:val="17"/>
                <w:color w:val="auto"/>
                <w:w w:val="89"/>
              </w:rPr>
              <w:t>of Trust of Federal Realty Investment Trust dated May 5, 1999 as amended by the Articles of Amendment of Declaration of Trust of Federal</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1"/>
              </w:rPr>
              <w:t>Realty Investment Trust dated May 6, 2004, as corrected by the Certificate of Correction of Articles of Amendment of Declaration of Trust of Federal</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2"/>
              </w:rPr>
              <w:t>Realty Investment Trust dated June 17, 2004, as amended by the Articles of Amendment of Declaration of Trust of Federal Realty Investment Trust</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dated May 6, 2009 (previously filed as Exhibit 3.1 to the Trust’s Registration Statement on Form S-3 (File No. 333-160009) and incorporated herein by</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3.2</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Amended and Restated Bylaws of Federal Realty Investment Trust dated February 12, 2003, as amended October 29, 2003, May 5, 2004, February 17,</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2006 and May 6, 2009 (previously filed as Exhibit 3.2 to the Trust’s Registration Statement on Form S-3 (File No. 333-160009) and incorporated herein</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Specimen Common Share certificate (previously filed as Exhibit 4(i) to the Trust’s Annual Report on Form 10-K for the year ended December 31, 1999</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4.2</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Articles Supplementary relating to the 5.417% Series 1 Cumulative Convertible Preferred Shares of Beneficial Interest (previously filed as Exhibit 4.1 to</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the Trust’s Current Report on Form 8-K filed on March 13, 2007,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4.3</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8"/>
              </w:rPr>
              <w:t>Amended and Restated Rights Agreement, dated March 11, 1999, between the Trust and American Stock Transfer &amp; Trust Company (previously filed as</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4"/>
              </w:rPr>
              <w:t>Exhibit 1 to the Trust’s Registration Statement on Form 8-A/A filed on March 11, 1999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4.4</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First Amendment to Amended and Restated Rights Agreement, dated as of November 2003, between the Trust and American Stock Transfer &amp; Trust</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2"/>
              </w:rPr>
              <w:t>Company (previously filed as Exhibit 4.5 to the Trust’s Annual Report on Form 10-K for the year ended December 31, 2003 (File No. 1-07533) and</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4.5</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Second Amendment to Amended and Restated Rights Agreement, dated as of March 11, 2009, between the Trust and American Stock Transfer &amp; Trust</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5"/>
              </w:rPr>
              <w:t>Company (previously filed as Exhibit 4.3 to the Trust’s current Report on Form 8-K (File No. 001-07533)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4.6</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Indenture dated December 1, 1993 related to the Trust’s 7.48% Debentures due August 15, 2026; and 6.82% Medium Term Notes due August 1, 2027;</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(previously filed as Exhibit 4(a) to the Trust’s Registration Statement on Form S-3 (File No. 33-51029), and amended on Form S-3 (File No. 33-63687),</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filed on December 13, 1993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4.7</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 xml:space="preserve">Indenture dated September 1, 1998 related to the Trust’s 8.75% Notes due December 1, 2009; 6 </w:t>
            </w:r>
            <w:r>
              <w:rPr>
                <w:rFonts w:ascii="Arial" w:cs="Arial" w:eastAsia="Arial" w:hAnsi="Arial"/>
                <w:sz w:val="10"/>
                <w:szCs w:val="10"/>
                <w:color w:val="auto"/>
                <w:w w:val="89"/>
              </w:rPr>
              <w:t>1</w:t>
            </w:r>
            <w:r>
              <w:rPr>
                <w:rFonts w:ascii="Arial" w:cs="Arial" w:eastAsia="Arial" w:hAnsi="Arial"/>
                <w:sz w:val="17"/>
                <w:szCs w:val="17"/>
                <w:color w:val="auto"/>
                <w:w w:val="89"/>
              </w:rPr>
              <w:t>/</w:t>
            </w:r>
            <w:r>
              <w:rPr>
                <w:rFonts w:ascii="Arial" w:cs="Arial" w:eastAsia="Arial" w:hAnsi="Arial"/>
                <w:sz w:val="12"/>
                <w:szCs w:val="12"/>
                <w:color w:val="auto"/>
                <w:w w:val="89"/>
              </w:rPr>
              <w:t>8</w:t>
            </w:r>
            <w:r>
              <w:rPr>
                <w:rFonts w:ascii="Arial" w:cs="Arial" w:eastAsia="Arial" w:hAnsi="Arial"/>
                <w:sz w:val="17"/>
                <w:szCs w:val="17"/>
                <w:color w:val="auto"/>
                <w:w w:val="89"/>
              </w:rPr>
              <w:t>% Notes due November 15, 2007; 4.50% Notes due</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0"/>
              </w:rPr>
              <w:t>2011; 5.65% Notes due 2016; 6.00% Notes due 2012; 6.20% Notes due 2017; 5.40% Notes due 2013; and 5.95% Notes due 2014 (previously filed as</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89"/>
              </w:rPr>
              <w:t>Exhibit 4(a) to the Trust’s Registration Statement on Form S-3 (File No. 333-63619) filed on September 17, 1998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4.8</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2"/>
              </w:rPr>
              <w:t>Pursuant to Regulation S-K Item 601(b)(4)(iii), the Trust by this filing agrees, upon request, to furnish to the Securities and Exchange Commission a</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copy of other instruments defining the rights of holders of long-term debt of the Trust</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10.1</w:t>
            </w:r>
          </w:p>
        </w:tc>
        <w:tc>
          <w:tcPr>
            <w:tcW w:w="76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2"/>
              </w:rPr>
              <w:t>Amended and Restated 1993 Long-Term Incentive Plan, as amended on October 6, 1997 and further amended on May 6, 1998 (previously filed as</w:t>
            </w:r>
          </w:p>
        </w:tc>
      </w:tr>
      <w:tr>
        <w:trPr>
          <w:trHeight w:val="206"/>
        </w:trPr>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w w:val="95"/>
              </w:rPr>
              <w:t>Exhibit 10.26 to the Trust’s Annual Report on Form 10-K for the year ended December 31, 1998 (File No. 1-07533) and incorporated herein by</w:t>
            </w:r>
          </w:p>
        </w:tc>
      </w:tr>
      <w:tr>
        <w:trPr>
          <w:trHeight w:val="213"/>
        </w:trPr>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347"/>
        </w:trPr>
        <w:tc>
          <w:tcPr>
            <w:tcW w:w="440" w:type="dxa"/>
            <w:vAlign w:val="bottom"/>
          </w:tcPr>
          <w:p>
            <w:pPr>
              <w:spacing w:after="0"/>
              <w:rPr>
                <w:sz w:val="24"/>
                <w:szCs w:val="24"/>
                <w:color w:val="auto"/>
              </w:rPr>
            </w:pPr>
          </w:p>
        </w:tc>
        <w:tc>
          <w:tcPr>
            <w:tcW w:w="10980" w:type="dxa"/>
            <w:vAlign w:val="bottom"/>
            <w:gridSpan w:val="3"/>
          </w:tcPr>
          <w:p>
            <w:pPr>
              <w:jc w:val="right"/>
              <w:ind w:right="5576"/>
              <w:spacing w:after="0"/>
              <w:rPr>
                <w:sz w:val="20"/>
                <w:szCs w:val="20"/>
                <w:color w:val="auto"/>
              </w:rPr>
            </w:pPr>
            <w:r>
              <w:rPr>
                <w:rFonts w:ascii="Arial" w:cs="Arial" w:eastAsia="Arial" w:hAnsi="Arial"/>
                <w:sz w:val="17"/>
                <w:szCs w:val="17"/>
                <w:color w:val="auto"/>
              </w:rPr>
              <w:t>1</w:t>
            </w:r>
          </w:p>
        </w:tc>
      </w:tr>
    </w:tbl>
    <w:p>
      <w:pPr>
        <w:sectPr>
          <w:pgSz w:w="11900" w:h="16838" w:orient="portrait"/>
          <w:cols w:equalWidth="0" w:num="1">
            <w:col w:w="11420"/>
          </w:cols>
          <w:pgMar w:left="240" w:top="445"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60" w:type="dxa"/>
            <w:vAlign w:val="bottom"/>
          </w:tcPr>
          <w:p>
            <w:pPr>
              <w:jc w:val="center"/>
              <w:ind w:right="1676"/>
              <w:spacing w:after="0"/>
              <w:rPr>
                <w:sz w:val="20"/>
                <w:szCs w:val="20"/>
                <w:color w:val="auto"/>
              </w:rPr>
            </w:pPr>
            <w:r>
              <w:rPr>
                <w:rFonts w:ascii="Arial" w:cs="Arial" w:eastAsia="Arial" w:hAnsi="Arial"/>
                <w:sz w:val="17"/>
                <w:szCs w:val="17"/>
                <w:b w:val="1"/>
                <w:bCs w:val="1"/>
                <w:color w:val="auto"/>
              </w:rPr>
              <w:t>EXHIBIT INDEX</w:t>
            </w:r>
          </w:p>
        </w:tc>
      </w:tr>
      <w:tr>
        <w:trPr>
          <w:trHeight w:val="323"/>
        </w:trPr>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Exhibit</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74"/>
        </w:trPr>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No.</w:t>
            </w:r>
          </w:p>
        </w:tc>
        <w:tc>
          <w:tcPr>
            <w:tcW w:w="10980" w:type="dxa"/>
            <w:vAlign w:val="bottom"/>
            <w:gridSpan w:val="3"/>
          </w:tcPr>
          <w:p>
            <w:pPr>
              <w:ind w:left="640"/>
              <w:spacing w:after="0"/>
              <w:rPr>
                <w:sz w:val="20"/>
                <w:szCs w:val="20"/>
                <w:color w:val="auto"/>
              </w:rPr>
            </w:pPr>
            <w:r>
              <w:rPr>
                <w:rFonts w:ascii="Arial" w:cs="Arial" w:eastAsia="Arial" w:hAnsi="Arial"/>
                <w:sz w:val="13"/>
                <w:szCs w:val="13"/>
                <w:b w:val="1"/>
                <w:bCs w:val="1"/>
                <w:color w:val="auto"/>
              </w:rPr>
              <w:t>Description</w:t>
            </w:r>
          </w:p>
        </w:tc>
      </w:tr>
      <w:tr>
        <w:trPr>
          <w:trHeight w:val="183"/>
        </w:trPr>
        <w:tc>
          <w:tcPr>
            <w:tcW w:w="440" w:type="dxa"/>
            <w:vAlign w:val="bottom"/>
          </w:tcPr>
          <w:p>
            <w:pPr>
              <w:jc w:val="right"/>
              <w:spacing w:after="0" w:line="183" w:lineRule="exact"/>
              <w:rPr>
                <w:sz w:val="20"/>
                <w:szCs w:val="20"/>
                <w:color w:val="auto"/>
              </w:rPr>
            </w:pPr>
            <w:r>
              <w:rPr>
                <w:rFonts w:ascii="Arial" w:cs="Arial" w:eastAsia="Arial" w:hAnsi="Arial"/>
                <w:sz w:val="17"/>
                <w:szCs w:val="17"/>
                <w:color w:val="auto"/>
              </w:rPr>
              <w:t>10.2</w:t>
            </w:r>
          </w:p>
        </w:tc>
        <w:tc>
          <w:tcPr>
            <w:tcW w:w="640" w:type="dxa"/>
            <w:vAlign w:val="bottom"/>
          </w:tcPr>
          <w:p>
            <w:pPr>
              <w:spacing w:after="0"/>
              <w:rPr>
                <w:sz w:val="15"/>
                <w:szCs w:val="15"/>
                <w:color w:val="auto"/>
              </w:rPr>
            </w:pPr>
          </w:p>
        </w:tc>
        <w:tc>
          <w:tcPr>
            <w:tcW w:w="6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Form of</w:t>
            </w:r>
          </w:p>
        </w:tc>
        <w:tc>
          <w:tcPr>
            <w:tcW w:w="9660" w:type="dxa"/>
            <w:vAlign w:val="bottom"/>
          </w:tcPr>
          <w:p>
            <w:pPr>
              <w:spacing w:after="0" w:line="183" w:lineRule="exact"/>
              <w:rPr>
                <w:sz w:val="20"/>
                <w:szCs w:val="20"/>
                <w:color w:val="auto"/>
              </w:rPr>
            </w:pPr>
            <w:r>
              <w:rPr>
                <w:rFonts w:ascii="Arial" w:cs="Arial" w:eastAsia="Arial" w:hAnsi="Arial"/>
                <w:sz w:val="17"/>
                <w:szCs w:val="17"/>
                <w:color w:val="auto"/>
                <w:w w:val="90"/>
              </w:rPr>
              <w:t>Severance Agreement between the Trust and Certain of its Officers dated December 31, 1994 (previously filed as a portion of Exhibit 10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Annual Report on Form 10-K for the year ended December 31, 1994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10.3</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4"/>
              </w:rPr>
              <w:t>* Severance Agreement between the Trust and Donald C. Wood dated February 22, 1999 (previously filed as a portion of Exhibit 10 to the Trust’s</w:t>
            </w:r>
          </w:p>
        </w:tc>
      </w:tr>
      <w:tr>
        <w:trPr>
          <w:trHeight w:val="206"/>
        </w:trPr>
        <w:tc>
          <w:tcPr>
            <w:tcW w:w="440" w:type="dxa"/>
            <w:vAlign w:val="bottom"/>
          </w:tcPr>
          <w:p>
            <w:pPr>
              <w:spacing w:after="0"/>
              <w:rPr>
                <w:sz w:val="17"/>
                <w:szCs w:val="17"/>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5"/>
              </w:rPr>
              <w:t>Quarterly Report on Form 10-Q for the quarter ended March 31, 1999 (File No. 1-07533) (the “1999 1Q Form 10-Q”) and incorporated herein by</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10.4</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5"/>
              </w:rPr>
              <w:t>* Executive Agreement between Federal Realty Investment Trust and Donald C. Wood dated February 22, 1999 (previously filed as a portion of</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Exhibit 10 to the 1999 1Q Form 10-Q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10.5</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3"/>
              </w:rPr>
              <w:t>* Amendment to Executive Agreement between Federal Realty Investment Trust and Donald C. Wood dated February 16, 2005 (previously filed as</w:t>
            </w:r>
          </w:p>
        </w:tc>
      </w:tr>
      <w:tr>
        <w:trPr>
          <w:trHeight w:val="206"/>
        </w:trPr>
        <w:tc>
          <w:tcPr>
            <w:tcW w:w="440" w:type="dxa"/>
            <w:vAlign w:val="bottom"/>
          </w:tcPr>
          <w:p>
            <w:pPr>
              <w:spacing w:after="0"/>
              <w:rPr>
                <w:sz w:val="17"/>
                <w:szCs w:val="17"/>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6"/>
              </w:rPr>
              <w:t>Exhibit 10.12 to the Trust’s Annual Report on Form 10-K for the year ended December 31, 2004 (File No. 1-07533) (the “2004 Form 10-K”) and</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10.6</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Split Dollar Life Insurance Agreement dated August 12, 1998 between the Trust and Donald C. Wood (previously filed as a portion of Exhibit 10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Annual Report on Form 10-K for the year ended December 31, 2000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10.7</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Severance Agreement between the Trust and Jeffrey S. Berkes dated March 1, 2000 (previously filed as a portion of Exhibit 10 to the Trust’s Annual</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Report on Form 10-K for the year ended December 31, 2001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10.8</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2"/>
              </w:rPr>
              <w:t>* Amendment to Severance Agreement between Federal Realty Investment Trust and Jeffrey S. Berkes dated February 16, 2005 (previously filed as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Exhibit 10.17 to the 2004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rPr>
              <w:t>10.9</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8"/>
              </w:rPr>
              <w:t>2001 Long-Term Incentive Plan (previously filed as Exhibit 99.1 to the Trust’s S-8 Registration Number 333-60364 filed on May 7, 2001 and</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10.10</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0"/>
              </w:rPr>
              <w:t>* Health Coverage Continuation Agreement between Federal Realty Investment Trust and Donald C. Wood dated February 16, 2005 (previously filed as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Exhibit 10.26 to the 2004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10.11</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89"/>
              </w:rPr>
              <w:t>* Severance Agreement between the Trust and Dawn M. Becker dated April 19, 2000 (previously filed as Exhibit 10.26 to the Trust’s 2005 2Q Form 10-Q</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10.12</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Amendment to Severance Agreement between the Trust and Dawn M. Becker dated February 16, 2005 (previously filed as Exhibit 10.27 to the 2004</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10.13</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0"/>
              </w:rPr>
              <w:t>Form of Restricted Share Award Agreement for awards made under the Trust’s 2003 Long-Term Incentive Award Program for shares issued out of 2001</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Long-Term Incentive Plan (previously filed as Exhibit 10.28 to the 2004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10.14</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89"/>
              </w:rPr>
              <w:t>Form of Restricted Share Award Agreement for awards made under the Trust’s Annual Incentive Bonus Program for shares issued out of 2001 Long-Term</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Incentive Plan (previously filed as Exhibit 10.29 to the 2004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10.15</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2"/>
              </w:rPr>
              <w:t>Form of Option Award Agreement for options awarded under 2001 Long-Term Incentive Plan (previously filed as Exhibit 10.30 to the 2004 Form 10-K</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and incorporated herein by reference)</w:t>
            </w:r>
          </w:p>
        </w:tc>
      </w:tr>
      <w:tr>
        <w:trPr>
          <w:trHeight w:val="347"/>
        </w:trPr>
        <w:tc>
          <w:tcPr>
            <w:tcW w:w="440" w:type="dxa"/>
            <w:vAlign w:val="bottom"/>
          </w:tcPr>
          <w:p>
            <w:pPr>
              <w:spacing w:after="0"/>
              <w:rPr>
                <w:sz w:val="24"/>
                <w:szCs w:val="24"/>
                <w:color w:val="auto"/>
              </w:rPr>
            </w:pPr>
          </w:p>
        </w:tc>
        <w:tc>
          <w:tcPr>
            <w:tcW w:w="10980" w:type="dxa"/>
            <w:vAlign w:val="bottom"/>
            <w:gridSpan w:val="3"/>
          </w:tcPr>
          <w:p>
            <w:pPr>
              <w:jc w:val="right"/>
              <w:ind w:right="5576"/>
              <w:spacing w:after="0"/>
              <w:rPr>
                <w:sz w:val="20"/>
                <w:szCs w:val="20"/>
                <w:color w:val="auto"/>
              </w:rPr>
            </w:pPr>
            <w:r>
              <w:rPr>
                <w:rFonts w:ascii="Arial" w:cs="Arial" w:eastAsia="Arial" w:hAnsi="Arial"/>
                <w:sz w:val="17"/>
                <w:szCs w:val="17"/>
                <w:color w:val="auto"/>
              </w:rPr>
              <w:t>2</w:t>
            </w:r>
          </w:p>
        </w:tc>
      </w:tr>
    </w:tbl>
    <w:p>
      <w:pPr>
        <w:sectPr>
          <w:pgSz w:w="11900" w:h="16838" w:orient="portrait"/>
          <w:cols w:equalWidth="0" w:num="1">
            <w:col w:w="11420"/>
          </w:cols>
          <w:pgMar w:left="240" w:top="445"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60" w:type="dxa"/>
            <w:vAlign w:val="bottom"/>
          </w:tcPr>
          <w:p>
            <w:pPr>
              <w:jc w:val="center"/>
              <w:ind w:right="1676"/>
              <w:spacing w:after="0"/>
              <w:rPr>
                <w:sz w:val="20"/>
                <w:szCs w:val="20"/>
                <w:color w:val="auto"/>
              </w:rPr>
            </w:pPr>
            <w:r>
              <w:rPr>
                <w:rFonts w:ascii="Arial" w:cs="Arial" w:eastAsia="Arial" w:hAnsi="Arial"/>
                <w:sz w:val="17"/>
                <w:szCs w:val="17"/>
                <w:b w:val="1"/>
                <w:bCs w:val="1"/>
                <w:color w:val="auto"/>
              </w:rPr>
              <w:t>EXHIBIT INDEX</w:t>
            </w:r>
          </w:p>
        </w:tc>
      </w:tr>
      <w:tr>
        <w:trPr>
          <w:trHeight w:val="323"/>
        </w:trPr>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Exhibit</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74"/>
        </w:trPr>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No.</w:t>
            </w:r>
          </w:p>
        </w:tc>
        <w:tc>
          <w:tcPr>
            <w:tcW w:w="10980" w:type="dxa"/>
            <w:vAlign w:val="bottom"/>
            <w:gridSpan w:val="3"/>
          </w:tcPr>
          <w:p>
            <w:pPr>
              <w:ind w:left="640"/>
              <w:spacing w:after="0"/>
              <w:rPr>
                <w:sz w:val="20"/>
                <w:szCs w:val="20"/>
                <w:color w:val="auto"/>
              </w:rPr>
            </w:pPr>
            <w:r>
              <w:rPr>
                <w:rFonts w:ascii="Arial" w:cs="Arial" w:eastAsia="Arial" w:hAnsi="Arial"/>
                <w:sz w:val="13"/>
                <w:szCs w:val="13"/>
                <w:b w:val="1"/>
                <w:bCs w:val="1"/>
                <w:color w:val="auto"/>
              </w:rPr>
              <w:t>Description</w:t>
            </w:r>
          </w:p>
        </w:tc>
      </w:tr>
      <w:tr>
        <w:trPr>
          <w:trHeight w:val="183"/>
        </w:trPr>
        <w:tc>
          <w:tcPr>
            <w:tcW w:w="440" w:type="dxa"/>
            <w:vAlign w:val="bottom"/>
          </w:tcPr>
          <w:p>
            <w:pPr>
              <w:jc w:val="right"/>
              <w:spacing w:after="0" w:line="183" w:lineRule="exact"/>
              <w:rPr>
                <w:sz w:val="20"/>
                <w:szCs w:val="20"/>
                <w:color w:val="auto"/>
              </w:rPr>
            </w:pPr>
            <w:r>
              <w:rPr>
                <w:rFonts w:ascii="Arial" w:cs="Arial" w:eastAsia="Arial" w:hAnsi="Arial"/>
                <w:sz w:val="17"/>
                <w:szCs w:val="17"/>
                <w:color w:val="auto"/>
                <w:w w:val="98"/>
              </w:rPr>
              <w:t>10.16</w:t>
            </w:r>
          </w:p>
        </w:tc>
        <w:tc>
          <w:tcPr>
            <w:tcW w:w="640" w:type="dxa"/>
            <w:vAlign w:val="bottom"/>
          </w:tcPr>
          <w:p>
            <w:pPr>
              <w:spacing w:after="0"/>
              <w:rPr>
                <w:sz w:val="15"/>
                <w:szCs w:val="15"/>
                <w:color w:val="auto"/>
              </w:rPr>
            </w:pPr>
          </w:p>
        </w:tc>
        <w:tc>
          <w:tcPr>
            <w:tcW w:w="6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Form of</w:t>
            </w:r>
          </w:p>
        </w:tc>
        <w:tc>
          <w:tcPr>
            <w:tcW w:w="9660" w:type="dxa"/>
            <w:vAlign w:val="bottom"/>
          </w:tcPr>
          <w:p>
            <w:pPr>
              <w:spacing w:after="0" w:line="183" w:lineRule="exact"/>
              <w:rPr>
                <w:sz w:val="20"/>
                <w:szCs w:val="20"/>
                <w:color w:val="auto"/>
              </w:rPr>
            </w:pPr>
            <w:r>
              <w:rPr>
                <w:rFonts w:ascii="Arial" w:cs="Arial" w:eastAsia="Arial" w:hAnsi="Arial"/>
                <w:sz w:val="17"/>
                <w:szCs w:val="17"/>
                <w:color w:val="auto"/>
                <w:w w:val="89"/>
              </w:rPr>
              <w:t>Option Award Agreement for awards made under the Trust’s 2003 Long-Term Incentive Award Program for shares issued out of the 2001 Long-</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Term Incentive Plan (previously filed as Exhibit 10.32 to the 2005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10.17</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4"/>
              </w:rPr>
              <w:t>Credit Agreement dated as of July 28, 2006, by and between the Trust, Wachovia Capital Markets LLC, Wachovia Bank, National Association and</w:t>
            </w:r>
          </w:p>
        </w:tc>
      </w:tr>
      <w:tr>
        <w:trPr>
          <w:trHeight w:val="206"/>
        </w:trPr>
        <w:tc>
          <w:tcPr>
            <w:tcW w:w="440" w:type="dxa"/>
            <w:vAlign w:val="bottom"/>
          </w:tcPr>
          <w:p>
            <w:pPr>
              <w:spacing w:after="0"/>
              <w:rPr>
                <w:sz w:val="17"/>
                <w:szCs w:val="17"/>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various other financial institutions (previously filed as Exhibit 10.20 to the Trust’s Quarterly Report on Form 10-Q for the quarter ended March 31, 2010</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10.18</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Amended and Restated 2001 Long-Term Incentive Plan (previously filed as Exhibit 10.34 to the Trust’s Quarterly Report on Form 10-Q for the quarter</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ended June 30, 2008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10.19</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4"/>
              </w:rPr>
              <w:t>Change in Control Agreement between the Trust and Andrew P. Blocher dated February 12, 2007 (previously filed as Exhibit 10.27 to the Trust’s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Quarterly Report on Form 10-Q for the quarter ended September 30, 2008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10.20</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Amendment to Severance Agreement between the Trust and Donald C. Wood dated January 1, 2009 (previously filed as Exhibit 10.26 to the Trust’s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Annual Report on Form 10-K for the year ended December 31, 2008 (File No. 1-07533) (“the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10.21</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Second Amendment to Executive Agreement between the Trust and Donald C. Wood dated January 1, 2009 (previously filed as Exhibit 10.27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10.22</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2"/>
              </w:rPr>
              <w:t>* Amendment to Health Coverage Continuation Agreement between the Trust and Donald C. Wood dated January 1, 2009 (previously filed as Exhibit</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10.28 to the 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10.23</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0"/>
              </w:rPr>
              <w:t>* Second Amendment to Severance Agreement between the Trust and Jeffrey S. Berkes dated January 1, 2009 (previously filed as Exhibit 10.29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10.24</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Second Amendment to Severance Agreement between the Trust and Dawn M. Becker dated January 1, 2009 (previously filed as Exhibit 10.30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10.25</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0"/>
              </w:rPr>
              <w:t>* Amendment to Change in Control Agreement between the Trust and Andrew P. Blocher dated January 1, 2009 (previously filed as Exhibit 10.31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10.26</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1"/>
              </w:rPr>
              <w:t>* Amendment to Stock Option Agreements between the Trust and Andrew P. Blocher dated February 17, 2009 (previously filed as Exhibit 10.32 to the</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10.27</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90"/>
              </w:rPr>
              <w:t>* Restricted Share Award Agreement between the Trust and Andrew P. Blocher dated February 17, 2009 (previously filed as Exhibit 10.33 to the Trust’s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10.28</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89"/>
              </w:rPr>
              <w:t>* Combined Incentive and Non-Qualified Stock Option Agreement between the Trust and Andrew P. Blocher dated February 17, 2009 (previously filed as</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Exhibit 10.34 to the Trust’s 2008 Form 10-K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10.29</w:t>
            </w: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w w:val="89"/>
              </w:rPr>
              <w:t>* Severance Agreement between the Trust and Andrew P. Blocher dated February 17, 2009 (previously filed as Exhibit 10.35 to the Trust’s 2008 Form 10-</w:t>
            </w:r>
          </w:p>
        </w:tc>
      </w:tr>
      <w:tr>
        <w:trPr>
          <w:trHeight w:val="213"/>
        </w:trPr>
        <w:tc>
          <w:tcPr>
            <w:tcW w:w="440" w:type="dxa"/>
            <w:vAlign w:val="bottom"/>
          </w:tcPr>
          <w:p>
            <w:pPr>
              <w:spacing w:after="0"/>
              <w:rPr>
                <w:sz w:val="18"/>
                <w:szCs w:val="18"/>
                <w:color w:val="auto"/>
              </w:rPr>
            </w:pPr>
          </w:p>
        </w:tc>
        <w:tc>
          <w:tcPr>
            <w:tcW w:w="10980" w:type="dxa"/>
            <w:vAlign w:val="bottom"/>
            <w:gridSpan w:val="3"/>
          </w:tcPr>
          <w:p>
            <w:pPr>
              <w:ind w:left="640"/>
              <w:spacing w:after="0"/>
              <w:rPr>
                <w:sz w:val="20"/>
                <w:szCs w:val="20"/>
                <w:color w:val="auto"/>
              </w:rPr>
            </w:pPr>
            <w:r>
              <w:rPr>
                <w:rFonts w:ascii="Arial" w:cs="Arial" w:eastAsia="Arial" w:hAnsi="Arial"/>
                <w:sz w:val="17"/>
                <w:szCs w:val="17"/>
                <w:color w:val="auto"/>
              </w:rPr>
              <w:t>K and incorporated herein by reference)</w:t>
            </w:r>
          </w:p>
        </w:tc>
      </w:tr>
      <w:tr>
        <w:trPr>
          <w:trHeight w:val="347"/>
        </w:trPr>
        <w:tc>
          <w:tcPr>
            <w:tcW w:w="440" w:type="dxa"/>
            <w:vAlign w:val="bottom"/>
          </w:tcPr>
          <w:p>
            <w:pPr>
              <w:spacing w:after="0"/>
              <w:rPr>
                <w:sz w:val="24"/>
                <w:szCs w:val="24"/>
                <w:color w:val="auto"/>
              </w:rPr>
            </w:pPr>
          </w:p>
        </w:tc>
        <w:tc>
          <w:tcPr>
            <w:tcW w:w="10980" w:type="dxa"/>
            <w:vAlign w:val="bottom"/>
            <w:gridSpan w:val="3"/>
          </w:tcPr>
          <w:p>
            <w:pPr>
              <w:jc w:val="right"/>
              <w:ind w:right="5576"/>
              <w:spacing w:after="0"/>
              <w:rPr>
                <w:sz w:val="20"/>
                <w:szCs w:val="20"/>
                <w:color w:val="auto"/>
              </w:rPr>
            </w:pPr>
            <w:r>
              <w:rPr>
                <w:rFonts w:ascii="Arial" w:cs="Arial" w:eastAsia="Arial" w:hAnsi="Arial"/>
                <w:sz w:val="17"/>
                <w:szCs w:val="17"/>
                <w:color w:val="auto"/>
              </w:rPr>
              <w:t>3</w:t>
            </w:r>
          </w:p>
        </w:tc>
      </w:tr>
    </w:tbl>
    <w:p>
      <w:pPr>
        <w:sectPr>
          <w:pgSz w:w="11900" w:h="16838" w:orient="portrait"/>
          <w:cols w:equalWidth="0" w:num="1">
            <w:col w:w="11420"/>
          </w:cols>
          <w:pgMar w:left="240" w:top="445"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20" w:type="dxa"/>
            <w:vAlign w:val="bottom"/>
          </w:tcPr>
          <w:p>
            <w:pPr>
              <w:jc w:val="center"/>
              <w:ind w:right="1636"/>
              <w:spacing w:after="0"/>
              <w:rPr>
                <w:sz w:val="20"/>
                <w:szCs w:val="20"/>
                <w:color w:val="auto"/>
              </w:rPr>
            </w:pPr>
            <w:r>
              <w:rPr>
                <w:rFonts w:ascii="Arial" w:cs="Arial" w:eastAsia="Arial" w:hAnsi="Arial"/>
                <w:sz w:val="17"/>
                <w:szCs w:val="17"/>
                <w:b w:val="1"/>
                <w:bCs w:val="1"/>
                <w:color w:val="auto"/>
              </w:rPr>
              <w:t>EXHIBIT INDEX</w:t>
            </w:r>
          </w:p>
        </w:tc>
      </w:tr>
      <w:tr>
        <w:trPr>
          <w:trHeight w:val="323"/>
        </w:trPr>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2"/>
              </w:rPr>
              <w:t>Exhibit</w:t>
            </w: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20" w:type="dxa"/>
            <w:vAlign w:val="bottom"/>
          </w:tcPr>
          <w:p>
            <w:pPr>
              <w:spacing w:after="0"/>
              <w:rPr>
                <w:sz w:val="24"/>
                <w:szCs w:val="24"/>
                <w:color w:val="auto"/>
              </w:rPr>
            </w:pPr>
          </w:p>
        </w:tc>
      </w:tr>
      <w:tr>
        <w:trPr>
          <w:trHeight w:val="174"/>
        </w:trPr>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b w:val="1"/>
                <w:bCs w:val="1"/>
                <w:color w:val="auto"/>
              </w:rPr>
              <w:t>No.</w:t>
            </w:r>
          </w:p>
        </w:tc>
        <w:tc>
          <w:tcPr>
            <w:tcW w:w="64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Description</w:t>
            </w:r>
          </w:p>
        </w:tc>
        <w:tc>
          <w:tcPr>
            <w:tcW w:w="9620" w:type="dxa"/>
            <w:vAlign w:val="bottom"/>
          </w:tcPr>
          <w:p>
            <w:pPr>
              <w:spacing w:after="0"/>
              <w:rPr>
                <w:sz w:val="15"/>
                <w:szCs w:val="15"/>
                <w:color w:val="auto"/>
              </w:rPr>
            </w:pPr>
          </w:p>
        </w:tc>
      </w:tr>
      <w:tr>
        <w:trPr>
          <w:trHeight w:val="183"/>
        </w:trPr>
        <w:tc>
          <w:tcPr>
            <w:tcW w:w="440" w:type="dxa"/>
            <w:vAlign w:val="bottom"/>
          </w:tcPr>
          <w:p>
            <w:pPr>
              <w:jc w:val="right"/>
              <w:spacing w:after="0" w:line="183" w:lineRule="exact"/>
              <w:rPr>
                <w:sz w:val="20"/>
                <w:szCs w:val="20"/>
                <w:color w:val="auto"/>
              </w:rPr>
            </w:pPr>
            <w:r>
              <w:rPr>
                <w:rFonts w:ascii="Arial" w:cs="Arial" w:eastAsia="Arial" w:hAnsi="Arial"/>
                <w:sz w:val="17"/>
                <w:szCs w:val="17"/>
                <w:color w:val="auto"/>
                <w:w w:val="98"/>
              </w:rPr>
              <w:t>10.30</w:t>
            </w:r>
          </w:p>
        </w:tc>
        <w:tc>
          <w:tcPr>
            <w:tcW w:w="640" w:type="dxa"/>
            <w:vAlign w:val="bottom"/>
          </w:tcPr>
          <w:p>
            <w:pPr>
              <w:spacing w:after="0"/>
              <w:rPr>
                <w:sz w:val="15"/>
                <w:szCs w:val="15"/>
                <w:color w:val="auto"/>
              </w:rPr>
            </w:pPr>
          </w:p>
        </w:tc>
        <w:tc>
          <w:tcPr>
            <w:tcW w:w="10300" w:type="dxa"/>
            <w:vAlign w:val="bottom"/>
            <w:gridSpan w:val="2"/>
          </w:tcPr>
          <w:p>
            <w:pPr>
              <w:spacing w:after="0" w:line="183" w:lineRule="exact"/>
              <w:rPr>
                <w:sz w:val="20"/>
                <w:szCs w:val="20"/>
                <w:color w:val="auto"/>
              </w:rPr>
            </w:pPr>
            <w:r>
              <w:rPr>
                <w:rFonts w:ascii="Arial" w:cs="Arial" w:eastAsia="Arial" w:hAnsi="Arial"/>
                <w:sz w:val="17"/>
                <w:szCs w:val="17"/>
                <w:color w:val="auto"/>
                <w:w w:val="94"/>
              </w:rPr>
              <w:t>Credit Agreement dated as of May 4, 2009, by and among the Trust, Wachovia Capital Markets LLC, PNC Capital Markets LLC, Wachovia Bank,</w:t>
            </w:r>
          </w:p>
        </w:tc>
      </w:tr>
      <w:tr>
        <w:trPr>
          <w:trHeight w:val="206"/>
        </w:trPr>
        <w:tc>
          <w:tcPr>
            <w:tcW w:w="440" w:type="dxa"/>
            <w:vAlign w:val="bottom"/>
          </w:tcPr>
          <w:p>
            <w:pPr>
              <w:spacing w:after="0"/>
              <w:rPr>
                <w:sz w:val="17"/>
                <w:szCs w:val="17"/>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1"/>
              </w:rPr>
              <w:t>National Association, PNC Bank, National Association and various other financial institutions (previously filed as Exhibit 10.36 to the Trust’s Quarterly</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Report on Form 10-Q for the quarter ended March 31, 2010 (File No. 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10.31</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0"/>
              </w:rPr>
              <w:t>2010 Performance Incentive Plan (previously filed as Appendix A to the Trust’s Definitive Proxy Statement for the 2010 Annual Meeting of Shareholders</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(File No. 01-07533)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10.32</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0"/>
              </w:rPr>
              <w:t>Amendment to 2010 Performance Incentive Plan (“the 2010 Plan”) (previously filed as Appendix A to the Trust’s Proxy Supplement for the 2010 Annual</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Meeting of Shareholders (File No. 01-07533)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10.33</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2"/>
              </w:rPr>
              <w:t>* Restricted Share Award Agreement between the Trust and Donald C. Wood dated October 12, 2010 (previously filed as Exhibit 10.36 to the Trust’s</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Quarterly Report on Form 10-Q for the quarter ended September 30, 2010 (File No. 01-07533) and incorporated herein by reference)</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10.34</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1"/>
              </w:rPr>
              <w:t>Form of Restricted Share Award Agreement for awards made under the Trust’s Long-Term Incentive Award Program and the Trust’s Annual Incentive</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Bonus Program and basic awards with annual vesting for shares issued out of the 2010 Plan (filed 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10.35</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0"/>
              </w:rPr>
              <w:t>Form of Restricted Share Award Agreement for long-term vesting and retention awards made under the Trust’s Long-Term Incentive Award Program for</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shares issued out of the 2010 Plan (filed 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10.36</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89"/>
              </w:rPr>
              <w:t>Form of Restricted Share Award Agreement for front loaded awards made under the Trust’s Long-Term Incentive Award Program for shares issued out of</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the 2010 Plan (filed 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10.37</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89"/>
              </w:rPr>
              <w:t>Form of Performance Share Award Agreement for awards made under the Trust’s Long-Term Incentive Award Program for shares issued out of the 2010</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Plan (filed 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10.38</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0"/>
              </w:rPr>
              <w:t>Form of Option Award Agreement for awards made under the Trust’s Long-Term Incentive Award Program for shares issued out of the 2010 Plan (filed</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10.39</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89"/>
              </w:rPr>
              <w:t>Form of Option Award Agreement for front loaded awards made under the Trust’s Long-Term Incentive Award Program for shares issued out of the 2010</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Plan (filed herewith)</w:t>
            </w:r>
          </w:p>
        </w:tc>
      </w:tr>
      <w:tr>
        <w:trPr>
          <w:trHeight w:val="308"/>
        </w:trPr>
        <w:tc>
          <w:tcPr>
            <w:tcW w:w="440" w:type="dxa"/>
            <w:vAlign w:val="bottom"/>
          </w:tcPr>
          <w:p>
            <w:pPr>
              <w:jc w:val="right"/>
              <w:spacing w:after="0"/>
              <w:rPr>
                <w:sz w:val="20"/>
                <w:szCs w:val="20"/>
                <w:color w:val="auto"/>
              </w:rPr>
            </w:pPr>
            <w:r>
              <w:rPr>
                <w:rFonts w:ascii="Arial" w:cs="Arial" w:eastAsia="Arial" w:hAnsi="Arial"/>
                <w:sz w:val="17"/>
                <w:szCs w:val="17"/>
                <w:color w:val="auto"/>
                <w:w w:val="98"/>
              </w:rPr>
              <w:t>10.40</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Form of Option Award Agreement for basic options awarded out of the 2010 Plan (filed herewith)</w:t>
            </w:r>
          </w:p>
        </w:tc>
      </w:tr>
      <w:tr>
        <w:trPr>
          <w:trHeight w:val="301"/>
        </w:trPr>
        <w:tc>
          <w:tcPr>
            <w:tcW w:w="440" w:type="dxa"/>
            <w:vAlign w:val="bottom"/>
          </w:tcPr>
          <w:p>
            <w:pPr>
              <w:jc w:val="right"/>
              <w:spacing w:after="0"/>
              <w:rPr>
                <w:sz w:val="20"/>
                <w:szCs w:val="20"/>
                <w:color w:val="auto"/>
              </w:rPr>
            </w:pPr>
            <w:r>
              <w:rPr>
                <w:rFonts w:ascii="Arial" w:cs="Arial" w:eastAsia="Arial" w:hAnsi="Arial"/>
                <w:sz w:val="17"/>
                <w:szCs w:val="17"/>
                <w:color w:val="auto"/>
                <w:w w:val="98"/>
              </w:rPr>
              <w:t>10.41</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w w:val="92"/>
              </w:rPr>
              <w:t>Form of Restricted Share Award Agreement, dated as of February 10, 2011, between the Trust and each of Dawn M. Becker, Jeffrey S. Berkes and</w:t>
            </w:r>
          </w:p>
        </w:tc>
      </w:tr>
      <w:tr>
        <w:trPr>
          <w:trHeight w:val="213"/>
        </w:trPr>
        <w:tc>
          <w:tcPr>
            <w:tcW w:w="440" w:type="dxa"/>
            <w:vAlign w:val="bottom"/>
          </w:tcPr>
          <w:p>
            <w:pPr>
              <w:spacing w:after="0"/>
              <w:rPr>
                <w:sz w:val="18"/>
                <w:szCs w:val="18"/>
                <w:color w:val="auto"/>
              </w:rPr>
            </w:pP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Andrew P. Blocher (filed herewith)</w:t>
            </w:r>
          </w:p>
        </w:tc>
      </w:tr>
      <w:tr>
        <w:trPr>
          <w:trHeight w:val="308"/>
        </w:trPr>
        <w:tc>
          <w:tcPr>
            <w:tcW w:w="440" w:type="dxa"/>
            <w:vAlign w:val="bottom"/>
          </w:tcPr>
          <w:p>
            <w:pPr>
              <w:jc w:val="right"/>
              <w:spacing w:after="0"/>
              <w:rPr>
                <w:sz w:val="20"/>
                <w:szCs w:val="20"/>
                <w:color w:val="auto"/>
              </w:rPr>
            </w:pPr>
            <w:r>
              <w:rPr>
                <w:rFonts w:ascii="Arial" w:cs="Arial" w:eastAsia="Arial" w:hAnsi="Arial"/>
                <w:sz w:val="17"/>
                <w:szCs w:val="17"/>
                <w:color w:val="auto"/>
              </w:rPr>
              <w:t>21.1</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Subsidiaries of Federal Realty Investment Trust (filed herewith)</w:t>
            </w:r>
          </w:p>
        </w:tc>
      </w:tr>
      <w:tr>
        <w:trPr>
          <w:trHeight w:val="308"/>
        </w:trPr>
        <w:tc>
          <w:tcPr>
            <w:tcW w:w="440" w:type="dxa"/>
            <w:vAlign w:val="bottom"/>
          </w:tcPr>
          <w:p>
            <w:pPr>
              <w:jc w:val="right"/>
              <w:spacing w:after="0"/>
              <w:rPr>
                <w:sz w:val="20"/>
                <w:szCs w:val="20"/>
                <w:color w:val="auto"/>
              </w:rPr>
            </w:pPr>
            <w:r>
              <w:rPr>
                <w:rFonts w:ascii="Arial" w:cs="Arial" w:eastAsia="Arial" w:hAnsi="Arial"/>
                <w:sz w:val="17"/>
                <w:szCs w:val="17"/>
                <w:color w:val="auto"/>
              </w:rPr>
              <w:t>23.1</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Consent of Grant Thornton LLP (filed herewith)</w:t>
            </w:r>
          </w:p>
        </w:tc>
      </w:tr>
      <w:tr>
        <w:trPr>
          <w:trHeight w:val="308"/>
        </w:trPr>
        <w:tc>
          <w:tcPr>
            <w:tcW w:w="440" w:type="dxa"/>
            <w:vAlign w:val="bottom"/>
          </w:tcPr>
          <w:p>
            <w:pPr>
              <w:jc w:val="right"/>
              <w:spacing w:after="0"/>
              <w:rPr>
                <w:sz w:val="20"/>
                <w:szCs w:val="20"/>
                <w:color w:val="auto"/>
              </w:rPr>
            </w:pPr>
            <w:r>
              <w:rPr>
                <w:rFonts w:ascii="Arial" w:cs="Arial" w:eastAsia="Arial" w:hAnsi="Arial"/>
                <w:sz w:val="17"/>
                <w:szCs w:val="17"/>
                <w:color w:val="auto"/>
              </w:rPr>
              <w:t>24.1</w:t>
            </w:r>
          </w:p>
        </w:tc>
        <w:tc>
          <w:tcPr>
            <w:tcW w:w="10940" w:type="dxa"/>
            <w:vAlign w:val="bottom"/>
            <w:gridSpan w:val="3"/>
          </w:tcPr>
          <w:p>
            <w:pPr>
              <w:ind w:left="640"/>
              <w:spacing w:after="0"/>
              <w:rPr>
                <w:sz w:val="20"/>
                <w:szCs w:val="20"/>
                <w:color w:val="auto"/>
              </w:rPr>
            </w:pPr>
            <w:r>
              <w:rPr>
                <w:rFonts w:ascii="Arial" w:cs="Arial" w:eastAsia="Arial" w:hAnsi="Arial"/>
                <w:sz w:val="17"/>
                <w:szCs w:val="17"/>
                <w:color w:val="auto"/>
              </w:rPr>
              <w:t>Power of Attorney (included on signature page)</w:t>
            </w:r>
          </w:p>
        </w:tc>
      </w:tr>
      <w:tr>
        <w:trPr>
          <w:trHeight w:val="347"/>
        </w:trPr>
        <w:tc>
          <w:tcPr>
            <w:tcW w:w="440" w:type="dxa"/>
            <w:vAlign w:val="bottom"/>
          </w:tcPr>
          <w:p>
            <w:pPr>
              <w:spacing w:after="0"/>
              <w:rPr>
                <w:sz w:val="24"/>
                <w:szCs w:val="24"/>
                <w:color w:val="auto"/>
              </w:rPr>
            </w:pPr>
          </w:p>
        </w:tc>
        <w:tc>
          <w:tcPr>
            <w:tcW w:w="10940" w:type="dxa"/>
            <w:vAlign w:val="bottom"/>
            <w:gridSpan w:val="3"/>
          </w:tcPr>
          <w:p>
            <w:pPr>
              <w:jc w:val="right"/>
              <w:ind w:right="5536"/>
              <w:spacing w:after="0"/>
              <w:rPr>
                <w:sz w:val="20"/>
                <w:szCs w:val="20"/>
                <w:color w:val="auto"/>
              </w:rPr>
            </w:pPr>
            <w:r>
              <w:rPr>
                <w:rFonts w:ascii="Arial" w:cs="Arial" w:eastAsia="Arial" w:hAnsi="Arial"/>
                <w:sz w:val="17"/>
                <w:szCs w:val="17"/>
                <w:color w:val="auto"/>
              </w:rPr>
              <w:t>4</w:t>
            </w:r>
          </w:p>
        </w:tc>
      </w:tr>
    </w:tbl>
    <w:p>
      <w:pPr>
        <w:sectPr>
          <w:pgSz w:w="11900" w:h="16838" w:orient="portrait"/>
          <w:cols w:equalWidth="0" w:num="1">
            <w:col w:w="11380"/>
          </w:cols>
          <w:pgMar w:left="240" w:top="445" w:right="2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880" cy="36830"/>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ind w:left="3060"/>
              <w:spacing w:after="0"/>
              <w:rPr>
                <w:sz w:val="20"/>
                <w:szCs w:val="20"/>
                <w:color w:val="auto"/>
              </w:rPr>
            </w:pPr>
            <w:r>
              <w:rPr>
                <w:rFonts w:ascii="Arial" w:cs="Arial" w:eastAsia="Arial" w:hAnsi="Arial"/>
                <w:sz w:val="17"/>
                <w:szCs w:val="17"/>
                <w:b w:val="1"/>
                <w:bCs w:val="1"/>
                <w:color w:val="auto"/>
              </w:rPr>
              <w:t>EXHIBIT INDEX</w:t>
            </w:r>
          </w:p>
        </w:tc>
      </w:tr>
      <w:tr>
        <w:trPr>
          <w:trHeight w:val="323"/>
        </w:trPr>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2"/>
              </w:rPr>
              <w:t>Exhibit</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74"/>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w:t>
            </w:r>
          </w:p>
        </w:tc>
        <w:tc>
          <w:tcPr>
            <w:tcW w:w="66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4360" w:type="dxa"/>
            <w:vAlign w:val="bottom"/>
          </w:tcPr>
          <w:p>
            <w:pPr>
              <w:spacing w:after="0"/>
              <w:rPr>
                <w:sz w:val="15"/>
                <w:szCs w:val="15"/>
                <w:color w:val="auto"/>
              </w:rPr>
            </w:pPr>
          </w:p>
        </w:tc>
      </w:tr>
      <w:tr>
        <w:trPr>
          <w:trHeight w:val="199"/>
        </w:trPr>
        <w:tc>
          <w:tcPr>
            <w:tcW w:w="440" w:type="dxa"/>
            <w:vAlign w:val="bottom"/>
          </w:tcPr>
          <w:p>
            <w:pPr>
              <w:jc w:val="center"/>
              <w:spacing w:after="0" w:line="193" w:lineRule="exact"/>
              <w:rPr>
                <w:sz w:val="20"/>
                <w:szCs w:val="20"/>
                <w:color w:val="auto"/>
              </w:rPr>
            </w:pPr>
            <w:r>
              <w:rPr>
                <w:rFonts w:ascii="Arial" w:cs="Arial" w:eastAsia="Arial" w:hAnsi="Arial"/>
                <w:sz w:val="17"/>
                <w:szCs w:val="17"/>
                <w:color w:val="auto"/>
                <w:w w:val="84"/>
              </w:rPr>
              <w:t>31.1</w:t>
            </w:r>
          </w:p>
        </w:tc>
        <w:tc>
          <w:tcPr>
            <w:tcW w:w="660" w:type="dxa"/>
            <w:vAlign w:val="bottom"/>
          </w:tcPr>
          <w:p>
            <w:pPr>
              <w:spacing w:after="0"/>
              <w:rPr>
                <w:sz w:val="17"/>
                <w:szCs w:val="17"/>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89"/>
              </w:rPr>
              <w:t>Rule 13a-</w:t>
            </w:r>
          </w:p>
        </w:tc>
        <w:tc>
          <w:tcPr>
            <w:tcW w:w="4580" w:type="dxa"/>
            <w:vAlign w:val="bottom"/>
            <w:gridSpan w:val="2"/>
          </w:tcPr>
          <w:p>
            <w:pPr>
              <w:spacing w:after="0" w:line="193" w:lineRule="exact"/>
              <w:rPr>
                <w:sz w:val="20"/>
                <w:szCs w:val="20"/>
                <w:color w:val="auto"/>
              </w:rPr>
            </w:pPr>
            <w:r>
              <w:rPr>
                <w:rFonts w:ascii="Arial" w:cs="Arial" w:eastAsia="Arial" w:hAnsi="Arial"/>
                <w:sz w:val="17"/>
                <w:szCs w:val="17"/>
                <w:color w:val="auto"/>
              </w:rPr>
              <w:t>14(a) Certification of Chief Executive Officer (filed herewith)</w:t>
            </w:r>
          </w:p>
        </w:tc>
      </w:tr>
      <w:tr>
        <w:trPr>
          <w:trHeight w:val="300"/>
        </w:trPr>
        <w:tc>
          <w:tcPr>
            <w:tcW w:w="440" w:type="dxa"/>
            <w:vAlign w:val="bottom"/>
          </w:tcPr>
          <w:p>
            <w:pPr>
              <w:jc w:val="center"/>
              <w:spacing w:after="0"/>
              <w:rPr>
                <w:sz w:val="20"/>
                <w:szCs w:val="20"/>
                <w:color w:val="auto"/>
              </w:rPr>
            </w:pPr>
            <w:r>
              <w:rPr>
                <w:rFonts w:ascii="Arial" w:cs="Arial" w:eastAsia="Arial" w:hAnsi="Arial"/>
                <w:sz w:val="17"/>
                <w:szCs w:val="17"/>
                <w:color w:val="auto"/>
                <w:w w:val="84"/>
              </w:rPr>
              <w:t>31.2</w:t>
            </w:r>
          </w:p>
        </w:tc>
        <w:tc>
          <w:tcPr>
            <w:tcW w:w="66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7"/>
                <w:szCs w:val="17"/>
                <w:color w:val="auto"/>
              </w:rPr>
              <w:t>Rule 13a-14(a) Certification of Chief Financial Officer (filed herewith)</w:t>
            </w:r>
          </w:p>
        </w:tc>
      </w:tr>
      <w:tr>
        <w:trPr>
          <w:trHeight w:val="308"/>
        </w:trPr>
        <w:tc>
          <w:tcPr>
            <w:tcW w:w="440" w:type="dxa"/>
            <w:vAlign w:val="bottom"/>
          </w:tcPr>
          <w:p>
            <w:pPr>
              <w:jc w:val="center"/>
              <w:spacing w:after="0"/>
              <w:rPr>
                <w:sz w:val="20"/>
                <w:szCs w:val="20"/>
                <w:color w:val="auto"/>
              </w:rPr>
            </w:pPr>
            <w:r>
              <w:rPr>
                <w:rFonts w:ascii="Arial" w:cs="Arial" w:eastAsia="Arial" w:hAnsi="Arial"/>
                <w:sz w:val="17"/>
                <w:szCs w:val="17"/>
                <w:color w:val="auto"/>
                <w:w w:val="84"/>
              </w:rPr>
              <w:t>32.1</w:t>
            </w:r>
          </w:p>
        </w:tc>
        <w:tc>
          <w:tcPr>
            <w:tcW w:w="6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w w:val="88"/>
              </w:rPr>
              <w:t>Section 1350</w:t>
            </w:r>
          </w:p>
        </w:tc>
        <w:tc>
          <w:tcPr>
            <w:tcW w:w="4360" w:type="dxa"/>
            <w:vAlign w:val="bottom"/>
          </w:tcPr>
          <w:p>
            <w:pPr>
              <w:ind w:left="20"/>
              <w:spacing w:after="0"/>
              <w:rPr>
                <w:sz w:val="20"/>
                <w:szCs w:val="20"/>
                <w:color w:val="auto"/>
              </w:rPr>
            </w:pPr>
            <w:r>
              <w:rPr>
                <w:rFonts w:ascii="Arial" w:cs="Arial" w:eastAsia="Arial" w:hAnsi="Arial"/>
                <w:sz w:val="17"/>
                <w:szCs w:val="17"/>
                <w:color w:val="auto"/>
              </w:rPr>
              <w:t>Certification of Chief Executive Officer (filed herewith)</w:t>
            </w:r>
          </w:p>
        </w:tc>
      </w:tr>
      <w:tr>
        <w:trPr>
          <w:trHeight w:val="308"/>
        </w:trPr>
        <w:tc>
          <w:tcPr>
            <w:tcW w:w="440" w:type="dxa"/>
            <w:vAlign w:val="bottom"/>
          </w:tcPr>
          <w:p>
            <w:pPr>
              <w:jc w:val="center"/>
              <w:spacing w:after="0"/>
              <w:rPr>
                <w:sz w:val="20"/>
                <w:szCs w:val="20"/>
                <w:color w:val="auto"/>
              </w:rPr>
            </w:pPr>
            <w:r>
              <w:rPr>
                <w:rFonts w:ascii="Arial" w:cs="Arial" w:eastAsia="Arial" w:hAnsi="Arial"/>
                <w:sz w:val="17"/>
                <w:szCs w:val="17"/>
                <w:color w:val="auto"/>
                <w:w w:val="84"/>
              </w:rPr>
              <w:t>32.2</w:t>
            </w:r>
          </w:p>
        </w:tc>
        <w:tc>
          <w:tcPr>
            <w:tcW w:w="6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w w:val="88"/>
              </w:rPr>
              <w:t>Section 1350</w:t>
            </w:r>
          </w:p>
        </w:tc>
        <w:tc>
          <w:tcPr>
            <w:tcW w:w="4360" w:type="dxa"/>
            <w:vAlign w:val="bottom"/>
          </w:tcPr>
          <w:p>
            <w:pPr>
              <w:ind w:left="20"/>
              <w:spacing w:after="0"/>
              <w:rPr>
                <w:sz w:val="20"/>
                <w:szCs w:val="20"/>
                <w:color w:val="auto"/>
              </w:rPr>
            </w:pPr>
            <w:r>
              <w:rPr>
                <w:rFonts w:ascii="Arial" w:cs="Arial" w:eastAsia="Arial" w:hAnsi="Arial"/>
                <w:sz w:val="17"/>
                <w:szCs w:val="17"/>
                <w:color w:val="auto"/>
              </w:rPr>
              <w:t>Certification of Chief Financial Officer (filed herewith)</w:t>
            </w:r>
          </w:p>
        </w:tc>
      </w:tr>
    </w:tbl>
    <w:p>
      <w:pPr>
        <w:spacing w:after="0" w:line="96" w:lineRule="exact"/>
        <w:rPr>
          <w:sz w:val="20"/>
          <w:szCs w:val="20"/>
          <w:color w:val="auto"/>
        </w:rPr>
      </w:pPr>
    </w:p>
    <w:p>
      <w:pPr>
        <w:ind w:left="1100" w:hanging="1004"/>
        <w:spacing w:after="0" w:line="259"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following materials from Federal Realty Investment Trust’s Annual Report on Form 10-K for the year ended December 31, 2010, formatted in XBRL (Extensible Business Reporting Language): (1) the Consolidated Balance Sheets, (2) the Consolidated Statements of Operations, (3) the Consolidated Statement of Shareholders’ Equity, (4) the Consolidated Statements of Cash Flows, and (5) Notes to Consolidated Financial Statements, tagged as blocks of text.</w:t>
      </w:r>
    </w:p>
    <w:p>
      <w:pPr>
        <w:spacing w:after="0" w:line="11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Management contract or compensatory plan required to be filed as an exhibit pursuant to Item 15(b)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7264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440" cy="8255"/>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45" w:right="2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10.34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SHARE AWARD AGREEMENT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-12065</wp:posOffset>
            </wp:positionV>
            <wp:extent cx="9340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40"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This Restricted Share Award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by </w:t>
      </w:r>
      <w:r>
        <w:rPr>
          <w:rFonts w:ascii="Arial" w:cs="Arial" w:eastAsia="Arial" w:hAnsi="Arial"/>
          <w:sz w:val="15"/>
          <w:szCs w:val="15"/>
          <w:b w:val="1"/>
          <w:bCs w:val="1"/>
          <w:color w:val="auto"/>
        </w:rPr>
        <w:t>Federal Realty Investment Trust</w:t>
      </w:r>
      <w:r>
        <w:rPr>
          <w:rFonts w:ascii="Arial" w:cs="Arial" w:eastAsia="Arial" w:hAnsi="Arial"/>
          <w:sz w:val="15"/>
          <w:szCs w:val="15"/>
          <w:color w:val="auto"/>
        </w:rPr>
        <w:t xml:space="preserve">, a Maryland real estate investment trust (the </w:t>
      </w:r>
      <w:r>
        <w:rPr>
          <w:rFonts w:ascii="Arial" w:cs="Arial" w:eastAsia="Arial" w:hAnsi="Arial"/>
          <w:sz w:val="15"/>
          <w:szCs w:val="15"/>
          <w:b w:val="1"/>
          <w:bCs w:val="1"/>
          <w:color w:val="auto"/>
        </w:rPr>
        <w:t>“Trust”</w:t>
      </w:r>
      <w:r>
        <w:rPr>
          <w:rFonts w:ascii="Arial" w:cs="Arial" w:eastAsia="Arial" w:hAnsi="Arial"/>
          <w:sz w:val="15"/>
          <w:szCs w:val="15"/>
          <w:color w:val="auto"/>
        </w:rPr>
        <w:t>), provides</w:t>
      </w:r>
    </w:p>
    <w:p>
      <w:pPr>
        <w:spacing w:after="0" w:line="44"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notice to</w:t>
      </w:r>
      <w:r>
        <w:rPr>
          <w:sz w:val="20"/>
          <w:szCs w:val="20"/>
          <w:color w:val="auto"/>
        </w:rPr>
        <w:tab/>
      </w:r>
      <w:r>
        <w:rPr>
          <w:rFonts w:ascii="Arial" w:cs="Arial" w:eastAsia="Arial" w:hAnsi="Arial"/>
          <w:sz w:val="15"/>
          <w:szCs w:val="15"/>
          <w:color w:val="auto"/>
        </w:rPr>
        <w:t xml:space="preserve">, an individual employee of the Trust (the </w:t>
      </w:r>
      <w:r>
        <w:rPr>
          <w:rFonts w:ascii="Arial" w:cs="Arial" w:eastAsia="Arial" w:hAnsi="Arial"/>
          <w:sz w:val="15"/>
          <w:szCs w:val="15"/>
          <w:b w:val="1"/>
          <w:bCs w:val="1"/>
          <w:color w:val="auto"/>
        </w:rPr>
        <w:t>“Key Employee”</w:t>
      </w:r>
      <w:r>
        <w:rPr>
          <w:rFonts w:ascii="Arial" w:cs="Arial" w:eastAsia="Arial" w:hAnsi="Arial"/>
          <w:sz w:val="15"/>
          <w:szCs w:val="15"/>
          <w:color w:val="auto"/>
        </w:rPr>
        <w:t>), of the terms of a Restricted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-16510</wp:posOffset>
            </wp:positionV>
            <wp:extent cx="530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3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The Board of Trustees of the Trust (the “</w:t>
      </w:r>
      <w:r>
        <w:rPr>
          <w:rFonts w:ascii="Arial" w:cs="Arial" w:eastAsia="Arial" w:hAnsi="Arial"/>
          <w:sz w:val="17"/>
          <w:szCs w:val="17"/>
          <w:b w:val="1"/>
          <w:bCs w:val="1"/>
          <w:color w:val="auto"/>
        </w:rPr>
        <w:t>Board of Trustees</w:t>
      </w:r>
      <w:r>
        <w:rPr>
          <w:rFonts w:ascii="Arial" w:cs="Arial" w:eastAsia="Arial" w:hAnsi="Arial"/>
          <w:sz w:val="17"/>
          <w:szCs w:val="17"/>
          <w:color w:val="auto"/>
        </w:rPr>
        <w:t xml:space="preserve">”) has authorized the award by the Trust to the Key Employee, under the Trust’s 2010 Performance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of a Restricted Share Award for a certain number of shares of beneficial interest of the Trust (the </w:t>
      </w:r>
      <w:r>
        <w:rPr>
          <w:rFonts w:ascii="Arial" w:cs="Arial" w:eastAsia="Arial" w:hAnsi="Arial"/>
          <w:sz w:val="17"/>
          <w:szCs w:val="17"/>
          <w:b w:val="1"/>
          <w:bCs w:val="1"/>
          <w:color w:val="auto"/>
        </w:rPr>
        <w:t>“Shares”</w:t>
      </w:r>
      <w:r>
        <w:rPr>
          <w:rFonts w:ascii="Arial" w:cs="Arial" w:eastAsia="Arial" w:hAnsi="Arial"/>
          <w:sz w:val="17"/>
          <w:szCs w:val="17"/>
          <w:color w:val="auto"/>
        </w:rPr>
        <w:t>), subject to certain restrictions and covenants on the part of Key Employee. This Agreement sets forth vesting and the respective rights and obligations of the Trust and the Key Employee with respect to such Shares.</w:t>
      </w:r>
    </w:p>
    <w:p>
      <w:pPr>
        <w:spacing w:after="0" w:line="13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consideration of the covenants set forth in this Agreement, and intending to be legally bound hereby, the terms of the Restricted Share Award are as follows: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auto"/>
                <w:w w:val="70"/>
              </w:rPr>
              <w:t>1.</w:t>
            </w:r>
          </w:p>
        </w:tc>
        <w:tc>
          <w:tcPr>
            <w:tcW w:w="7680" w:type="dxa"/>
            <w:vAlign w:val="bottom"/>
            <w:gridSpan w:val="2"/>
          </w:tcPr>
          <w:p>
            <w:pPr>
              <w:spacing w:after="0"/>
              <w:rPr>
                <w:sz w:val="20"/>
                <w:szCs w:val="20"/>
                <w:color w:val="auto"/>
              </w:rPr>
            </w:pPr>
            <w:r>
              <w:rPr>
                <w:rFonts w:ascii="Arial" w:cs="Arial" w:eastAsia="Arial" w:hAnsi="Arial"/>
                <w:sz w:val="17"/>
                <w:szCs w:val="17"/>
                <w:b w:val="1"/>
                <w:bCs w:val="1"/>
                <w:color w:val="auto"/>
              </w:rPr>
              <w:t>Award of Restricted 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7680" w:type="dxa"/>
            <w:vAlign w:val="bottom"/>
            <w:gridSpan w:val="2"/>
          </w:tcPr>
          <w:p>
            <w:pPr>
              <w:ind w:left="20"/>
              <w:spacing w:after="0"/>
              <w:rPr>
                <w:sz w:val="20"/>
                <w:szCs w:val="20"/>
                <w:color w:val="auto"/>
              </w:rPr>
            </w:pPr>
            <w:r>
              <w:rPr>
                <w:rFonts w:ascii="Arial" w:cs="Arial" w:eastAsia="Arial" w:hAnsi="Arial"/>
                <w:sz w:val="17"/>
                <w:szCs w:val="17"/>
                <w:color w:val="auto"/>
                <w:w w:val="89"/>
              </w:rPr>
              <w:t xml:space="preserve">(a) The Trust hereby confirms the grant to the Key Employee as of the date set forth above (the </w:t>
            </w:r>
            <w:r>
              <w:rPr>
                <w:rFonts w:ascii="Arial" w:cs="Arial" w:eastAsia="Arial" w:hAnsi="Arial"/>
                <w:sz w:val="17"/>
                <w:szCs w:val="17"/>
                <w:b w:val="1"/>
                <w:bCs w:val="1"/>
                <w:color w:val="auto"/>
                <w:w w:val="89"/>
              </w:rPr>
              <w:t>“Grant Date”</w:t>
            </w:r>
            <w:r>
              <w:rPr>
                <w:rFonts w:ascii="Arial" w:cs="Arial" w:eastAsia="Arial" w:hAnsi="Arial"/>
                <w:sz w:val="17"/>
                <w:szCs w:val="17"/>
                <w:color w:val="auto"/>
                <w:w w:val="89"/>
              </w:rPr>
              <w:t>) of</w:t>
            </w:r>
          </w:p>
        </w:tc>
        <w:tc>
          <w:tcPr>
            <w:tcW w:w="820" w:type="dxa"/>
            <w:vAlign w:val="bottom"/>
          </w:tcPr>
          <w:p>
            <w:pPr>
              <w:spacing w:after="0"/>
              <w:rPr>
                <w:sz w:val="22"/>
                <w:szCs w:val="22"/>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w w:val="85"/>
              </w:rPr>
              <w:t>) Shares (the</w:t>
            </w:r>
          </w:p>
        </w:tc>
      </w:tr>
      <w:tr>
        <w:trPr>
          <w:trHeight w:val="20"/>
        </w:trPr>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Shares”</w:t>
      </w:r>
      <w:r>
        <w:rPr>
          <w:rFonts w:ascii="Arial" w:cs="Arial" w:eastAsia="Arial" w:hAnsi="Arial"/>
          <w:sz w:val="17"/>
          <w:szCs w:val="17"/>
          <w:color w:val="auto"/>
        </w:rPr>
        <w:t>), subject to the restrictions and other terms and conditions set forth herein and in the Plan; and</w:t>
      </w:r>
    </w:p>
    <w:p>
      <w:pPr>
        <w:spacing w:after="0" w:line="168" w:lineRule="exact"/>
        <w:rPr>
          <w:sz w:val="20"/>
          <w:szCs w:val="20"/>
          <w:color w:val="auto"/>
        </w:rPr>
      </w:pPr>
    </w:p>
    <w:p>
      <w:pPr>
        <w:ind w:right="20" w:firstLine="916"/>
        <w:spacing w:after="0" w:line="273" w:lineRule="auto"/>
        <w:tabs>
          <w:tab w:leader="none" w:pos="11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36" w:lineRule="exact"/>
        <w:rPr>
          <w:rFonts w:ascii="Arial" w:cs="Arial" w:eastAsia="Arial" w:hAnsi="Arial"/>
          <w:sz w:val="16"/>
          <w:szCs w:val="16"/>
          <w:color w:val="auto"/>
        </w:rPr>
      </w:pPr>
    </w:p>
    <w:p>
      <w:pPr>
        <w:ind w:left="900" w:hanging="448"/>
        <w:spacing w:after="0"/>
        <w:tabs>
          <w:tab w:leader="none" w:pos="90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Restricted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40" w:firstLine="916"/>
        <w:spacing w:after="0" w:line="273" w:lineRule="auto"/>
        <w:tabs>
          <w:tab w:leader="none" w:pos="1141" w:val="left"/>
        </w:tabs>
        <w:numPr>
          <w:ilvl w:val="1"/>
          <w:numId w:val="74"/>
        </w:numPr>
        <w:rPr>
          <w:rFonts w:ascii="Arial" w:cs="Arial" w:eastAsia="Arial" w:hAnsi="Arial"/>
          <w:sz w:val="17"/>
          <w:szCs w:val="17"/>
          <w:color w:val="auto"/>
        </w:rPr>
      </w:pPr>
      <w:r>
        <w:rPr>
          <w:rFonts w:ascii="Arial" w:cs="Arial" w:eastAsia="Arial" w:hAnsi="Arial"/>
          <w:sz w:val="17"/>
          <w:szCs w:val="17"/>
          <w:color w:val="auto"/>
        </w:rPr>
        <w:t>Beginning on the Grant Date, the Key Employee shall have all rights and privileges of a stockholder with respect to the Restricted Shares, except that the following restrictions shall apply:</w:t>
      </w:r>
    </w:p>
    <w:p>
      <w:pPr>
        <w:spacing w:after="0" w:line="120" w:lineRule="exact"/>
        <w:rPr>
          <w:rFonts w:ascii="Arial" w:cs="Arial" w:eastAsia="Arial" w:hAnsi="Arial"/>
          <w:sz w:val="17"/>
          <w:szCs w:val="17"/>
          <w:color w:val="auto"/>
        </w:rPr>
      </w:pPr>
    </w:p>
    <w:p>
      <w:pPr>
        <w:ind w:right="280" w:firstLine="1488"/>
        <w:spacing w:after="0" w:line="273" w:lineRule="auto"/>
        <w:tabs>
          <w:tab w:leader="none" w:pos="1684" w:val="left"/>
        </w:tabs>
        <w:numPr>
          <w:ilvl w:val="2"/>
          <w:numId w:val="74"/>
        </w:numPr>
        <w:rPr>
          <w:rFonts w:ascii="Arial" w:cs="Arial" w:eastAsia="Arial" w:hAnsi="Arial"/>
          <w:sz w:val="17"/>
          <w:szCs w:val="17"/>
          <w:color w:val="auto"/>
        </w:rPr>
      </w:pPr>
      <w:r>
        <w:rPr>
          <w:rFonts w:ascii="Arial" w:cs="Arial" w:eastAsia="Arial" w:hAnsi="Arial"/>
          <w:sz w:val="17"/>
          <w:szCs w:val="17"/>
          <w:color w:val="auto"/>
        </w:rPr>
        <w:t>none of the Restricted Shares may be assigned or transferred (other than by will or the laws of descent and distribution, or in the Committee’s discretion, pursuant to a domestic relations order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4</w:t>
      </w:r>
    </w:p>
    <w:p>
      <w:pPr>
        <w:sectPr>
          <w:pgSz w:w="11900" w:h="16838" w:orient="portrait"/>
          <w:cols w:equalWidth="0" w:num="1">
            <w:col w:w="11420"/>
          </w:cols>
          <w:pgMar w:left="240" w:top="127" w:right="2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within the meaning of Rule 16a-12 of the Securities Exchange Act of 1934, as amended) while the restrictions of this Agreement apply to the Shares;</w:t>
      </w:r>
    </w:p>
    <w:p>
      <w:pPr>
        <w:spacing w:after="0" w:line="164" w:lineRule="exact"/>
        <w:rPr>
          <w:sz w:val="20"/>
          <w:szCs w:val="20"/>
          <w:color w:val="auto"/>
        </w:rPr>
      </w:pPr>
    </w:p>
    <w:p>
      <w:pPr>
        <w:ind w:left="1740" w:hanging="252"/>
        <w:spacing w:after="0"/>
        <w:tabs>
          <w:tab w:leader="none" w:pos="1740" w:val="left"/>
        </w:tabs>
        <w:numPr>
          <w:ilvl w:val="2"/>
          <w:numId w:val="75"/>
        </w:numPr>
        <w:rPr>
          <w:rFonts w:ascii="Arial" w:cs="Arial" w:eastAsia="Arial" w:hAnsi="Arial"/>
          <w:sz w:val="17"/>
          <w:szCs w:val="17"/>
          <w:color w:val="auto"/>
        </w:rPr>
      </w:pPr>
      <w:r>
        <w:rPr>
          <w:rFonts w:ascii="Arial" w:cs="Arial" w:eastAsia="Arial" w:hAnsi="Arial"/>
          <w:sz w:val="17"/>
          <w:szCs w:val="17"/>
          <w:color w:val="auto"/>
        </w:rPr>
        <w:t>all or a portion of the Restricted Shares may be forfeited in accordance with Paragraph 4; and</w:t>
      </w:r>
    </w:p>
    <w:p>
      <w:pPr>
        <w:spacing w:after="0" w:line="164" w:lineRule="exact"/>
        <w:rPr>
          <w:rFonts w:ascii="Arial" w:cs="Arial" w:eastAsia="Arial" w:hAnsi="Arial"/>
          <w:sz w:val="17"/>
          <w:szCs w:val="17"/>
          <w:color w:val="auto"/>
        </w:rPr>
      </w:pPr>
    </w:p>
    <w:p>
      <w:pPr>
        <w:ind w:right="180" w:firstLine="1488"/>
        <w:spacing w:after="0" w:line="314" w:lineRule="auto"/>
        <w:tabs>
          <w:tab w:leader="none" w:pos="1777" w:val="left"/>
        </w:tabs>
        <w:numPr>
          <w:ilvl w:val="2"/>
          <w:numId w:val="75"/>
        </w:numPr>
        <w:rPr>
          <w:rFonts w:ascii="Arial" w:cs="Arial" w:eastAsia="Arial" w:hAnsi="Arial"/>
          <w:sz w:val="15"/>
          <w:szCs w:val="15"/>
          <w:color w:val="auto"/>
        </w:rPr>
      </w:pPr>
      <w:r>
        <w:rPr>
          <w:rFonts w:ascii="Arial" w:cs="Arial" w:eastAsia="Arial" w:hAnsi="Arial"/>
          <w:sz w:val="15"/>
          <w:szCs w:val="15"/>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93" w:lineRule="exact"/>
        <w:rPr>
          <w:rFonts w:ascii="Arial" w:cs="Arial" w:eastAsia="Arial" w:hAnsi="Arial"/>
          <w:sz w:val="15"/>
          <w:szCs w:val="15"/>
          <w:color w:val="auto"/>
        </w:rPr>
      </w:pPr>
    </w:p>
    <w:p>
      <w:pPr>
        <w:jc w:val="both"/>
        <w:ind w:firstLine="916"/>
        <w:spacing w:after="0" w:line="314" w:lineRule="auto"/>
        <w:tabs>
          <w:tab w:leader="none" w:pos="1150" w:val="left"/>
        </w:tabs>
        <w:numPr>
          <w:ilvl w:val="1"/>
          <w:numId w:val="76"/>
        </w:numPr>
        <w:rPr>
          <w:rFonts w:ascii="Arial" w:cs="Arial" w:eastAsia="Arial" w:hAnsi="Arial"/>
          <w:sz w:val="15"/>
          <w:szCs w:val="15"/>
          <w:color w:val="auto"/>
        </w:rPr>
      </w:pPr>
      <w:r>
        <w:rPr>
          <w:rFonts w:ascii="Arial" w:cs="Arial" w:eastAsia="Arial" w:hAnsi="Arial"/>
          <w:sz w:val="15"/>
          <w:szCs w:val="15"/>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93" w:lineRule="exact"/>
        <w:rPr>
          <w:rFonts w:ascii="Arial" w:cs="Arial" w:eastAsia="Arial" w:hAnsi="Arial"/>
          <w:sz w:val="15"/>
          <w:szCs w:val="15"/>
          <w:color w:val="auto"/>
        </w:rPr>
      </w:pPr>
    </w:p>
    <w:p>
      <w:pPr>
        <w:ind w:left="1140" w:hanging="224"/>
        <w:spacing w:after="0"/>
        <w:tabs>
          <w:tab w:leader="none" w:pos="11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attempt to dispose of Restricted Shares in a manner contrary to the restrictions set forth in this Agreement shall be null, void and ineffective.</w:t>
      </w:r>
    </w:p>
    <w:p>
      <w:pPr>
        <w:spacing w:after="0" w:line="287" w:lineRule="exact"/>
        <w:rPr>
          <w:rFonts w:ascii="Arial" w:cs="Arial" w:eastAsia="Arial" w:hAnsi="Arial"/>
          <w:sz w:val="16"/>
          <w:szCs w:val="16"/>
          <w:color w:val="auto"/>
        </w:rPr>
      </w:pPr>
    </w:p>
    <w:p>
      <w:pPr>
        <w:ind w:left="900" w:hanging="448"/>
        <w:spacing w:after="0"/>
        <w:tabs>
          <w:tab w:leader="none" w:pos="90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left="1140" w:hanging="224"/>
        <w:spacing w:after="0"/>
        <w:tabs>
          <w:tab w:leader="none" w:pos="114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Restricted Shares shall vest as follows:</w:t>
      </w:r>
    </w:p>
    <w:p>
      <w:pPr>
        <w:spacing w:after="0" w:line="16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b w:val="1"/>
          <w:bCs w:val="1"/>
          <w:color w:val="auto"/>
        </w:rPr>
        <w:t>[Insert Vesting Schedule]</w:t>
      </w:r>
    </w:p>
    <w:p>
      <w:pPr>
        <w:spacing w:after="0" w:line="168" w:lineRule="exact"/>
        <w:rPr>
          <w:rFonts w:ascii="Arial" w:cs="Arial" w:eastAsia="Arial" w:hAnsi="Arial"/>
          <w:sz w:val="17"/>
          <w:szCs w:val="17"/>
          <w:color w:val="auto"/>
        </w:rPr>
      </w:pPr>
    </w:p>
    <w:p>
      <w:pPr>
        <w:ind w:left="1160" w:hanging="244"/>
        <w:spacing w:after="0"/>
        <w:tabs>
          <w:tab w:leader="none" w:pos="11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Notwithstanding the foregoing, the Restricted Shares shall vest as follows:</w:t>
      </w:r>
    </w:p>
    <w:p>
      <w:pPr>
        <w:spacing w:after="0" w:line="164" w:lineRule="exact"/>
        <w:rPr>
          <w:rFonts w:ascii="Arial" w:cs="Arial" w:eastAsia="Arial" w:hAnsi="Arial"/>
          <w:sz w:val="17"/>
          <w:szCs w:val="17"/>
          <w:color w:val="auto"/>
        </w:rPr>
      </w:pPr>
    </w:p>
    <w:p>
      <w:pPr>
        <w:ind w:left="1680" w:hanging="192"/>
        <w:spacing w:after="0"/>
        <w:tabs>
          <w:tab w:leader="none" w:pos="1680" w:val="left"/>
        </w:tabs>
        <w:numPr>
          <w:ilvl w:val="2"/>
          <w:numId w:val="77"/>
        </w:numPr>
        <w:rPr>
          <w:rFonts w:ascii="Arial" w:cs="Arial" w:eastAsia="Arial" w:hAnsi="Arial"/>
          <w:sz w:val="17"/>
          <w:szCs w:val="17"/>
          <w:color w:val="auto"/>
        </w:rPr>
      </w:pPr>
      <w:r>
        <w:rPr>
          <w:rFonts w:ascii="Arial" w:cs="Arial" w:eastAsia="Arial" w:hAnsi="Arial"/>
          <w:sz w:val="17"/>
          <w:szCs w:val="17"/>
          <w:color w:val="auto"/>
        </w:rPr>
        <w:t>all Restricted Shares shall vest in the event of the death or Disability of the Key Employee;</w:t>
      </w:r>
    </w:p>
    <w:p>
      <w:pPr>
        <w:spacing w:after="0" w:line="164" w:lineRule="exact"/>
        <w:rPr>
          <w:rFonts w:ascii="Arial" w:cs="Arial" w:eastAsia="Arial" w:hAnsi="Arial"/>
          <w:sz w:val="17"/>
          <w:szCs w:val="17"/>
          <w:color w:val="auto"/>
        </w:rPr>
      </w:pPr>
    </w:p>
    <w:p>
      <w:pPr>
        <w:ind w:left="1740" w:hanging="252"/>
        <w:spacing w:after="0"/>
        <w:tabs>
          <w:tab w:leader="none" w:pos="1740" w:val="left"/>
        </w:tabs>
        <w:numPr>
          <w:ilvl w:val="2"/>
          <w:numId w:val="77"/>
        </w:numPr>
        <w:rPr>
          <w:rFonts w:ascii="Arial" w:cs="Arial" w:eastAsia="Arial" w:hAnsi="Arial"/>
          <w:sz w:val="16"/>
          <w:szCs w:val="16"/>
          <w:color w:val="auto"/>
        </w:rPr>
      </w:pPr>
      <w:r>
        <w:rPr>
          <w:rFonts w:ascii="Arial" w:cs="Arial" w:eastAsia="Arial" w:hAnsi="Arial"/>
          <w:sz w:val="16"/>
          <w:szCs w:val="16"/>
          <w:color w:val="auto"/>
        </w:rPr>
        <w:t>all Restricted Shares shall vest in the event that the Key Employee is discharged by the Trust without Cause as defined in the Plan; and</w:t>
      </w:r>
    </w:p>
    <w:p>
      <w:pPr>
        <w:spacing w:after="0" w:line="175" w:lineRule="exact"/>
        <w:rPr>
          <w:rFonts w:ascii="Arial" w:cs="Arial" w:eastAsia="Arial" w:hAnsi="Arial"/>
          <w:sz w:val="16"/>
          <w:szCs w:val="16"/>
          <w:color w:val="auto"/>
        </w:rPr>
      </w:pPr>
    </w:p>
    <w:p>
      <w:pPr>
        <w:ind w:right="160" w:firstLine="1488"/>
        <w:spacing w:after="0" w:line="273" w:lineRule="auto"/>
        <w:tabs>
          <w:tab w:leader="none" w:pos="1777" w:val="left"/>
        </w:tabs>
        <w:numPr>
          <w:ilvl w:val="2"/>
          <w:numId w:val="77"/>
        </w:numPr>
        <w:rPr>
          <w:rFonts w:ascii="Arial" w:cs="Arial" w:eastAsia="Arial" w:hAnsi="Arial"/>
          <w:sz w:val="17"/>
          <w:szCs w:val="17"/>
          <w:color w:val="auto"/>
        </w:rPr>
      </w:pPr>
      <w:r>
        <w:rPr>
          <w:rFonts w:ascii="Arial" w:cs="Arial" w:eastAsia="Arial" w:hAnsi="Arial"/>
          <w:sz w:val="17"/>
          <w:szCs w:val="17"/>
          <w:color w:val="auto"/>
        </w:rPr>
        <w:t>all Restricted Shares shall vest if the Key Employee shall incur an Involuntary Termination (as defined in the Plan) during the one year period commencing with the occurrence of a Change in Control.</w:t>
      </w:r>
    </w:p>
    <w:p>
      <w:pPr>
        <w:spacing w:after="0" w:line="120" w:lineRule="exact"/>
        <w:rPr>
          <w:rFonts w:ascii="Arial" w:cs="Arial" w:eastAsia="Arial" w:hAnsi="Arial"/>
          <w:sz w:val="17"/>
          <w:szCs w:val="17"/>
          <w:color w:val="auto"/>
        </w:rPr>
      </w:pPr>
    </w:p>
    <w:p>
      <w:pPr>
        <w:ind w:right="60" w:firstLine="916"/>
        <w:spacing w:after="0" w:line="272" w:lineRule="auto"/>
        <w:tabs>
          <w:tab w:leader="none" w:pos="1141" w:val="left"/>
        </w:tabs>
        <w:numPr>
          <w:ilvl w:val="1"/>
          <w:numId w:val="77"/>
        </w:numPr>
        <w:rPr>
          <w:rFonts w:ascii="Arial" w:cs="Arial" w:eastAsia="Arial" w:hAnsi="Arial"/>
          <w:sz w:val="16"/>
          <w:szCs w:val="16"/>
          <w:color w:val="auto"/>
        </w:rPr>
      </w:pPr>
      <w:r>
        <w:rPr>
          <w:rFonts w:ascii="Arial" w:cs="Arial" w:eastAsia="Arial" w:hAnsi="Arial"/>
          <w:sz w:val="16"/>
          <w:szCs w:val="16"/>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minimum tax withholding obligations through the sale of all or a portion of such Shares resulting from this Agreement or by a return to the Trust of a number of Shares having a fair market value equal to the withholding amount due. In the event Key Employee or Key Employee’s legal representative, as applicable, fails to make appropriate arrangements to satisfy tax and withholding obligations, the Trust may, in its sole discretion, satisfy such tax and withholding obligations by: (i) returning to the Trust all or a portion of the Shares issued under this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4</w:t>
      </w:r>
    </w:p>
    <w:p>
      <w:pPr>
        <w:sectPr>
          <w:pgSz w:w="11900" w:h="16838" w:orient="portrait"/>
          <w:cols w:equalWidth="0" w:num="1">
            <w:col w:w="11420"/>
          </w:cols>
          <w:pgMar w:left="240" w:top="272" w:right="239" w:bottom="1440" w:gutter="0" w:footer="0" w:header="0"/>
        </w:sectPr>
      </w:pPr>
    </w:p>
    <w:bookmarkStart w:id="112" w:name="page113"/>
    <w:bookmarkEnd w:id="112"/>
    <w:p>
      <w:pPr>
        <w:ind w:right="2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Agreement thereby withholding benefits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124" w:lineRule="exact"/>
        <w:rPr>
          <w:sz w:val="20"/>
          <w:szCs w:val="20"/>
          <w:color w:val="auto"/>
        </w:rPr>
      </w:pPr>
    </w:p>
    <w:p>
      <w:pPr>
        <w:ind w:right="160" w:firstLine="460"/>
        <w:spacing w:after="0" w:line="261" w:lineRule="auto"/>
        <w:tabs>
          <w:tab w:leader="none" w:pos="62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 termination of the Key Employee’s Service with the Trust for any reason, then all rights of the Key Employee to any and 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126" w:lineRule="exact"/>
        <w:rPr>
          <w:rFonts w:ascii="Arial" w:cs="Arial" w:eastAsia="Arial" w:hAnsi="Arial"/>
          <w:sz w:val="17"/>
          <w:szCs w:val="17"/>
          <w:b w:val="1"/>
          <w:bCs w:val="1"/>
          <w:color w:val="auto"/>
        </w:rPr>
      </w:pPr>
    </w:p>
    <w:p>
      <w:pPr>
        <w:ind w:right="40" w:firstLine="460"/>
        <w:spacing w:after="0" w:line="311" w:lineRule="auto"/>
        <w:tabs>
          <w:tab w:leader="none" w:pos="624"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heirs and representatives of the Key Employee and the assigns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Trust, but neither this Agreement nor any rights hereunder shall be assignable or otherwise subject to hypothecation by the Key Employee.</w:t>
      </w:r>
    </w:p>
    <w:p>
      <w:pPr>
        <w:spacing w:after="0" w:line="88" w:lineRule="exact"/>
        <w:rPr>
          <w:rFonts w:ascii="Arial" w:cs="Arial" w:eastAsia="Arial" w:hAnsi="Arial"/>
          <w:sz w:val="16"/>
          <w:szCs w:val="16"/>
          <w:b w:val="1"/>
          <w:bCs w:val="1"/>
          <w:color w:val="auto"/>
        </w:rPr>
      </w:pPr>
    </w:p>
    <w:p>
      <w:pPr>
        <w:ind w:right="20" w:firstLine="460"/>
        <w:spacing w:after="0" w:line="265" w:lineRule="auto"/>
        <w:tabs>
          <w:tab w:leader="none" w:pos="62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of the parties with respect to the subject matter hereof and shall supersede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agreements and understandings, oral or written, between the parties with respect thereto. Subject to Paragraph 13, this Agreement may be amended at any time by written agreement of the parties hereto.</w:t>
      </w:r>
    </w:p>
    <w:p>
      <w:pPr>
        <w:spacing w:after="0" w:line="123" w:lineRule="exact"/>
        <w:rPr>
          <w:rFonts w:ascii="Arial" w:cs="Arial" w:eastAsia="Arial" w:hAnsi="Arial"/>
          <w:sz w:val="17"/>
          <w:szCs w:val="17"/>
          <w:b w:val="1"/>
          <w:bCs w:val="1"/>
          <w:color w:val="auto"/>
        </w:rPr>
      </w:pPr>
    </w:p>
    <w:p>
      <w:pPr>
        <w:ind w:firstLine="460"/>
        <w:spacing w:after="0" w:line="278" w:lineRule="auto"/>
        <w:tabs>
          <w:tab w:leader="none" w:pos="62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its validity, interpretation, performance and enforcement shall be governed by the laws of the State of Maryland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conflict of laws provisions of such laws, and shall be construed in accordance therewith.</w:t>
      </w:r>
    </w:p>
    <w:p>
      <w:pPr>
        <w:spacing w:after="0" w:line="112" w:lineRule="exact"/>
        <w:rPr>
          <w:rFonts w:ascii="Arial" w:cs="Arial" w:eastAsia="Arial" w:hAnsi="Arial"/>
          <w:sz w:val="17"/>
          <w:szCs w:val="17"/>
          <w:b w:val="1"/>
          <w:bCs w:val="1"/>
          <w:color w:val="auto"/>
        </w:rPr>
      </w:pPr>
    </w:p>
    <w:p>
      <w:pPr>
        <w:ind w:firstLine="460"/>
        <w:spacing w:after="0" w:line="261" w:lineRule="auto"/>
        <w:tabs>
          <w:tab w:leader="none" w:pos="624"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any provision of this Agreement is held invalid, such invalidity shall not affect any other provision of this Agreement not so held</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26" w:lineRule="exact"/>
        <w:rPr>
          <w:rFonts w:ascii="Arial" w:cs="Arial" w:eastAsia="Arial" w:hAnsi="Arial"/>
          <w:sz w:val="17"/>
          <w:szCs w:val="17"/>
          <w:b w:val="1"/>
          <w:bCs w:val="1"/>
          <w:color w:val="auto"/>
        </w:rPr>
      </w:pPr>
    </w:p>
    <w:p>
      <w:pPr>
        <w:ind w:left="620" w:hanging="160"/>
        <w:spacing w:after="0"/>
        <w:tabs>
          <w:tab w:leader="none" w:pos="6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75" w:lineRule="exact"/>
        <w:rPr>
          <w:rFonts w:ascii="Arial" w:cs="Arial" w:eastAsia="Arial" w:hAnsi="Arial"/>
          <w:sz w:val="16"/>
          <w:szCs w:val="16"/>
          <w:b w:val="1"/>
          <w:bCs w:val="1"/>
          <w:color w:val="auto"/>
        </w:rPr>
      </w:pPr>
    </w:p>
    <w:p>
      <w:pPr>
        <w:ind w:right="60" w:firstLine="460"/>
        <w:spacing w:after="0" w:line="265" w:lineRule="auto"/>
        <w:tabs>
          <w:tab w:leader="none" w:pos="707"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 should logically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23" w:lineRule="exact"/>
        <w:rPr>
          <w:rFonts w:ascii="Arial" w:cs="Arial" w:eastAsia="Arial" w:hAnsi="Arial"/>
          <w:sz w:val="17"/>
          <w:szCs w:val="17"/>
          <w:b w:val="1"/>
          <w:bCs w:val="1"/>
          <w:color w:val="auto"/>
        </w:rPr>
      </w:pPr>
    </w:p>
    <w:p>
      <w:pPr>
        <w:ind w:left="700" w:hanging="250"/>
        <w:spacing w:after="0"/>
        <w:tabs>
          <w:tab w:leader="none" w:pos="70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Key Employee acknowledges that it is the Key Employee’s sole responsibility, and not the Trust’s, to file a timely election</w:t>
      </w:r>
    </w:p>
    <w:p>
      <w:pPr>
        <w:spacing w:after="0" w:line="33"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under section 83(b) of the Internal Revenue Code, of 1986, as amended. The Key Employee acknowledges that he or she is relying on his or her own advisors with respect to the decision as to whether or not to file any section 83(b) election.</w:t>
      </w:r>
    </w:p>
    <w:p>
      <w:pPr>
        <w:spacing w:after="0" w:line="124" w:lineRule="exact"/>
        <w:rPr>
          <w:sz w:val="20"/>
          <w:szCs w:val="20"/>
          <w:color w:val="auto"/>
        </w:rPr>
      </w:pPr>
    </w:p>
    <w:p>
      <w:pPr>
        <w:ind w:right="220" w:firstLine="460"/>
        <w:spacing w:after="0" w:line="278" w:lineRule="auto"/>
        <w:tabs>
          <w:tab w:leader="none" w:pos="707"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 all taxes and penalties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arise in connection with this Agreement (including any taxes arising under Section 409A of the Code).</w:t>
      </w:r>
    </w:p>
    <w:p>
      <w:pPr>
        <w:spacing w:after="0" w:line="112" w:lineRule="exact"/>
        <w:rPr>
          <w:rFonts w:ascii="Arial" w:cs="Arial" w:eastAsia="Arial" w:hAnsi="Arial"/>
          <w:sz w:val="17"/>
          <w:szCs w:val="17"/>
          <w:b w:val="1"/>
          <w:bCs w:val="1"/>
          <w:color w:val="auto"/>
        </w:rPr>
      </w:pPr>
    </w:p>
    <w:p>
      <w:pPr>
        <w:ind w:right="120" w:firstLine="460"/>
        <w:spacing w:after="0" w:line="347" w:lineRule="auto"/>
        <w:tabs>
          <w:tab w:leader="none" w:pos="707"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Code Section 409A</w:t>
      </w:r>
      <w:r>
        <w:rPr>
          <w:rFonts w:ascii="Arial" w:cs="Arial" w:eastAsia="Arial" w:hAnsi="Arial"/>
          <w:sz w:val="15"/>
          <w:szCs w:val="15"/>
          <w:color w:val="auto"/>
        </w:rPr>
        <w:t>. This Agreement is intended to be exempt from Code Section 409A, and the Trust shall have complete discretion to interpret and construe</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any associated documents in any manner that establishes an exemption from (or otherwise conforms them to) the requirements of Code Section</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4</w:t>
      </w:r>
    </w:p>
    <w:p>
      <w:pPr>
        <w:sectPr>
          <w:pgSz w:w="11900" w:h="16838" w:orient="portrait"/>
          <w:cols w:equalWidth="0" w:num="1">
            <w:col w:w="11420"/>
          </w:cols>
          <w:pgMar w:left="240" w:top="272" w:right="239" w:bottom="1440" w:gutter="0" w:footer="0" w:header="0"/>
        </w:sectPr>
      </w:pPr>
    </w:p>
    <w:bookmarkStart w:id="113" w:name="page114"/>
    <w:bookmarkEnd w:id="113"/>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12065</wp:posOffset>
            </wp:positionV>
            <wp:extent cx="25126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Dawn M. Becker</w:t>
      </w:r>
    </w:p>
    <w:p>
      <w:pPr>
        <w:spacing w:after="0" w:line="17"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Executive Vice President –</w:t>
      </w:r>
    </w:p>
    <w:p>
      <w:pPr>
        <w:spacing w:after="0" w:line="10"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General Counsel and Secretary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4 of 4</w:t>
      </w:r>
    </w:p>
    <w:p>
      <w:pPr>
        <w:sectPr>
          <w:pgSz w:w="11900" w:h="16838" w:orient="portrait"/>
          <w:cols w:equalWidth="0" w:num="1">
            <w:col w:w="11380"/>
          </w:cols>
          <w:pgMar w:left="240" w:top="272" w:right="2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10.35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SHARE AWARD AGREEMENT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-12065</wp:posOffset>
            </wp:positionV>
            <wp:extent cx="9340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40"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This Restricted Share Award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by </w:t>
      </w:r>
      <w:r>
        <w:rPr>
          <w:rFonts w:ascii="Arial" w:cs="Arial" w:eastAsia="Arial" w:hAnsi="Arial"/>
          <w:sz w:val="15"/>
          <w:szCs w:val="15"/>
          <w:b w:val="1"/>
          <w:bCs w:val="1"/>
          <w:color w:val="auto"/>
        </w:rPr>
        <w:t>Federal Realty Investment Trust</w:t>
      </w:r>
      <w:r>
        <w:rPr>
          <w:rFonts w:ascii="Arial" w:cs="Arial" w:eastAsia="Arial" w:hAnsi="Arial"/>
          <w:sz w:val="15"/>
          <w:szCs w:val="15"/>
          <w:color w:val="auto"/>
        </w:rPr>
        <w:t xml:space="preserve">, a Maryland real estate investment trust (the </w:t>
      </w:r>
      <w:r>
        <w:rPr>
          <w:rFonts w:ascii="Arial" w:cs="Arial" w:eastAsia="Arial" w:hAnsi="Arial"/>
          <w:sz w:val="15"/>
          <w:szCs w:val="15"/>
          <w:b w:val="1"/>
          <w:bCs w:val="1"/>
          <w:color w:val="auto"/>
        </w:rPr>
        <w:t>“Trust”</w:t>
      </w:r>
      <w:r>
        <w:rPr>
          <w:rFonts w:ascii="Arial" w:cs="Arial" w:eastAsia="Arial" w:hAnsi="Arial"/>
          <w:sz w:val="15"/>
          <w:szCs w:val="15"/>
          <w:color w:val="auto"/>
        </w:rPr>
        <w:t>), provides</w:t>
      </w:r>
    </w:p>
    <w:p>
      <w:pPr>
        <w:spacing w:after="0" w:line="44"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notice to</w:t>
      </w:r>
      <w:r>
        <w:rPr>
          <w:sz w:val="20"/>
          <w:szCs w:val="20"/>
          <w:color w:val="auto"/>
        </w:rPr>
        <w:tab/>
      </w:r>
      <w:r>
        <w:rPr>
          <w:rFonts w:ascii="Arial" w:cs="Arial" w:eastAsia="Arial" w:hAnsi="Arial"/>
          <w:sz w:val="15"/>
          <w:szCs w:val="15"/>
          <w:color w:val="auto"/>
        </w:rPr>
        <w:t xml:space="preserve">, an individual employee of the Trust (the </w:t>
      </w:r>
      <w:r>
        <w:rPr>
          <w:rFonts w:ascii="Arial" w:cs="Arial" w:eastAsia="Arial" w:hAnsi="Arial"/>
          <w:sz w:val="15"/>
          <w:szCs w:val="15"/>
          <w:b w:val="1"/>
          <w:bCs w:val="1"/>
          <w:color w:val="auto"/>
        </w:rPr>
        <w:t>“Key Employee”</w:t>
      </w:r>
      <w:r>
        <w:rPr>
          <w:rFonts w:ascii="Arial" w:cs="Arial" w:eastAsia="Arial" w:hAnsi="Arial"/>
          <w:sz w:val="15"/>
          <w:szCs w:val="15"/>
          <w:color w:val="auto"/>
        </w:rPr>
        <w:t>), of the terms of a Restricted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-16510</wp:posOffset>
            </wp:positionV>
            <wp:extent cx="530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3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The Board of Trustees of the Trust (the “</w:t>
      </w:r>
      <w:r>
        <w:rPr>
          <w:rFonts w:ascii="Arial" w:cs="Arial" w:eastAsia="Arial" w:hAnsi="Arial"/>
          <w:sz w:val="17"/>
          <w:szCs w:val="17"/>
          <w:b w:val="1"/>
          <w:bCs w:val="1"/>
          <w:color w:val="auto"/>
        </w:rPr>
        <w:t>Board of Trustees</w:t>
      </w:r>
      <w:r>
        <w:rPr>
          <w:rFonts w:ascii="Arial" w:cs="Arial" w:eastAsia="Arial" w:hAnsi="Arial"/>
          <w:sz w:val="17"/>
          <w:szCs w:val="17"/>
          <w:color w:val="auto"/>
        </w:rPr>
        <w:t xml:space="preserve">”) has authorized the award by the Trust to the Key Employee, under the Trust’s 2010 Performance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of a Restricted Share Award for a certain number of shares of beneficial interest of the Trust (the </w:t>
      </w:r>
      <w:r>
        <w:rPr>
          <w:rFonts w:ascii="Arial" w:cs="Arial" w:eastAsia="Arial" w:hAnsi="Arial"/>
          <w:sz w:val="17"/>
          <w:szCs w:val="17"/>
          <w:b w:val="1"/>
          <w:bCs w:val="1"/>
          <w:color w:val="auto"/>
        </w:rPr>
        <w:t>“Shares”</w:t>
      </w:r>
      <w:r>
        <w:rPr>
          <w:rFonts w:ascii="Arial" w:cs="Arial" w:eastAsia="Arial" w:hAnsi="Arial"/>
          <w:sz w:val="17"/>
          <w:szCs w:val="17"/>
          <w:color w:val="auto"/>
        </w:rPr>
        <w:t>), subject to certain restrictions and covenants on the part of Key Employee. This Agreement sets forth vesting and the respective rights and obligations of the Trust and the Key Employee with respect to such Shares.</w:t>
      </w:r>
    </w:p>
    <w:p>
      <w:pPr>
        <w:spacing w:after="0" w:line="13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consideration of the covenants set forth in this Agreement, and intending to be legally bound hereby, the terms of the Restricted Share Award are as follows: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auto"/>
                <w:w w:val="70"/>
              </w:rPr>
              <w:t>1.</w:t>
            </w:r>
          </w:p>
        </w:tc>
        <w:tc>
          <w:tcPr>
            <w:tcW w:w="7680" w:type="dxa"/>
            <w:vAlign w:val="bottom"/>
            <w:gridSpan w:val="2"/>
          </w:tcPr>
          <w:p>
            <w:pPr>
              <w:spacing w:after="0"/>
              <w:rPr>
                <w:sz w:val="20"/>
                <w:szCs w:val="20"/>
                <w:color w:val="auto"/>
              </w:rPr>
            </w:pPr>
            <w:r>
              <w:rPr>
                <w:rFonts w:ascii="Arial" w:cs="Arial" w:eastAsia="Arial" w:hAnsi="Arial"/>
                <w:sz w:val="17"/>
                <w:szCs w:val="17"/>
                <w:b w:val="1"/>
                <w:bCs w:val="1"/>
                <w:color w:val="auto"/>
              </w:rPr>
              <w:t>Award of Restricted 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7680" w:type="dxa"/>
            <w:vAlign w:val="bottom"/>
            <w:gridSpan w:val="2"/>
          </w:tcPr>
          <w:p>
            <w:pPr>
              <w:ind w:left="20"/>
              <w:spacing w:after="0"/>
              <w:rPr>
                <w:sz w:val="20"/>
                <w:szCs w:val="20"/>
                <w:color w:val="auto"/>
              </w:rPr>
            </w:pPr>
            <w:r>
              <w:rPr>
                <w:rFonts w:ascii="Arial" w:cs="Arial" w:eastAsia="Arial" w:hAnsi="Arial"/>
                <w:sz w:val="17"/>
                <w:szCs w:val="17"/>
                <w:color w:val="auto"/>
                <w:w w:val="89"/>
              </w:rPr>
              <w:t xml:space="preserve">(a) The Trust hereby confirms the grant to the Key Employee as of the date set forth above (the </w:t>
            </w:r>
            <w:r>
              <w:rPr>
                <w:rFonts w:ascii="Arial" w:cs="Arial" w:eastAsia="Arial" w:hAnsi="Arial"/>
                <w:sz w:val="17"/>
                <w:szCs w:val="17"/>
                <w:b w:val="1"/>
                <w:bCs w:val="1"/>
                <w:color w:val="auto"/>
                <w:w w:val="89"/>
              </w:rPr>
              <w:t>“Grant Date”</w:t>
            </w:r>
            <w:r>
              <w:rPr>
                <w:rFonts w:ascii="Arial" w:cs="Arial" w:eastAsia="Arial" w:hAnsi="Arial"/>
                <w:sz w:val="17"/>
                <w:szCs w:val="17"/>
                <w:color w:val="auto"/>
                <w:w w:val="89"/>
              </w:rPr>
              <w:t>) of</w:t>
            </w:r>
          </w:p>
        </w:tc>
        <w:tc>
          <w:tcPr>
            <w:tcW w:w="820" w:type="dxa"/>
            <w:vAlign w:val="bottom"/>
          </w:tcPr>
          <w:p>
            <w:pPr>
              <w:spacing w:after="0"/>
              <w:rPr>
                <w:sz w:val="22"/>
                <w:szCs w:val="22"/>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w w:val="85"/>
              </w:rPr>
              <w:t>) Shares (the</w:t>
            </w:r>
          </w:p>
        </w:tc>
      </w:tr>
      <w:tr>
        <w:trPr>
          <w:trHeight w:val="20"/>
        </w:trPr>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Shares”</w:t>
      </w:r>
      <w:r>
        <w:rPr>
          <w:rFonts w:ascii="Arial" w:cs="Arial" w:eastAsia="Arial" w:hAnsi="Arial"/>
          <w:sz w:val="17"/>
          <w:szCs w:val="17"/>
          <w:color w:val="auto"/>
        </w:rPr>
        <w:t>), subject to the restrictions and other terms and conditions set forth herein and in the Plan; and</w:t>
      </w:r>
    </w:p>
    <w:p>
      <w:pPr>
        <w:spacing w:after="0" w:line="168" w:lineRule="exact"/>
        <w:rPr>
          <w:sz w:val="20"/>
          <w:szCs w:val="20"/>
          <w:color w:val="auto"/>
        </w:rPr>
      </w:pPr>
    </w:p>
    <w:p>
      <w:pPr>
        <w:ind w:right="20" w:firstLine="916"/>
        <w:spacing w:after="0" w:line="273" w:lineRule="auto"/>
        <w:tabs>
          <w:tab w:leader="none" w:pos="1150" w:val="left"/>
        </w:tabs>
        <w:numPr>
          <w:ilvl w:val="1"/>
          <w:numId w:val="80"/>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36" w:lineRule="exact"/>
        <w:rPr>
          <w:rFonts w:ascii="Arial" w:cs="Arial" w:eastAsia="Arial" w:hAnsi="Arial"/>
          <w:sz w:val="16"/>
          <w:szCs w:val="16"/>
          <w:color w:val="auto"/>
        </w:rPr>
      </w:pPr>
    </w:p>
    <w:p>
      <w:pPr>
        <w:ind w:left="900" w:hanging="448"/>
        <w:spacing w:after="0"/>
        <w:tabs>
          <w:tab w:leader="none" w:pos="900"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Restricted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40" w:firstLine="916"/>
        <w:spacing w:after="0" w:line="273" w:lineRule="auto"/>
        <w:tabs>
          <w:tab w:leader="none" w:pos="1141" w:val="left"/>
        </w:tabs>
        <w:numPr>
          <w:ilvl w:val="1"/>
          <w:numId w:val="81"/>
        </w:numPr>
        <w:rPr>
          <w:rFonts w:ascii="Arial" w:cs="Arial" w:eastAsia="Arial" w:hAnsi="Arial"/>
          <w:sz w:val="17"/>
          <w:szCs w:val="17"/>
          <w:color w:val="auto"/>
        </w:rPr>
      </w:pPr>
      <w:r>
        <w:rPr>
          <w:rFonts w:ascii="Arial" w:cs="Arial" w:eastAsia="Arial" w:hAnsi="Arial"/>
          <w:sz w:val="17"/>
          <w:szCs w:val="17"/>
          <w:color w:val="auto"/>
        </w:rPr>
        <w:t>Beginning on the Grant Date, the Key Employee shall have all rights and privileges of a stockholder with respect to the Restricted Shares, except that the following restrictions shall apply:</w:t>
      </w:r>
    </w:p>
    <w:p>
      <w:pPr>
        <w:spacing w:after="0" w:line="120" w:lineRule="exact"/>
        <w:rPr>
          <w:rFonts w:ascii="Arial" w:cs="Arial" w:eastAsia="Arial" w:hAnsi="Arial"/>
          <w:sz w:val="17"/>
          <w:szCs w:val="17"/>
          <w:color w:val="auto"/>
        </w:rPr>
      </w:pPr>
    </w:p>
    <w:p>
      <w:pPr>
        <w:ind w:right="280" w:firstLine="1488"/>
        <w:spacing w:after="0" w:line="273" w:lineRule="auto"/>
        <w:tabs>
          <w:tab w:leader="none" w:pos="1684" w:val="left"/>
        </w:tabs>
        <w:numPr>
          <w:ilvl w:val="2"/>
          <w:numId w:val="81"/>
        </w:numPr>
        <w:rPr>
          <w:rFonts w:ascii="Arial" w:cs="Arial" w:eastAsia="Arial" w:hAnsi="Arial"/>
          <w:sz w:val="17"/>
          <w:szCs w:val="17"/>
          <w:color w:val="auto"/>
        </w:rPr>
      </w:pPr>
      <w:r>
        <w:rPr>
          <w:rFonts w:ascii="Arial" w:cs="Arial" w:eastAsia="Arial" w:hAnsi="Arial"/>
          <w:sz w:val="17"/>
          <w:szCs w:val="17"/>
          <w:color w:val="auto"/>
        </w:rPr>
        <w:t>none of the Restricted Shares may be assigned or transferred (other than by will or the laws of descent and distribution, or in the Committee’s discretion, pursuant to a domestic relations order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4</w:t>
      </w:r>
    </w:p>
    <w:p>
      <w:pPr>
        <w:sectPr>
          <w:pgSz w:w="11900" w:h="16838" w:orient="portrait"/>
          <w:cols w:equalWidth="0" w:num="1">
            <w:col w:w="11420"/>
          </w:cols>
          <w:pgMar w:left="240" w:top="127"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within the meaning of Rule 16a-12 of the Securities Exchange Act of 1934, as amended) while the restrictions of this Agreement apply to the Shares;</w:t>
      </w:r>
    </w:p>
    <w:p>
      <w:pPr>
        <w:spacing w:after="0" w:line="164" w:lineRule="exact"/>
        <w:rPr>
          <w:sz w:val="20"/>
          <w:szCs w:val="20"/>
          <w:color w:val="auto"/>
        </w:rPr>
      </w:pPr>
    </w:p>
    <w:p>
      <w:pPr>
        <w:ind w:left="1740" w:hanging="252"/>
        <w:spacing w:after="0"/>
        <w:tabs>
          <w:tab w:leader="none" w:pos="174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all or a portion of the Restricted Shares may be forfeited in accordance with Paragraph 4; and</w:t>
      </w:r>
    </w:p>
    <w:p>
      <w:pPr>
        <w:spacing w:after="0" w:line="164" w:lineRule="exact"/>
        <w:rPr>
          <w:rFonts w:ascii="Arial" w:cs="Arial" w:eastAsia="Arial" w:hAnsi="Arial"/>
          <w:sz w:val="17"/>
          <w:szCs w:val="17"/>
          <w:color w:val="auto"/>
        </w:rPr>
      </w:pPr>
    </w:p>
    <w:p>
      <w:pPr>
        <w:ind w:right="180" w:firstLine="1488"/>
        <w:spacing w:after="0" w:line="314" w:lineRule="auto"/>
        <w:tabs>
          <w:tab w:leader="none" w:pos="1777" w:val="left"/>
        </w:tabs>
        <w:numPr>
          <w:ilvl w:val="2"/>
          <w:numId w:val="82"/>
        </w:numPr>
        <w:rPr>
          <w:rFonts w:ascii="Arial" w:cs="Arial" w:eastAsia="Arial" w:hAnsi="Arial"/>
          <w:sz w:val="15"/>
          <w:szCs w:val="15"/>
          <w:color w:val="auto"/>
        </w:rPr>
      </w:pPr>
      <w:r>
        <w:rPr>
          <w:rFonts w:ascii="Arial" w:cs="Arial" w:eastAsia="Arial" w:hAnsi="Arial"/>
          <w:sz w:val="15"/>
          <w:szCs w:val="15"/>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93" w:lineRule="exact"/>
        <w:rPr>
          <w:rFonts w:ascii="Arial" w:cs="Arial" w:eastAsia="Arial" w:hAnsi="Arial"/>
          <w:sz w:val="15"/>
          <w:szCs w:val="15"/>
          <w:color w:val="auto"/>
        </w:rPr>
      </w:pPr>
    </w:p>
    <w:p>
      <w:pPr>
        <w:jc w:val="both"/>
        <w:ind w:firstLine="916"/>
        <w:spacing w:after="0" w:line="314" w:lineRule="auto"/>
        <w:tabs>
          <w:tab w:leader="none" w:pos="1150" w:val="left"/>
        </w:tabs>
        <w:numPr>
          <w:ilvl w:val="1"/>
          <w:numId w:val="83"/>
        </w:numPr>
        <w:rPr>
          <w:rFonts w:ascii="Arial" w:cs="Arial" w:eastAsia="Arial" w:hAnsi="Arial"/>
          <w:sz w:val="15"/>
          <w:szCs w:val="15"/>
          <w:color w:val="auto"/>
        </w:rPr>
      </w:pPr>
      <w:r>
        <w:rPr>
          <w:rFonts w:ascii="Arial" w:cs="Arial" w:eastAsia="Arial" w:hAnsi="Arial"/>
          <w:sz w:val="15"/>
          <w:szCs w:val="15"/>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93" w:lineRule="exact"/>
        <w:rPr>
          <w:rFonts w:ascii="Arial" w:cs="Arial" w:eastAsia="Arial" w:hAnsi="Arial"/>
          <w:sz w:val="15"/>
          <w:szCs w:val="15"/>
          <w:color w:val="auto"/>
        </w:rPr>
      </w:pPr>
    </w:p>
    <w:p>
      <w:pPr>
        <w:ind w:left="1140" w:hanging="224"/>
        <w:spacing w:after="0"/>
        <w:tabs>
          <w:tab w:leader="none" w:pos="11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attempt to dispose of Restricted Shares in a manner contrary to the restrictions set forth in this Agreement shall be null, void and ineffective.</w:t>
      </w:r>
    </w:p>
    <w:p>
      <w:pPr>
        <w:spacing w:after="0" w:line="287" w:lineRule="exact"/>
        <w:rPr>
          <w:rFonts w:ascii="Arial" w:cs="Arial" w:eastAsia="Arial" w:hAnsi="Arial"/>
          <w:sz w:val="16"/>
          <w:szCs w:val="16"/>
          <w:color w:val="auto"/>
        </w:rPr>
      </w:pPr>
    </w:p>
    <w:p>
      <w:pPr>
        <w:ind w:left="900" w:hanging="448"/>
        <w:spacing w:after="0"/>
        <w:tabs>
          <w:tab w:leader="none" w:pos="90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left="1140" w:hanging="224"/>
        <w:spacing w:after="0"/>
        <w:tabs>
          <w:tab w:leader="none" w:pos="11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Restricted Shares shall vest as follows:</w:t>
      </w:r>
    </w:p>
    <w:p>
      <w:pPr>
        <w:spacing w:after="0" w:line="16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b w:val="1"/>
          <w:bCs w:val="1"/>
          <w:color w:val="auto"/>
        </w:rPr>
        <w:t>[Insert Vesting Schedule]</w:t>
      </w:r>
    </w:p>
    <w:p>
      <w:pPr>
        <w:spacing w:after="0" w:line="168" w:lineRule="exact"/>
        <w:rPr>
          <w:rFonts w:ascii="Arial" w:cs="Arial" w:eastAsia="Arial" w:hAnsi="Arial"/>
          <w:sz w:val="17"/>
          <w:szCs w:val="17"/>
          <w:color w:val="auto"/>
        </w:rPr>
      </w:pPr>
    </w:p>
    <w:p>
      <w:pPr>
        <w:ind w:left="1160" w:hanging="244"/>
        <w:spacing w:after="0"/>
        <w:tabs>
          <w:tab w:leader="none" w:pos="11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Notwithstanding the foregoing, the Restricted Shares shall vest as follows:</w:t>
      </w:r>
    </w:p>
    <w:p>
      <w:pPr>
        <w:spacing w:after="0" w:line="164" w:lineRule="exact"/>
        <w:rPr>
          <w:rFonts w:ascii="Arial" w:cs="Arial" w:eastAsia="Arial" w:hAnsi="Arial"/>
          <w:sz w:val="17"/>
          <w:szCs w:val="17"/>
          <w:color w:val="auto"/>
        </w:rPr>
      </w:pPr>
    </w:p>
    <w:p>
      <w:pPr>
        <w:ind w:left="1680" w:hanging="192"/>
        <w:spacing w:after="0"/>
        <w:tabs>
          <w:tab w:leader="none" w:pos="168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all Restricted Shares shall vest in the event of the death or Disability of the Key Employee; and</w:t>
      </w:r>
    </w:p>
    <w:p>
      <w:pPr>
        <w:spacing w:after="0" w:line="164" w:lineRule="exact"/>
        <w:rPr>
          <w:rFonts w:ascii="Arial" w:cs="Arial" w:eastAsia="Arial" w:hAnsi="Arial"/>
          <w:sz w:val="17"/>
          <w:szCs w:val="17"/>
          <w:color w:val="auto"/>
        </w:rPr>
      </w:pPr>
    </w:p>
    <w:p>
      <w:pPr>
        <w:ind w:right="200" w:firstLine="1488"/>
        <w:spacing w:after="0" w:line="273" w:lineRule="auto"/>
        <w:tabs>
          <w:tab w:leader="none" w:pos="1731" w:val="left"/>
        </w:tabs>
        <w:numPr>
          <w:ilvl w:val="2"/>
          <w:numId w:val="84"/>
        </w:numPr>
        <w:rPr>
          <w:rFonts w:ascii="Arial" w:cs="Arial" w:eastAsia="Arial" w:hAnsi="Arial"/>
          <w:sz w:val="17"/>
          <w:szCs w:val="17"/>
          <w:color w:val="auto"/>
        </w:rPr>
      </w:pPr>
      <w:r>
        <w:rPr>
          <w:rFonts w:ascii="Arial" w:cs="Arial" w:eastAsia="Arial" w:hAnsi="Arial"/>
          <w:sz w:val="17"/>
          <w:szCs w:val="17"/>
          <w:color w:val="auto"/>
        </w:rPr>
        <w:t>all Restricted Shares shall vest if the Key Employee shall incur an Involuntary Termination (as defined in the Plan) during the one year period commencing with the occurrence of a Change in Control.</w:t>
      </w:r>
    </w:p>
    <w:p>
      <w:pPr>
        <w:spacing w:after="0" w:line="120" w:lineRule="exact"/>
        <w:rPr>
          <w:rFonts w:ascii="Arial" w:cs="Arial" w:eastAsia="Arial" w:hAnsi="Arial"/>
          <w:sz w:val="17"/>
          <w:szCs w:val="17"/>
          <w:color w:val="auto"/>
        </w:rPr>
      </w:pPr>
    </w:p>
    <w:p>
      <w:pPr>
        <w:ind w:right="60" w:firstLine="916"/>
        <w:spacing w:after="0" w:line="291" w:lineRule="auto"/>
        <w:tabs>
          <w:tab w:leader="none" w:pos="1141" w:val="left"/>
        </w:tabs>
        <w:numPr>
          <w:ilvl w:val="1"/>
          <w:numId w:val="84"/>
        </w:numPr>
        <w:rPr>
          <w:rFonts w:ascii="Arial" w:cs="Arial" w:eastAsia="Arial" w:hAnsi="Arial"/>
          <w:sz w:val="15"/>
          <w:szCs w:val="15"/>
          <w:color w:val="auto"/>
        </w:rPr>
      </w:pPr>
      <w:r>
        <w:rPr>
          <w:rFonts w:ascii="Arial" w:cs="Arial" w:eastAsia="Arial" w:hAnsi="Arial"/>
          <w:sz w:val="15"/>
          <w:szCs w:val="15"/>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minimum tax withholding obligations through the sale of all or a portion of such Shares resulting from this Agreement or by a return to the Trust of a number of Shares having a fair market value equal to the withholding amount due. In the event Key Employee or Key Employee’s legal representative, as applicable, fails to make appropriate arrangements to satisfy tax and withholding obligations, the Trust may, in its sole discretion, satisfy such tax and withholding obligations by: (i) returning to the Trust all or a portion of the Shares issued under this Agreement thereby withholding benefits under this Agreement; or (ii) withholding the required amounts from other amounts due the Key Employee or Key Employee’s legal representative, as applicable. The Trust 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4</w:t>
      </w:r>
    </w:p>
    <w:p>
      <w:pPr>
        <w:sectPr>
          <w:pgSz w:w="11900" w:h="16838" w:orient="portrait"/>
          <w:cols w:equalWidth="0" w:num="1">
            <w:col w:w="11420"/>
          </w:cols>
          <w:pgMar w:left="240" w:top="272" w:right="239" w:bottom="1440" w:gutter="0" w:footer="0" w:header="0"/>
        </w:sectPr>
      </w:pPr>
    </w:p>
    <w:bookmarkStart w:id="116" w:name="page117"/>
    <w:bookmarkEnd w:id="116"/>
    <w:p>
      <w:pPr>
        <w:ind w:right="3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authorized to pay over to the appropriate authority, all federal, state, county, city or other taxes as shall be required pursuant to any law or governmental regulation or ruling.</w:t>
      </w:r>
    </w:p>
    <w:p>
      <w:pPr>
        <w:spacing w:after="0" w:line="117" w:lineRule="exact"/>
        <w:rPr>
          <w:sz w:val="20"/>
          <w:szCs w:val="20"/>
          <w:color w:val="auto"/>
        </w:rPr>
      </w:pPr>
    </w:p>
    <w:p>
      <w:pPr>
        <w:ind w:right="160" w:firstLine="460"/>
        <w:spacing w:after="0" w:line="261" w:lineRule="auto"/>
        <w:tabs>
          <w:tab w:leader="none" w:pos="62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 termination of the Key Employee’s Service with the Trust for any reason, then all rights of the Key Employee to any and 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126" w:lineRule="exact"/>
        <w:rPr>
          <w:rFonts w:ascii="Arial" w:cs="Arial" w:eastAsia="Arial" w:hAnsi="Arial"/>
          <w:sz w:val="17"/>
          <w:szCs w:val="17"/>
          <w:b w:val="1"/>
          <w:bCs w:val="1"/>
          <w:color w:val="auto"/>
        </w:rPr>
      </w:pPr>
    </w:p>
    <w:p>
      <w:pPr>
        <w:ind w:right="40" w:firstLine="460"/>
        <w:spacing w:after="0" w:line="311" w:lineRule="auto"/>
        <w:tabs>
          <w:tab w:leader="none" w:pos="624"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heirs and representatives of the Key Employee and the assigns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Trust, but neither this Agreement nor any rights hereunder shall be assignable or otherwise subject to hypothecation by the Key Employee.</w:t>
      </w:r>
    </w:p>
    <w:p>
      <w:pPr>
        <w:spacing w:after="0" w:line="11" w:lineRule="exact"/>
        <w:rPr>
          <w:rFonts w:ascii="Arial" w:cs="Arial" w:eastAsia="Arial" w:hAnsi="Arial"/>
          <w:sz w:val="16"/>
          <w:szCs w:val="16"/>
          <w:b w:val="1"/>
          <w:bCs w:val="1"/>
          <w:color w:val="auto"/>
        </w:rPr>
      </w:pPr>
    </w:p>
    <w:p>
      <w:pPr>
        <w:ind w:right="20" w:firstLine="460"/>
        <w:spacing w:after="0" w:line="265" w:lineRule="auto"/>
        <w:tabs>
          <w:tab w:leader="none" w:pos="62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of the parties with respect to the subject matter hereof and shall supersede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agreements and understandings, oral or written, between the parties with respect thereto. Subject to Paragraph 13, this Agreement may be amended at any time by written agreement of the parties hereto.</w:t>
      </w:r>
    </w:p>
    <w:p>
      <w:pPr>
        <w:spacing w:after="0" w:line="123" w:lineRule="exact"/>
        <w:rPr>
          <w:rFonts w:ascii="Arial" w:cs="Arial" w:eastAsia="Arial" w:hAnsi="Arial"/>
          <w:sz w:val="17"/>
          <w:szCs w:val="17"/>
          <w:b w:val="1"/>
          <w:bCs w:val="1"/>
          <w:color w:val="auto"/>
        </w:rPr>
      </w:pPr>
    </w:p>
    <w:p>
      <w:pPr>
        <w:ind w:firstLine="460"/>
        <w:spacing w:after="0" w:line="278" w:lineRule="auto"/>
        <w:tabs>
          <w:tab w:leader="none" w:pos="62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its validity, interpretation, performance and enforcement shall be governed by the laws of the State of Maryland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conflict of laws provisions of such laws, and shall be construed in accordance therewith.</w:t>
      </w:r>
    </w:p>
    <w:p>
      <w:pPr>
        <w:spacing w:after="0" w:line="112" w:lineRule="exact"/>
        <w:rPr>
          <w:rFonts w:ascii="Arial" w:cs="Arial" w:eastAsia="Arial" w:hAnsi="Arial"/>
          <w:sz w:val="17"/>
          <w:szCs w:val="17"/>
          <w:b w:val="1"/>
          <w:bCs w:val="1"/>
          <w:color w:val="auto"/>
        </w:rPr>
      </w:pPr>
    </w:p>
    <w:p>
      <w:pPr>
        <w:ind w:firstLine="460"/>
        <w:spacing w:after="0" w:line="261" w:lineRule="auto"/>
        <w:tabs>
          <w:tab w:leader="none" w:pos="62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any provision of this Agreement is held invalid, such invalidity shall not affect any other provision of this Agreement not so held</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26" w:lineRule="exact"/>
        <w:rPr>
          <w:rFonts w:ascii="Arial" w:cs="Arial" w:eastAsia="Arial" w:hAnsi="Arial"/>
          <w:sz w:val="17"/>
          <w:szCs w:val="17"/>
          <w:b w:val="1"/>
          <w:bCs w:val="1"/>
          <w:color w:val="auto"/>
        </w:rPr>
      </w:pPr>
    </w:p>
    <w:p>
      <w:pPr>
        <w:ind w:left="620" w:hanging="160"/>
        <w:spacing w:after="0"/>
        <w:tabs>
          <w:tab w:leader="none" w:pos="62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75" w:lineRule="exact"/>
        <w:rPr>
          <w:rFonts w:ascii="Arial" w:cs="Arial" w:eastAsia="Arial" w:hAnsi="Arial"/>
          <w:sz w:val="16"/>
          <w:szCs w:val="16"/>
          <w:b w:val="1"/>
          <w:bCs w:val="1"/>
          <w:color w:val="auto"/>
        </w:rPr>
      </w:pPr>
    </w:p>
    <w:p>
      <w:pPr>
        <w:ind w:right="60" w:firstLine="460"/>
        <w:spacing w:after="0" w:line="265" w:lineRule="auto"/>
        <w:tabs>
          <w:tab w:leader="none" w:pos="707"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 should logically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23" w:lineRule="exact"/>
        <w:rPr>
          <w:rFonts w:ascii="Arial" w:cs="Arial" w:eastAsia="Arial" w:hAnsi="Arial"/>
          <w:sz w:val="17"/>
          <w:szCs w:val="17"/>
          <w:b w:val="1"/>
          <w:bCs w:val="1"/>
          <w:color w:val="auto"/>
        </w:rPr>
      </w:pPr>
    </w:p>
    <w:p>
      <w:pPr>
        <w:ind w:firstLine="460"/>
        <w:spacing w:after="0" w:line="265" w:lineRule="auto"/>
        <w:tabs>
          <w:tab w:leader="none" w:pos="698"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Key Employee acknowledges that it is the Key Employee’s sole responsibility, and not the Trust’s, to file a timely election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83(b) of the Internal Revenue Code, of 1986, as amended. The Key Employee acknowledges that he or she is relying on his or her own advisors with respect to the decision as to whether or not to file any section 83(b) election.</w:t>
      </w:r>
    </w:p>
    <w:p>
      <w:pPr>
        <w:spacing w:after="0" w:line="123" w:lineRule="exact"/>
        <w:rPr>
          <w:rFonts w:ascii="Arial" w:cs="Arial" w:eastAsia="Arial" w:hAnsi="Arial"/>
          <w:sz w:val="17"/>
          <w:szCs w:val="17"/>
          <w:b w:val="1"/>
          <w:bCs w:val="1"/>
          <w:color w:val="auto"/>
        </w:rPr>
      </w:pPr>
    </w:p>
    <w:p>
      <w:pPr>
        <w:ind w:right="220" w:firstLine="460"/>
        <w:spacing w:after="0" w:line="278" w:lineRule="auto"/>
        <w:tabs>
          <w:tab w:leader="none" w:pos="707"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 all taxes and penalties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arise in connection with this Agreement (including any taxes arising under Section 409A of the Code).</w:t>
      </w:r>
    </w:p>
    <w:p>
      <w:pPr>
        <w:spacing w:after="0" w:line="112" w:lineRule="exact"/>
        <w:rPr>
          <w:rFonts w:ascii="Arial" w:cs="Arial" w:eastAsia="Arial" w:hAnsi="Arial"/>
          <w:sz w:val="17"/>
          <w:szCs w:val="17"/>
          <w:b w:val="1"/>
          <w:bCs w:val="1"/>
          <w:color w:val="auto"/>
        </w:rPr>
      </w:pPr>
    </w:p>
    <w:p>
      <w:pPr>
        <w:ind w:right="20" w:firstLine="460"/>
        <w:spacing w:after="0" w:line="306" w:lineRule="auto"/>
        <w:tabs>
          <w:tab w:leader="none" w:pos="707"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Code Section 409A</w:t>
      </w:r>
      <w:r>
        <w:rPr>
          <w:rFonts w:ascii="Arial" w:cs="Arial" w:eastAsia="Arial" w:hAnsi="Arial"/>
          <w:sz w:val="15"/>
          <w:szCs w:val="15"/>
          <w:color w:val="auto"/>
        </w:rPr>
        <w:t>. This Agreement is intended to be exempt from Code Section 409A, and the Trust shall have complete discretion to interpret and construe</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4</w:t>
      </w:r>
    </w:p>
    <w:p>
      <w:pPr>
        <w:sectPr>
          <w:pgSz w:w="11900" w:h="16838" w:orient="portrait"/>
          <w:cols w:equalWidth="0" w:num="1">
            <w:col w:w="11420"/>
          </w:cols>
          <w:pgMar w:left="240" w:top="272" w:right="239" w:bottom="1440" w:gutter="0" w:footer="0" w:header="0"/>
        </w:sectPr>
      </w:pPr>
    </w:p>
    <w:bookmarkStart w:id="117" w:name="page118"/>
    <w:bookmarkEnd w:id="117"/>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12065</wp:posOffset>
            </wp:positionV>
            <wp:extent cx="25126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Dawn M. Becker</w:t>
      </w:r>
    </w:p>
    <w:p>
      <w:pPr>
        <w:spacing w:after="0" w:line="17"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Executive Vice President –</w:t>
      </w:r>
    </w:p>
    <w:p>
      <w:pPr>
        <w:spacing w:after="0" w:line="10"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General Counsel and Secretary</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Page 4 of 4</w:t>
      </w:r>
    </w:p>
    <w:p>
      <w:pPr>
        <w:sectPr>
          <w:pgSz w:w="11900" w:h="16838" w:orient="portrait"/>
          <w:cols w:equalWidth="0" w:num="1">
            <w:col w:w="11180"/>
          </w:cols>
          <w:pgMar w:left="240" w:top="272" w:right="47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b w:val="1"/>
          <w:bCs w:val="1"/>
          <w:color w:val="auto"/>
        </w:rPr>
        <w:t>Exhibit 10.36</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SHARE AWARD AGREEMENT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-12065</wp:posOffset>
            </wp:positionV>
            <wp:extent cx="9340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40"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auto"/>
        </w:rPr>
        <w:t>This Restricted Share Award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by </w:t>
      </w:r>
      <w:r>
        <w:rPr>
          <w:rFonts w:ascii="Arial" w:cs="Arial" w:eastAsia="Arial" w:hAnsi="Arial"/>
          <w:sz w:val="15"/>
          <w:szCs w:val="15"/>
          <w:b w:val="1"/>
          <w:bCs w:val="1"/>
          <w:color w:val="auto"/>
        </w:rPr>
        <w:t>Federal Realty Investment Trust</w:t>
      </w:r>
      <w:r>
        <w:rPr>
          <w:rFonts w:ascii="Arial" w:cs="Arial" w:eastAsia="Arial" w:hAnsi="Arial"/>
          <w:sz w:val="15"/>
          <w:szCs w:val="15"/>
          <w:color w:val="auto"/>
        </w:rPr>
        <w:t xml:space="preserve">, a Maryland real estate investment trust (the </w:t>
      </w:r>
      <w:r>
        <w:rPr>
          <w:rFonts w:ascii="Arial" w:cs="Arial" w:eastAsia="Arial" w:hAnsi="Arial"/>
          <w:sz w:val="15"/>
          <w:szCs w:val="15"/>
          <w:b w:val="1"/>
          <w:bCs w:val="1"/>
          <w:color w:val="auto"/>
        </w:rPr>
        <w:t>“Trust”</w:t>
      </w:r>
      <w:r>
        <w:rPr>
          <w:rFonts w:ascii="Arial" w:cs="Arial" w:eastAsia="Arial" w:hAnsi="Arial"/>
          <w:sz w:val="15"/>
          <w:szCs w:val="15"/>
          <w:color w:val="auto"/>
        </w:rPr>
        <w:t>), provides</w:t>
      </w:r>
    </w:p>
    <w:p>
      <w:pPr>
        <w:spacing w:after="0" w:line="44"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notice to</w:t>
      </w:r>
      <w:r>
        <w:rPr>
          <w:sz w:val="20"/>
          <w:szCs w:val="20"/>
          <w:color w:val="auto"/>
        </w:rPr>
        <w:tab/>
      </w:r>
      <w:r>
        <w:rPr>
          <w:rFonts w:ascii="Arial" w:cs="Arial" w:eastAsia="Arial" w:hAnsi="Arial"/>
          <w:sz w:val="15"/>
          <w:szCs w:val="15"/>
          <w:color w:val="auto"/>
        </w:rPr>
        <w:t xml:space="preserve">, an individual employee of the Trust (the </w:t>
      </w:r>
      <w:r>
        <w:rPr>
          <w:rFonts w:ascii="Arial" w:cs="Arial" w:eastAsia="Arial" w:hAnsi="Arial"/>
          <w:sz w:val="15"/>
          <w:szCs w:val="15"/>
          <w:b w:val="1"/>
          <w:bCs w:val="1"/>
          <w:color w:val="auto"/>
        </w:rPr>
        <w:t>“Key Employee”</w:t>
      </w:r>
      <w:r>
        <w:rPr>
          <w:rFonts w:ascii="Arial" w:cs="Arial" w:eastAsia="Arial" w:hAnsi="Arial"/>
          <w:sz w:val="15"/>
          <w:szCs w:val="15"/>
          <w:color w:val="auto"/>
        </w:rPr>
        <w:t>), of the terms of a Restricted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-16510</wp:posOffset>
            </wp:positionV>
            <wp:extent cx="530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33"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The Board of Trustees of the Trust (the “</w:t>
      </w:r>
      <w:r>
        <w:rPr>
          <w:rFonts w:ascii="Arial" w:cs="Arial" w:eastAsia="Arial" w:hAnsi="Arial"/>
          <w:sz w:val="17"/>
          <w:szCs w:val="17"/>
          <w:b w:val="1"/>
          <w:bCs w:val="1"/>
          <w:color w:val="auto"/>
        </w:rPr>
        <w:t>Board of Trustees</w:t>
      </w:r>
      <w:r>
        <w:rPr>
          <w:rFonts w:ascii="Arial" w:cs="Arial" w:eastAsia="Arial" w:hAnsi="Arial"/>
          <w:sz w:val="17"/>
          <w:szCs w:val="17"/>
          <w:color w:val="auto"/>
        </w:rPr>
        <w:t xml:space="preserve">”) has authorized the award by the Trust to the Key Employee, under the Trust’s 2010 Performance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of a Restricted Share Award for a certain number of shares of beneficial interest of the Trust (the </w:t>
      </w:r>
      <w:r>
        <w:rPr>
          <w:rFonts w:ascii="Arial" w:cs="Arial" w:eastAsia="Arial" w:hAnsi="Arial"/>
          <w:sz w:val="17"/>
          <w:szCs w:val="17"/>
          <w:b w:val="1"/>
          <w:bCs w:val="1"/>
          <w:color w:val="auto"/>
        </w:rPr>
        <w:t>“Shares”</w:t>
      </w:r>
      <w:r>
        <w:rPr>
          <w:rFonts w:ascii="Arial" w:cs="Arial" w:eastAsia="Arial" w:hAnsi="Arial"/>
          <w:sz w:val="17"/>
          <w:szCs w:val="17"/>
          <w:color w:val="auto"/>
        </w:rPr>
        <w:t>), subject to certain restrictions and covenants on the part of Key Employee. This Agreement sets forth vesting and the respective rights and obligations of the Trust and the Key Employee with respect to such Shares.</w:t>
      </w:r>
    </w:p>
    <w:p>
      <w:pPr>
        <w:spacing w:after="0" w:line="130"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consideration of the covenants set forth in this Agreement, and intending to be legally bound hereby, the terms of the Restricted Share Award are as follows: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auto"/>
                <w:w w:val="70"/>
              </w:rPr>
              <w:t>1.</w:t>
            </w:r>
          </w:p>
        </w:tc>
        <w:tc>
          <w:tcPr>
            <w:tcW w:w="7680" w:type="dxa"/>
            <w:vAlign w:val="bottom"/>
            <w:gridSpan w:val="2"/>
          </w:tcPr>
          <w:p>
            <w:pPr>
              <w:spacing w:after="0"/>
              <w:rPr>
                <w:sz w:val="20"/>
                <w:szCs w:val="20"/>
                <w:color w:val="auto"/>
              </w:rPr>
            </w:pPr>
            <w:r>
              <w:rPr>
                <w:rFonts w:ascii="Arial" w:cs="Arial" w:eastAsia="Arial" w:hAnsi="Arial"/>
                <w:sz w:val="17"/>
                <w:szCs w:val="17"/>
                <w:b w:val="1"/>
                <w:bCs w:val="1"/>
                <w:color w:val="auto"/>
              </w:rPr>
              <w:t>Award of Restricted 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7680" w:type="dxa"/>
            <w:vAlign w:val="bottom"/>
            <w:gridSpan w:val="2"/>
          </w:tcPr>
          <w:p>
            <w:pPr>
              <w:ind w:left="20"/>
              <w:spacing w:after="0"/>
              <w:rPr>
                <w:sz w:val="20"/>
                <w:szCs w:val="20"/>
                <w:color w:val="auto"/>
              </w:rPr>
            </w:pPr>
            <w:r>
              <w:rPr>
                <w:rFonts w:ascii="Arial" w:cs="Arial" w:eastAsia="Arial" w:hAnsi="Arial"/>
                <w:sz w:val="17"/>
                <w:szCs w:val="17"/>
                <w:color w:val="auto"/>
                <w:w w:val="89"/>
              </w:rPr>
              <w:t xml:space="preserve">(a) The Trust hereby confirms the grant to the Key Employee as of the date set forth above (the </w:t>
            </w:r>
            <w:r>
              <w:rPr>
                <w:rFonts w:ascii="Arial" w:cs="Arial" w:eastAsia="Arial" w:hAnsi="Arial"/>
                <w:sz w:val="17"/>
                <w:szCs w:val="17"/>
                <w:b w:val="1"/>
                <w:bCs w:val="1"/>
                <w:color w:val="auto"/>
                <w:w w:val="89"/>
              </w:rPr>
              <w:t>“Grant Date”</w:t>
            </w:r>
            <w:r>
              <w:rPr>
                <w:rFonts w:ascii="Arial" w:cs="Arial" w:eastAsia="Arial" w:hAnsi="Arial"/>
                <w:sz w:val="17"/>
                <w:szCs w:val="17"/>
                <w:color w:val="auto"/>
                <w:w w:val="89"/>
              </w:rPr>
              <w:t>) of</w:t>
            </w:r>
          </w:p>
        </w:tc>
        <w:tc>
          <w:tcPr>
            <w:tcW w:w="820" w:type="dxa"/>
            <w:vAlign w:val="bottom"/>
          </w:tcPr>
          <w:p>
            <w:pPr>
              <w:spacing w:after="0"/>
              <w:rPr>
                <w:sz w:val="22"/>
                <w:szCs w:val="22"/>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w w:val="85"/>
              </w:rPr>
              <w:t>) Shares (the</w:t>
            </w:r>
          </w:p>
        </w:tc>
      </w:tr>
      <w:tr>
        <w:trPr>
          <w:trHeight w:val="20"/>
        </w:trPr>
        <w:tc>
          <w:tcPr>
            <w:tcW w:w="4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Shares”</w:t>
      </w:r>
      <w:r>
        <w:rPr>
          <w:rFonts w:ascii="Arial" w:cs="Arial" w:eastAsia="Arial" w:hAnsi="Arial"/>
          <w:sz w:val="17"/>
          <w:szCs w:val="17"/>
          <w:color w:val="auto"/>
        </w:rPr>
        <w:t>), subject to the restrictions and other terms and conditions set forth herein and in the Plan; and</w:t>
      </w:r>
    </w:p>
    <w:p>
      <w:pPr>
        <w:spacing w:after="0" w:line="168" w:lineRule="exact"/>
        <w:rPr>
          <w:sz w:val="20"/>
          <w:szCs w:val="20"/>
          <w:color w:val="auto"/>
        </w:rPr>
      </w:pPr>
    </w:p>
    <w:p>
      <w:pPr>
        <w:ind w:right="20" w:firstLine="916"/>
        <w:spacing w:after="0" w:line="273" w:lineRule="auto"/>
        <w:tabs>
          <w:tab w:leader="none" w:pos="1150" w:val="left"/>
        </w:tabs>
        <w:numPr>
          <w:ilvl w:val="1"/>
          <w:numId w:val="86"/>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the Restricted Shares to be issued in certificated form or by a book-entry designation for the account for the Key Employee. Such Restricted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Restricted Shares are issued in certificated form, the certificate(s) representing the Restricted Shares shall be held in custody by the Chief Financial Officer.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Key Employee shall deliver to the Trust one or more undated stock powers endorsed in blank relating to the Restricted Shares.</w:t>
      </w:r>
    </w:p>
    <w:p>
      <w:pPr>
        <w:spacing w:after="0" w:line="236" w:lineRule="exact"/>
        <w:rPr>
          <w:rFonts w:ascii="Arial" w:cs="Arial" w:eastAsia="Arial" w:hAnsi="Arial"/>
          <w:sz w:val="16"/>
          <w:szCs w:val="16"/>
          <w:color w:val="auto"/>
        </w:rPr>
      </w:pPr>
    </w:p>
    <w:p>
      <w:pPr>
        <w:ind w:left="900" w:hanging="448"/>
        <w:spacing w:after="0"/>
        <w:tabs>
          <w:tab w:leader="none" w:pos="90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Restricted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40" w:firstLine="916"/>
        <w:spacing w:after="0" w:line="273" w:lineRule="auto"/>
        <w:tabs>
          <w:tab w:leader="none" w:pos="1141" w:val="left"/>
        </w:tabs>
        <w:numPr>
          <w:ilvl w:val="1"/>
          <w:numId w:val="87"/>
        </w:numPr>
        <w:rPr>
          <w:rFonts w:ascii="Arial" w:cs="Arial" w:eastAsia="Arial" w:hAnsi="Arial"/>
          <w:sz w:val="17"/>
          <w:szCs w:val="17"/>
          <w:color w:val="auto"/>
        </w:rPr>
      </w:pPr>
      <w:r>
        <w:rPr>
          <w:rFonts w:ascii="Arial" w:cs="Arial" w:eastAsia="Arial" w:hAnsi="Arial"/>
          <w:sz w:val="17"/>
          <w:szCs w:val="17"/>
          <w:color w:val="auto"/>
        </w:rPr>
        <w:t>Beginning on the Grant Date, the Key Employee shall have all rights and privileges of a stockholder with respect to the Restricted Shares, except that the following restrictions shall apply:</w:t>
      </w:r>
    </w:p>
    <w:p>
      <w:pPr>
        <w:spacing w:after="0" w:line="120" w:lineRule="exact"/>
        <w:rPr>
          <w:rFonts w:ascii="Arial" w:cs="Arial" w:eastAsia="Arial" w:hAnsi="Arial"/>
          <w:sz w:val="17"/>
          <w:szCs w:val="17"/>
          <w:color w:val="auto"/>
        </w:rPr>
      </w:pPr>
    </w:p>
    <w:p>
      <w:pPr>
        <w:ind w:right="280" w:firstLine="1488"/>
        <w:spacing w:after="0" w:line="273" w:lineRule="auto"/>
        <w:tabs>
          <w:tab w:leader="none" w:pos="1684" w:val="left"/>
        </w:tabs>
        <w:numPr>
          <w:ilvl w:val="2"/>
          <w:numId w:val="87"/>
        </w:numPr>
        <w:rPr>
          <w:rFonts w:ascii="Arial" w:cs="Arial" w:eastAsia="Arial" w:hAnsi="Arial"/>
          <w:sz w:val="17"/>
          <w:szCs w:val="17"/>
          <w:color w:val="auto"/>
        </w:rPr>
      </w:pPr>
      <w:r>
        <w:rPr>
          <w:rFonts w:ascii="Arial" w:cs="Arial" w:eastAsia="Arial" w:hAnsi="Arial"/>
          <w:sz w:val="17"/>
          <w:szCs w:val="17"/>
          <w:color w:val="auto"/>
        </w:rPr>
        <w:t>none of the Restricted Shares may be assigned or transferred (other than by will or the laws of descent and distribution, or in the Committee’s discretion, pursuant to a domestic relations order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4</w:t>
      </w:r>
    </w:p>
    <w:p>
      <w:pPr>
        <w:sectPr>
          <w:pgSz w:w="11900" w:h="16838" w:orient="portrait"/>
          <w:cols w:equalWidth="0" w:num="1">
            <w:col w:w="11420"/>
          </w:cols>
          <w:pgMar w:left="240" w:top="127"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880" cy="37465"/>
                    </a:xfrm>
                    <a:prstGeom prst="rect">
                      <a:avLst/>
                    </a:prstGeom>
                    <a:noFill/>
                  </pic:spPr>
                </pic:pic>
              </a:graphicData>
            </a:graphic>
          </wp:anchor>
        </w:drawing>
        <w:t>within the meaning of Rule 16a-12 of the Securities Exchange Act of 1934, as amended) while the restrictions of this Agreement apply to the Shares;</w:t>
      </w:r>
    </w:p>
    <w:p>
      <w:pPr>
        <w:spacing w:after="0" w:line="164" w:lineRule="exact"/>
        <w:rPr>
          <w:sz w:val="20"/>
          <w:szCs w:val="20"/>
          <w:color w:val="auto"/>
        </w:rPr>
      </w:pPr>
    </w:p>
    <w:p>
      <w:pPr>
        <w:ind w:left="1740" w:hanging="252"/>
        <w:spacing w:after="0"/>
        <w:tabs>
          <w:tab w:leader="none" w:pos="1740" w:val="left"/>
        </w:tabs>
        <w:numPr>
          <w:ilvl w:val="2"/>
          <w:numId w:val="88"/>
        </w:numPr>
        <w:rPr>
          <w:rFonts w:ascii="Arial" w:cs="Arial" w:eastAsia="Arial" w:hAnsi="Arial"/>
          <w:sz w:val="17"/>
          <w:szCs w:val="17"/>
          <w:color w:val="auto"/>
        </w:rPr>
      </w:pPr>
      <w:r>
        <w:rPr>
          <w:rFonts w:ascii="Arial" w:cs="Arial" w:eastAsia="Arial" w:hAnsi="Arial"/>
          <w:sz w:val="17"/>
          <w:szCs w:val="17"/>
          <w:color w:val="auto"/>
        </w:rPr>
        <w:t>all or a portion of the Restricted Shares may be forfeited in accordance with Paragraph 4; and</w:t>
      </w:r>
    </w:p>
    <w:p>
      <w:pPr>
        <w:spacing w:after="0" w:line="164" w:lineRule="exact"/>
        <w:rPr>
          <w:rFonts w:ascii="Arial" w:cs="Arial" w:eastAsia="Arial" w:hAnsi="Arial"/>
          <w:sz w:val="17"/>
          <w:szCs w:val="17"/>
          <w:color w:val="auto"/>
        </w:rPr>
      </w:pPr>
    </w:p>
    <w:p>
      <w:pPr>
        <w:ind w:right="180" w:firstLine="1488"/>
        <w:spacing w:after="0" w:line="314" w:lineRule="auto"/>
        <w:tabs>
          <w:tab w:leader="none" w:pos="1777" w:val="left"/>
        </w:tabs>
        <w:numPr>
          <w:ilvl w:val="2"/>
          <w:numId w:val="88"/>
        </w:numPr>
        <w:rPr>
          <w:rFonts w:ascii="Arial" w:cs="Arial" w:eastAsia="Arial" w:hAnsi="Arial"/>
          <w:sz w:val="15"/>
          <w:szCs w:val="15"/>
          <w:color w:val="auto"/>
        </w:rPr>
      </w:pPr>
      <w:r>
        <w:rPr>
          <w:rFonts w:ascii="Arial" w:cs="Arial" w:eastAsia="Arial" w:hAnsi="Arial"/>
          <w:sz w:val="15"/>
          <w:szCs w:val="15"/>
          <w:color w:val="auto"/>
        </w:rPr>
        <w:t>any Shares distributed as a dividend or otherwise and any other property (other than ordinary dividends) distributed with respect to any Restricted Shares which have not vested and as to which the restrictions have not yet lapsed shall be subject to the same vesting and other restrictions as such Restricted Shares and shall be represented by book-entry and held in the same manner as the Restricted Shares with respect to which they were distributed.</w:t>
      </w:r>
    </w:p>
    <w:p>
      <w:pPr>
        <w:spacing w:after="0" w:line="93" w:lineRule="exact"/>
        <w:rPr>
          <w:rFonts w:ascii="Arial" w:cs="Arial" w:eastAsia="Arial" w:hAnsi="Arial"/>
          <w:sz w:val="15"/>
          <w:szCs w:val="15"/>
          <w:color w:val="auto"/>
        </w:rPr>
      </w:pPr>
    </w:p>
    <w:p>
      <w:pPr>
        <w:jc w:val="both"/>
        <w:ind w:firstLine="916"/>
        <w:spacing w:after="0" w:line="314" w:lineRule="auto"/>
        <w:tabs>
          <w:tab w:leader="none" w:pos="1150" w:val="left"/>
        </w:tabs>
        <w:numPr>
          <w:ilvl w:val="1"/>
          <w:numId w:val="89"/>
        </w:numPr>
        <w:rPr>
          <w:rFonts w:ascii="Arial" w:cs="Arial" w:eastAsia="Arial" w:hAnsi="Arial"/>
          <w:sz w:val="15"/>
          <w:szCs w:val="15"/>
          <w:color w:val="auto"/>
        </w:rPr>
      </w:pPr>
      <w:r>
        <w:rPr>
          <w:rFonts w:ascii="Arial" w:cs="Arial" w:eastAsia="Arial" w:hAnsi="Arial"/>
          <w:sz w:val="15"/>
          <w:szCs w:val="15"/>
          <w:color w:val="auto"/>
        </w:rPr>
        <w:t>Upon vesting of all or a portion of the Restricted Shares as provided in Paragraph 3 and payment in accordance with Paragraph 3(c) of withholding taxes relating to those Restricted Shares which have vested, such shares shall no longer be considered Restricted Shares for purposes of this Agreement and the Trust shall cause the restrictions to be removed from the number of Shares which have become vested and for which withholding taxes have been paid.</w:t>
      </w:r>
    </w:p>
    <w:p>
      <w:pPr>
        <w:spacing w:after="0" w:line="93" w:lineRule="exact"/>
        <w:rPr>
          <w:rFonts w:ascii="Arial" w:cs="Arial" w:eastAsia="Arial" w:hAnsi="Arial"/>
          <w:sz w:val="15"/>
          <w:szCs w:val="15"/>
          <w:color w:val="auto"/>
        </w:rPr>
      </w:pPr>
    </w:p>
    <w:p>
      <w:pPr>
        <w:ind w:left="1140" w:hanging="224"/>
        <w:spacing w:after="0"/>
        <w:tabs>
          <w:tab w:leader="none" w:pos="11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attempt to dispose of Restricted Shares in a manner contrary to the restrictions set forth in this Agreement shall be null, void and ineffective.</w:t>
      </w:r>
    </w:p>
    <w:p>
      <w:pPr>
        <w:spacing w:after="0" w:line="287" w:lineRule="exact"/>
        <w:rPr>
          <w:rFonts w:ascii="Arial" w:cs="Arial" w:eastAsia="Arial" w:hAnsi="Arial"/>
          <w:sz w:val="16"/>
          <w:szCs w:val="16"/>
          <w:color w:val="auto"/>
        </w:rPr>
      </w:pPr>
    </w:p>
    <w:p>
      <w:pPr>
        <w:ind w:left="900" w:hanging="448"/>
        <w:spacing w:after="0"/>
        <w:tabs>
          <w:tab w:leader="none" w:pos="900"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left="1140" w:hanging="224"/>
        <w:spacing w:after="0"/>
        <w:tabs>
          <w:tab w:leader="none" w:pos="1140"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Restricted Shares shall vest as follows:</w:t>
      </w:r>
    </w:p>
    <w:p>
      <w:pPr>
        <w:spacing w:after="0" w:line="160" w:lineRule="exact"/>
        <w:rPr>
          <w:rFonts w:ascii="Arial" w:cs="Arial" w:eastAsia="Arial" w:hAnsi="Arial"/>
          <w:sz w:val="17"/>
          <w:szCs w:val="17"/>
          <w:color w:val="auto"/>
        </w:rPr>
      </w:pPr>
    </w:p>
    <w:p>
      <w:pPr>
        <w:ind w:left="1120"/>
        <w:spacing w:after="0"/>
        <w:rPr>
          <w:rFonts w:ascii="Arial" w:cs="Arial" w:eastAsia="Arial" w:hAnsi="Arial"/>
          <w:sz w:val="17"/>
          <w:szCs w:val="17"/>
          <w:color w:val="auto"/>
        </w:rPr>
      </w:pPr>
      <w:r>
        <w:rPr>
          <w:rFonts w:ascii="Arial" w:cs="Arial" w:eastAsia="Arial" w:hAnsi="Arial"/>
          <w:sz w:val="17"/>
          <w:szCs w:val="17"/>
          <w:b w:val="1"/>
          <w:bCs w:val="1"/>
          <w:color w:val="auto"/>
        </w:rPr>
        <w:t>[Insert Vesting Schedule]</w:t>
      </w:r>
    </w:p>
    <w:p>
      <w:pPr>
        <w:spacing w:after="0" w:line="168" w:lineRule="exact"/>
        <w:rPr>
          <w:rFonts w:ascii="Arial" w:cs="Arial" w:eastAsia="Arial" w:hAnsi="Arial"/>
          <w:sz w:val="17"/>
          <w:szCs w:val="17"/>
          <w:color w:val="auto"/>
        </w:rPr>
      </w:pPr>
    </w:p>
    <w:p>
      <w:pPr>
        <w:ind w:left="1160" w:hanging="244"/>
        <w:spacing w:after="0"/>
        <w:tabs>
          <w:tab w:leader="none" w:pos="1160" w:val="left"/>
        </w:tabs>
        <w:numPr>
          <w:ilvl w:val="1"/>
          <w:numId w:val="90"/>
        </w:numPr>
        <w:rPr>
          <w:rFonts w:ascii="Arial" w:cs="Arial" w:eastAsia="Arial" w:hAnsi="Arial"/>
          <w:sz w:val="17"/>
          <w:szCs w:val="17"/>
          <w:color w:val="auto"/>
        </w:rPr>
      </w:pPr>
      <w:r>
        <w:rPr>
          <w:rFonts w:ascii="Arial" w:cs="Arial" w:eastAsia="Arial" w:hAnsi="Arial"/>
          <w:sz w:val="17"/>
          <w:szCs w:val="17"/>
          <w:color w:val="auto"/>
        </w:rPr>
        <w:t>Notwithstanding the foregoing, the Restricted Shares shall vest as follows:</w:t>
      </w:r>
    </w:p>
    <w:p>
      <w:pPr>
        <w:spacing w:after="0" w:line="164" w:lineRule="exact"/>
        <w:rPr>
          <w:rFonts w:ascii="Arial" w:cs="Arial" w:eastAsia="Arial" w:hAnsi="Arial"/>
          <w:sz w:val="17"/>
          <w:szCs w:val="17"/>
          <w:color w:val="auto"/>
        </w:rPr>
      </w:pPr>
    </w:p>
    <w:p>
      <w:pPr>
        <w:ind w:left="1680" w:hanging="192"/>
        <w:spacing w:after="0"/>
        <w:tabs>
          <w:tab w:leader="none" w:pos="1680" w:val="left"/>
        </w:tabs>
        <w:numPr>
          <w:ilvl w:val="2"/>
          <w:numId w:val="90"/>
        </w:numPr>
        <w:rPr>
          <w:rFonts w:ascii="Arial" w:cs="Arial" w:eastAsia="Arial" w:hAnsi="Arial"/>
          <w:sz w:val="17"/>
          <w:szCs w:val="17"/>
          <w:color w:val="auto"/>
        </w:rPr>
      </w:pPr>
      <w:r>
        <w:rPr>
          <w:rFonts w:ascii="Arial" w:cs="Arial" w:eastAsia="Arial" w:hAnsi="Arial"/>
          <w:sz w:val="17"/>
          <w:szCs w:val="17"/>
          <w:color w:val="auto"/>
        </w:rPr>
        <w:t>all Restricted Shares shall vest in the event of the death or Disability of the Key Employee;</w:t>
      </w:r>
    </w:p>
    <w:p>
      <w:pPr>
        <w:spacing w:after="0" w:line="164" w:lineRule="exact"/>
        <w:rPr>
          <w:rFonts w:ascii="Arial" w:cs="Arial" w:eastAsia="Arial" w:hAnsi="Arial"/>
          <w:sz w:val="17"/>
          <w:szCs w:val="17"/>
          <w:color w:val="auto"/>
        </w:rPr>
      </w:pPr>
    </w:p>
    <w:p>
      <w:pPr>
        <w:ind w:right="160" w:firstLine="1488"/>
        <w:spacing w:after="0" w:line="263" w:lineRule="auto"/>
        <w:tabs>
          <w:tab w:leader="none" w:pos="1731" w:val="left"/>
        </w:tabs>
        <w:numPr>
          <w:ilvl w:val="2"/>
          <w:numId w:val="90"/>
        </w:numPr>
        <w:rPr>
          <w:rFonts w:ascii="Arial" w:cs="Arial" w:eastAsia="Arial" w:hAnsi="Arial"/>
          <w:sz w:val="17"/>
          <w:szCs w:val="17"/>
          <w:color w:val="auto"/>
        </w:rPr>
      </w:pPr>
      <w:r>
        <w:rPr>
          <w:rFonts w:ascii="Arial" w:cs="Arial" w:eastAsia="Arial" w:hAnsi="Arial"/>
          <w:sz w:val="17"/>
          <w:szCs w:val="17"/>
          <w:color w:val="auto"/>
        </w:rPr>
        <w:t>all Restricted Shares shall vest in the event that the Key Employee is discharged by the Trust without Cause as defined in the Plan and at the time of such discharge, the individual holding the title of Chief Executive Officer of the Trust is not the same individual that holds the title of Chief Executive Officer of the Trust as of the date of this Agreement; and</w:t>
      </w:r>
    </w:p>
    <w:p>
      <w:pPr>
        <w:spacing w:after="0" w:line="128" w:lineRule="exact"/>
        <w:rPr>
          <w:rFonts w:ascii="Arial" w:cs="Arial" w:eastAsia="Arial" w:hAnsi="Arial"/>
          <w:sz w:val="17"/>
          <w:szCs w:val="17"/>
          <w:color w:val="auto"/>
        </w:rPr>
      </w:pPr>
    </w:p>
    <w:p>
      <w:pPr>
        <w:ind w:right="160" w:firstLine="1488"/>
        <w:spacing w:after="0" w:line="273" w:lineRule="auto"/>
        <w:tabs>
          <w:tab w:leader="none" w:pos="1777" w:val="left"/>
        </w:tabs>
        <w:numPr>
          <w:ilvl w:val="2"/>
          <w:numId w:val="90"/>
        </w:numPr>
        <w:rPr>
          <w:rFonts w:ascii="Arial" w:cs="Arial" w:eastAsia="Arial" w:hAnsi="Arial"/>
          <w:sz w:val="17"/>
          <w:szCs w:val="17"/>
          <w:color w:val="auto"/>
        </w:rPr>
      </w:pPr>
      <w:r>
        <w:rPr>
          <w:rFonts w:ascii="Arial" w:cs="Arial" w:eastAsia="Arial" w:hAnsi="Arial"/>
          <w:sz w:val="17"/>
          <w:szCs w:val="17"/>
          <w:color w:val="auto"/>
        </w:rPr>
        <w:t>all Restricted Shares shall vest if the Key Employee shall incur an Involuntary Termination (as defined in the Plan) during the one year period commencing with the occurrence of a Change in Control.</w:t>
      </w:r>
    </w:p>
    <w:p>
      <w:pPr>
        <w:spacing w:after="0" w:line="120" w:lineRule="exact"/>
        <w:rPr>
          <w:rFonts w:ascii="Arial" w:cs="Arial" w:eastAsia="Arial" w:hAnsi="Arial"/>
          <w:sz w:val="17"/>
          <w:szCs w:val="17"/>
          <w:color w:val="auto"/>
        </w:rPr>
      </w:pPr>
    </w:p>
    <w:p>
      <w:pPr>
        <w:ind w:right="60" w:firstLine="916"/>
        <w:spacing w:after="0" w:line="294" w:lineRule="auto"/>
        <w:tabs>
          <w:tab w:leader="none" w:pos="1141" w:val="left"/>
        </w:tabs>
        <w:numPr>
          <w:ilvl w:val="1"/>
          <w:numId w:val="90"/>
        </w:numPr>
        <w:rPr>
          <w:rFonts w:ascii="Arial" w:cs="Arial" w:eastAsia="Arial" w:hAnsi="Arial"/>
          <w:sz w:val="15"/>
          <w:szCs w:val="15"/>
          <w:color w:val="auto"/>
        </w:rPr>
      </w:pPr>
      <w:r>
        <w:rPr>
          <w:rFonts w:ascii="Arial" w:cs="Arial" w:eastAsia="Arial" w:hAnsi="Arial"/>
          <w:sz w:val="15"/>
          <w:szCs w:val="15"/>
          <w:color w:val="auto"/>
        </w:rPr>
        <w:t>As soon as reasonably practicable after the vesting of all or any portion of the Restricted Shares, the Trust shall notify Key Employee or the Key Employee’s legal representative, as applicable, of the amount of required withholding taxes due on the vesting of all or a portion of Restricted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minimum tax withholding obligations through the sale of all or a portion of such Shares resulting from this Agreement or by a return to the Trust of a number of Shares having a fair market value equal to the withholding amount due. In the event Key Employee or Key Employee’s legal representative, as applicable, fails to make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4</w:t>
      </w:r>
    </w:p>
    <w:p>
      <w:pPr>
        <w:sectPr>
          <w:pgSz w:w="11900" w:h="16838" w:orient="portrait"/>
          <w:cols w:equalWidth="0" w:num="1">
            <w:col w:w="11420"/>
          </w:cols>
          <w:pgMar w:left="240" w:top="272" w:right="239" w:bottom="1440" w:gutter="0" w:footer="0" w:header="0"/>
        </w:sectPr>
      </w:pPr>
    </w:p>
    <w:bookmarkStart w:id="120" w:name="page121"/>
    <w:bookmarkEnd w:id="120"/>
    <w:p>
      <w:pPr>
        <w:ind w:right="18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appropriate arrangements to satisfy tax and withholding obligations, the Trust may, in its sole discretion, satisfy such tax and withholding obligations by: (i) returning to the Trust all or a portion of the Shares issued under this Agreement thereby withholding benefits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114" w:lineRule="exact"/>
        <w:rPr>
          <w:sz w:val="20"/>
          <w:szCs w:val="20"/>
          <w:color w:val="auto"/>
        </w:rPr>
      </w:pPr>
    </w:p>
    <w:p>
      <w:pPr>
        <w:ind w:right="160" w:firstLine="460"/>
        <w:spacing w:after="0" w:line="261" w:lineRule="auto"/>
        <w:tabs>
          <w:tab w:leader="none" w:pos="62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If there is a termination of the Key Employee’s Service with the Trust for any reason, then all rights of the Key Employee to any and all then-remaining Restricted Shares which have not vested, after giving application to Paragraphs 3(a) and 3(b), shall terminate and be forfeited. Upon forfeiture of all or any portion of Restricted Shares, the certificate(s) representing the forfeited Restricted Shares shall be cancelled or the forfeited Restricted Shares shall be removed from the Key Employee’s book entry account, returned to the Trust and canceled, as applicable.</w:t>
      </w:r>
    </w:p>
    <w:p>
      <w:pPr>
        <w:spacing w:after="0" w:line="126" w:lineRule="exact"/>
        <w:rPr>
          <w:rFonts w:ascii="Arial" w:cs="Arial" w:eastAsia="Arial" w:hAnsi="Arial"/>
          <w:sz w:val="17"/>
          <w:szCs w:val="17"/>
          <w:b w:val="1"/>
          <w:bCs w:val="1"/>
          <w:color w:val="auto"/>
        </w:rPr>
      </w:pPr>
    </w:p>
    <w:p>
      <w:pPr>
        <w:ind w:right="40" w:firstLine="460"/>
        <w:spacing w:after="0" w:line="311" w:lineRule="auto"/>
        <w:tabs>
          <w:tab w:leader="none" w:pos="624"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heirs and representatives of the Key Employee and the assigns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Trust, but neither this Agreement nor any rights hereunder shall be assignable or otherwise subject to hypothecation by the Key Employee.</w:t>
      </w:r>
    </w:p>
    <w:p>
      <w:pPr>
        <w:spacing w:after="0" w:line="88" w:lineRule="exact"/>
        <w:rPr>
          <w:rFonts w:ascii="Arial" w:cs="Arial" w:eastAsia="Arial" w:hAnsi="Arial"/>
          <w:sz w:val="16"/>
          <w:szCs w:val="16"/>
          <w:b w:val="1"/>
          <w:bCs w:val="1"/>
          <w:color w:val="auto"/>
        </w:rPr>
      </w:pPr>
    </w:p>
    <w:p>
      <w:pPr>
        <w:ind w:right="20" w:firstLine="460"/>
        <w:spacing w:after="0" w:line="265" w:lineRule="auto"/>
        <w:tabs>
          <w:tab w:leader="none" w:pos="62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of the parties with respect to the subject matter hereof and shall supersede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agreements and understandings, oral or written, between the parties with respect thereto. Subject to Paragraph 13, this Agreement may be amended at any time by written agreement of the parties hereto.</w:t>
      </w:r>
    </w:p>
    <w:p>
      <w:pPr>
        <w:spacing w:after="0" w:line="123" w:lineRule="exact"/>
        <w:rPr>
          <w:rFonts w:ascii="Arial" w:cs="Arial" w:eastAsia="Arial" w:hAnsi="Arial"/>
          <w:sz w:val="17"/>
          <w:szCs w:val="17"/>
          <w:b w:val="1"/>
          <w:bCs w:val="1"/>
          <w:color w:val="auto"/>
        </w:rPr>
      </w:pPr>
    </w:p>
    <w:p>
      <w:pPr>
        <w:ind w:firstLine="460"/>
        <w:spacing w:after="0" w:line="278" w:lineRule="auto"/>
        <w:tabs>
          <w:tab w:leader="none" w:pos="62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its validity, interpretation, performance and enforcement shall be governed by the laws of the State of Maryland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the conflict of laws provisions of such laws, and shall be construed in accordance therewith.</w:t>
      </w:r>
    </w:p>
    <w:p>
      <w:pPr>
        <w:spacing w:after="0" w:line="112" w:lineRule="exact"/>
        <w:rPr>
          <w:rFonts w:ascii="Arial" w:cs="Arial" w:eastAsia="Arial" w:hAnsi="Arial"/>
          <w:sz w:val="17"/>
          <w:szCs w:val="17"/>
          <w:b w:val="1"/>
          <w:bCs w:val="1"/>
          <w:color w:val="auto"/>
        </w:rPr>
      </w:pPr>
    </w:p>
    <w:p>
      <w:pPr>
        <w:ind w:firstLine="460"/>
        <w:spacing w:after="0" w:line="261" w:lineRule="auto"/>
        <w:tabs>
          <w:tab w:leader="none" w:pos="62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any provision of this Agreement is held invalid, such invalidity shall not affect any other provision of this Agreement not so held</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26" w:lineRule="exact"/>
        <w:rPr>
          <w:rFonts w:ascii="Arial" w:cs="Arial" w:eastAsia="Arial" w:hAnsi="Arial"/>
          <w:sz w:val="17"/>
          <w:szCs w:val="17"/>
          <w:b w:val="1"/>
          <w:bCs w:val="1"/>
          <w:color w:val="auto"/>
        </w:rPr>
      </w:pPr>
    </w:p>
    <w:p>
      <w:pPr>
        <w:ind w:left="620" w:hanging="160"/>
        <w:spacing w:after="0"/>
        <w:tabs>
          <w:tab w:leader="none" w:pos="6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75" w:lineRule="exact"/>
        <w:rPr>
          <w:rFonts w:ascii="Arial" w:cs="Arial" w:eastAsia="Arial" w:hAnsi="Arial"/>
          <w:sz w:val="16"/>
          <w:szCs w:val="16"/>
          <w:b w:val="1"/>
          <w:bCs w:val="1"/>
          <w:color w:val="auto"/>
        </w:rPr>
      </w:pPr>
    </w:p>
    <w:p>
      <w:pPr>
        <w:ind w:right="60" w:firstLine="460"/>
        <w:spacing w:after="0" w:line="265" w:lineRule="auto"/>
        <w:tabs>
          <w:tab w:leader="none" w:pos="707"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to the Key Employee in any provision of this Agreement under circumstances where the provision should logically be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23" w:lineRule="exact"/>
        <w:rPr>
          <w:rFonts w:ascii="Arial" w:cs="Arial" w:eastAsia="Arial" w:hAnsi="Arial"/>
          <w:sz w:val="17"/>
          <w:szCs w:val="17"/>
          <w:b w:val="1"/>
          <w:bCs w:val="1"/>
          <w:color w:val="auto"/>
        </w:rPr>
      </w:pPr>
    </w:p>
    <w:p>
      <w:pPr>
        <w:ind w:firstLine="460"/>
        <w:spacing w:after="0" w:line="265" w:lineRule="auto"/>
        <w:tabs>
          <w:tab w:leader="none" w:pos="698"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Key Employee acknowledges that it is the Key Employee’s sole responsibility, and not the Trust’s, to file a timely election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83(b) of the Internal Revenue Code, of 1986, as amended. The Key Employee acknowledges that he or she is relying on his or her own advisors with respect to the decision as to whether or not to file any section 83(b) election.</w:t>
      </w:r>
    </w:p>
    <w:p>
      <w:pPr>
        <w:spacing w:after="0" w:line="123" w:lineRule="exact"/>
        <w:rPr>
          <w:rFonts w:ascii="Arial" w:cs="Arial" w:eastAsia="Arial" w:hAnsi="Arial"/>
          <w:sz w:val="17"/>
          <w:szCs w:val="17"/>
          <w:b w:val="1"/>
          <w:bCs w:val="1"/>
          <w:color w:val="auto"/>
        </w:rPr>
      </w:pPr>
    </w:p>
    <w:p>
      <w:pPr>
        <w:ind w:right="220" w:firstLine="460"/>
        <w:spacing w:after="0" w:line="278" w:lineRule="auto"/>
        <w:tabs>
          <w:tab w:leader="none" w:pos="707"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 all taxes and penalties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arise in connection with this Agreement (including any taxes arising under Section 409A of the Code).</w:t>
      </w:r>
    </w:p>
    <w:p>
      <w:pPr>
        <w:spacing w:after="0" w:line="112" w:lineRule="exact"/>
        <w:rPr>
          <w:rFonts w:ascii="Arial" w:cs="Arial" w:eastAsia="Arial" w:hAnsi="Arial"/>
          <w:sz w:val="17"/>
          <w:szCs w:val="17"/>
          <w:b w:val="1"/>
          <w:bCs w:val="1"/>
          <w:color w:val="auto"/>
        </w:rPr>
      </w:pPr>
    </w:p>
    <w:p>
      <w:pPr>
        <w:ind w:right="120" w:firstLine="460"/>
        <w:spacing w:after="0" w:line="278" w:lineRule="auto"/>
        <w:tabs>
          <w:tab w:leader="none" w:pos="707"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This Agreement is intended to be exempt from Code Section 409A, and the Trust shall have complete discretion to interpret and construe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any associated documents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4</w:t>
      </w:r>
    </w:p>
    <w:p>
      <w:pPr>
        <w:sectPr>
          <w:pgSz w:w="11900" w:h="16838" w:orient="portrait"/>
          <w:cols w:equalWidth="0" w:num="1">
            <w:col w:w="11420"/>
          </w:cols>
          <w:pgMar w:left="240" w:top="272" w:right="239" w:bottom="1440" w:gutter="0" w:footer="0" w:header="0"/>
        </w:sectPr>
      </w:pPr>
    </w:p>
    <w:bookmarkStart w:id="121" w:name="page122"/>
    <w:bookmarkEnd w:id="121"/>
    <w:p>
      <w:pPr>
        <w:spacing w:after="0" w:line="25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12065</wp:posOffset>
            </wp:positionV>
            <wp:extent cx="2512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Dawn M. Becker</w:t>
      </w:r>
    </w:p>
    <w:p>
      <w:pPr>
        <w:spacing w:after="0" w:line="17"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Executive Vice President –</w:t>
      </w:r>
    </w:p>
    <w:p>
      <w:pPr>
        <w:spacing w:after="0" w:line="10"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General Counsel and Secretary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4 of 4</w:t>
      </w:r>
    </w:p>
    <w:p>
      <w:pPr>
        <w:sectPr>
          <w:pgSz w:w="11900" w:h="16838" w:orient="portrait"/>
          <w:cols w:equalWidth="0" w:num="1">
            <w:col w:w="11360"/>
          </w:cols>
          <w:pgMar w:left="240" w:top="272"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10.37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PERFORMANCE SHARE AWARD AGREEMENT</w:t>
      </w:r>
    </w:p>
    <w:p>
      <w:pPr>
        <w:spacing w:after="0" w:line="15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-12065</wp:posOffset>
            </wp:positionV>
            <wp:extent cx="9340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Performance Share Award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by </w:t>
      </w:r>
      <w:r>
        <w:rPr>
          <w:rFonts w:ascii="Arial" w:cs="Arial" w:eastAsia="Arial" w:hAnsi="Arial"/>
          <w:sz w:val="16"/>
          <w:szCs w:val="16"/>
          <w:b w:val="1"/>
          <w:bCs w:val="1"/>
          <w:color w:val="auto"/>
        </w:rPr>
        <w:t>Federal Realty Investment Trust</w:t>
      </w:r>
      <w:r>
        <w:rPr>
          <w:rFonts w:ascii="Arial" w:cs="Arial" w:eastAsia="Arial" w:hAnsi="Arial"/>
          <w:sz w:val="16"/>
          <w:szCs w:val="16"/>
          <w:color w:val="auto"/>
        </w:rPr>
        <w:t xml:space="preserve">, a Maryland real estate investment trust (the </w:t>
      </w:r>
      <w:r>
        <w:rPr>
          <w:rFonts w:ascii="Arial" w:cs="Arial" w:eastAsia="Arial" w:hAnsi="Arial"/>
          <w:sz w:val="16"/>
          <w:szCs w:val="16"/>
          <w:b w:val="1"/>
          <w:bCs w:val="1"/>
          <w:color w:val="auto"/>
        </w:rPr>
        <w:t>“Trust”</w:t>
      </w:r>
      <w:r>
        <w:rPr>
          <w:rFonts w:ascii="Arial" w:cs="Arial" w:eastAsia="Arial" w:hAnsi="Arial"/>
          <w:sz w:val="16"/>
          <w:szCs w:val="16"/>
          <w:color w:val="auto"/>
        </w:rPr>
        <w:t>),</w:t>
      </w:r>
    </w:p>
    <w:p>
      <w:pPr>
        <w:spacing w:after="0" w:line="33" w:lineRule="exact"/>
        <w:rPr>
          <w:sz w:val="20"/>
          <w:szCs w:val="20"/>
          <w:color w:val="auto"/>
        </w:rPr>
      </w:pPr>
    </w:p>
    <w:p>
      <w:pPr>
        <w:spacing w:after="0"/>
        <w:tabs>
          <w:tab w:leader="none" w:pos="2060" w:val="left"/>
        </w:tabs>
        <w:rPr>
          <w:sz w:val="20"/>
          <w:szCs w:val="20"/>
          <w:color w:val="auto"/>
        </w:rPr>
      </w:pPr>
      <w:r>
        <w:rPr>
          <w:rFonts w:ascii="Arial" w:cs="Arial" w:eastAsia="Arial" w:hAnsi="Arial"/>
          <w:sz w:val="17"/>
          <w:szCs w:val="17"/>
          <w:color w:val="auto"/>
        </w:rPr>
        <w:t>provides notice to</w:t>
      </w:r>
      <w:r>
        <w:rPr>
          <w:sz w:val="20"/>
          <w:szCs w:val="20"/>
          <w:color w:val="auto"/>
        </w:rPr>
        <w:tab/>
      </w:r>
      <w:r>
        <w:rPr>
          <w:rFonts w:ascii="Arial" w:cs="Arial" w:eastAsia="Arial" w:hAnsi="Arial"/>
          <w:sz w:val="15"/>
          <w:szCs w:val="15"/>
          <w:color w:val="auto"/>
        </w:rPr>
        <w:t xml:space="preserve">, an individual employee of the Trust (the </w:t>
      </w:r>
      <w:r>
        <w:rPr>
          <w:rFonts w:ascii="Arial" w:cs="Arial" w:eastAsia="Arial" w:hAnsi="Arial"/>
          <w:sz w:val="15"/>
          <w:szCs w:val="15"/>
          <w:b w:val="1"/>
          <w:bCs w:val="1"/>
          <w:color w:val="auto"/>
        </w:rPr>
        <w:t>“Key Employee”</w:t>
      </w:r>
      <w:r>
        <w:rPr>
          <w:rFonts w:ascii="Arial" w:cs="Arial" w:eastAsia="Arial" w:hAnsi="Arial"/>
          <w:sz w:val="15"/>
          <w:szCs w:val="15"/>
          <w:color w:val="auto"/>
        </w:rPr>
        <w:t>), of the terms of a Performance Share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-16510</wp:posOffset>
            </wp:positionV>
            <wp:extent cx="530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3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Board of Trustees of the Trust (the “</w:t>
      </w:r>
      <w:r>
        <w:rPr>
          <w:rFonts w:ascii="Arial" w:cs="Arial" w:eastAsia="Arial" w:hAnsi="Arial"/>
          <w:sz w:val="17"/>
          <w:szCs w:val="17"/>
          <w:b w:val="1"/>
          <w:bCs w:val="1"/>
          <w:color w:val="auto"/>
        </w:rPr>
        <w:t>Board of Trustees</w:t>
      </w:r>
      <w:r>
        <w:rPr>
          <w:rFonts w:ascii="Arial" w:cs="Arial" w:eastAsia="Arial" w:hAnsi="Arial"/>
          <w:sz w:val="17"/>
          <w:szCs w:val="17"/>
          <w:color w:val="auto"/>
        </w:rPr>
        <w:t xml:space="preserve">”) has authorized the award by the Trust to the Key Employee, under the Trust’s 2010 Performance Incentive Plan (the </w:t>
      </w:r>
      <w:r>
        <w:rPr>
          <w:rFonts w:ascii="Arial" w:cs="Arial" w:eastAsia="Arial" w:hAnsi="Arial"/>
          <w:sz w:val="17"/>
          <w:szCs w:val="17"/>
          <w:b w:val="1"/>
          <w:bCs w:val="1"/>
          <w:color w:val="auto"/>
        </w:rPr>
        <w:t>“Plan”</w:t>
      </w:r>
      <w:r>
        <w:rPr>
          <w:rFonts w:ascii="Arial" w:cs="Arial" w:eastAsia="Arial" w:hAnsi="Arial"/>
          <w:sz w:val="17"/>
          <w:szCs w:val="17"/>
          <w:color w:val="auto"/>
        </w:rPr>
        <w:t xml:space="preserve">) of a Performance Share Award for a certain number of shares of beneficial interest of the Trust (the </w:t>
      </w:r>
      <w:r>
        <w:rPr>
          <w:rFonts w:ascii="Arial" w:cs="Arial" w:eastAsia="Arial" w:hAnsi="Arial"/>
          <w:sz w:val="17"/>
          <w:szCs w:val="17"/>
          <w:b w:val="1"/>
          <w:bCs w:val="1"/>
          <w:color w:val="auto"/>
        </w:rPr>
        <w:t>“Shares”</w:t>
      </w:r>
      <w:r>
        <w:rPr>
          <w:rFonts w:ascii="Arial" w:cs="Arial" w:eastAsia="Arial" w:hAnsi="Arial"/>
          <w:sz w:val="17"/>
          <w:szCs w:val="17"/>
          <w:color w:val="auto"/>
        </w:rPr>
        <w:t>), subject to certain restrictions and covenants on the part of Key Employee. This Agreement sets forth vesting and the respective rights and obligations of the Trust and the Key Employee with respect to such Shares.</w:t>
      </w:r>
    </w:p>
    <w:p>
      <w:pPr>
        <w:spacing w:after="0" w:line="130" w:lineRule="exact"/>
        <w:rPr>
          <w:sz w:val="20"/>
          <w:szCs w:val="20"/>
          <w:color w:val="auto"/>
        </w:rPr>
      </w:pPr>
    </w:p>
    <w:p>
      <w:pPr>
        <w:jc w:val="both"/>
        <w:ind w:right="60" w:firstLine="457"/>
        <w:spacing w:after="0" w:line="263"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Performance Share Award Agreement is in any way inconsistent with the Plan, the terms and provisions of the Plan shall prevail.</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consideration of the covenants set forth in this Agreement, and intending to be legally bound hereby, the terms of the Performance Share Award are as follows:</w:t>
      </w:r>
    </w:p>
    <w:p>
      <w:pPr>
        <w:spacing w:after="0" w:line="28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40" w:type="dxa"/>
            <w:vAlign w:val="bottom"/>
          </w:tcPr>
          <w:p>
            <w:pPr>
              <w:jc w:val="right"/>
              <w:ind w:right="236"/>
              <w:spacing w:after="0"/>
              <w:rPr>
                <w:sz w:val="20"/>
                <w:szCs w:val="20"/>
                <w:color w:val="auto"/>
              </w:rPr>
            </w:pPr>
            <w:r>
              <w:rPr>
                <w:rFonts w:ascii="Arial" w:cs="Arial" w:eastAsia="Arial" w:hAnsi="Arial"/>
                <w:sz w:val="17"/>
                <w:szCs w:val="17"/>
                <w:b w:val="1"/>
                <w:bCs w:val="1"/>
                <w:color w:val="auto"/>
                <w:w w:val="70"/>
              </w:rPr>
              <w:t>1.</w:t>
            </w:r>
          </w:p>
        </w:tc>
        <w:tc>
          <w:tcPr>
            <w:tcW w:w="7680" w:type="dxa"/>
            <w:vAlign w:val="bottom"/>
            <w:gridSpan w:val="2"/>
          </w:tcPr>
          <w:p>
            <w:pPr>
              <w:spacing w:after="0"/>
              <w:rPr>
                <w:sz w:val="20"/>
                <w:szCs w:val="20"/>
                <w:color w:val="auto"/>
              </w:rPr>
            </w:pPr>
            <w:r>
              <w:rPr>
                <w:rFonts w:ascii="Arial" w:cs="Arial" w:eastAsia="Arial" w:hAnsi="Arial"/>
                <w:sz w:val="17"/>
                <w:szCs w:val="17"/>
                <w:b w:val="1"/>
                <w:bCs w:val="1"/>
                <w:color w:val="auto"/>
              </w:rPr>
              <w:t>Award of Performance Shares.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
        </w:trPr>
        <w:tc>
          <w:tcPr>
            <w:tcW w:w="4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40" w:type="dxa"/>
            <w:vAlign w:val="bottom"/>
          </w:tcPr>
          <w:p>
            <w:pPr>
              <w:spacing w:after="0"/>
              <w:rPr>
                <w:sz w:val="22"/>
                <w:szCs w:val="22"/>
                <w:color w:val="auto"/>
              </w:rPr>
            </w:pPr>
          </w:p>
        </w:tc>
        <w:tc>
          <w:tcPr>
            <w:tcW w:w="7680" w:type="dxa"/>
            <w:vAlign w:val="bottom"/>
            <w:gridSpan w:val="2"/>
          </w:tcPr>
          <w:p>
            <w:pPr>
              <w:ind w:left="20"/>
              <w:spacing w:after="0"/>
              <w:rPr>
                <w:sz w:val="20"/>
                <w:szCs w:val="20"/>
                <w:color w:val="auto"/>
              </w:rPr>
            </w:pPr>
            <w:r>
              <w:rPr>
                <w:rFonts w:ascii="Arial" w:cs="Arial" w:eastAsia="Arial" w:hAnsi="Arial"/>
                <w:sz w:val="17"/>
                <w:szCs w:val="17"/>
                <w:color w:val="auto"/>
                <w:w w:val="89"/>
              </w:rPr>
              <w:t xml:space="preserve">(a) The Trust hereby confirms the grant to the Key Employee as of the date set forth above (the </w:t>
            </w:r>
            <w:r>
              <w:rPr>
                <w:rFonts w:ascii="Arial" w:cs="Arial" w:eastAsia="Arial" w:hAnsi="Arial"/>
                <w:sz w:val="17"/>
                <w:szCs w:val="17"/>
                <w:b w:val="1"/>
                <w:bCs w:val="1"/>
                <w:color w:val="auto"/>
                <w:w w:val="89"/>
              </w:rPr>
              <w:t>“Grant Date”</w:t>
            </w:r>
            <w:r>
              <w:rPr>
                <w:rFonts w:ascii="Arial" w:cs="Arial" w:eastAsia="Arial" w:hAnsi="Arial"/>
                <w:sz w:val="17"/>
                <w:szCs w:val="17"/>
                <w:color w:val="auto"/>
                <w:w w:val="89"/>
              </w:rPr>
              <w:t>) of</w:t>
            </w:r>
          </w:p>
        </w:tc>
        <w:tc>
          <w:tcPr>
            <w:tcW w:w="820" w:type="dxa"/>
            <w:vAlign w:val="bottom"/>
          </w:tcPr>
          <w:p>
            <w:pPr>
              <w:spacing w:after="0"/>
              <w:rPr>
                <w:sz w:val="22"/>
                <w:szCs w:val="22"/>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w w:val="85"/>
              </w:rPr>
              <w:t>) Shares (the</w:t>
            </w:r>
          </w:p>
        </w:tc>
      </w:tr>
      <w:tr>
        <w:trPr>
          <w:trHeight w:val="20"/>
        </w:trPr>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Shares”</w:t>
      </w:r>
      <w:r>
        <w:rPr>
          <w:rFonts w:ascii="Arial" w:cs="Arial" w:eastAsia="Arial" w:hAnsi="Arial"/>
          <w:sz w:val="17"/>
          <w:szCs w:val="17"/>
          <w:color w:val="auto"/>
        </w:rPr>
        <w:t>), subject to the restrictions and other terms and conditions set forth herein and in the Plan; and</w:t>
      </w:r>
    </w:p>
    <w:p>
      <w:pPr>
        <w:spacing w:after="0" w:line="168" w:lineRule="exact"/>
        <w:rPr>
          <w:sz w:val="20"/>
          <w:szCs w:val="20"/>
          <w:color w:val="auto"/>
        </w:rPr>
      </w:pPr>
    </w:p>
    <w:p>
      <w:pPr>
        <w:ind w:right="20" w:firstLine="916"/>
        <w:spacing w:after="0" w:line="273" w:lineRule="auto"/>
        <w:tabs>
          <w:tab w:leader="none" w:pos="1150" w:val="left"/>
        </w:tabs>
        <w:numPr>
          <w:ilvl w:val="1"/>
          <w:numId w:val="92"/>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the Performance Shares to be issued in certificated form or by a book-entry designation for the account for the Key Employee. Such Performance Shares shall be subject to such stop-transfer orders and other restrictions as the Board of Trustees or any committee thereof may deem advisable under the rules, regulations, and other requirements of the Securities and Exchange Commission and any stock exchange upon which the Shares are listed and any applicable federal or state securities law. If the Performance Shares are issued in certificated form, the certificate(s) representing the Performance Shares shall be held in custody by the Chief Financial Officer. Performance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Performance Shares, the Key Employee shall deliver to the Trust one or more undated stock powers endorsed in blank relating to the Performance Shares.</w:t>
      </w:r>
    </w:p>
    <w:p>
      <w:pPr>
        <w:spacing w:after="0" w:line="236" w:lineRule="exact"/>
        <w:rPr>
          <w:rFonts w:ascii="Arial" w:cs="Arial" w:eastAsia="Arial" w:hAnsi="Arial"/>
          <w:sz w:val="16"/>
          <w:szCs w:val="16"/>
          <w:color w:val="auto"/>
        </w:rPr>
      </w:pPr>
    </w:p>
    <w:p>
      <w:pPr>
        <w:ind w:left="900" w:hanging="448"/>
        <w:spacing w:after="0"/>
        <w:tabs>
          <w:tab w:leader="none" w:pos="90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Performance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100" w:firstLine="916"/>
        <w:spacing w:after="0" w:line="273" w:lineRule="auto"/>
        <w:tabs>
          <w:tab w:leader="none" w:pos="1141" w:val="left"/>
        </w:tabs>
        <w:numPr>
          <w:ilvl w:val="1"/>
          <w:numId w:val="93"/>
        </w:numPr>
        <w:rPr>
          <w:rFonts w:ascii="Arial" w:cs="Arial" w:eastAsia="Arial" w:hAnsi="Arial"/>
          <w:sz w:val="17"/>
          <w:szCs w:val="17"/>
          <w:color w:val="auto"/>
        </w:rPr>
      </w:pPr>
      <w:r>
        <w:rPr>
          <w:rFonts w:ascii="Arial" w:cs="Arial" w:eastAsia="Arial" w:hAnsi="Arial"/>
          <w:sz w:val="17"/>
          <w:szCs w:val="17"/>
          <w:color w:val="auto"/>
        </w:rPr>
        <w:t>Beginning on the Grant Date, the Key Employee shall have all rights and privileges of a stockholder with respect to the Performance Shares, except that the following restrictions shall apply:</w:t>
      </w:r>
    </w:p>
    <w:p>
      <w:pPr>
        <w:spacing w:after="0" w:line="120" w:lineRule="exact"/>
        <w:rPr>
          <w:rFonts w:ascii="Arial" w:cs="Arial" w:eastAsia="Arial" w:hAnsi="Arial"/>
          <w:sz w:val="17"/>
          <w:szCs w:val="17"/>
          <w:color w:val="auto"/>
        </w:rPr>
      </w:pPr>
    </w:p>
    <w:p>
      <w:pPr>
        <w:ind w:right="100" w:firstLine="1488"/>
        <w:spacing w:after="0" w:line="273" w:lineRule="auto"/>
        <w:tabs>
          <w:tab w:leader="none" w:pos="1684" w:val="left"/>
        </w:tabs>
        <w:numPr>
          <w:ilvl w:val="2"/>
          <w:numId w:val="93"/>
        </w:numPr>
        <w:rPr>
          <w:rFonts w:ascii="Arial" w:cs="Arial" w:eastAsia="Arial" w:hAnsi="Arial"/>
          <w:sz w:val="17"/>
          <w:szCs w:val="17"/>
          <w:color w:val="auto"/>
        </w:rPr>
      </w:pPr>
      <w:r>
        <w:rPr>
          <w:rFonts w:ascii="Arial" w:cs="Arial" w:eastAsia="Arial" w:hAnsi="Arial"/>
          <w:sz w:val="17"/>
          <w:szCs w:val="17"/>
          <w:color w:val="auto"/>
        </w:rPr>
        <w:t>none of the Performance Shares may be assigned or transferred (other than by will or the laws of descent and distribution, or in the Committee’s discretion, pursuant to a domestic relations order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4</w:t>
      </w:r>
    </w:p>
    <w:p>
      <w:pPr>
        <w:sectPr>
          <w:pgSz w:w="11900" w:h="16838" w:orient="portrait"/>
          <w:cols w:equalWidth="0" w:num="1">
            <w:col w:w="11420"/>
          </w:cols>
          <w:pgMar w:left="240" w:top="127"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within the meaning of Rule 16a-12 of the Securities Exchange Act of 1934, as amended) while the restrictions of this Agreement apply to the Shares;</w:t>
      </w:r>
    </w:p>
    <w:p>
      <w:pPr>
        <w:spacing w:after="0" w:line="164" w:lineRule="exact"/>
        <w:rPr>
          <w:sz w:val="20"/>
          <w:szCs w:val="20"/>
          <w:color w:val="auto"/>
        </w:rPr>
      </w:pPr>
    </w:p>
    <w:p>
      <w:pPr>
        <w:ind w:left="1740" w:hanging="252"/>
        <w:spacing w:after="0"/>
        <w:tabs>
          <w:tab w:leader="none" w:pos="17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all or a portion of the Performance Shares may be forfeited in accordance with Paragraph 5; and</w:t>
      </w:r>
    </w:p>
    <w:p>
      <w:pPr>
        <w:spacing w:after="0" w:line="164" w:lineRule="exact"/>
        <w:rPr>
          <w:rFonts w:ascii="Arial" w:cs="Arial" w:eastAsia="Arial" w:hAnsi="Arial"/>
          <w:sz w:val="17"/>
          <w:szCs w:val="17"/>
          <w:color w:val="auto"/>
        </w:rPr>
      </w:pPr>
    </w:p>
    <w:p>
      <w:pPr>
        <w:ind w:right="580" w:firstLine="1488"/>
        <w:spacing w:after="0" w:line="314" w:lineRule="auto"/>
        <w:tabs>
          <w:tab w:leader="none" w:pos="1777" w:val="left"/>
        </w:tabs>
        <w:numPr>
          <w:ilvl w:val="1"/>
          <w:numId w:val="94"/>
        </w:numPr>
        <w:rPr>
          <w:rFonts w:ascii="Arial" w:cs="Arial" w:eastAsia="Arial" w:hAnsi="Arial"/>
          <w:sz w:val="15"/>
          <w:szCs w:val="15"/>
          <w:color w:val="auto"/>
        </w:rPr>
      </w:pPr>
      <w:r>
        <w:rPr>
          <w:rFonts w:ascii="Arial" w:cs="Arial" w:eastAsia="Arial" w:hAnsi="Arial"/>
          <w:sz w:val="15"/>
          <w:szCs w:val="15"/>
          <w:color w:val="auto"/>
        </w:rPr>
        <w:t>any Shares distributed as a dividend or otherwise and any other property (other than ordinary dividends) distributed with respect to any Performance Shares which have not vested and as to which the restrictions have not yet lapsed shall be subject to the same vesting and other restrictions as such Performance Shares and shall be represented by book-entry and held in the same manner as the Performance Shares with respect to which they were distributed.</w:t>
      </w:r>
    </w:p>
    <w:p>
      <w:pPr>
        <w:spacing w:after="0" w:line="93" w:lineRule="exact"/>
        <w:rPr>
          <w:rFonts w:ascii="Arial" w:cs="Arial" w:eastAsia="Arial" w:hAnsi="Arial"/>
          <w:sz w:val="15"/>
          <w:szCs w:val="15"/>
          <w:color w:val="auto"/>
        </w:rPr>
      </w:pPr>
    </w:p>
    <w:p>
      <w:pPr>
        <w:ind w:firstLine="916"/>
        <w:spacing w:after="0" w:line="314" w:lineRule="auto"/>
        <w:tabs>
          <w:tab w:leader="none" w:pos="1150" w:val="left"/>
        </w:tabs>
        <w:numPr>
          <w:ilvl w:val="0"/>
          <w:numId w:val="95"/>
        </w:numPr>
        <w:rPr>
          <w:rFonts w:ascii="Arial" w:cs="Arial" w:eastAsia="Arial" w:hAnsi="Arial"/>
          <w:sz w:val="15"/>
          <w:szCs w:val="15"/>
          <w:color w:val="auto"/>
        </w:rPr>
      </w:pPr>
      <w:r>
        <w:rPr>
          <w:rFonts w:ascii="Arial" w:cs="Arial" w:eastAsia="Arial" w:hAnsi="Arial"/>
          <w:sz w:val="15"/>
          <w:szCs w:val="15"/>
          <w:color w:val="auto"/>
        </w:rPr>
        <w:t>Upon vesting of all or a portion of the Performance Shares as provided in Paragraph 4 and payment in accordance with Paragraph 4(d) of withholding taxes relating to those Performance Shares which have vested, such shares shall no longer be considered Performance Shares for purposes of this Agreement and the Trust shall cause the restrictions to be removed from the number of Shares which have become vested and for which withholding taxes have been paid.</w:t>
      </w:r>
    </w:p>
    <w:p>
      <w:pPr>
        <w:spacing w:after="0" w:line="93" w:lineRule="exact"/>
        <w:rPr>
          <w:rFonts w:ascii="Arial" w:cs="Arial" w:eastAsia="Arial" w:hAnsi="Arial"/>
          <w:sz w:val="15"/>
          <w:szCs w:val="15"/>
          <w:color w:val="auto"/>
        </w:rPr>
      </w:pPr>
    </w:p>
    <w:p>
      <w:pPr>
        <w:ind w:right="120" w:firstLine="916"/>
        <w:spacing w:after="0" w:line="305" w:lineRule="auto"/>
        <w:tabs>
          <w:tab w:leader="none" w:pos="1141"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attempt to dispose of Performance Shares in a manner contrary to the restrictions set forth in this Agreement shall be null, void and ineffective. As all or a portion of the Performance Shares vest, such shares shall no longer be considered Performance Shares for purposes of this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gridSpan w:val="2"/>
          </w:tcPr>
          <w:p>
            <w:pPr>
              <w:jc w:val="right"/>
              <w:ind w:right="236"/>
              <w:spacing w:after="0"/>
              <w:rPr>
                <w:sz w:val="20"/>
                <w:szCs w:val="20"/>
                <w:color w:val="auto"/>
              </w:rPr>
            </w:pPr>
            <w:r>
              <w:rPr>
                <w:rFonts w:ascii="Arial" w:cs="Arial" w:eastAsia="Arial" w:hAnsi="Arial"/>
                <w:sz w:val="17"/>
                <w:szCs w:val="17"/>
                <w:b w:val="1"/>
                <w:bCs w:val="1"/>
                <w:color w:val="auto"/>
              </w:rPr>
              <w:t>3.</w:t>
            </w:r>
          </w:p>
        </w:tc>
        <w:tc>
          <w:tcPr>
            <w:tcW w:w="4460" w:type="dxa"/>
            <w:vAlign w:val="bottom"/>
            <w:gridSpan w:val="4"/>
          </w:tcPr>
          <w:p>
            <w:pPr>
              <w:spacing w:after="0"/>
              <w:rPr>
                <w:sz w:val="20"/>
                <w:szCs w:val="20"/>
                <w:color w:val="auto"/>
              </w:rPr>
            </w:pPr>
            <w:r>
              <w:rPr>
                <w:rFonts w:ascii="Arial" w:cs="Arial" w:eastAsia="Arial" w:hAnsi="Arial"/>
                <w:sz w:val="17"/>
                <w:szCs w:val="17"/>
                <w:b w:val="1"/>
                <w:bCs w:val="1"/>
                <w:color w:val="auto"/>
              </w:rPr>
              <w:t>Performance Period.</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263"/>
        </w:trPr>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60" w:type="dxa"/>
            <w:vAlign w:val="bottom"/>
            <w:gridSpan w:val="4"/>
          </w:tcPr>
          <w:p>
            <w:pPr>
              <w:ind w:left="580"/>
              <w:spacing w:after="0"/>
              <w:rPr>
                <w:sz w:val="20"/>
                <w:szCs w:val="20"/>
                <w:color w:val="auto"/>
              </w:rPr>
            </w:pPr>
            <w:r>
              <w:rPr>
                <w:rFonts w:ascii="Arial" w:cs="Arial" w:eastAsia="Arial" w:hAnsi="Arial"/>
                <w:sz w:val="17"/>
                <w:szCs w:val="17"/>
                <w:color w:val="auto"/>
                <w:w w:val="89"/>
              </w:rPr>
              <w:t>The Performance Period shall be the period beginning on</w:t>
            </w:r>
          </w:p>
        </w:tc>
        <w:tc>
          <w:tcPr>
            <w:tcW w:w="82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Arial" w:cs="Arial" w:eastAsia="Arial" w:hAnsi="Arial"/>
                <w:sz w:val="17"/>
                <w:szCs w:val="17"/>
                <w:color w:val="auto"/>
                <w:w w:val="90"/>
              </w:rPr>
              <w:t>and ending on</w:t>
            </w:r>
          </w:p>
        </w:tc>
        <w:tc>
          <w:tcPr>
            <w:tcW w:w="3920" w:type="dxa"/>
            <w:vAlign w:val="bottom"/>
            <w:gridSpan w:val="2"/>
          </w:tcPr>
          <w:p>
            <w:pPr>
              <w:ind w:left="840"/>
              <w:spacing w:after="0"/>
              <w:rPr>
                <w:sz w:val="20"/>
                <w:szCs w:val="20"/>
                <w:color w:val="auto"/>
              </w:rPr>
            </w:pPr>
            <w:r>
              <w:rPr>
                <w:rFonts w:ascii="Arial" w:cs="Arial" w:eastAsia="Arial" w:hAnsi="Arial"/>
                <w:sz w:val="17"/>
                <w:szCs w:val="17"/>
                <w:color w:val="auto"/>
                <w:w w:val="87"/>
              </w:rPr>
              <w:t>. Within the Performance Period there shall be</w:t>
            </w:r>
          </w:p>
        </w:tc>
      </w:tr>
      <w:tr>
        <w:trPr>
          <w:trHeight w:val="20"/>
        </w:trPr>
        <w:tc>
          <w:tcPr>
            <w:tcW w:w="50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186"/>
        </w:trPr>
        <w:tc>
          <w:tcPr>
            <w:tcW w:w="500" w:type="dxa"/>
            <w:vAlign w:val="bottom"/>
            <w:tcBorders>
              <w:bottom w:val="single" w:sz="8" w:color="auto"/>
            </w:tcBorders>
          </w:tcPr>
          <w:p>
            <w:pPr>
              <w:spacing w:after="0"/>
              <w:rPr>
                <w:sz w:val="16"/>
                <w:szCs w:val="16"/>
                <w:color w:val="auto"/>
              </w:rPr>
            </w:pPr>
          </w:p>
        </w:tc>
        <w:tc>
          <w:tcPr>
            <w:tcW w:w="3980" w:type="dxa"/>
            <w:vAlign w:val="bottom"/>
            <w:gridSpan w:val="3"/>
          </w:tcPr>
          <w:p>
            <w:pPr>
              <w:ind w:left="40"/>
              <w:spacing w:after="0" w:line="185" w:lineRule="exact"/>
              <w:rPr>
                <w:sz w:val="20"/>
                <w:szCs w:val="20"/>
                <w:color w:val="auto"/>
              </w:rPr>
            </w:pPr>
            <w:r>
              <w:rPr>
                <w:rFonts w:ascii="Arial" w:cs="Arial" w:eastAsia="Arial" w:hAnsi="Arial"/>
                <w:sz w:val="17"/>
                <w:szCs w:val="17"/>
                <w:color w:val="auto"/>
                <w:w w:val="89"/>
              </w:rPr>
              <w:t>Award Periods with each such Award Period beginning on</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spacing w:after="0" w:line="185" w:lineRule="exact"/>
              <w:rPr>
                <w:sz w:val="20"/>
                <w:szCs w:val="20"/>
                <w:color w:val="auto"/>
              </w:rPr>
            </w:pPr>
            <w:r>
              <w:rPr>
                <w:rFonts w:ascii="Arial" w:cs="Arial" w:eastAsia="Arial" w:hAnsi="Arial"/>
                <w:sz w:val="17"/>
                <w:szCs w:val="17"/>
                <w:color w:val="auto"/>
                <w:w w:val="89"/>
              </w:rPr>
              <w:t>and ending on</w:t>
            </w:r>
          </w:p>
        </w:tc>
        <w:tc>
          <w:tcPr>
            <w:tcW w:w="8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920" w:type="dxa"/>
            <w:vAlign w:val="bottom"/>
            <w:gridSpan w:val="2"/>
          </w:tcPr>
          <w:p>
            <w:pPr>
              <w:spacing w:after="0" w:line="185" w:lineRule="exact"/>
              <w:rPr>
                <w:sz w:val="20"/>
                <w:szCs w:val="20"/>
                <w:color w:val="auto"/>
              </w:rPr>
            </w:pPr>
            <w:r>
              <w:rPr>
                <w:rFonts w:ascii="Arial" w:cs="Arial" w:eastAsia="Arial" w:hAnsi="Arial"/>
                <w:sz w:val="17"/>
                <w:szCs w:val="17"/>
                <w:color w:val="auto"/>
              </w:rPr>
              <w:t>of the same calendar year.</w:t>
            </w:r>
          </w:p>
        </w:tc>
      </w:tr>
    </w:tbl>
    <w:p>
      <w:pPr>
        <w:spacing w:after="0" w:line="283" w:lineRule="exact"/>
        <w:rPr>
          <w:sz w:val="20"/>
          <w:szCs w:val="20"/>
          <w:color w:val="auto"/>
        </w:rPr>
      </w:pPr>
    </w:p>
    <w:p>
      <w:pPr>
        <w:ind w:left="900" w:hanging="448"/>
        <w:spacing w:after="0"/>
        <w:tabs>
          <w:tab w:leader="none" w:pos="90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160" w:firstLine="916"/>
        <w:spacing w:after="0" w:line="263" w:lineRule="auto"/>
        <w:tabs>
          <w:tab w:leader="none" w:pos="1141" w:val="left"/>
        </w:tabs>
        <w:numPr>
          <w:ilvl w:val="1"/>
          <w:numId w:val="96"/>
        </w:numPr>
        <w:rPr>
          <w:rFonts w:ascii="Arial" w:cs="Arial" w:eastAsia="Arial" w:hAnsi="Arial"/>
          <w:sz w:val="17"/>
          <w:szCs w:val="17"/>
          <w:color w:val="auto"/>
        </w:rPr>
      </w:pPr>
      <w:r>
        <w:rPr>
          <w:rFonts w:ascii="Arial" w:cs="Arial" w:eastAsia="Arial" w:hAnsi="Arial"/>
          <w:sz w:val="17"/>
          <w:szCs w:val="17"/>
          <w:color w:val="auto"/>
        </w:rPr>
        <w:t>For any Award Period, the following number of Performance Shares shall vest if and only if a Management Representative (defined below) or the Compensation Committee, as applicable, determines, in accordance with this Paragraph 4, that the Performance Target (as defined in Paragraph 4(e)(iii)) for that Award Period has been met by the Trust: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auto"/>
        </w:rPr>
        <w:t>[Insert Vesting Schedule]</w:t>
      </w:r>
    </w:p>
    <w:p>
      <w:pPr>
        <w:spacing w:after="0" w:line="168"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If there are any Performance Shares that have not vested after Management’s Representative or the Compensation Committee, as applicable, has determined the number of Performance Shares that will vest with respect to the final Award Period, then any and all then-remaining Performance Shares which have not vested shall terminate and be forfeited.</w:t>
      </w:r>
    </w:p>
    <w:p>
      <w:pPr>
        <w:spacing w:after="0" w:line="128" w:lineRule="exact"/>
        <w:rPr>
          <w:sz w:val="20"/>
          <w:szCs w:val="20"/>
          <w:color w:val="auto"/>
        </w:rPr>
      </w:pPr>
    </w:p>
    <w:p>
      <w:pPr>
        <w:ind w:firstLine="916"/>
        <w:spacing w:after="0" w:line="257" w:lineRule="auto"/>
        <w:tabs>
          <w:tab w:leader="none" w:pos="115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Within sixty (60) days after the end of each Award Period, Management’s Representative or the Compensation Committee, as applicable, shall determine whether the Performance Target has been met by the Trust for such Award Period and thereafter, shall promptly notify the Key Employee (or the executors or administrators of the Key Employee’s estate) of such determination. If Management’s Representative or the Compensation Committee, as applicable, determines that the Performance Target has been met for such Award Period, then the number of Performance Shares specified in Paragraph 4(a) above with respect to such Award Period shall vest.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2 of 4</w:t>
      </w:r>
    </w:p>
    <w:p>
      <w:pPr>
        <w:sectPr>
          <w:pgSz w:w="11900" w:h="16838" w:orient="portrait"/>
          <w:cols w:equalWidth="0" w:num="1">
            <w:col w:w="11380"/>
          </w:cols>
          <w:pgMar w:left="240" w:top="272" w:right="279" w:bottom="1440" w:gutter="0" w:footer="0" w:header="0"/>
        </w:sectPr>
      </w:pPr>
    </w:p>
    <w:bookmarkStart w:id="124" w:name="page125"/>
    <w:bookmarkEnd w:id="124"/>
    <w:p>
      <w:pPr>
        <w:ind w:left="-40" w:right="180" w:firstLine="916"/>
        <w:spacing w:after="0" w:line="273" w:lineRule="auto"/>
        <w:tabs>
          <w:tab w:leader="none" w:pos="1101"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Notwithstanding the foregoing, all remaining Performance Shares shall vest if the Key Employee shall incur an Involuntary Termination (as defined in the Plan) during the one year period commencing with the occurrence of a Change in Control.</w:t>
      </w:r>
    </w:p>
    <w:p>
      <w:pPr>
        <w:spacing w:after="0" w:line="120" w:lineRule="exact"/>
        <w:rPr>
          <w:rFonts w:ascii="Arial" w:cs="Arial" w:eastAsia="Arial" w:hAnsi="Arial"/>
          <w:sz w:val="17"/>
          <w:szCs w:val="17"/>
          <w:color w:val="auto"/>
        </w:rPr>
      </w:pPr>
    </w:p>
    <w:p>
      <w:pPr>
        <w:ind w:left="-40" w:right="100" w:firstLine="916"/>
        <w:spacing w:after="0" w:line="291" w:lineRule="auto"/>
        <w:tabs>
          <w:tab w:leader="none" w:pos="111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As soon as reasonably practicable after the vesting of all or any portion of the Performance Shares, the Trust shall notify Key Employee or the Key Employee’s legal representative, as applicable, of the amount of required withholding taxes due on the vesting of all or a portion of Performance Shares (“Tax Notice”). Key Employee or Key Employee’s legal representative, as applicable, shall tender to the Trust the amount specified in the Tax Notice within five (5) business days after the date of the Tax Notice, or such longer period of time as the Trust may designate. The Trust shall not be required to remove the restrictions on such Shares until such time as the Key Employee or the Key Employee’s legal representative, as applicable, shall have paid such tax withholding amount in full. The Trust, at its sole discretion and on such terms and conditions determined by the Trust from time to time, may permit the Key Employee or the Key Employee’s legal representative to satisfy the minimum tax withholding obligations through the sale of all or a portion of such Shares resulting from this Agreement or by a return to the Trust of a number of Shares having a fair market value equal to the withholding amount due. In the event Key Employee or Key Employee’s legal representative, as applicable, fails to make appropriate arrangements to satisfy tax and withholding obligations, the Trust may, in its sole discretion, satisfy such tax and withholding obligations by: (i) returning to the Trust all or a portion of the Shares issued under this Agreement thereby withholding benefits under this Agreement; or (ii) withholding the required amounts from other amounts due the Key Employee or Key Employee’s legal representative, as applicable. The Trust is authorized to pay over to the appropriate authority, all federal, state, county, city or other taxes as shall be required pursuant to any law or governmental regulation or ruling.</w:t>
      </w:r>
    </w:p>
    <w:p>
      <w:pPr>
        <w:spacing w:after="0" w:line="111" w:lineRule="exact"/>
        <w:rPr>
          <w:rFonts w:ascii="Arial" w:cs="Arial" w:eastAsia="Arial" w:hAnsi="Arial"/>
          <w:sz w:val="15"/>
          <w:szCs w:val="15"/>
          <w:color w:val="auto"/>
        </w:rPr>
      </w:pPr>
    </w:p>
    <w:p>
      <w:pPr>
        <w:ind w:left="1100" w:hanging="224"/>
        <w:spacing w:after="0"/>
        <w:tabs>
          <w:tab w:leader="none" w:pos="11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purposes of this Agreement:</w:t>
      </w:r>
    </w:p>
    <w:p>
      <w:pPr>
        <w:spacing w:after="0" w:line="164" w:lineRule="exact"/>
        <w:rPr>
          <w:rFonts w:ascii="Arial" w:cs="Arial" w:eastAsia="Arial" w:hAnsi="Arial"/>
          <w:sz w:val="17"/>
          <w:szCs w:val="17"/>
          <w:color w:val="auto"/>
        </w:rPr>
      </w:pPr>
    </w:p>
    <w:p>
      <w:pPr>
        <w:ind w:left="1640" w:hanging="192"/>
        <w:spacing w:after="0"/>
        <w:tabs>
          <w:tab w:leader="none" w:pos="16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“Management’s Representative” shall mean and refer to [INSERT REPRESENTATIVE].</w:t>
      </w:r>
    </w:p>
    <w:p>
      <w:pPr>
        <w:spacing w:after="0" w:line="164" w:lineRule="exact"/>
        <w:rPr>
          <w:rFonts w:ascii="Arial" w:cs="Arial" w:eastAsia="Arial" w:hAnsi="Arial"/>
          <w:sz w:val="17"/>
          <w:szCs w:val="17"/>
          <w:color w:val="auto"/>
        </w:rPr>
      </w:pPr>
    </w:p>
    <w:p>
      <w:pPr>
        <w:ind w:left="1700" w:hanging="252"/>
        <w:spacing w:after="0"/>
        <w:tabs>
          <w:tab w:leader="none" w:pos="17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“Compensation Committee” shall mean and refer to the Compensation Committee of the Board of Trustees of the Trust.</w:t>
      </w:r>
    </w:p>
    <w:p>
      <w:pPr>
        <w:spacing w:after="0" w:line="164" w:lineRule="exact"/>
        <w:rPr>
          <w:rFonts w:ascii="Arial" w:cs="Arial" w:eastAsia="Arial" w:hAnsi="Arial"/>
          <w:sz w:val="17"/>
          <w:szCs w:val="17"/>
          <w:color w:val="auto"/>
        </w:rPr>
      </w:pPr>
    </w:p>
    <w:p>
      <w:pPr>
        <w:ind w:left="1740" w:hanging="292"/>
        <w:spacing w:after="0"/>
        <w:tabs>
          <w:tab w:leader="none" w:pos="17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“Performance Target” for an Award Period shall mean</w:t>
      </w: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[INSERT PERFORMANCE CRITERIA]</w:t>
      </w:r>
    </w:p>
    <w:p>
      <w:pPr>
        <w:spacing w:after="0" w:line="160" w:lineRule="exact"/>
        <w:rPr>
          <w:sz w:val="20"/>
          <w:szCs w:val="20"/>
          <w:color w:val="auto"/>
        </w:rPr>
      </w:pPr>
    </w:p>
    <w:p>
      <w:pPr>
        <w:ind w:left="-40" w:right="80" w:firstLine="460"/>
        <w:spacing w:after="0" w:line="282" w:lineRule="auto"/>
        <w:tabs>
          <w:tab w:leader="none" w:pos="584"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If there is a termination of the Key Employee’s Service with the Trust for any reason, then all rights of the Key Employee to any and all then-remaining Performance Shares which have not vested, after giving application to Paragraphs 4(a), 4(b) and 4(c), shall terminate and be forfeited. Upon forfeiture of all or any portion of Performance Shares, the certificate(s) representing the forfeited Performance Shares shall be cancelled or the forfeited Performance Shares shall be removed from the Key Employee’s book entry account, returned to the Trust and canceled, as applicable.</w:t>
      </w:r>
    </w:p>
    <w:p>
      <w:pPr>
        <w:spacing w:after="0" w:line="111" w:lineRule="exact"/>
        <w:rPr>
          <w:rFonts w:ascii="Arial" w:cs="Arial" w:eastAsia="Arial" w:hAnsi="Arial"/>
          <w:sz w:val="16"/>
          <w:szCs w:val="16"/>
          <w:b w:val="1"/>
          <w:bCs w:val="1"/>
          <w:color w:val="auto"/>
        </w:rPr>
      </w:pPr>
    </w:p>
    <w:p>
      <w:pPr>
        <w:ind w:left="-40" w:right="20" w:firstLine="460"/>
        <w:spacing w:after="0" w:line="311" w:lineRule="auto"/>
        <w:tabs>
          <w:tab w:leader="none" w:pos="584"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binding upon and inure to the benefit of the heirs and representatives of the Key Employee and the assigns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Trust, but neither this Agreement nor any rights hereunder shall be assignable or otherwise subject to hypothecation by the Key Employee.</w:t>
      </w:r>
    </w:p>
    <w:p>
      <w:pPr>
        <w:spacing w:after="0" w:line="88" w:lineRule="exact"/>
        <w:rPr>
          <w:rFonts w:ascii="Arial" w:cs="Arial" w:eastAsia="Arial" w:hAnsi="Arial"/>
          <w:sz w:val="16"/>
          <w:szCs w:val="16"/>
          <w:b w:val="1"/>
          <w:bCs w:val="1"/>
          <w:color w:val="auto"/>
        </w:rPr>
      </w:pPr>
    </w:p>
    <w:p>
      <w:pPr>
        <w:ind w:left="-40" w:firstLine="460"/>
        <w:spacing w:after="0" w:line="265" w:lineRule="auto"/>
        <w:tabs>
          <w:tab w:leader="none" w:pos="584"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constitutes the entire agreement of the parties with respect to the subject matter hereof and shall supersede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agreements and understandings, oral or written, between the parties with respect thereto. Subject to Paragraph 13, this Agreement may be amended at any time by written agreement of the parties hereto.</w:t>
      </w:r>
    </w:p>
    <w:p>
      <w:pPr>
        <w:spacing w:after="0" w:line="123" w:lineRule="exact"/>
        <w:rPr>
          <w:rFonts w:ascii="Arial" w:cs="Arial" w:eastAsia="Arial" w:hAnsi="Arial"/>
          <w:sz w:val="17"/>
          <w:szCs w:val="17"/>
          <w:b w:val="1"/>
          <w:bCs w:val="1"/>
          <w:color w:val="auto"/>
        </w:rPr>
      </w:pPr>
    </w:p>
    <w:p>
      <w:pPr>
        <w:ind w:left="580" w:hanging="160"/>
        <w:spacing w:after="0"/>
        <w:tabs>
          <w:tab w:leader="none" w:pos="58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its validity, interpretation, performance and enforcement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4</w:t>
      </w:r>
    </w:p>
    <w:p>
      <w:pPr>
        <w:sectPr>
          <w:pgSz w:w="11900" w:h="16838" w:orient="portrait"/>
          <w:cols w:equalWidth="0" w:num="1">
            <w:col w:w="11360"/>
          </w:cols>
          <w:pgMar w:left="280" w:top="272" w:right="25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4880" cy="37465"/>
                    </a:xfrm>
                    <a:prstGeom prst="rect">
                      <a:avLst/>
                    </a:prstGeom>
                    <a:noFill/>
                  </pic:spPr>
                </pic:pic>
              </a:graphicData>
            </a:graphic>
          </wp:anchor>
        </w:drawing>
        <w:t>shall be governed by the laws of the State of Maryland other than the conflict of laws provisions of such laws, and shall be construed in accordance therewith.</w:t>
      </w:r>
    </w:p>
    <w:p>
      <w:pPr>
        <w:spacing w:after="0" w:line="172" w:lineRule="exact"/>
        <w:rPr>
          <w:sz w:val="20"/>
          <w:szCs w:val="20"/>
          <w:color w:val="auto"/>
        </w:rPr>
      </w:pPr>
    </w:p>
    <w:p>
      <w:pPr>
        <w:ind w:firstLine="460"/>
        <w:spacing w:after="0" w:line="261" w:lineRule="auto"/>
        <w:tabs>
          <w:tab w:leader="none" w:pos="624"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any provision of this Agreement is held invalid, such invalidity shall not affect any other provision of this Agreement not so held</w:t>
      </w:r>
      <w:r>
        <w:rPr>
          <w:rFonts w:ascii="Arial" w:cs="Arial" w:eastAsia="Arial" w:hAnsi="Arial"/>
          <w:sz w:val="17"/>
          <w:szCs w:val="17"/>
          <w:b w:val="1"/>
          <w:bCs w:val="1"/>
          <w:color w:val="auto"/>
        </w:rPr>
        <w:t xml:space="preserve"> </w:t>
      </w:r>
      <w:r>
        <w:rPr>
          <w:rFonts w:ascii="Arial" w:cs="Arial" w:eastAsia="Arial" w:hAnsi="Arial"/>
          <w:sz w:val="17"/>
          <w:szCs w:val="17"/>
          <w:color w:val="auto"/>
        </w:rPr>
        <w:t>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26" w:lineRule="exact"/>
        <w:rPr>
          <w:rFonts w:ascii="Arial" w:cs="Arial" w:eastAsia="Arial" w:hAnsi="Arial"/>
          <w:sz w:val="17"/>
          <w:szCs w:val="17"/>
          <w:b w:val="1"/>
          <w:bCs w:val="1"/>
          <w:color w:val="auto"/>
        </w:rPr>
      </w:pPr>
    </w:p>
    <w:p>
      <w:pPr>
        <w:ind w:left="720" w:hanging="260"/>
        <w:spacing w:after="0"/>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Continued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not confer upon the Key Employee any right with respect to continuance of employment by the Trust.</w:t>
      </w:r>
    </w:p>
    <w:p>
      <w:pPr>
        <w:spacing w:after="0" w:line="175" w:lineRule="exact"/>
        <w:rPr>
          <w:rFonts w:ascii="Arial" w:cs="Arial" w:eastAsia="Arial" w:hAnsi="Arial"/>
          <w:sz w:val="16"/>
          <w:szCs w:val="16"/>
          <w:b w:val="1"/>
          <w:bCs w:val="1"/>
          <w:color w:val="auto"/>
        </w:rPr>
      </w:pPr>
    </w:p>
    <w:p>
      <w:pPr>
        <w:jc w:val="both"/>
        <w:ind w:right="620" w:firstLine="460"/>
        <w:spacing w:after="0" w:line="289" w:lineRule="auto"/>
        <w:tabs>
          <w:tab w:leader="none" w:pos="698"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References</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References to the Key Employee in any provision of this Agreement under circumstances where the provision should logically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apply to the Key Employee’s executors or the administrators, or the person or persons to whom all or any portion of the Performance Shares may be transferred by will or the laws of descent and distribution, shall be deemed to include such person or persons.</w:t>
      </w:r>
    </w:p>
    <w:p>
      <w:pPr>
        <w:spacing w:after="0" w:line="106" w:lineRule="exact"/>
        <w:rPr>
          <w:rFonts w:ascii="Arial" w:cs="Arial" w:eastAsia="Arial" w:hAnsi="Arial"/>
          <w:sz w:val="16"/>
          <w:szCs w:val="16"/>
          <w:b w:val="1"/>
          <w:bCs w:val="1"/>
          <w:color w:val="auto"/>
        </w:rPr>
      </w:pPr>
    </w:p>
    <w:p>
      <w:pPr>
        <w:ind w:right="220" w:firstLine="460"/>
        <w:spacing w:after="0" w:line="278" w:lineRule="auto"/>
        <w:tabs>
          <w:tab w:leader="none" w:pos="707" w:val="left"/>
        </w:tabs>
        <w:numPr>
          <w:ilvl w:val="0"/>
          <w:numId w:val="1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Notwithstanding anything herein to the contrary, the Key Employee shall be solely responsible and liable for the satisfaction of all taxes and penalties</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arise in connection with this Agreement (including any taxes arising under Section 409A of the Code).</w:t>
      </w:r>
    </w:p>
    <w:p>
      <w:pPr>
        <w:spacing w:after="0" w:line="112" w:lineRule="exact"/>
        <w:rPr>
          <w:rFonts w:ascii="Arial" w:cs="Arial" w:eastAsia="Arial" w:hAnsi="Arial"/>
          <w:sz w:val="17"/>
          <w:szCs w:val="17"/>
          <w:b w:val="1"/>
          <w:bCs w:val="1"/>
          <w:color w:val="auto"/>
        </w:rPr>
      </w:pPr>
    </w:p>
    <w:p>
      <w:pPr>
        <w:ind w:right="20" w:firstLine="460"/>
        <w:spacing w:after="0" w:line="275" w:lineRule="auto"/>
        <w:tabs>
          <w:tab w:leader="none" w:pos="707"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Code Section 409A</w:t>
      </w:r>
      <w:r>
        <w:rPr>
          <w:rFonts w:ascii="Arial" w:cs="Arial" w:eastAsia="Arial" w:hAnsi="Arial"/>
          <w:sz w:val="16"/>
          <w:szCs w:val="16"/>
          <w:color w:val="auto"/>
        </w:rPr>
        <w:t>. This Agreement is intended to be exempt from Code Section 409A, and the Trust shall have complete discretion to interpret and construe</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Trust has caused this Agreement to be duly executed effective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FEDERAL REALTY INVESTMENT TRUST</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12065</wp:posOffset>
            </wp:positionV>
            <wp:extent cx="25126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12695" cy="825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Dawn M. Becker</w:t>
      </w:r>
    </w:p>
    <w:p>
      <w:pPr>
        <w:spacing w:after="0" w:line="17" w:lineRule="exact"/>
        <w:rPr>
          <w:sz w:val="20"/>
          <w:szCs w:val="20"/>
          <w:color w:val="auto"/>
        </w:rPr>
      </w:pPr>
    </w:p>
    <w:p>
      <w:pPr>
        <w:ind w:left="6860"/>
        <w:spacing w:after="0"/>
        <w:tabs>
          <w:tab w:leader="none" w:pos="7440" w:val="left"/>
        </w:tabs>
        <w:rPr>
          <w:sz w:val="20"/>
          <w:szCs w:val="20"/>
          <w:color w:val="auto"/>
        </w:rPr>
      </w:pPr>
      <w:r>
        <w:rPr>
          <w:rFonts w:ascii="Arial" w:cs="Arial" w:eastAsia="Arial" w:hAnsi="Arial"/>
          <w:sz w:val="17"/>
          <w:szCs w:val="17"/>
          <w:color w:val="auto"/>
        </w:rPr>
        <w:t>Title:</w:t>
        <w:tab/>
        <w:t>Executive Vice President –</w:t>
      </w:r>
    </w:p>
    <w:p>
      <w:pPr>
        <w:spacing w:after="0" w:line="10"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General Counsel and Secretary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 of 4</w:t>
      </w:r>
    </w:p>
    <w:p>
      <w:pPr>
        <w:sectPr>
          <w:pgSz w:w="11900" w:h="16838" w:orient="portrait"/>
          <w:cols w:equalWidth="0" w:num="1">
            <w:col w:w="11420"/>
          </w:cols>
          <w:pgMar w:left="240" w:top="272"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10.38</w:t>
      </w:r>
    </w:p>
    <w:p>
      <w:pPr>
        <w:spacing w:after="0" w:line="16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FEDERAL REALTY INVESTMENT TRUST</w:t>
      </w:r>
    </w:p>
    <w:p>
      <w:pPr>
        <w:spacing w:after="0" w:line="164" w:lineRule="exact"/>
        <w:rPr>
          <w:sz w:val="20"/>
          <w:szCs w:val="20"/>
          <w:color w:val="auto"/>
        </w:rPr>
      </w:pPr>
    </w:p>
    <w:p>
      <w:pPr>
        <w:ind w:left="3180"/>
        <w:spacing w:after="0"/>
        <w:rPr>
          <w:sz w:val="20"/>
          <w:szCs w:val="20"/>
          <w:color w:val="auto"/>
        </w:rPr>
      </w:pPr>
      <w:r>
        <w:rPr>
          <w:rFonts w:ascii="Arial" w:cs="Arial" w:eastAsia="Arial" w:hAnsi="Arial"/>
          <w:sz w:val="17"/>
          <w:szCs w:val="17"/>
          <w:b w:val="1"/>
          <w:bCs w:val="1"/>
          <w:u w:val="single" w:color="auto"/>
          <w:color w:val="auto"/>
        </w:rPr>
        <w:t>COMBINED INCENTIVE AND NON-QUALIFIED SHARE OPTION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 FOR EMPLOYEES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3"/>
          </w:tcPr>
          <w:p>
            <w:pPr>
              <w:ind w:left="460"/>
              <w:spacing w:after="0"/>
              <w:rPr>
                <w:sz w:val="20"/>
                <w:szCs w:val="20"/>
                <w:color w:val="auto"/>
              </w:rPr>
            </w:pPr>
            <w:r>
              <w:rPr>
                <w:rFonts w:ascii="Arial" w:cs="Arial" w:eastAsia="Arial" w:hAnsi="Arial"/>
                <w:sz w:val="17"/>
                <w:szCs w:val="17"/>
                <w:b w:val="1"/>
                <w:bCs w:val="1"/>
                <w:color w:val="auto"/>
                <w:w w:val="98"/>
              </w:rPr>
              <w:t xml:space="preserve">AGREEMENT </w:t>
            </w:r>
            <w:r>
              <w:rPr>
                <w:rFonts w:ascii="Arial" w:cs="Arial" w:eastAsia="Arial" w:hAnsi="Arial"/>
                <w:sz w:val="17"/>
                <w:szCs w:val="17"/>
                <w:color w:val="auto"/>
                <w:w w:val="98"/>
              </w:rPr>
              <w:t>(“Agreement”) dated this   day of</w:t>
            </w:r>
          </w:p>
        </w:tc>
        <w:tc>
          <w:tcPr>
            <w:tcW w:w="7420" w:type="dxa"/>
            <w:vAlign w:val="bottom"/>
            <w:gridSpan w:val="6"/>
          </w:tcPr>
          <w:p>
            <w:pPr>
              <w:ind w:left="500"/>
              <w:spacing w:after="0"/>
              <w:rPr>
                <w:sz w:val="20"/>
                <w:szCs w:val="20"/>
                <w:color w:val="auto"/>
              </w:rPr>
            </w:pPr>
            <w:r>
              <w:rPr>
                <w:rFonts w:ascii="Arial" w:cs="Arial" w:eastAsia="Arial" w:hAnsi="Arial"/>
                <w:sz w:val="17"/>
                <w:szCs w:val="17"/>
                <w:color w:val="auto"/>
                <w:w w:val="95"/>
              </w:rPr>
              <w:t xml:space="preserve">, 201   (the “Grant Date”), by </w:t>
            </w:r>
            <w:r>
              <w:rPr>
                <w:rFonts w:ascii="Arial" w:cs="Arial" w:eastAsia="Arial" w:hAnsi="Arial"/>
                <w:sz w:val="17"/>
                <w:szCs w:val="17"/>
                <w:b w:val="1"/>
                <w:bCs w:val="1"/>
                <w:color w:val="auto"/>
                <w:w w:val="95"/>
              </w:rPr>
              <w:t>FEDERAL REALTY INVESTMENT TRUST</w:t>
            </w:r>
            <w:r>
              <w:rPr>
                <w:rFonts w:ascii="Arial" w:cs="Arial" w:eastAsia="Arial" w:hAnsi="Arial"/>
                <w:sz w:val="17"/>
                <w:szCs w:val="17"/>
                <w:color w:val="auto"/>
                <w:w w:val="95"/>
              </w:rPr>
              <w:t>, a Maryland real estate</w:t>
            </w:r>
          </w:p>
        </w:tc>
      </w:tr>
      <w:tr>
        <w:trPr>
          <w:trHeight w:val="20"/>
        </w:trPr>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9700" w:type="dxa"/>
            <w:vAlign w:val="bottom"/>
            <w:gridSpan w:val="7"/>
          </w:tcPr>
          <w:p>
            <w:pPr>
              <w:spacing w:after="0" w:line="185" w:lineRule="exact"/>
              <w:rPr>
                <w:sz w:val="20"/>
                <w:szCs w:val="20"/>
                <w:color w:val="auto"/>
              </w:rPr>
            </w:pPr>
            <w:r>
              <w:rPr>
                <w:rFonts w:ascii="Arial" w:cs="Arial" w:eastAsia="Arial" w:hAnsi="Arial"/>
                <w:sz w:val="17"/>
                <w:szCs w:val="17"/>
                <w:color w:val="auto"/>
                <w:w w:val="90"/>
              </w:rPr>
              <w:t>investment trust (“Trust”) with an address of 1626 East Jefferson Street, Rockville, Maryland 20852, providing notice of a share option award to</w:t>
            </w:r>
          </w:p>
        </w:tc>
        <w:tc>
          <w:tcPr>
            <w:tcW w:w="1720" w:type="dxa"/>
            <w:vAlign w:val="bottom"/>
            <w:gridSpan w:val="2"/>
          </w:tcPr>
          <w:p>
            <w:pPr>
              <w:ind w:left="840"/>
              <w:spacing w:after="0" w:line="185" w:lineRule="exact"/>
              <w:rPr>
                <w:sz w:val="20"/>
                <w:szCs w:val="20"/>
                <w:color w:val="auto"/>
              </w:rPr>
            </w:pPr>
            <w:r>
              <w:rPr>
                <w:rFonts w:ascii="Arial" w:cs="Arial" w:eastAsia="Arial" w:hAnsi="Arial"/>
                <w:sz w:val="17"/>
                <w:szCs w:val="17"/>
                <w:color w:val="auto"/>
              </w:rPr>
              <w:t>, an</w:t>
            </w:r>
          </w:p>
        </w:tc>
      </w:tr>
      <w:tr>
        <w:trPr>
          <w:trHeight w:val="223"/>
        </w:trPr>
        <w:tc>
          <w:tcPr>
            <w:tcW w:w="4000" w:type="dxa"/>
            <w:vAlign w:val="bottom"/>
            <w:gridSpan w:val="3"/>
          </w:tcPr>
          <w:p>
            <w:pPr>
              <w:spacing w:after="0"/>
              <w:rPr>
                <w:sz w:val="20"/>
                <w:szCs w:val="20"/>
                <w:color w:val="auto"/>
              </w:rPr>
            </w:pPr>
            <w:r>
              <w:rPr>
                <w:rFonts w:ascii="Arial" w:cs="Arial" w:eastAsia="Arial" w:hAnsi="Arial"/>
                <w:sz w:val="17"/>
                <w:szCs w:val="17"/>
                <w:color w:val="auto"/>
              </w:rPr>
              <w:t>employee of the Trust (“Optionee”).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bl>
    <w:p>
      <w:pPr>
        <w:spacing w:after="0" w:line="143" w:lineRule="exact"/>
        <w:rPr>
          <w:sz w:val="20"/>
          <w:szCs w:val="20"/>
          <w:color w:val="auto"/>
        </w:rPr>
      </w:pPr>
    </w:p>
    <w:p>
      <w:pPr>
        <w:jc w:val="both"/>
        <w:ind w:right="20" w:firstLine="457"/>
        <w:spacing w:after="0" w:line="27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Trustees of the Trust has authorized the award by the Trust to the Optionee under the Federal Realty Investment Trust 2010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(“Plan”);</w:t>
      </w:r>
    </w:p>
    <w:p>
      <w:pPr>
        <w:spacing w:after="0" w:line="112" w:lineRule="exact"/>
        <w:rPr>
          <w:sz w:val="20"/>
          <w:szCs w:val="20"/>
          <w:color w:val="auto"/>
        </w:rPr>
      </w:pPr>
    </w:p>
    <w:p>
      <w:pPr>
        <w:jc w:val="both"/>
        <w:ind w:right="220" w:firstLine="457"/>
        <w:spacing w:after="0" w:line="26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Trust desires to grant, as set forth herein, to Optionee under the Plan (1) options for Shares that qualify as “Incentive Stock Options”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Section 422 or any successor provision of the Internal Revenue Code of 1986, as amended (“Code”), and/or (2) options not intended to qualify as Incentive Stock Options (“Non-Qualified Share Options”); and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unless otherwise provided herein, capitalized terms used in this Agreement shall have the meaning given them in the Plan.</w:t>
      </w:r>
    </w:p>
    <w:p>
      <w:pPr>
        <w:spacing w:after="0" w:line="164" w:lineRule="exact"/>
        <w:rPr>
          <w:sz w:val="20"/>
          <w:szCs w:val="20"/>
          <w:color w:val="auto"/>
        </w:rPr>
      </w:pPr>
    </w:p>
    <w:p>
      <w:pPr>
        <w:ind w:right="60" w:firstLine="457"/>
        <w:spacing w:after="0" w:line="27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representations herein contained and intending to be legally bound, the parties hereto agree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12" w:lineRule="exact"/>
        <w:rPr>
          <w:sz w:val="20"/>
          <w:szCs w:val="20"/>
          <w:color w:val="auto"/>
        </w:rPr>
      </w:pPr>
    </w:p>
    <w:p>
      <w:pPr>
        <w:ind w:left="620" w:hanging="160"/>
        <w:spacing w:after="0"/>
        <w:tabs>
          <w:tab w:leader="none" w:pos="62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 Grant Facts: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Trust hereby grants to Optionee the following option (“Option”) to purchase Shares:</w:t>
      </w:r>
    </w:p>
    <w:p>
      <w:pPr>
        <w:spacing w:after="0" w:line="91" w:lineRule="exact"/>
        <w:rPr>
          <w:rFonts w:ascii="Arial" w:cs="Arial" w:eastAsia="Arial" w:hAnsi="Arial"/>
          <w:sz w:val="17"/>
          <w:szCs w:val="17"/>
          <w:b w:val="1"/>
          <w:bCs w:val="1"/>
          <w:color w:val="auto"/>
        </w:rPr>
      </w:pPr>
    </w:p>
    <w:p>
      <w:pPr>
        <w:ind w:left="1040" w:hanging="343"/>
        <w:spacing w:after="0"/>
        <w:tabs>
          <w:tab w:leader="none" w:pos="1040" w:val="left"/>
        </w:tabs>
        <w:numPr>
          <w:ilvl w:val="1"/>
          <w:numId w:val="101"/>
        </w:numPr>
        <w:rPr>
          <w:rFonts w:ascii="Arial" w:cs="Arial" w:eastAsia="Arial" w:hAnsi="Arial"/>
          <w:sz w:val="17"/>
          <w:szCs w:val="17"/>
          <w:b w:val="1"/>
          <w:bCs w:val="1"/>
          <w:color w:val="auto"/>
        </w:rPr>
      </w:pPr>
      <w:r>
        <w:rPr>
          <w:rFonts w:ascii="Arial" w:cs="Arial" w:eastAsia="Arial" w:hAnsi="Arial"/>
          <w:sz w:val="17"/>
          <w:szCs w:val="17"/>
          <w:color w:val="auto"/>
        </w:rPr>
        <w:t>Number of Shares Subject to this Option:</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Incentive Stock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13"/>
        </w:trPr>
        <w:tc>
          <w:tcPr>
            <w:tcW w:w="2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Non-Qualified Share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71"/>
        </w:trPr>
        <w:tc>
          <w:tcPr>
            <w:tcW w:w="280" w:type="dxa"/>
            <w:vAlign w:val="bottom"/>
          </w:tcPr>
          <w:p>
            <w:pPr>
              <w:spacing w:after="0"/>
              <w:rPr>
                <w:sz w:val="20"/>
                <w:szCs w:val="20"/>
                <w:color w:val="auto"/>
              </w:rPr>
            </w:pPr>
            <w:r>
              <w:rPr>
                <w:rFonts w:ascii="Arial" w:cs="Arial" w:eastAsia="Arial" w:hAnsi="Arial"/>
                <w:sz w:val="17"/>
                <w:szCs w:val="17"/>
                <w:b w:val="1"/>
                <w:bCs w:val="1"/>
                <w:color w:val="auto"/>
              </w:rPr>
              <w:t>(b)</w:t>
            </w:r>
          </w:p>
        </w:tc>
        <w:tc>
          <w:tcPr>
            <w:tcW w:w="5240" w:type="dxa"/>
            <w:vAlign w:val="bottom"/>
          </w:tcPr>
          <w:p>
            <w:pPr>
              <w:ind w:left="60"/>
              <w:spacing w:after="0"/>
              <w:rPr>
                <w:sz w:val="20"/>
                <w:szCs w:val="20"/>
                <w:color w:val="auto"/>
              </w:rPr>
            </w:pPr>
            <w:r>
              <w:rPr>
                <w:rFonts w:ascii="Arial" w:cs="Arial" w:eastAsia="Arial" w:hAnsi="Arial"/>
                <w:sz w:val="17"/>
                <w:szCs w:val="17"/>
                <w:color w:val="auto"/>
              </w:rPr>
              <w:t>Purchase Price of Shares subject to the Option:</w:t>
            </w:r>
          </w:p>
        </w:tc>
        <w:tc>
          <w:tcPr>
            <w:tcW w:w="2120" w:type="dxa"/>
            <w:vAlign w:val="bottom"/>
          </w:tcPr>
          <w:p>
            <w:pPr>
              <w:ind w:left="204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23"/>
                <w:szCs w:val="23"/>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7"/>
                <w:szCs w:val="17"/>
                <w:b w:val="1"/>
                <w:bCs w:val="1"/>
                <w:color w:val="auto"/>
              </w:rPr>
              <w:t>(c)</w:t>
            </w:r>
          </w:p>
        </w:tc>
        <w:tc>
          <w:tcPr>
            <w:tcW w:w="5240" w:type="dxa"/>
            <w:vAlign w:val="bottom"/>
          </w:tcPr>
          <w:p>
            <w:pPr>
              <w:ind w:left="60"/>
              <w:spacing w:after="0"/>
              <w:rPr>
                <w:sz w:val="20"/>
                <w:szCs w:val="20"/>
                <w:color w:val="auto"/>
              </w:rPr>
            </w:pPr>
            <w:r>
              <w:rPr>
                <w:rFonts w:ascii="Arial" w:cs="Arial" w:eastAsia="Arial" w:hAnsi="Arial"/>
                <w:sz w:val="17"/>
                <w:szCs w:val="17"/>
                <w:color w:val="auto"/>
              </w:rPr>
              <w:t>Grant Date of the Option:</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bl>
    <w:p>
      <w:pPr>
        <w:spacing w:after="0" w:line="96" w:lineRule="exact"/>
        <w:rPr>
          <w:sz w:val="20"/>
          <w:szCs w:val="20"/>
          <w:color w:val="auto"/>
        </w:rPr>
      </w:pPr>
    </w:p>
    <w:p>
      <w:pPr>
        <w:ind w:left="1040" w:hanging="343"/>
        <w:spacing w:after="0"/>
        <w:tabs>
          <w:tab w:leader="none" w:pos="1040" w:val="left"/>
        </w:tabs>
        <w:numPr>
          <w:ilvl w:val="0"/>
          <w:numId w:val="102"/>
        </w:numPr>
        <w:rPr>
          <w:rFonts w:ascii="Arial" w:cs="Arial" w:eastAsia="Arial" w:hAnsi="Arial"/>
          <w:sz w:val="17"/>
          <w:szCs w:val="17"/>
          <w:b w:val="1"/>
          <w:bCs w:val="1"/>
          <w:color w:val="auto"/>
        </w:rPr>
      </w:pPr>
      <w:r>
        <w:rPr>
          <w:rFonts w:ascii="Arial" w:cs="Arial" w:eastAsia="Arial" w:hAnsi="Arial"/>
          <w:sz w:val="17"/>
          <w:szCs w:val="17"/>
          <w:color w:val="auto"/>
        </w:rPr>
        <w:t>Vesting Schedule of Shares Subject to the Option:</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Incentive</w:t>
            </w:r>
          </w:p>
        </w:tc>
        <w:tc>
          <w:tcPr>
            <w:tcW w:w="268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Non-Qualified</w:t>
            </w:r>
          </w:p>
        </w:tc>
        <w:tc>
          <w:tcPr>
            <w:tcW w:w="274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Vesting Date</w:t>
            </w:r>
          </w:p>
        </w:tc>
        <w:tc>
          <w:tcPr>
            <w:tcW w:w="60" w:type="dxa"/>
            <w:vAlign w:val="bottom"/>
          </w:tcPr>
          <w:p>
            <w:pPr>
              <w:spacing w:after="0"/>
              <w:rPr>
                <w:sz w:val="13"/>
                <w:szCs w:val="13"/>
                <w:color w:val="auto"/>
              </w:rPr>
            </w:pPr>
          </w:p>
        </w:tc>
      </w:tr>
      <w:tr>
        <w:trPr>
          <w:trHeight w:val="29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1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-544830</wp:posOffset>
            </wp:positionV>
            <wp:extent cx="1060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-414655</wp:posOffset>
            </wp:positionV>
            <wp:extent cx="1060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-283845</wp:posOffset>
            </wp:positionV>
            <wp:extent cx="1060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-153670</wp:posOffset>
            </wp:positionV>
            <wp:extent cx="1060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-22860</wp:posOffset>
            </wp:positionV>
            <wp:extent cx="1060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6045" cy="8255"/>
                    </a:xfrm>
                    <a:prstGeom prst="rect">
                      <a:avLst/>
                    </a:prstGeom>
                    <a:noFill/>
                  </pic:spPr>
                </pic:pic>
              </a:graphicData>
            </a:graphic>
          </wp:anchor>
        </w:drawing>
      </w:r>
    </w:p>
    <w:p>
      <w:pPr>
        <w:spacing w:after="0" w:line="127"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The Option may be exercised from time-to-time to the extent vested. To the extent any portion of the Option designated above as an Incentive Stock Option shall fail to qualify as an Incentive Stock Option for any reason, including an exercise by the Optionee after the time period required to receive Incentive Stock Option treatment, it shall be deemed a Non-Qualified Share Option.</w:t>
      </w:r>
    </w:p>
    <w:p>
      <w:pPr>
        <w:spacing w:after="0" w:line="124" w:lineRule="exact"/>
        <w:rPr>
          <w:sz w:val="20"/>
          <w:szCs w:val="20"/>
          <w:color w:val="auto"/>
        </w:rPr>
      </w:pPr>
    </w:p>
    <w:p>
      <w:pPr>
        <w:ind w:left="620" w:hanging="160"/>
        <w:spacing w:after="0"/>
        <w:tabs>
          <w:tab w:leader="none" w:pos="620" w:val="left"/>
        </w:tabs>
        <w:numPr>
          <w:ilvl w:val="0"/>
          <w:numId w:val="1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shall expire ten (10) years from the Grant Date, subject to earlier termination as set forth in Section 4 of this Agreement and the terms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5</w:t>
      </w:r>
    </w:p>
    <w:p>
      <w:pPr>
        <w:sectPr>
          <w:pgSz w:w="11900" w:h="16838" w:orient="portrait"/>
          <w:cols w:equalWidth="0" w:num="1">
            <w:col w:w="11420"/>
          </w:cols>
          <w:pgMar w:left="240" w:top="127" w:right="239" w:bottom="1440" w:gutter="0" w:footer="0" w:header="0"/>
        </w:sectPr>
      </w:pPr>
    </w:p>
    <w:bookmarkStart w:id="127" w:name="page128"/>
    <w:bookmarkEnd w:id="127"/>
    <w:p>
      <w:pPr>
        <w:ind w:left="-20" w:right="100" w:firstLine="460"/>
        <w:spacing w:after="0" w:line="278" w:lineRule="auto"/>
        <w:tabs>
          <w:tab w:leader="none" w:pos="604"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Acceleration of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vesting of this Option shall accelerate and the Option shall fully vest and become immediately exercisable with respect to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the Option for the applicable periods set forth in Section 4 below upon the following:</w:t>
      </w:r>
    </w:p>
    <w:p>
      <w:pPr>
        <w:spacing w:after="0" w:line="116" w:lineRule="exact"/>
        <w:rPr>
          <w:rFonts w:ascii="Arial" w:cs="Arial" w:eastAsia="Arial" w:hAnsi="Arial"/>
          <w:sz w:val="17"/>
          <w:szCs w:val="17"/>
          <w:b w:val="1"/>
          <w:bCs w:val="1"/>
          <w:color w:val="auto"/>
        </w:rPr>
      </w:pPr>
    </w:p>
    <w:p>
      <w:pPr>
        <w:ind w:left="1140" w:hanging="244"/>
        <w:spacing w:after="0"/>
        <w:tabs>
          <w:tab w:leader="none" w:pos="1140"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the Optionee’s termination of Service upon Disability;</w:t>
      </w:r>
    </w:p>
    <w:p>
      <w:pPr>
        <w:spacing w:after="0" w:line="164" w:lineRule="exact"/>
        <w:rPr>
          <w:rFonts w:ascii="Arial" w:cs="Arial" w:eastAsia="Arial" w:hAnsi="Arial"/>
          <w:sz w:val="17"/>
          <w:szCs w:val="17"/>
          <w:b w:val="1"/>
          <w:bCs w:val="1"/>
          <w:color w:val="auto"/>
        </w:rPr>
      </w:pPr>
    </w:p>
    <w:p>
      <w:pPr>
        <w:ind w:left="1140" w:hanging="244"/>
        <w:spacing w:after="0"/>
        <w:tabs>
          <w:tab w:leader="none" w:pos="1140"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the Optionee’s death while employed by the Trust;</w:t>
      </w:r>
    </w:p>
    <w:p>
      <w:pPr>
        <w:spacing w:after="0" w:line="164" w:lineRule="exact"/>
        <w:rPr>
          <w:rFonts w:ascii="Arial" w:cs="Arial" w:eastAsia="Arial" w:hAnsi="Arial"/>
          <w:sz w:val="17"/>
          <w:szCs w:val="17"/>
          <w:b w:val="1"/>
          <w:bCs w:val="1"/>
          <w:color w:val="auto"/>
        </w:rPr>
      </w:pPr>
    </w:p>
    <w:p>
      <w:pPr>
        <w:ind w:left="1120" w:hanging="224"/>
        <w:spacing w:after="0"/>
        <w:tabs>
          <w:tab w:leader="none" w:pos="1120"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the Optionee’s termination of Service without Cause; and</w:t>
      </w:r>
    </w:p>
    <w:p>
      <w:pPr>
        <w:spacing w:after="0" w:line="164" w:lineRule="exact"/>
        <w:rPr>
          <w:rFonts w:ascii="Arial" w:cs="Arial" w:eastAsia="Arial" w:hAnsi="Arial"/>
          <w:sz w:val="17"/>
          <w:szCs w:val="17"/>
          <w:b w:val="1"/>
          <w:bCs w:val="1"/>
          <w:color w:val="auto"/>
        </w:rPr>
      </w:pPr>
    </w:p>
    <w:p>
      <w:pPr>
        <w:ind w:left="-20" w:right="80" w:firstLine="916"/>
        <w:spacing w:after="0" w:line="263" w:lineRule="auto"/>
        <w:tabs>
          <w:tab w:leader="none" w:pos="1139"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if the Optionee incurs an Involuntary Termination within the one year period commencing with a Change in Control; provided, however, such accelerated vesting described in this Section 3(d) shall not be applicable to the Option if such Change in Control results from the Optionee’s beneficial ownership (within the meaning of Rule 13d-3 under the Exchange Act) of Shares or Trust Voting Securities.</w:t>
      </w:r>
    </w:p>
    <w:p>
      <w:pPr>
        <w:spacing w:after="0" w:line="124" w:lineRule="exact"/>
        <w:rPr>
          <w:rFonts w:ascii="Arial" w:cs="Arial" w:eastAsia="Arial" w:hAnsi="Arial"/>
          <w:sz w:val="17"/>
          <w:szCs w:val="17"/>
          <w:b w:val="1"/>
          <w:bCs w:val="1"/>
          <w:color w:val="auto"/>
        </w:rPr>
      </w:pPr>
    </w:p>
    <w:p>
      <w:pPr>
        <w:ind w:left="-20" w:right="20" w:firstLine="460"/>
        <w:spacing w:after="0" w:line="275" w:lineRule="auto"/>
        <w:tabs>
          <w:tab w:leader="none" w:pos="604"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 Upon 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all or any part of the Option was not exercisable as of the date of termination of Service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Section 3, above), the unvested and unexercisable portion of the Option shall expire at the date of such termination of Service. Notwithstanding anything to the contrary, if the Optionee’s termination of Service is for Cause (as defined in the Plan and any employment or other agreement with the Optionee as of the Grant Date) or the Optionee voluntarily terminates from Service at a time when grounds for the Optionee’s termination for Cause exists, the right of the Optionee to exercise the Option shall terminate at the date of termination of Service. Subject to the preceding, the Optionee or the Optionee’s beneficiary, as applicable, shall have the applicable period of time specified below in which to exercise the Option after the Optionee’s termination of Service; provided, however, in no event may the Option be exercised under any circumstances later than the expiration date described in Section 2:</w:t>
      </w:r>
    </w:p>
    <w:p>
      <w:pPr>
        <w:spacing w:after="0" w:line="117" w:lineRule="exact"/>
        <w:rPr>
          <w:rFonts w:ascii="Arial" w:cs="Arial" w:eastAsia="Arial" w:hAnsi="Arial"/>
          <w:sz w:val="16"/>
          <w:szCs w:val="16"/>
          <w:b w:val="1"/>
          <w:bCs w:val="1"/>
          <w:color w:val="auto"/>
        </w:rPr>
      </w:pPr>
    </w:p>
    <w:p>
      <w:pPr>
        <w:ind w:left="-20" w:firstLine="916"/>
        <w:spacing w:after="0" w:line="301" w:lineRule="auto"/>
        <w:tabs>
          <w:tab w:leader="none" w:pos="1130" w:val="left"/>
        </w:tabs>
        <w:numPr>
          <w:ilvl w:val="1"/>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Termination of Service. </w:t>
      </w:r>
      <w:r>
        <w:rPr>
          <w:rFonts w:ascii="Arial" w:cs="Arial" w:eastAsia="Arial" w:hAnsi="Arial"/>
          <w:sz w:val="15"/>
          <w:szCs w:val="15"/>
          <w:color w:val="auto"/>
        </w:rPr>
        <w:t>Upon the Optionee’s termination of Service for any reason other than by reason of death, Disability, Retirement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defined below) or Involuntary Termination within the one year period commencing with a Change in Control, the Optionee shall have a period of three (3) months </w:t>
      </w:r>
      <w:r>
        <w:rPr>
          <w:rFonts w:ascii="Arial" w:cs="Arial" w:eastAsia="Arial" w:hAnsi="Arial"/>
          <w:sz w:val="15"/>
          <w:szCs w:val="15"/>
          <w:b w:val="1"/>
          <w:bCs w:val="1"/>
          <w:i w:val="1"/>
          <w:iCs w:val="1"/>
          <w:color w:val="auto"/>
        </w:rPr>
        <w:t>[one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year for Executive Officers] </w:t>
      </w:r>
      <w:r>
        <w:rPr>
          <w:rFonts w:ascii="Arial" w:cs="Arial" w:eastAsia="Arial" w:hAnsi="Arial"/>
          <w:sz w:val="15"/>
          <w:szCs w:val="15"/>
          <w:color w:val="auto"/>
        </w:rPr>
        <w:t>after such termination of Service to exercise all or any part of the Option to the extent it was exercisable at the date of termination of Service.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00" w:lineRule="exact"/>
        <w:rPr>
          <w:rFonts w:ascii="Arial" w:cs="Arial" w:eastAsia="Arial" w:hAnsi="Arial"/>
          <w:sz w:val="15"/>
          <w:szCs w:val="15"/>
          <w:b w:val="1"/>
          <w:bCs w:val="1"/>
          <w:color w:val="auto"/>
        </w:rPr>
      </w:pPr>
    </w:p>
    <w:p>
      <w:pPr>
        <w:ind w:left="-20" w:right="240" w:firstLine="916"/>
        <w:spacing w:after="0" w:line="258" w:lineRule="auto"/>
        <w:tabs>
          <w:tab w:leader="none" w:pos="1140" w:val="left"/>
        </w:tabs>
        <w:numPr>
          <w:ilvl w:val="1"/>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Service on Retirement. </w:t>
      </w:r>
      <w:r>
        <w:rPr>
          <w:rFonts w:ascii="Arial" w:cs="Arial" w:eastAsia="Arial" w:hAnsi="Arial"/>
          <w:sz w:val="17"/>
          <w:szCs w:val="17"/>
          <w:color w:val="auto"/>
        </w:rPr>
        <w:t>Upon the Optionee’s termination of Service by reason of retirement on or after the Optionee turns age 65</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the Optionee shall have a period of one (1) year after such termination of Service to exercise all or any part of the Option to the extent that it was exercisable upon such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31" w:lineRule="exact"/>
        <w:rPr>
          <w:rFonts w:ascii="Arial" w:cs="Arial" w:eastAsia="Arial" w:hAnsi="Arial"/>
          <w:sz w:val="17"/>
          <w:szCs w:val="17"/>
          <w:b w:val="1"/>
          <w:bCs w:val="1"/>
          <w:color w:val="auto"/>
        </w:rPr>
      </w:pPr>
    </w:p>
    <w:p>
      <w:pPr>
        <w:ind w:left="-20" w:firstLine="916"/>
        <w:spacing w:after="0" w:line="301" w:lineRule="auto"/>
        <w:tabs>
          <w:tab w:leader="none" w:pos="1121" w:val="left"/>
        </w:tabs>
        <w:numPr>
          <w:ilvl w:val="1"/>
          <w:numId w:val="1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Service on Disability. </w:t>
      </w:r>
      <w:r>
        <w:rPr>
          <w:rFonts w:ascii="Arial" w:cs="Arial" w:eastAsia="Arial" w:hAnsi="Arial"/>
          <w:sz w:val="15"/>
          <w:szCs w:val="15"/>
          <w:color w:val="auto"/>
        </w:rPr>
        <w:t>Upon the Optionee’s termination of Service by reason of Disability, the Optionee shall have a period of one (1)</w:t>
      </w:r>
      <w:r>
        <w:rPr>
          <w:rFonts w:ascii="Arial" w:cs="Arial" w:eastAsia="Arial" w:hAnsi="Arial"/>
          <w:sz w:val="15"/>
          <w:szCs w:val="15"/>
          <w:b w:val="1"/>
          <w:bCs w:val="1"/>
          <w:color w:val="auto"/>
        </w:rPr>
        <w:t xml:space="preserve"> </w:t>
      </w:r>
      <w:r>
        <w:rPr>
          <w:rFonts w:ascii="Arial" w:cs="Arial" w:eastAsia="Arial" w:hAnsi="Arial"/>
          <w:sz w:val="15"/>
          <w:szCs w:val="15"/>
          <w:color w:val="auto"/>
        </w:rPr>
        <w:t>year after such termination of Service to exercise all or any part of the Option to the extent that it was exercisable upon such termination of Service including as a result of Section 3 above. Unless the Optionee’s Disability qualifies as a permanent and total disability within the meaning of Section 22(e)(3) of the Code, any exercise of all or any part of the Option more than three (3) months after termination of Service as an employee by reason of Disability may cause any portion of the Option being exercised which was designated as an Incentive Stock Option to fail to qualify as such, in which event it shall be deemed a Non-Qualified Share Option.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5</w:t>
      </w:r>
    </w:p>
    <w:p>
      <w:pPr>
        <w:sectPr>
          <w:pgSz w:w="11900" w:h="16838" w:orient="portrait"/>
          <w:cols w:equalWidth="0" w:num="1">
            <w:col w:w="11380"/>
          </w:cols>
          <w:pgMar w:left="260" w:top="268" w:right="259" w:bottom="1440" w:gutter="0" w:footer="0" w:header="0"/>
        </w:sectPr>
      </w:pPr>
    </w:p>
    <w:bookmarkStart w:id="128" w:name="page129"/>
    <w:bookmarkEnd w:id="128"/>
    <w:p>
      <w:pPr>
        <w:ind w:left="1160" w:hanging="244"/>
        <w:spacing w:after="0"/>
        <w:tabs>
          <w:tab w:leader="none" w:pos="116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 xml:space="preserve">Termination of Service on Death. </w:t>
      </w:r>
      <w:r>
        <w:rPr>
          <w:rFonts w:ascii="Arial" w:cs="Arial" w:eastAsia="Arial" w:hAnsi="Arial"/>
          <w:sz w:val="15"/>
          <w:szCs w:val="15"/>
          <w:color w:val="auto"/>
        </w:rPr>
        <w:t>In the event of the death of the Optionee, the right of the Optionee’s beneficiary to exercise the Option shall expire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57" w:lineRule="exact"/>
        <w:rPr>
          <w:sz w:val="20"/>
          <w:szCs w:val="20"/>
          <w:color w:val="auto"/>
        </w:rPr>
      </w:pPr>
    </w:p>
    <w:p>
      <w:pPr>
        <w:ind w:right="140" w:firstLine="1488"/>
        <w:spacing w:after="0" w:line="263" w:lineRule="auto"/>
        <w:tabs>
          <w:tab w:leader="none" w:pos="1684" w:val="left"/>
        </w:tabs>
        <w:numPr>
          <w:ilvl w:val="2"/>
          <w:numId w:val="106"/>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when the Optionee is employed by the Trust, the Optionee’s beneficiary shall have a period of two (2) years after the date of the Optionee’s death to exercise all or any part of the Option to the extent that it was exercisable upon such termination of Service including as a result of Section 3 above;</w:t>
      </w:r>
    </w:p>
    <w:p>
      <w:pPr>
        <w:spacing w:after="0" w:line="128" w:lineRule="exact"/>
        <w:rPr>
          <w:rFonts w:ascii="Arial" w:cs="Arial" w:eastAsia="Arial" w:hAnsi="Arial"/>
          <w:sz w:val="17"/>
          <w:szCs w:val="17"/>
          <w:b w:val="1"/>
          <w:bCs w:val="1"/>
          <w:color w:val="auto"/>
        </w:rPr>
      </w:pPr>
    </w:p>
    <w:p>
      <w:pPr>
        <w:ind w:right="100" w:firstLine="1488"/>
        <w:spacing w:after="0" w:line="257" w:lineRule="auto"/>
        <w:tabs>
          <w:tab w:leader="none" w:pos="1731" w:val="left"/>
        </w:tabs>
        <w:numPr>
          <w:ilvl w:val="2"/>
          <w:numId w:val="106"/>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after the Optionee’s termination of Service by reason of Disability or Retirement but before the expiration of one (1) year after the Optionee’s termination of Service by reason of Disability or Retirement, the one (1) year period provided for in Section 4(b) and (c) shall be extended for an additional one (1) year period such that the Optionee’s beneficiary shall have a period of two (2) years from the date of the Optionee’s termination of Service by reason of Disability or Retirement to exercise all or any part of the Option to the extent that it was exercisable upon such termination of Service including as a result of Section 3 above;</w:t>
      </w:r>
    </w:p>
    <w:p>
      <w:pPr>
        <w:spacing w:after="0" w:line="135" w:lineRule="exact"/>
        <w:rPr>
          <w:rFonts w:ascii="Arial" w:cs="Arial" w:eastAsia="Arial" w:hAnsi="Arial"/>
          <w:sz w:val="17"/>
          <w:szCs w:val="17"/>
          <w:b w:val="1"/>
          <w:bCs w:val="1"/>
          <w:color w:val="auto"/>
        </w:rPr>
      </w:pPr>
    </w:p>
    <w:p>
      <w:pPr>
        <w:ind w:right="240" w:firstLine="1488"/>
        <w:spacing w:after="0" w:line="273" w:lineRule="auto"/>
        <w:tabs>
          <w:tab w:leader="none" w:pos="1777" w:val="left"/>
        </w:tabs>
        <w:numPr>
          <w:ilvl w:val="2"/>
          <w:numId w:val="106"/>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following any other termination of Service, the Optionee’s beneficiary shall have the remaining period of time specified in Section 4(a), if any, to exercise all or any part of the Option.</w:t>
      </w:r>
    </w:p>
    <w:p>
      <w:pPr>
        <w:spacing w:after="0" w:line="116" w:lineRule="exact"/>
        <w:rPr>
          <w:rFonts w:ascii="Arial" w:cs="Arial" w:eastAsia="Arial" w:hAnsi="Arial"/>
          <w:sz w:val="17"/>
          <w:szCs w:val="17"/>
          <w:b w:val="1"/>
          <w:bCs w:val="1"/>
          <w:color w:val="auto"/>
        </w:rPr>
      </w:pPr>
    </w:p>
    <w:p>
      <w:pPr>
        <w:ind w:right="120" w:firstLine="916"/>
        <w:spacing w:after="0" w:line="278" w:lineRule="auto"/>
        <w:tabs>
          <w:tab w:leader="none" w:pos="1141" w:val="left"/>
        </w:tabs>
        <w:numPr>
          <w:ilvl w:val="1"/>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If the Optionee incurs an Involuntary Termination within the one (1) year period commencing with a Change in Control,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shall have a period of one (1) year from the date of such Involuntary Termination to exercise all or any part of the Option to the extent that it was exercisable upon such Involuntary Termination including as a result of Section 3 above. Any exercise of all or any part of the Option after an Involuntary Termination following a Change in Control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232" w:lineRule="exact"/>
        <w:rPr>
          <w:rFonts w:ascii="Arial" w:cs="Arial" w:eastAsia="Arial" w:hAnsi="Arial"/>
          <w:sz w:val="16"/>
          <w:szCs w:val="16"/>
          <w:b w:val="1"/>
          <w:bCs w:val="1"/>
          <w:color w:val="auto"/>
        </w:rPr>
      </w:pPr>
    </w:p>
    <w:p>
      <w:pPr>
        <w:ind w:left="900" w:hanging="448"/>
        <w:spacing w:after="0"/>
        <w:tabs>
          <w:tab w:leader="none" w:pos="90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Procedures</w:t>
      </w:r>
      <w:r>
        <w:rPr>
          <w:rFonts w:ascii="Arial" w:cs="Arial" w:eastAsia="Arial" w:hAnsi="Arial"/>
          <w:sz w:val="17"/>
          <w:szCs w:val="17"/>
          <w:b w:val="1"/>
          <w:bCs w:val="1"/>
          <w:color w:val="auto"/>
        </w:rPr>
        <w:t>.</w:t>
      </w:r>
    </w:p>
    <w:p>
      <w:pPr>
        <w:spacing w:after="0" w:line="87" w:lineRule="exact"/>
        <w:rPr>
          <w:rFonts w:ascii="Arial" w:cs="Arial" w:eastAsia="Arial" w:hAnsi="Arial"/>
          <w:sz w:val="17"/>
          <w:szCs w:val="17"/>
          <w:b w:val="1"/>
          <w:bCs w:val="1"/>
          <w:color w:val="auto"/>
        </w:rPr>
      </w:pPr>
    </w:p>
    <w:p>
      <w:pPr>
        <w:ind w:firstLine="916"/>
        <w:spacing w:after="0" w:line="294" w:lineRule="auto"/>
        <w:tabs>
          <w:tab w:leader="none" w:pos="1150" w:val="left"/>
        </w:tabs>
        <w:numPr>
          <w:ilvl w:val="1"/>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Method of Exercise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vested, the Option shall be exercisable by providing written notice to the Trust and making all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arrangements to pay the exercise price and provide for any applicable tax withholding as provided in this Section 5. Such written notice shall set forth such information as the Trust may reasonably require from time to time which may include, without limitation: (i) the number of Shares being purchased and whether those Shares are issuable as a result of the exercise of the Incentive Stock Option portion of the Option or the Non-Qualified Share Option portion of the Option; (ii) the total exercise price for the Shares being purchased; and (iii) the exact name(s) as it should appear to whom the Shares are to be issued and address to which the Shares should be sent. For the exercise of the Option to be valid, such written notice must be provided to the Secretary of the Trust and additional arrangements to pay the exercise price must be completed on or before 5:00 P.M. local time at the principal office of the Trust on the expiration date of the Option. If the written notice is not provided to the Secretary of the Trust or the arrangements to pay the exercise price have not be completed on or before such date and time, the Option will expire and be of no further force of effect.</w:t>
      </w:r>
    </w:p>
    <w:p>
      <w:pPr>
        <w:spacing w:after="0" w:line="108" w:lineRule="exact"/>
        <w:rPr>
          <w:rFonts w:ascii="Arial" w:cs="Arial" w:eastAsia="Arial" w:hAnsi="Arial"/>
          <w:sz w:val="15"/>
          <w:szCs w:val="15"/>
          <w:b w:val="1"/>
          <w:bCs w:val="1"/>
          <w:color w:val="auto"/>
        </w:rPr>
      </w:pPr>
    </w:p>
    <w:p>
      <w:pPr>
        <w:ind w:right="240" w:firstLine="916"/>
        <w:spacing w:after="0" w:line="316" w:lineRule="auto"/>
        <w:tabs>
          <w:tab w:leader="none" w:pos="1160" w:val="left"/>
        </w:tabs>
        <w:numPr>
          <w:ilvl w:val="1"/>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Payment of Exercise Price. </w:t>
      </w:r>
      <w:r>
        <w:rPr>
          <w:rFonts w:ascii="Arial" w:cs="Arial" w:eastAsia="Arial" w:hAnsi="Arial"/>
          <w:sz w:val="15"/>
          <w:szCs w:val="15"/>
          <w:color w:val="auto"/>
        </w:rPr>
        <w:t>The exercise price of Shares purchased upon exercise of the Option shall be paid in full (a) in cash, (b) by delivery to the</w:t>
      </w:r>
      <w:r>
        <w:rPr>
          <w:rFonts w:ascii="Arial" w:cs="Arial" w:eastAsia="Arial" w:hAnsi="Arial"/>
          <w:sz w:val="15"/>
          <w:szCs w:val="15"/>
          <w:b w:val="1"/>
          <w:bCs w:val="1"/>
          <w:color w:val="auto"/>
        </w:rPr>
        <w:t xml:space="preserve"> </w:t>
      </w:r>
      <w:r>
        <w:rPr>
          <w:rFonts w:ascii="Arial" w:cs="Arial" w:eastAsia="Arial" w:hAnsi="Arial"/>
          <w:sz w:val="15"/>
          <w:szCs w:val="15"/>
          <w:color w:val="auto"/>
        </w:rPr>
        <w:t>Trust of Shares which shall have been held by the Optionee for at least six months having, on the date of exercise, a fair market value equal to the aggregate exercise price, (c) in any combination of cash and Shares, or (d) cash equivalents acceptable to the Trust or by payment in accordance with a broker-assisted cashless exercise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5</w:t>
      </w:r>
    </w:p>
    <w:p>
      <w:pPr>
        <w:sectPr>
          <w:pgSz w:w="11900" w:h="16838" w:orient="portrait"/>
          <w:cols w:equalWidth="0" w:num="1">
            <w:col w:w="11420"/>
          </w:cols>
          <w:pgMar w:left="240" w:top="268" w:right="239" w:bottom="1440" w:gutter="0" w:footer="0" w:header="0"/>
        </w:sectPr>
      </w:pPr>
    </w:p>
    <w:bookmarkStart w:id="129" w:name="page130"/>
    <w:bookmarkEnd w:id="129"/>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program under which, if so instructed by the Optionee, Shares may be issued directly to the Optionee’s broker or dealer against receipt of the exercise price in cash from the broker or dealer.</w:t>
      </w:r>
    </w:p>
    <w:p>
      <w:pPr>
        <w:spacing w:after="0" w:line="117" w:lineRule="exact"/>
        <w:rPr>
          <w:sz w:val="20"/>
          <w:szCs w:val="20"/>
          <w:color w:val="auto"/>
        </w:rPr>
      </w:pPr>
    </w:p>
    <w:p>
      <w:pPr>
        <w:ind w:right="40" w:firstLine="916"/>
        <w:spacing w:after="0" w:line="275" w:lineRule="auto"/>
        <w:tabs>
          <w:tab w:leader="none" w:pos="1141" w:val="left"/>
        </w:tabs>
        <w:numPr>
          <w:ilvl w:val="1"/>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Delivery of Certificate; Registration of Shares</w:t>
      </w:r>
      <w:r>
        <w:rPr>
          <w:rFonts w:ascii="Arial" w:cs="Arial" w:eastAsia="Arial" w:hAnsi="Arial"/>
          <w:sz w:val="16"/>
          <w:szCs w:val="16"/>
          <w:color w:val="auto"/>
        </w:rPr>
        <w:t>. Subject to Section 9 hereof, either a book entry registration of the purchased Shares or certificates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purchased Shares will be issued and delivered to the Optionee as soon as practicable after the receipt of payment of the exercise price in accordance with Section 5(b) above; </w:t>
      </w:r>
      <w:r>
        <w:rPr>
          <w:rFonts w:ascii="Arial" w:cs="Arial" w:eastAsia="Arial" w:hAnsi="Arial"/>
          <w:sz w:val="16"/>
          <w:szCs w:val="16"/>
          <w:i w:val="1"/>
          <w:iCs w:val="1"/>
          <w:color w:val="auto"/>
        </w:rPr>
        <w:t>provided, however</w:t>
      </w:r>
      <w:r>
        <w:rPr>
          <w:rFonts w:ascii="Arial" w:cs="Arial" w:eastAsia="Arial" w:hAnsi="Arial"/>
          <w:sz w:val="16"/>
          <w:szCs w:val="16"/>
          <w:color w:val="auto"/>
        </w:rPr>
        <w:t>, that delivery of any such Shares shall be deemed effected for all purposes when a stock transfer agent of the Trust shall have placed such Shares into a book-entry account or deposited such certificates in the United States mail, addressed to Optionee, at the address for the Optionee included in the Optionee’s personnel file or to such other address as Optionee may from time to time designate in a written notice to the Trust. The Optionee shall not be deemed for any purpose to be a shareholder of the Trust in respect of any Shares as to which the Option shall not have been exercised, as herein provided, until such Shares have been issued to Optionee by the Trust hereunder.</w:t>
      </w:r>
    </w:p>
    <w:p>
      <w:pPr>
        <w:spacing w:after="0" w:line="117" w:lineRule="exact"/>
        <w:rPr>
          <w:rFonts w:ascii="Arial" w:cs="Arial" w:eastAsia="Arial" w:hAnsi="Arial"/>
          <w:sz w:val="16"/>
          <w:szCs w:val="16"/>
          <w:b w:val="1"/>
          <w:bCs w:val="1"/>
          <w:color w:val="auto"/>
        </w:rPr>
      </w:pPr>
    </w:p>
    <w:p>
      <w:pPr>
        <w:ind w:right="120" w:firstLine="460"/>
        <w:spacing w:after="0" w:line="257" w:lineRule="auto"/>
        <w:tabs>
          <w:tab w:leader="none" w:pos="624"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Provisions Control Option Terms;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and subject to the terms and conditions of the Plan,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In the event any provision of this Agreement shall conflict with any of the terms in the Plan as constituted on the Grant Date, the terms of the Plan as constituted on the Grant Date shall control. The Trust may modify the Option after the Grant Date; provided, however, that no such modification may be made which is adverse to the Optionee without the Optionee’s express written agreement. Any such modification shall not be inconsistent with the terms of the Plan. For purposes of this Agreement, a modification which causes an Incentive Stock Option to be a Non-Qualified Share Option shall not be treated as a modification adverse to the Optionee.</w:t>
      </w:r>
    </w:p>
    <w:p>
      <w:pPr>
        <w:spacing w:after="0" w:line="131" w:lineRule="exact"/>
        <w:rPr>
          <w:rFonts w:ascii="Arial" w:cs="Arial" w:eastAsia="Arial" w:hAnsi="Arial"/>
          <w:sz w:val="17"/>
          <w:szCs w:val="17"/>
          <w:b w:val="1"/>
          <w:bCs w:val="1"/>
          <w:color w:val="auto"/>
        </w:rPr>
      </w:pPr>
    </w:p>
    <w:p>
      <w:pPr>
        <w:ind w:right="160" w:firstLine="460"/>
        <w:spacing w:after="0" w:line="294" w:lineRule="auto"/>
        <w:tabs>
          <w:tab w:leader="none" w:pos="624"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provided in this Section 7, the Option may not be assigned or transferred other than by will or the laws of descent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The Optionee may transfer, in a not for value transfer, the part of this Option that is a Non-Qualified Share Option to any Family Member (as defined in the Plan). For the purpose of this Section 7, a “not for value” transfer is a transfer which is: (a) a gift; (b) a transfer under a domestic relations order in settlement of marital property rights; or (c) a transfer to an entity in which more than fifty percent of the voting interests are owned by Family Members (or the Optionee)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Optionee in accordance with this Section 7 or by will or the laws of descent and distribution. The Optionee’s beneficiary may exercise the Optionee’s rights hereunder only to the extent they were exercisable under this Agreement at the date of the death of the Optionee and are otherwise currently exercisable.</w:t>
      </w:r>
    </w:p>
    <w:p>
      <w:pPr>
        <w:spacing w:after="0" w:line="108" w:lineRule="exact"/>
        <w:rPr>
          <w:rFonts w:ascii="Arial" w:cs="Arial" w:eastAsia="Arial" w:hAnsi="Arial"/>
          <w:sz w:val="15"/>
          <w:szCs w:val="15"/>
          <w:b w:val="1"/>
          <w:bCs w:val="1"/>
          <w:color w:val="auto"/>
        </w:rPr>
      </w:pPr>
    </w:p>
    <w:p>
      <w:pPr>
        <w:ind w:firstLine="460"/>
        <w:spacing w:after="0" w:line="294" w:lineRule="auto"/>
        <w:tabs>
          <w:tab w:leader="none" w:pos="624"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Trust shall be entitled to withhold (or secure payment from the Optionee in lieu of withholding) the amount of any withholding or other tax</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law to be withheld or paid by the Trust with respect to any Shares issuable under this Agreement, and the Trust may defer issuance of Shares upon the exercise of the Option unless the Trust is indemnified to its satisfaction against any liability for any such tax. The amount of such withholding or tax payment shall be determined by the Trust or its delegate and shall be payable by the Optionee at such time as the Trust determines. The Optionee may satisfy his or her minimum required tax withholding obligation by the payment of cash to the Trust and/or, if so approved by the Trust, by the withholding from the Option, at the appropriate time, of a number of Shares sufficient, based upon the Fair Market Value of such Shares, to satisfy such tax withholding requirements. The Trust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5</w:t>
      </w:r>
    </w:p>
    <w:p>
      <w:pPr>
        <w:sectPr>
          <w:pgSz w:w="11900" w:h="16838" w:orient="portrait"/>
          <w:cols w:equalWidth="0" w:num="1">
            <w:col w:w="11420"/>
          </w:cols>
          <w:pgMar w:left="240" w:top="272" w:right="239" w:bottom="1440" w:gutter="0" w:footer="0" w:header="0"/>
        </w:sectPr>
      </w:pPr>
    </w:p>
    <w:bookmarkStart w:id="130" w:name="page131"/>
    <w:bookmarkEnd w:id="130"/>
    <w:p>
      <w:pPr>
        <w:ind w:left="-40" w:right="180" w:firstLine="460"/>
        <w:spacing w:after="0" w:line="261" w:lineRule="auto"/>
        <w:tabs>
          <w:tab w:leader="none" w:pos="584"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No Exercise in Violation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of the provisions of this Agreement, the Optionee hereby agrees that he or she will not exercise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granted hereby, and that the Trust will not be obligated to issue any Shares to the Optionee hereunder, if the exercise thereof or the issuance of such Shares shall constitute a violation by the Optionee or the Trust of any provision of any law or regulation of any governmental authority. Any determination in this connection by the Committee shall be final, binding and conclusive.</w:t>
      </w:r>
    </w:p>
    <w:p>
      <w:pPr>
        <w:spacing w:after="0" w:line="126" w:lineRule="exact"/>
        <w:rPr>
          <w:rFonts w:ascii="Arial" w:cs="Arial" w:eastAsia="Arial" w:hAnsi="Arial"/>
          <w:sz w:val="17"/>
          <w:szCs w:val="17"/>
          <w:b w:val="1"/>
          <w:bCs w:val="1"/>
          <w:color w:val="auto"/>
        </w:rPr>
      </w:pPr>
    </w:p>
    <w:p>
      <w:pPr>
        <w:ind w:left="-40" w:firstLine="460"/>
        <w:spacing w:after="0" w:line="273" w:lineRule="auto"/>
        <w:tabs>
          <w:tab w:leader="none" w:pos="66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Code Section 409A</w:t>
      </w:r>
      <w:r>
        <w:rPr>
          <w:rFonts w:ascii="Arial" w:cs="Arial" w:eastAsia="Arial" w:hAnsi="Arial"/>
          <w:sz w:val="16"/>
          <w:szCs w:val="16"/>
          <w:color w:val="auto"/>
        </w:rPr>
        <w:t>. Notwithstanding anything herein to the contrary, the Key Employee shall be solely responsible and liable for the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taxes and penalties that may arise in connection with this Agreement (including any taxes arising under Section 409A of the Code). 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Trust has executed this Agreement as of the day and year first above written.</w:t>
      </w:r>
    </w:p>
    <w:p>
      <w:pPr>
        <w:spacing w:after="0" w:line="203" w:lineRule="exact"/>
        <w:rPr>
          <w:sz w:val="20"/>
          <w:szCs w:val="20"/>
          <w:color w:val="auto"/>
        </w:rPr>
      </w:pPr>
    </w:p>
    <w:p>
      <w:pPr>
        <w:ind w:left="6820"/>
        <w:spacing w:after="0"/>
        <w:rPr>
          <w:sz w:val="20"/>
          <w:szCs w:val="20"/>
          <w:color w:val="auto"/>
        </w:rPr>
      </w:pPr>
      <w:r>
        <w:rPr>
          <w:rFonts w:ascii="Arial" w:cs="Arial" w:eastAsia="Arial" w:hAnsi="Arial"/>
          <w:sz w:val="17"/>
          <w:szCs w:val="17"/>
          <w:b w:val="1"/>
          <w:bCs w:val="1"/>
          <w:color w:val="auto"/>
        </w:rPr>
        <w:t>FEDERAL REALTY INVESTMENT TRUST</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12065</wp:posOffset>
            </wp:positionV>
            <wp:extent cx="26600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60015"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Dawn M. Becker</w:t>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Executive Vice President-General Counsel</w:t>
      </w:r>
    </w:p>
    <w:p>
      <w:pPr>
        <w:spacing w:after="0" w:line="10"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and Secretary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5</w:t>
      </w:r>
    </w:p>
    <w:p>
      <w:pPr>
        <w:sectPr>
          <w:pgSz w:w="11900" w:h="16838" w:orient="portrait"/>
          <w:cols w:equalWidth="0" w:num="1">
            <w:col w:w="11340"/>
          </w:cols>
          <w:pgMar w:left="280" w:top="268" w:right="2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10.39</w:t>
      </w:r>
    </w:p>
    <w:p>
      <w:pPr>
        <w:spacing w:after="0" w:line="16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FEDERAL REALTY INVESTMENT TRUST</w:t>
      </w:r>
    </w:p>
    <w:p>
      <w:pPr>
        <w:spacing w:after="0" w:line="164" w:lineRule="exact"/>
        <w:rPr>
          <w:sz w:val="20"/>
          <w:szCs w:val="20"/>
          <w:color w:val="auto"/>
        </w:rPr>
      </w:pPr>
    </w:p>
    <w:p>
      <w:pPr>
        <w:ind w:left="3180"/>
        <w:spacing w:after="0"/>
        <w:rPr>
          <w:sz w:val="20"/>
          <w:szCs w:val="20"/>
          <w:color w:val="auto"/>
        </w:rPr>
      </w:pPr>
      <w:r>
        <w:rPr>
          <w:rFonts w:ascii="Arial" w:cs="Arial" w:eastAsia="Arial" w:hAnsi="Arial"/>
          <w:sz w:val="17"/>
          <w:szCs w:val="17"/>
          <w:b w:val="1"/>
          <w:bCs w:val="1"/>
          <w:u w:val="single" w:color="auto"/>
          <w:color w:val="auto"/>
        </w:rPr>
        <w:t>COMBINED INCENTIVE AND NON-QUALIFIED SHARE OPTION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 FOR EMPLOYEES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3"/>
          </w:tcPr>
          <w:p>
            <w:pPr>
              <w:ind w:left="460"/>
              <w:spacing w:after="0"/>
              <w:rPr>
                <w:sz w:val="20"/>
                <w:szCs w:val="20"/>
                <w:color w:val="auto"/>
              </w:rPr>
            </w:pPr>
            <w:r>
              <w:rPr>
                <w:rFonts w:ascii="Arial" w:cs="Arial" w:eastAsia="Arial" w:hAnsi="Arial"/>
                <w:sz w:val="17"/>
                <w:szCs w:val="17"/>
                <w:b w:val="1"/>
                <w:bCs w:val="1"/>
                <w:color w:val="auto"/>
                <w:w w:val="98"/>
              </w:rPr>
              <w:t xml:space="preserve">AGREEMENT </w:t>
            </w:r>
            <w:r>
              <w:rPr>
                <w:rFonts w:ascii="Arial" w:cs="Arial" w:eastAsia="Arial" w:hAnsi="Arial"/>
                <w:sz w:val="17"/>
                <w:szCs w:val="17"/>
                <w:color w:val="auto"/>
                <w:w w:val="98"/>
              </w:rPr>
              <w:t>(“Agreement”) dated this   day of</w:t>
            </w:r>
          </w:p>
        </w:tc>
        <w:tc>
          <w:tcPr>
            <w:tcW w:w="500" w:type="dxa"/>
            <w:vAlign w:val="bottom"/>
          </w:tcPr>
          <w:p>
            <w:pPr>
              <w:spacing w:after="0"/>
              <w:rPr>
                <w:sz w:val="16"/>
                <w:szCs w:val="16"/>
                <w:color w:val="auto"/>
              </w:rPr>
            </w:pPr>
          </w:p>
        </w:tc>
        <w:tc>
          <w:tcPr>
            <w:tcW w:w="6700" w:type="dxa"/>
            <w:vAlign w:val="bottom"/>
            <w:gridSpan w:val="5"/>
          </w:tcPr>
          <w:p>
            <w:pPr>
              <w:ind w:left="40"/>
              <w:spacing w:after="0"/>
              <w:rPr>
                <w:sz w:val="20"/>
                <w:szCs w:val="20"/>
                <w:color w:val="auto"/>
              </w:rPr>
            </w:pPr>
            <w:r>
              <w:rPr>
                <w:rFonts w:ascii="Arial" w:cs="Arial" w:eastAsia="Arial" w:hAnsi="Arial"/>
                <w:sz w:val="17"/>
                <w:szCs w:val="17"/>
                <w:color w:val="auto"/>
                <w:w w:val="98"/>
              </w:rPr>
              <w:t xml:space="preserve">, 201   (the “Grant Date”), by </w:t>
            </w:r>
            <w:r>
              <w:rPr>
                <w:rFonts w:ascii="Arial" w:cs="Arial" w:eastAsia="Arial" w:hAnsi="Arial"/>
                <w:sz w:val="17"/>
                <w:szCs w:val="17"/>
                <w:b w:val="1"/>
                <w:bCs w:val="1"/>
                <w:color w:val="auto"/>
                <w:w w:val="98"/>
              </w:rPr>
              <w:t>FEDERAL REALTY INVESTMENT TRUST</w:t>
            </w:r>
            <w:r>
              <w:rPr>
                <w:rFonts w:ascii="Arial" w:cs="Arial" w:eastAsia="Arial" w:hAnsi="Arial"/>
                <w:sz w:val="17"/>
                <w:szCs w:val="17"/>
                <w:color w:val="auto"/>
                <w:w w:val="98"/>
              </w:rPr>
              <w:t>, a Maryland real</w:t>
            </w:r>
          </w:p>
        </w:tc>
      </w:tr>
      <w:tr>
        <w:trPr>
          <w:trHeight w:val="20"/>
        </w:trPr>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6"/>
        </w:trPr>
        <w:tc>
          <w:tcPr>
            <w:tcW w:w="10120" w:type="dxa"/>
            <w:vAlign w:val="bottom"/>
            <w:gridSpan w:val="7"/>
          </w:tcPr>
          <w:p>
            <w:pPr>
              <w:spacing w:after="0" w:line="185" w:lineRule="exact"/>
              <w:rPr>
                <w:sz w:val="20"/>
                <w:szCs w:val="20"/>
                <w:color w:val="auto"/>
              </w:rPr>
            </w:pPr>
            <w:r>
              <w:rPr>
                <w:rFonts w:ascii="Arial" w:cs="Arial" w:eastAsia="Arial" w:hAnsi="Arial"/>
                <w:sz w:val="17"/>
                <w:szCs w:val="17"/>
                <w:color w:val="auto"/>
                <w:w w:val="89"/>
              </w:rPr>
              <w:t>estate investment trust (“Trust”) with an address of 1626 East Jefferson Street, Rockville, Maryland 20852, providing notice of a share option award to</w:t>
            </w:r>
          </w:p>
        </w:tc>
        <w:tc>
          <w:tcPr>
            <w:tcW w:w="1080" w:type="dxa"/>
            <w:vAlign w:val="bottom"/>
            <w:gridSpan w:val="2"/>
          </w:tcPr>
          <w:p>
            <w:pPr>
              <w:ind w:left="840"/>
              <w:spacing w:after="0" w:line="185" w:lineRule="exact"/>
              <w:rPr>
                <w:sz w:val="20"/>
                <w:szCs w:val="20"/>
                <w:color w:val="auto"/>
              </w:rPr>
            </w:pPr>
            <w:r>
              <w:rPr>
                <w:rFonts w:ascii="Arial" w:cs="Arial" w:eastAsia="Arial" w:hAnsi="Arial"/>
                <w:sz w:val="17"/>
                <w:szCs w:val="17"/>
                <w:color w:val="auto"/>
                <w:w w:val="77"/>
              </w:rPr>
              <w:t>, an</w:t>
            </w:r>
          </w:p>
        </w:tc>
      </w:tr>
      <w:tr>
        <w:trPr>
          <w:trHeight w:val="223"/>
        </w:trPr>
        <w:tc>
          <w:tcPr>
            <w:tcW w:w="4000" w:type="dxa"/>
            <w:vAlign w:val="bottom"/>
            <w:gridSpan w:val="3"/>
          </w:tcPr>
          <w:p>
            <w:pPr>
              <w:spacing w:after="0"/>
              <w:rPr>
                <w:sz w:val="20"/>
                <w:szCs w:val="20"/>
                <w:color w:val="auto"/>
              </w:rPr>
            </w:pPr>
            <w:r>
              <w:rPr>
                <w:rFonts w:ascii="Arial" w:cs="Arial" w:eastAsia="Arial" w:hAnsi="Arial"/>
                <w:sz w:val="17"/>
                <w:szCs w:val="17"/>
                <w:color w:val="auto"/>
              </w:rPr>
              <w:t>employee of the Trust (“Optionee”).</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bl>
    <w:p>
      <w:pPr>
        <w:spacing w:after="0" w:line="143" w:lineRule="exact"/>
        <w:rPr>
          <w:sz w:val="20"/>
          <w:szCs w:val="20"/>
          <w:color w:val="auto"/>
        </w:rPr>
      </w:pPr>
    </w:p>
    <w:p>
      <w:pPr>
        <w:ind w:right="20" w:firstLine="457"/>
        <w:spacing w:after="0" w:line="27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Trustees of the Trust has authorized the award by the Trust to the Optionee under the Federal Realty Investment Trust 2010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Incentive Plan (“Plan”);</w:t>
      </w:r>
    </w:p>
    <w:p>
      <w:pPr>
        <w:spacing w:after="0" w:line="112" w:lineRule="exact"/>
        <w:rPr>
          <w:sz w:val="20"/>
          <w:szCs w:val="20"/>
          <w:color w:val="auto"/>
        </w:rPr>
      </w:pPr>
    </w:p>
    <w:p>
      <w:pPr>
        <w:jc w:val="both"/>
        <w:ind w:right="220" w:firstLine="457"/>
        <w:spacing w:after="0" w:line="26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Trust desires to grant, as set forth herein, to Optionee under the Plan (1) options for Shares that qualify as “Incentive Stock Options”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Section 422 or any successor provision of the Internal Revenue Code of 1986, as amended (“Code”), and/or (2) options not intended to qualify as Incentive Stock Options (“Non-Qualified Share Options”); and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unless otherwise provided herein, capitalized terms used in this Agreement shall have the meaning given them in the Plan.</w:t>
      </w:r>
    </w:p>
    <w:p>
      <w:pPr>
        <w:spacing w:after="0" w:line="164" w:lineRule="exact"/>
        <w:rPr>
          <w:sz w:val="20"/>
          <w:szCs w:val="20"/>
          <w:color w:val="auto"/>
        </w:rPr>
      </w:pPr>
    </w:p>
    <w:p>
      <w:pPr>
        <w:ind w:right="60" w:firstLine="457"/>
        <w:spacing w:after="0" w:line="27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representations herein contained and intending to be legally bound, the parties hereto agree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12" w:lineRule="exact"/>
        <w:rPr>
          <w:sz w:val="20"/>
          <w:szCs w:val="20"/>
          <w:color w:val="auto"/>
        </w:rPr>
      </w:pPr>
    </w:p>
    <w:p>
      <w:pPr>
        <w:ind w:left="620" w:hanging="160"/>
        <w:spacing w:after="0"/>
        <w:tabs>
          <w:tab w:leader="none" w:pos="62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 Grant Facts: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Trust hereby grants to Optionee the following option (“Option”) to purchase Shares:</w:t>
      </w:r>
    </w:p>
    <w:p>
      <w:pPr>
        <w:spacing w:after="0" w:line="91" w:lineRule="exact"/>
        <w:rPr>
          <w:rFonts w:ascii="Arial" w:cs="Arial" w:eastAsia="Arial" w:hAnsi="Arial"/>
          <w:sz w:val="17"/>
          <w:szCs w:val="17"/>
          <w:b w:val="1"/>
          <w:bCs w:val="1"/>
          <w:color w:val="auto"/>
        </w:rPr>
      </w:pPr>
    </w:p>
    <w:p>
      <w:pPr>
        <w:ind w:left="1040" w:hanging="343"/>
        <w:spacing w:after="0"/>
        <w:tabs>
          <w:tab w:leader="none" w:pos="1040" w:val="left"/>
        </w:tabs>
        <w:numPr>
          <w:ilvl w:val="1"/>
          <w:numId w:val="112"/>
        </w:numPr>
        <w:rPr>
          <w:rFonts w:ascii="Arial" w:cs="Arial" w:eastAsia="Arial" w:hAnsi="Arial"/>
          <w:sz w:val="17"/>
          <w:szCs w:val="17"/>
          <w:b w:val="1"/>
          <w:bCs w:val="1"/>
          <w:color w:val="auto"/>
        </w:rPr>
      </w:pPr>
      <w:r>
        <w:rPr>
          <w:rFonts w:ascii="Arial" w:cs="Arial" w:eastAsia="Arial" w:hAnsi="Arial"/>
          <w:sz w:val="17"/>
          <w:szCs w:val="17"/>
          <w:color w:val="auto"/>
        </w:rPr>
        <w:t>Number of Shares Subject to this Option:</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Incentive Stock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13"/>
        </w:trPr>
        <w:tc>
          <w:tcPr>
            <w:tcW w:w="2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Non-Qualified Share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71"/>
        </w:trPr>
        <w:tc>
          <w:tcPr>
            <w:tcW w:w="280" w:type="dxa"/>
            <w:vAlign w:val="bottom"/>
          </w:tcPr>
          <w:p>
            <w:pPr>
              <w:spacing w:after="0"/>
              <w:rPr>
                <w:sz w:val="20"/>
                <w:szCs w:val="20"/>
                <w:color w:val="auto"/>
              </w:rPr>
            </w:pPr>
            <w:r>
              <w:rPr>
                <w:rFonts w:ascii="Arial" w:cs="Arial" w:eastAsia="Arial" w:hAnsi="Arial"/>
                <w:sz w:val="17"/>
                <w:szCs w:val="17"/>
                <w:b w:val="1"/>
                <w:bCs w:val="1"/>
                <w:color w:val="auto"/>
              </w:rPr>
              <w:t>(b)</w:t>
            </w:r>
          </w:p>
        </w:tc>
        <w:tc>
          <w:tcPr>
            <w:tcW w:w="5240" w:type="dxa"/>
            <w:vAlign w:val="bottom"/>
          </w:tcPr>
          <w:p>
            <w:pPr>
              <w:ind w:left="60"/>
              <w:spacing w:after="0"/>
              <w:rPr>
                <w:sz w:val="20"/>
                <w:szCs w:val="20"/>
                <w:color w:val="auto"/>
              </w:rPr>
            </w:pPr>
            <w:r>
              <w:rPr>
                <w:rFonts w:ascii="Arial" w:cs="Arial" w:eastAsia="Arial" w:hAnsi="Arial"/>
                <w:sz w:val="17"/>
                <w:szCs w:val="17"/>
                <w:color w:val="auto"/>
              </w:rPr>
              <w:t>Purchase Price of Shares subject to the Option:</w:t>
            </w:r>
          </w:p>
        </w:tc>
        <w:tc>
          <w:tcPr>
            <w:tcW w:w="2120" w:type="dxa"/>
            <w:vAlign w:val="bottom"/>
          </w:tcPr>
          <w:p>
            <w:pPr>
              <w:ind w:left="204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23"/>
                <w:szCs w:val="23"/>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7"/>
                <w:szCs w:val="17"/>
                <w:b w:val="1"/>
                <w:bCs w:val="1"/>
                <w:color w:val="auto"/>
              </w:rPr>
              <w:t>(c)</w:t>
            </w:r>
          </w:p>
        </w:tc>
        <w:tc>
          <w:tcPr>
            <w:tcW w:w="5240" w:type="dxa"/>
            <w:vAlign w:val="bottom"/>
          </w:tcPr>
          <w:p>
            <w:pPr>
              <w:ind w:left="60"/>
              <w:spacing w:after="0"/>
              <w:rPr>
                <w:sz w:val="20"/>
                <w:szCs w:val="20"/>
                <w:color w:val="auto"/>
              </w:rPr>
            </w:pPr>
            <w:r>
              <w:rPr>
                <w:rFonts w:ascii="Arial" w:cs="Arial" w:eastAsia="Arial" w:hAnsi="Arial"/>
                <w:sz w:val="17"/>
                <w:szCs w:val="17"/>
                <w:color w:val="auto"/>
              </w:rPr>
              <w:t>Grant Date of the Option:</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bl>
    <w:p>
      <w:pPr>
        <w:spacing w:after="0" w:line="96" w:lineRule="exact"/>
        <w:rPr>
          <w:sz w:val="20"/>
          <w:szCs w:val="20"/>
          <w:color w:val="auto"/>
        </w:rPr>
      </w:pPr>
    </w:p>
    <w:p>
      <w:pPr>
        <w:ind w:left="1040" w:hanging="343"/>
        <w:spacing w:after="0"/>
        <w:tabs>
          <w:tab w:leader="none" w:pos="1040" w:val="left"/>
        </w:tabs>
        <w:numPr>
          <w:ilvl w:val="0"/>
          <w:numId w:val="113"/>
        </w:numPr>
        <w:rPr>
          <w:rFonts w:ascii="Arial" w:cs="Arial" w:eastAsia="Arial" w:hAnsi="Arial"/>
          <w:sz w:val="17"/>
          <w:szCs w:val="17"/>
          <w:b w:val="1"/>
          <w:bCs w:val="1"/>
          <w:color w:val="auto"/>
        </w:rPr>
      </w:pPr>
      <w:r>
        <w:rPr>
          <w:rFonts w:ascii="Arial" w:cs="Arial" w:eastAsia="Arial" w:hAnsi="Arial"/>
          <w:sz w:val="17"/>
          <w:szCs w:val="17"/>
          <w:color w:val="auto"/>
        </w:rPr>
        <w:t>Vesting Schedule of Shares Subject to the Option:</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Incentive</w:t>
            </w:r>
          </w:p>
        </w:tc>
        <w:tc>
          <w:tcPr>
            <w:tcW w:w="268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Non-Qualified</w:t>
            </w:r>
          </w:p>
        </w:tc>
        <w:tc>
          <w:tcPr>
            <w:tcW w:w="274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Vesting Date</w:t>
            </w:r>
          </w:p>
        </w:tc>
        <w:tc>
          <w:tcPr>
            <w:tcW w:w="60" w:type="dxa"/>
            <w:vAlign w:val="bottom"/>
          </w:tcPr>
          <w:p>
            <w:pPr>
              <w:spacing w:after="0"/>
              <w:rPr>
                <w:sz w:val="13"/>
                <w:szCs w:val="13"/>
                <w:color w:val="auto"/>
              </w:rPr>
            </w:pPr>
          </w:p>
        </w:tc>
      </w:tr>
      <w:tr>
        <w:trPr>
          <w:trHeight w:val="29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1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-544830</wp:posOffset>
            </wp:positionV>
            <wp:extent cx="1060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-414655</wp:posOffset>
            </wp:positionV>
            <wp:extent cx="1060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-283845</wp:posOffset>
            </wp:positionV>
            <wp:extent cx="1060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-153670</wp:posOffset>
            </wp:positionV>
            <wp:extent cx="1060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-22860</wp:posOffset>
            </wp:positionV>
            <wp:extent cx="1060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6045" cy="8255"/>
                    </a:xfrm>
                    <a:prstGeom prst="rect">
                      <a:avLst/>
                    </a:prstGeom>
                    <a:noFill/>
                  </pic:spPr>
                </pic:pic>
              </a:graphicData>
            </a:graphic>
          </wp:anchor>
        </w:drawing>
      </w:r>
    </w:p>
    <w:p>
      <w:pPr>
        <w:spacing w:after="0" w:line="127"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The Option may be exercised from time-to-time to the extent vested. To the extent any portion of the Option designated above as an Incentive Stock Option shall fail to qualify as an Incentive Stock Option for any reason, including an exercise by the Optionee after the time period required to receive Incentive Stock Option treatment, it shall be deemed a Non-Qualified Share Option.</w:t>
      </w:r>
    </w:p>
    <w:p>
      <w:pPr>
        <w:spacing w:after="0" w:line="124" w:lineRule="exact"/>
        <w:rPr>
          <w:sz w:val="20"/>
          <w:szCs w:val="20"/>
          <w:color w:val="auto"/>
        </w:rPr>
      </w:pPr>
    </w:p>
    <w:p>
      <w:pPr>
        <w:ind w:left="620" w:hanging="160"/>
        <w:spacing w:after="0"/>
        <w:tabs>
          <w:tab w:leader="none" w:pos="620" w:val="left"/>
        </w:tabs>
        <w:numPr>
          <w:ilvl w:val="0"/>
          <w:numId w:val="1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shall expire ten (10) years from the Grant Date, subject to earlier termination as set forth in Section 4 of this Agreement and the terms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5</w:t>
      </w:r>
    </w:p>
    <w:p>
      <w:pPr>
        <w:sectPr>
          <w:pgSz w:w="11900" w:h="16838" w:orient="portrait"/>
          <w:cols w:equalWidth="0" w:num="1">
            <w:col w:w="11420"/>
          </w:cols>
          <w:pgMar w:left="240" w:top="127" w:right="239" w:bottom="1440" w:gutter="0" w:footer="0" w:header="0"/>
        </w:sectPr>
      </w:pPr>
    </w:p>
    <w:bookmarkStart w:id="132" w:name="page133"/>
    <w:bookmarkEnd w:id="132"/>
    <w:p>
      <w:pPr>
        <w:ind w:left="-20" w:right="100" w:firstLine="460"/>
        <w:spacing w:after="0" w:line="278" w:lineRule="auto"/>
        <w:tabs>
          <w:tab w:leader="none" w:pos="604"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Acceleration of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vesting of this Option shall accelerate and the Option shall fully vest and become immediately exercisable with respect to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the Option for the applicable periods set forth in Section 4 below upon the following:</w:t>
      </w:r>
    </w:p>
    <w:p>
      <w:pPr>
        <w:spacing w:after="0" w:line="116" w:lineRule="exact"/>
        <w:rPr>
          <w:rFonts w:ascii="Arial" w:cs="Arial" w:eastAsia="Arial" w:hAnsi="Arial"/>
          <w:sz w:val="17"/>
          <w:szCs w:val="17"/>
          <w:b w:val="1"/>
          <w:bCs w:val="1"/>
          <w:color w:val="auto"/>
        </w:rPr>
      </w:pPr>
    </w:p>
    <w:p>
      <w:pPr>
        <w:ind w:left="1140" w:hanging="244"/>
        <w:spacing w:after="0"/>
        <w:tabs>
          <w:tab w:leader="none" w:pos="1140"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the Optionee’s termination of Service upon Disability;</w:t>
      </w:r>
    </w:p>
    <w:p>
      <w:pPr>
        <w:spacing w:after="0" w:line="164" w:lineRule="exact"/>
        <w:rPr>
          <w:rFonts w:ascii="Arial" w:cs="Arial" w:eastAsia="Arial" w:hAnsi="Arial"/>
          <w:sz w:val="17"/>
          <w:szCs w:val="17"/>
          <w:b w:val="1"/>
          <w:bCs w:val="1"/>
          <w:color w:val="auto"/>
        </w:rPr>
      </w:pPr>
    </w:p>
    <w:p>
      <w:pPr>
        <w:ind w:left="1140" w:hanging="244"/>
        <w:spacing w:after="0"/>
        <w:tabs>
          <w:tab w:leader="none" w:pos="1140"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the Optionee’s death while employed by the Trust;</w:t>
      </w:r>
    </w:p>
    <w:p>
      <w:pPr>
        <w:spacing w:after="0" w:line="164" w:lineRule="exact"/>
        <w:rPr>
          <w:rFonts w:ascii="Arial" w:cs="Arial" w:eastAsia="Arial" w:hAnsi="Arial"/>
          <w:sz w:val="17"/>
          <w:szCs w:val="17"/>
          <w:b w:val="1"/>
          <w:bCs w:val="1"/>
          <w:color w:val="auto"/>
        </w:rPr>
      </w:pPr>
    </w:p>
    <w:p>
      <w:pPr>
        <w:ind w:left="-20" w:right="160" w:firstLine="916"/>
        <w:spacing w:after="0" w:line="273" w:lineRule="auto"/>
        <w:tabs>
          <w:tab w:leader="none" w:pos="1121"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the Optionee’s termination of Service without Cause if at the time of such termination, the individual holding the title of Chief Executive Officer of the Trust is not the same individual that holds the title of Chief Executive Officer of the Trust as of the date of this Agreement; and</w:t>
      </w:r>
    </w:p>
    <w:p>
      <w:pPr>
        <w:spacing w:after="0" w:line="120" w:lineRule="exact"/>
        <w:rPr>
          <w:rFonts w:ascii="Arial" w:cs="Arial" w:eastAsia="Arial" w:hAnsi="Arial"/>
          <w:sz w:val="17"/>
          <w:szCs w:val="17"/>
          <w:b w:val="1"/>
          <w:bCs w:val="1"/>
          <w:color w:val="auto"/>
        </w:rPr>
      </w:pPr>
    </w:p>
    <w:p>
      <w:pPr>
        <w:ind w:left="-20" w:right="80" w:firstLine="916"/>
        <w:spacing w:after="0" w:line="263" w:lineRule="auto"/>
        <w:tabs>
          <w:tab w:leader="none" w:pos="1139" w:val="left"/>
        </w:tabs>
        <w:numPr>
          <w:ilvl w:val="1"/>
          <w:numId w:val="115"/>
        </w:numPr>
        <w:rPr>
          <w:rFonts w:ascii="Arial" w:cs="Arial" w:eastAsia="Arial" w:hAnsi="Arial"/>
          <w:sz w:val="17"/>
          <w:szCs w:val="17"/>
          <w:b w:val="1"/>
          <w:bCs w:val="1"/>
          <w:color w:val="auto"/>
        </w:rPr>
      </w:pPr>
      <w:r>
        <w:rPr>
          <w:rFonts w:ascii="Arial" w:cs="Arial" w:eastAsia="Arial" w:hAnsi="Arial"/>
          <w:sz w:val="17"/>
          <w:szCs w:val="17"/>
          <w:color w:val="auto"/>
        </w:rPr>
        <w:t>if the Optionee incurs an Involuntary Termination within the one year period commencing with a Change in Control; provided, however, such accelerated vesting described in this Section 3(d) shall not be applicable to the Option if such Change in Control results from the Optionee’s beneficial ownership (within the meaning of Rule 13d-3 under the Exchange Act) of Shares or Trust Voting Securities.</w:t>
      </w:r>
    </w:p>
    <w:p>
      <w:pPr>
        <w:spacing w:after="0" w:line="124" w:lineRule="exact"/>
        <w:rPr>
          <w:rFonts w:ascii="Arial" w:cs="Arial" w:eastAsia="Arial" w:hAnsi="Arial"/>
          <w:sz w:val="17"/>
          <w:szCs w:val="17"/>
          <w:b w:val="1"/>
          <w:bCs w:val="1"/>
          <w:color w:val="auto"/>
        </w:rPr>
      </w:pPr>
    </w:p>
    <w:p>
      <w:pPr>
        <w:ind w:left="-20" w:right="20" w:firstLine="460"/>
        <w:spacing w:after="0" w:line="275" w:lineRule="auto"/>
        <w:tabs>
          <w:tab w:leader="none" w:pos="604"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 Upon 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all or any part of the Option was not exercisable as of the date of termination of Service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Section 3, above), the unvested and unexercisable portion of the Option shall expire at the date of such termination of Service. Notwithstanding anything to the contrary, if the Optionee’s termination of Service is for Cause (as defined in the Plan and any employment or other agreement with the Optionee as of the Grant Date) or the Optionee voluntarily terminates from Service at a time when grounds for the Optionee’s termination for Cause exists, the right of the Optionee to exercise the Option shall terminate at the date of termination of Service. Subject to the preceding, the Optionee or the Optionee’s beneficiary, as applicable, shall have the applicable period of time specified below in which to exercise the Option after the Optionee’s termination of Service; provided, however, in no event may the Option be exercised under any circumstances later than the expiration date described in Section 2:</w:t>
      </w:r>
    </w:p>
    <w:p>
      <w:pPr>
        <w:spacing w:after="0" w:line="117" w:lineRule="exact"/>
        <w:rPr>
          <w:rFonts w:ascii="Arial" w:cs="Arial" w:eastAsia="Arial" w:hAnsi="Arial"/>
          <w:sz w:val="16"/>
          <w:szCs w:val="16"/>
          <w:b w:val="1"/>
          <w:bCs w:val="1"/>
          <w:color w:val="auto"/>
        </w:rPr>
      </w:pPr>
    </w:p>
    <w:p>
      <w:pPr>
        <w:ind w:left="-20" w:right="180" w:firstLine="916"/>
        <w:spacing w:after="0" w:line="301" w:lineRule="auto"/>
        <w:tabs>
          <w:tab w:leader="none" w:pos="1130" w:val="left"/>
        </w:tabs>
        <w:numPr>
          <w:ilvl w:val="1"/>
          <w:numId w:val="1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Termination of Service. </w:t>
      </w:r>
      <w:r>
        <w:rPr>
          <w:rFonts w:ascii="Arial" w:cs="Arial" w:eastAsia="Arial" w:hAnsi="Arial"/>
          <w:sz w:val="15"/>
          <w:szCs w:val="15"/>
          <w:color w:val="auto"/>
        </w:rPr>
        <w:t>Upon the Optionee’s termination of Service for any reason other than by reason of death, Disability, Retirement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defined below) or Involuntary Termination within the one year period commencing with a Change in Control, the Optionee shall have a period of three (3) months </w:t>
      </w:r>
      <w:r>
        <w:rPr>
          <w:rFonts w:ascii="Arial" w:cs="Arial" w:eastAsia="Arial" w:hAnsi="Arial"/>
          <w:sz w:val="15"/>
          <w:szCs w:val="15"/>
          <w:b w:val="1"/>
          <w:bCs w:val="1"/>
          <w:color w:val="auto"/>
        </w:rPr>
        <w:t>[one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year for Executive Officers] </w:t>
      </w:r>
      <w:r>
        <w:rPr>
          <w:rFonts w:ascii="Arial" w:cs="Arial" w:eastAsia="Arial" w:hAnsi="Arial"/>
          <w:sz w:val="15"/>
          <w:szCs w:val="15"/>
          <w:color w:val="auto"/>
        </w:rPr>
        <w:t>after such termination of Service to exercise all or any part of the Option to the extent it was exercisable at the date of termination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00" w:lineRule="exact"/>
        <w:rPr>
          <w:rFonts w:ascii="Arial" w:cs="Arial" w:eastAsia="Arial" w:hAnsi="Arial"/>
          <w:sz w:val="15"/>
          <w:szCs w:val="15"/>
          <w:b w:val="1"/>
          <w:bCs w:val="1"/>
          <w:color w:val="auto"/>
        </w:rPr>
      </w:pPr>
    </w:p>
    <w:p>
      <w:pPr>
        <w:ind w:left="-20" w:right="240" w:firstLine="916"/>
        <w:spacing w:after="0" w:line="258" w:lineRule="auto"/>
        <w:tabs>
          <w:tab w:leader="none" w:pos="1140" w:val="left"/>
        </w:tabs>
        <w:numPr>
          <w:ilvl w:val="1"/>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Service on Retirement. </w:t>
      </w:r>
      <w:r>
        <w:rPr>
          <w:rFonts w:ascii="Arial" w:cs="Arial" w:eastAsia="Arial" w:hAnsi="Arial"/>
          <w:sz w:val="17"/>
          <w:szCs w:val="17"/>
          <w:color w:val="auto"/>
        </w:rPr>
        <w:t>Upon the Optionee’s termination of Service by reason of retirement on or after the Optionee turns age 65</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the Optionee shall have a period of one (1) year after such termination of Service to exercise all or any part of the Option to the extent that it was exercisable upon such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31" w:lineRule="exact"/>
        <w:rPr>
          <w:rFonts w:ascii="Arial" w:cs="Arial" w:eastAsia="Arial" w:hAnsi="Arial"/>
          <w:sz w:val="17"/>
          <w:szCs w:val="17"/>
          <w:b w:val="1"/>
          <w:bCs w:val="1"/>
          <w:color w:val="auto"/>
        </w:rPr>
      </w:pPr>
    </w:p>
    <w:p>
      <w:pPr>
        <w:ind w:left="-20" w:firstLine="916"/>
        <w:spacing w:after="0" w:line="282" w:lineRule="auto"/>
        <w:tabs>
          <w:tab w:leader="none" w:pos="1121" w:val="left"/>
        </w:tabs>
        <w:numPr>
          <w:ilvl w:val="1"/>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of Service on Disability. </w:t>
      </w:r>
      <w:r>
        <w:rPr>
          <w:rFonts w:ascii="Arial" w:cs="Arial" w:eastAsia="Arial" w:hAnsi="Arial"/>
          <w:sz w:val="16"/>
          <w:szCs w:val="16"/>
          <w:color w:val="auto"/>
        </w:rPr>
        <w:t>Upon the Optionee’s termination of Service by reason of Disability, the Optionee shall have a period of one (1)</w:t>
      </w:r>
      <w:r>
        <w:rPr>
          <w:rFonts w:ascii="Arial" w:cs="Arial" w:eastAsia="Arial" w:hAnsi="Arial"/>
          <w:sz w:val="16"/>
          <w:szCs w:val="16"/>
          <w:b w:val="1"/>
          <w:bCs w:val="1"/>
          <w:color w:val="auto"/>
        </w:rPr>
        <w:t xml:space="preserve"> </w:t>
      </w:r>
      <w:r>
        <w:rPr>
          <w:rFonts w:ascii="Arial" w:cs="Arial" w:eastAsia="Arial" w:hAnsi="Arial"/>
          <w:sz w:val="16"/>
          <w:szCs w:val="16"/>
          <w:color w:val="auto"/>
        </w:rPr>
        <w:t>year after such termination of Service to exercise all or any part of the Option to the extent that it was exercisable upon such termination of Service including as a result of Section 3 above. Unless the Optionee’s Disability qualifies as a permanent and total disability within the meaning of Section 22(e)(3) of the Code, any exercise of all or any part of the Option more than three (3) months after termination of Service as an employee by reason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5</w:t>
      </w:r>
    </w:p>
    <w:p>
      <w:pPr>
        <w:sectPr>
          <w:pgSz w:w="11900" w:h="16838" w:orient="portrait"/>
          <w:cols w:equalWidth="0" w:num="1">
            <w:col w:w="11380"/>
          </w:cols>
          <w:pgMar w:left="260" w:top="268" w:right="259" w:bottom="1440" w:gutter="0" w:footer="0" w:header="0"/>
        </w:sectPr>
      </w:pPr>
    </w:p>
    <w:bookmarkStart w:id="133" w:name="page134"/>
    <w:bookmarkEnd w:id="133"/>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880" cy="36830"/>
                    </a:xfrm>
                    <a:prstGeom prst="rect">
                      <a:avLst/>
                    </a:prstGeom>
                    <a:noFill/>
                  </pic:spPr>
                </pic:pic>
              </a:graphicData>
            </a:graphic>
          </wp:anchor>
        </w:drawing>
        <w:t>of Disability may cause any portion of the Option being exercised which was designated as an Incentive Stock Option to fail to qualify as such, in which event it shall be deemed a Non-Qualified Share Option.</w:t>
      </w:r>
    </w:p>
    <w:p>
      <w:pPr>
        <w:spacing w:after="0" w:line="117" w:lineRule="exact"/>
        <w:rPr>
          <w:sz w:val="20"/>
          <w:szCs w:val="20"/>
          <w:color w:val="auto"/>
        </w:rPr>
      </w:pPr>
    </w:p>
    <w:p>
      <w:pPr>
        <w:ind w:left="1160" w:hanging="244"/>
        <w:spacing w:after="0"/>
        <w:tabs>
          <w:tab w:leader="none" w:pos="1160" w:val="left"/>
        </w:tabs>
        <w:numPr>
          <w:ilvl w:val="0"/>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Service on Death. </w:t>
      </w:r>
      <w:r>
        <w:rPr>
          <w:rFonts w:ascii="Arial" w:cs="Arial" w:eastAsia="Arial" w:hAnsi="Arial"/>
          <w:sz w:val="15"/>
          <w:szCs w:val="15"/>
          <w:color w:val="auto"/>
        </w:rPr>
        <w:t>In the event of the death of the Optionee, the right of the Optionee’s beneficiary to exercise the Option shall expire as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57" w:lineRule="exact"/>
        <w:rPr>
          <w:sz w:val="20"/>
          <w:szCs w:val="20"/>
          <w:color w:val="auto"/>
        </w:rPr>
      </w:pPr>
    </w:p>
    <w:p>
      <w:pPr>
        <w:ind w:right="140" w:firstLine="1488"/>
        <w:spacing w:after="0" w:line="263" w:lineRule="auto"/>
        <w:tabs>
          <w:tab w:leader="none" w:pos="1684" w:val="left"/>
        </w:tabs>
        <w:numPr>
          <w:ilvl w:val="2"/>
          <w:numId w:val="117"/>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when the Optionee is employed by the Trust, the Optionee’s beneficiary shall have a period of two (2) years after the date of the Optionee’s death to exercise all or any part of the Option to the extent that it was exercisable upon such termination of Service including as a result of Section 3 above;</w:t>
      </w:r>
    </w:p>
    <w:p>
      <w:pPr>
        <w:spacing w:after="0" w:line="128" w:lineRule="exact"/>
        <w:rPr>
          <w:rFonts w:ascii="Arial" w:cs="Arial" w:eastAsia="Arial" w:hAnsi="Arial"/>
          <w:sz w:val="17"/>
          <w:szCs w:val="17"/>
          <w:b w:val="1"/>
          <w:bCs w:val="1"/>
          <w:color w:val="auto"/>
        </w:rPr>
      </w:pPr>
    </w:p>
    <w:p>
      <w:pPr>
        <w:ind w:right="100" w:firstLine="1488"/>
        <w:spacing w:after="0" w:line="257" w:lineRule="auto"/>
        <w:tabs>
          <w:tab w:leader="none" w:pos="1731" w:val="left"/>
        </w:tabs>
        <w:numPr>
          <w:ilvl w:val="2"/>
          <w:numId w:val="117"/>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after the Optionee’s termination of Service by reason of Disability or Retirement but before the expiration of one (1) year after the Optionee’s termination of Service by reason of Disability or Retirement, the one (1) year period provided for in Section 4(b) and (c) shall be extended for an additional one (1) year period such that the Optionee’s beneficiary shall have a period of two (2) years from the date of the Optionee’s termination of Service by reason of Disability or Retirement to exercise all or any part of the Option to the extent that it was exercisable upon such termination of Service including as a result of Section 3 above;</w:t>
      </w:r>
    </w:p>
    <w:p>
      <w:pPr>
        <w:spacing w:after="0" w:line="135" w:lineRule="exact"/>
        <w:rPr>
          <w:rFonts w:ascii="Arial" w:cs="Arial" w:eastAsia="Arial" w:hAnsi="Arial"/>
          <w:sz w:val="17"/>
          <w:szCs w:val="17"/>
          <w:b w:val="1"/>
          <w:bCs w:val="1"/>
          <w:color w:val="auto"/>
        </w:rPr>
      </w:pPr>
    </w:p>
    <w:p>
      <w:pPr>
        <w:ind w:right="240" w:firstLine="1488"/>
        <w:spacing w:after="0" w:line="273" w:lineRule="auto"/>
        <w:tabs>
          <w:tab w:leader="none" w:pos="1777" w:val="left"/>
        </w:tabs>
        <w:numPr>
          <w:ilvl w:val="2"/>
          <w:numId w:val="117"/>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following any other termination of Service, the Optionee’s beneficiary shall have the remaining period of time specified in Section 4(a), if any, to exercise all or any part of the Option.</w:t>
      </w:r>
    </w:p>
    <w:p>
      <w:pPr>
        <w:spacing w:after="0" w:line="116" w:lineRule="exact"/>
        <w:rPr>
          <w:rFonts w:ascii="Arial" w:cs="Arial" w:eastAsia="Arial" w:hAnsi="Arial"/>
          <w:sz w:val="17"/>
          <w:szCs w:val="17"/>
          <w:b w:val="1"/>
          <w:bCs w:val="1"/>
          <w:color w:val="auto"/>
        </w:rPr>
      </w:pPr>
    </w:p>
    <w:p>
      <w:pPr>
        <w:ind w:right="120" w:firstLine="916"/>
        <w:spacing w:after="0" w:line="278" w:lineRule="auto"/>
        <w:tabs>
          <w:tab w:leader="none" w:pos="1141" w:val="left"/>
        </w:tabs>
        <w:numPr>
          <w:ilvl w:val="1"/>
          <w:numId w:val="1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If the Optionee incurs an Involuntary Termination within the one (1) year period commencing with a Change in Control,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shall have a period of one (1) year from the date of such Involuntary Termination to exercise all or any part of the Option to the extent that it was exercisable upon such Involuntary Termination including as a result of Section 3 above. Any exercise of all or any part of the Option after an Involuntary Termination following a Change in Control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232" w:lineRule="exact"/>
        <w:rPr>
          <w:rFonts w:ascii="Arial" w:cs="Arial" w:eastAsia="Arial" w:hAnsi="Arial"/>
          <w:sz w:val="16"/>
          <w:szCs w:val="16"/>
          <w:b w:val="1"/>
          <w:bCs w:val="1"/>
          <w:color w:val="auto"/>
        </w:rPr>
      </w:pPr>
    </w:p>
    <w:p>
      <w:pPr>
        <w:ind w:left="900" w:hanging="448"/>
        <w:spacing w:after="0"/>
        <w:tabs>
          <w:tab w:leader="none" w:pos="90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Procedures</w:t>
      </w:r>
      <w:r>
        <w:rPr>
          <w:rFonts w:ascii="Arial" w:cs="Arial" w:eastAsia="Arial" w:hAnsi="Arial"/>
          <w:sz w:val="17"/>
          <w:szCs w:val="17"/>
          <w:b w:val="1"/>
          <w:bCs w:val="1"/>
          <w:color w:val="auto"/>
        </w:rPr>
        <w:t>.</w:t>
      </w:r>
    </w:p>
    <w:p>
      <w:pPr>
        <w:spacing w:after="0" w:line="87" w:lineRule="exact"/>
        <w:rPr>
          <w:rFonts w:ascii="Arial" w:cs="Arial" w:eastAsia="Arial" w:hAnsi="Arial"/>
          <w:sz w:val="17"/>
          <w:szCs w:val="17"/>
          <w:b w:val="1"/>
          <w:bCs w:val="1"/>
          <w:color w:val="auto"/>
        </w:rPr>
      </w:pPr>
    </w:p>
    <w:p>
      <w:pPr>
        <w:ind w:firstLine="916"/>
        <w:spacing w:after="0" w:line="294" w:lineRule="auto"/>
        <w:tabs>
          <w:tab w:leader="none" w:pos="1150" w:val="left"/>
        </w:tabs>
        <w:numPr>
          <w:ilvl w:val="1"/>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Method of Exercise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vested, the Option shall be exercisable by providing written notice to the Trust and making all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arrangements to pay the exercise price and provide for any applicable tax withholding as provided in this Section 5. Such written notice shall set forth such information as the Trust may reasonably require from time to time which may include, without limitation: (i) the number of Shares being purchased and whether those Shares are issuable as a result of the exercise of the Incentive Stock Option portion of the Option or the Non-Qualified Share Option portion of the Option; (ii) the total exercise price for the Shares being purchased; and (iii) the exact name(s) as it should appear to whom the Shares are to be issued and address to which the Shares should be sent. For the exercise of the Option to be valid, such written notice must be provided to the Secretary of the Trust and additional arrangements to pay the exercise price must be completed on or before 5:00 P.M. local time at the principal office of the Trust on the expiration date of the Option. If the written notice is not provided to the Secretary of the Trust or the arrangements to pay the exercise price have not be completed on or before such date and time, the Option will expire and be of no further force of effect.</w:t>
      </w:r>
    </w:p>
    <w:p>
      <w:pPr>
        <w:spacing w:after="0" w:line="108" w:lineRule="exact"/>
        <w:rPr>
          <w:sz w:val="20"/>
          <w:szCs w:val="20"/>
          <w:color w:val="auto"/>
        </w:rPr>
      </w:pPr>
    </w:p>
    <w:p>
      <w:pPr>
        <w:jc w:val="both"/>
        <w:ind w:right="120" w:firstLine="460"/>
        <w:spacing w:after="0" w:line="265" w:lineRule="auto"/>
        <w:tabs>
          <w:tab w:leader="none" w:pos="703"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Exercise Price. </w:t>
      </w:r>
      <w:r>
        <w:rPr>
          <w:rFonts w:ascii="Arial" w:cs="Arial" w:eastAsia="Arial" w:hAnsi="Arial"/>
          <w:sz w:val="17"/>
          <w:szCs w:val="17"/>
          <w:color w:val="auto"/>
        </w:rPr>
        <w:t>The exercise price of Shares purchased upon exercise of the Option shall be paid in full (a) in cash, (b) by delivery to the Trust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which shall have been held by the Optionee for at least six months having, on the date of exercise, a fair market value equal to the aggregate exercise price, (c) in any combination of cash and Shares, or (d) cash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3 of 5</w:t>
      </w:r>
    </w:p>
    <w:p>
      <w:pPr>
        <w:sectPr>
          <w:pgSz w:w="11900" w:h="16838" w:orient="portrait"/>
          <w:cols w:equalWidth="0" w:num="1">
            <w:col w:w="11420"/>
          </w:cols>
          <w:pgMar w:left="240" w:top="272" w:right="239" w:bottom="1440" w:gutter="0" w:footer="0" w:header="0"/>
        </w:sectPr>
      </w:pPr>
    </w:p>
    <w:bookmarkStart w:id="134" w:name="page135"/>
    <w:bookmarkEnd w:id="134"/>
    <w:p>
      <w:pPr>
        <w:ind w:right="260"/>
        <w:spacing w:after="0" w:line="30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880" cy="37465"/>
                    </a:xfrm>
                    <a:prstGeom prst="rect">
                      <a:avLst/>
                    </a:prstGeom>
                    <a:noFill/>
                  </pic:spPr>
                </pic:pic>
              </a:graphicData>
            </a:graphic>
          </wp:anchor>
        </w:drawing>
        <w:t>equivalents acceptable to the Trust or by payment in accordance with a broker-assisted cashless exercise program under which, if so instructed by the Optionee, Shares may be issued directly to the Optionee’s broker or dealer against receipt of the exercise price in cash from the broker or dealer.</w:t>
      </w:r>
    </w:p>
    <w:p>
      <w:pPr>
        <w:spacing w:after="0" w:line="94" w:lineRule="exact"/>
        <w:rPr>
          <w:sz w:val="20"/>
          <w:szCs w:val="20"/>
          <w:color w:val="auto"/>
        </w:rPr>
      </w:pPr>
    </w:p>
    <w:p>
      <w:pPr>
        <w:ind w:right="40" w:firstLine="916"/>
        <w:spacing w:after="0" w:line="275" w:lineRule="auto"/>
        <w:tabs>
          <w:tab w:leader="none" w:pos="1141" w:val="left"/>
        </w:tabs>
        <w:numPr>
          <w:ilvl w:val="1"/>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Delivery of Certificate; Registration of Shares</w:t>
      </w:r>
      <w:r>
        <w:rPr>
          <w:rFonts w:ascii="Arial" w:cs="Arial" w:eastAsia="Arial" w:hAnsi="Arial"/>
          <w:sz w:val="16"/>
          <w:szCs w:val="16"/>
          <w:color w:val="auto"/>
        </w:rPr>
        <w:t>. Subject to Section 9 hereof, either a book entry registration of the purchased Shares or certificates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purchased Shares will be issued and delivered to the Optionee as soon as practicable after the receipt of payment of the exercise price in accordance with Section 5(b) above; </w:t>
      </w:r>
      <w:r>
        <w:rPr>
          <w:rFonts w:ascii="Arial" w:cs="Arial" w:eastAsia="Arial" w:hAnsi="Arial"/>
          <w:sz w:val="16"/>
          <w:szCs w:val="16"/>
          <w:i w:val="1"/>
          <w:iCs w:val="1"/>
          <w:color w:val="auto"/>
        </w:rPr>
        <w:t>provided, however</w:t>
      </w:r>
      <w:r>
        <w:rPr>
          <w:rFonts w:ascii="Arial" w:cs="Arial" w:eastAsia="Arial" w:hAnsi="Arial"/>
          <w:sz w:val="16"/>
          <w:szCs w:val="16"/>
          <w:color w:val="auto"/>
        </w:rPr>
        <w:t>, that delivery of any such Shares shall be deemed effected for all purposes when a stock transfer agent of the Trust shall have placed such Shares into a book-entry account or deposited such certificates in the United States mail, addressed to Optionee, at the address for the Optionee included in the Optionee’s personnel file or to such other address as Optionee may from time to time designate in a written notice to the Trust. The Optionee shall not be deemed for any purpose to be a shareholder of the Trust in respect of any Shares as to which the Option shall not have been exercised, as herein provided, until such Shares have been issued to Optionee by the Trust hereunder.</w:t>
      </w:r>
    </w:p>
    <w:p>
      <w:pPr>
        <w:spacing w:after="0" w:line="117" w:lineRule="exact"/>
        <w:rPr>
          <w:rFonts w:ascii="Arial" w:cs="Arial" w:eastAsia="Arial" w:hAnsi="Arial"/>
          <w:sz w:val="16"/>
          <w:szCs w:val="16"/>
          <w:b w:val="1"/>
          <w:bCs w:val="1"/>
          <w:color w:val="auto"/>
        </w:rPr>
      </w:pPr>
    </w:p>
    <w:p>
      <w:pPr>
        <w:ind w:right="120" w:firstLine="460"/>
        <w:spacing w:after="0" w:line="257" w:lineRule="auto"/>
        <w:tabs>
          <w:tab w:leader="none" w:pos="624"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Provisions Control Option Terms;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and subject to the terms and conditions of the Plan,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In the event any provision of this Agreement shall conflict with any of the terms in the Plan as constituted on the Grant Date, the terms of the Plan as constituted on the Grant Date shall control. The Trust may modify the Option after the Grant Date; provided, however, that no such modification may be made which is adverse to the Optionee without the Optionee’s express written agreement. Any such modification shall not be inconsistent with the terms of the Plan. For purposes of this Agreement, a modification which causes an Incentive Stock Option to be a Non-Qualified Share Option shall not be treated as a modification adverse to the Optionee.</w:t>
      </w:r>
    </w:p>
    <w:p>
      <w:pPr>
        <w:spacing w:after="0" w:line="131" w:lineRule="exact"/>
        <w:rPr>
          <w:rFonts w:ascii="Arial" w:cs="Arial" w:eastAsia="Arial" w:hAnsi="Arial"/>
          <w:sz w:val="17"/>
          <w:szCs w:val="17"/>
          <w:b w:val="1"/>
          <w:bCs w:val="1"/>
          <w:color w:val="auto"/>
        </w:rPr>
      </w:pPr>
    </w:p>
    <w:p>
      <w:pPr>
        <w:ind w:right="160" w:firstLine="460"/>
        <w:spacing w:after="0" w:line="294" w:lineRule="auto"/>
        <w:tabs>
          <w:tab w:leader="none" w:pos="624" w:val="left"/>
        </w:tabs>
        <w:numPr>
          <w:ilvl w:val="0"/>
          <w:numId w:val="12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provided in this Section 7, the Option may not be assigned or transferred other than by will or the laws of descent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The Optionee may transfer, in a not for value transfer, the part of this Option that is a Non-Qualified Share Option to any Family Member (as defined in the Plan). For the purpose of this Section 7, a “not for value” transfer is a transfer which is: (a) a gift; (b) a transfer under a domestic relations order in settlement of marital property rights; or (c) a transfer to an entity in which more than fifty percent of the voting interests are owned by Family Members (or the Optionee)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Optionee in accordance with this Section 7 or by will or the laws of descent and distribution. The Optionee’s beneficiary may exercise the Optionee’s rights hereunder only to the extent they were exercisable under this Agreement at the date of the death of the Optionee and are otherwise currently exercisable.</w:t>
      </w:r>
    </w:p>
    <w:p>
      <w:pPr>
        <w:spacing w:after="0" w:line="108" w:lineRule="exact"/>
        <w:rPr>
          <w:rFonts w:ascii="Arial" w:cs="Arial" w:eastAsia="Arial" w:hAnsi="Arial"/>
          <w:sz w:val="15"/>
          <w:szCs w:val="15"/>
          <w:b w:val="1"/>
          <w:bCs w:val="1"/>
          <w:color w:val="auto"/>
        </w:rPr>
      </w:pPr>
    </w:p>
    <w:p>
      <w:pPr>
        <w:ind w:firstLine="460"/>
        <w:spacing w:after="0" w:line="275" w:lineRule="auto"/>
        <w:tabs>
          <w:tab w:leader="none" w:pos="624"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 shall be entitled to withhold (or secure payment from the Optionee in lieu of withholding) the amount of any withholding or other tax</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by law to be withheld or paid by the Trust with respect to any Shares issuable under this Agreement, and the Trust may defer issuance of Shares upon the exercise of the Option unless the Trust is indemnified to its satisfaction against any liability for any such tax. The amount of such withholding or tax payment shall be determined by the Trust or its delegate and shall be payable by the Optionee at such time as the Trust determines. The Optionee may satisfy his or her minimum required tax withholding obligation by the payment of cash to the Trust and/or, if so approved by the Trust, by the withholding from the Option, at the appropriate time, of a number of Shares sufficient, based upon the Fair Market Value of such Shares, to satisfy such tax withholding requirements. The Trust shall be authorized, in its sole discretion, to establish such rules and procedures relating to any such withholding methods as it deems necessary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5</w:t>
      </w:r>
    </w:p>
    <w:p>
      <w:pPr>
        <w:sectPr>
          <w:pgSz w:w="11900" w:h="16838" w:orient="portrait"/>
          <w:cols w:equalWidth="0" w:num="1">
            <w:col w:w="11420"/>
          </w:cols>
          <w:pgMar w:left="240" w:top="272" w:right="239" w:bottom="1440" w:gutter="0" w:footer="0" w:header="0"/>
        </w:sectPr>
      </w:pPr>
    </w:p>
    <w:bookmarkStart w:id="135" w:name="page136"/>
    <w:bookmarkEnd w:id="135"/>
    <w:p>
      <w:pPr>
        <w:ind w:right="5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880" cy="36830"/>
                    </a:xfrm>
                    <a:prstGeom prst="rect">
                      <a:avLst/>
                    </a:prstGeom>
                    <a:noFill/>
                  </pic:spPr>
                </pic:pic>
              </a:graphicData>
            </a:graphic>
          </wp:anchor>
        </w:drawing>
        <w:t>appropriate, including, without limitation, rules and procedures relating to elections to have Shares withheld upon exercise of the Option to meet such withholding obligations.</w:t>
      </w:r>
    </w:p>
    <w:p>
      <w:pPr>
        <w:spacing w:after="0" w:line="117" w:lineRule="exact"/>
        <w:rPr>
          <w:sz w:val="20"/>
          <w:szCs w:val="20"/>
          <w:color w:val="auto"/>
        </w:rPr>
      </w:pPr>
    </w:p>
    <w:p>
      <w:pPr>
        <w:ind w:right="180" w:firstLine="460"/>
        <w:spacing w:after="0" w:line="261" w:lineRule="auto"/>
        <w:tabs>
          <w:tab w:leader="none" w:pos="624"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Exercise in Violation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of the provisions of this Agreement, the Optionee hereby agrees that he or she will not exercise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granted hereby, and that the Trust will not be obligated to issue any Shares to the Optionee hereunder, if the exercise thereof or the issuance of such Shares shall constitute a violation by the Optionee or the Trust of any provision of any law or regulation of any governmental authority. Any determination in this connection by the Committee shall be final, binding and conclusive.</w:t>
      </w:r>
    </w:p>
    <w:p>
      <w:pPr>
        <w:spacing w:after="0" w:line="126" w:lineRule="exact"/>
        <w:rPr>
          <w:rFonts w:ascii="Arial" w:cs="Arial" w:eastAsia="Arial" w:hAnsi="Arial"/>
          <w:sz w:val="17"/>
          <w:szCs w:val="17"/>
          <w:b w:val="1"/>
          <w:bCs w:val="1"/>
          <w:color w:val="auto"/>
        </w:rPr>
      </w:pPr>
    </w:p>
    <w:p>
      <w:pPr>
        <w:ind w:firstLine="460"/>
        <w:spacing w:after="0" w:line="273" w:lineRule="auto"/>
        <w:tabs>
          <w:tab w:leader="none" w:pos="707"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Code Section 409A</w:t>
      </w:r>
      <w:r>
        <w:rPr>
          <w:rFonts w:ascii="Arial" w:cs="Arial" w:eastAsia="Arial" w:hAnsi="Arial"/>
          <w:sz w:val="16"/>
          <w:szCs w:val="16"/>
          <w:color w:val="auto"/>
        </w:rPr>
        <w:t>. Notwithstanding anything herein to the contrary, the Key Employee shall be solely responsible and liable for the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taxes and penalties that may arise in connection with this Agreement (including any taxes arising under Section 409A of the Code). 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Trust has executed this Agreement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FEDERAL REALTY INVESTMENT TRUST</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12065</wp:posOffset>
            </wp:positionV>
            <wp:extent cx="266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6001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Dawn M. Becker</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5 of 5</w:t>
      </w:r>
    </w:p>
    <w:p>
      <w:pPr>
        <w:sectPr>
          <w:pgSz w:w="11900" w:h="16838" w:orient="portrait"/>
          <w:cols w:equalWidth="0" w:num="1">
            <w:col w:w="11380"/>
          </w:cols>
          <w:pgMar w:left="240" w:top="272" w:right="27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10.40</w:t>
      </w:r>
    </w:p>
    <w:p>
      <w:pPr>
        <w:spacing w:after="0" w:line="164"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FEDERAL REALTY INVESTMENT TRUST</w:t>
      </w:r>
    </w:p>
    <w:p>
      <w:pPr>
        <w:spacing w:after="0" w:line="164" w:lineRule="exact"/>
        <w:rPr>
          <w:sz w:val="20"/>
          <w:szCs w:val="20"/>
          <w:color w:val="auto"/>
        </w:rPr>
      </w:pPr>
    </w:p>
    <w:p>
      <w:pPr>
        <w:ind w:left="3180"/>
        <w:spacing w:after="0"/>
        <w:rPr>
          <w:sz w:val="20"/>
          <w:szCs w:val="20"/>
          <w:color w:val="auto"/>
        </w:rPr>
      </w:pPr>
      <w:r>
        <w:rPr>
          <w:rFonts w:ascii="Arial" w:cs="Arial" w:eastAsia="Arial" w:hAnsi="Arial"/>
          <w:sz w:val="17"/>
          <w:szCs w:val="17"/>
          <w:b w:val="1"/>
          <w:bCs w:val="1"/>
          <w:u w:val="single" w:color="auto"/>
          <w:color w:val="auto"/>
        </w:rPr>
        <w:t>COMBINED INCENTIVE AND NON-QUALIFIED SHARE OPTION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 FOR EMPLOYEES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gridSpan w:val="3"/>
          </w:tcPr>
          <w:p>
            <w:pPr>
              <w:ind w:left="460"/>
              <w:spacing w:after="0"/>
              <w:rPr>
                <w:sz w:val="20"/>
                <w:szCs w:val="20"/>
                <w:color w:val="auto"/>
              </w:rPr>
            </w:pPr>
            <w:r>
              <w:rPr>
                <w:rFonts w:ascii="Arial" w:cs="Arial" w:eastAsia="Arial" w:hAnsi="Arial"/>
                <w:sz w:val="17"/>
                <w:szCs w:val="17"/>
                <w:b w:val="1"/>
                <w:bCs w:val="1"/>
                <w:color w:val="auto"/>
                <w:w w:val="98"/>
              </w:rPr>
              <w:t xml:space="preserve">AGREEMENT </w:t>
            </w:r>
            <w:r>
              <w:rPr>
                <w:rFonts w:ascii="Arial" w:cs="Arial" w:eastAsia="Arial" w:hAnsi="Arial"/>
                <w:sz w:val="17"/>
                <w:szCs w:val="17"/>
                <w:color w:val="auto"/>
                <w:w w:val="98"/>
              </w:rPr>
              <w:t>(“Agreement”) dated this   day of</w:t>
            </w:r>
          </w:p>
        </w:tc>
        <w:tc>
          <w:tcPr>
            <w:tcW w:w="7420" w:type="dxa"/>
            <w:vAlign w:val="bottom"/>
            <w:gridSpan w:val="6"/>
          </w:tcPr>
          <w:p>
            <w:pPr>
              <w:ind w:left="500"/>
              <w:spacing w:after="0"/>
              <w:rPr>
                <w:sz w:val="20"/>
                <w:szCs w:val="20"/>
                <w:color w:val="auto"/>
              </w:rPr>
            </w:pPr>
            <w:r>
              <w:rPr>
                <w:rFonts w:ascii="Arial" w:cs="Arial" w:eastAsia="Arial" w:hAnsi="Arial"/>
                <w:sz w:val="17"/>
                <w:szCs w:val="17"/>
                <w:color w:val="auto"/>
                <w:w w:val="95"/>
              </w:rPr>
              <w:t xml:space="preserve">, 201   (the “Grant Date”), by </w:t>
            </w:r>
            <w:r>
              <w:rPr>
                <w:rFonts w:ascii="Arial" w:cs="Arial" w:eastAsia="Arial" w:hAnsi="Arial"/>
                <w:sz w:val="17"/>
                <w:szCs w:val="17"/>
                <w:b w:val="1"/>
                <w:bCs w:val="1"/>
                <w:color w:val="auto"/>
                <w:w w:val="95"/>
              </w:rPr>
              <w:t>FEDERAL REALTY INVESTMENT TRUST</w:t>
            </w:r>
            <w:r>
              <w:rPr>
                <w:rFonts w:ascii="Arial" w:cs="Arial" w:eastAsia="Arial" w:hAnsi="Arial"/>
                <w:sz w:val="17"/>
                <w:szCs w:val="17"/>
                <w:color w:val="auto"/>
                <w:w w:val="95"/>
              </w:rPr>
              <w:t>, a Maryland real estate</w:t>
            </w:r>
          </w:p>
        </w:tc>
      </w:tr>
      <w:tr>
        <w:trPr>
          <w:trHeight w:val="20"/>
        </w:trPr>
        <w:tc>
          <w:tcPr>
            <w:tcW w:w="3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6"/>
        </w:trPr>
        <w:tc>
          <w:tcPr>
            <w:tcW w:w="9700" w:type="dxa"/>
            <w:vAlign w:val="bottom"/>
            <w:gridSpan w:val="7"/>
          </w:tcPr>
          <w:p>
            <w:pPr>
              <w:spacing w:after="0" w:line="185" w:lineRule="exact"/>
              <w:rPr>
                <w:sz w:val="20"/>
                <w:szCs w:val="20"/>
                <w:color w:val="auto"/>
              </w:rPr>
            </w:pPr>
            <w:r>
              <w:rPr>
                <w:rFonts w:ascii="Arial" w:cs="Arial" w:eastAsia="Arial" w:hAnsi="Arial"/>
                <w:sz w:val="17"/>
                <w:szCs w:val="17"/>
                <w:color w:val="auto"/>
                <w:w w:val="90"/>
              </w:rPr>
              <w:t>investment trust (“Trust”) with an address of 1626 East Jefferson Street, Rockville, Maryland 20852, providing notice of a share option award to</w:t>
            </w:r>
          </w:p>
        </w:tc>
        <w:tc>
          <w:tcPr>
            <w:tcW w:w="1720" w:type="dxa"/>
            <w:vAlign w:val="bottom"/>
            <w:gridSpan w:val="2"/>
          </w:tcPr>
          <w:p>
            <w:pPr>
              <w:ind w:left="840"/>
              <w:spacing w:after="0" w:line="185" w:lineRule="exact"/>
              <w:rPr>
                <w:sz w:val="20"/>
                <w:szCs w:val="20"/>
                <w:color w:val="auto"/>
              </w:rPr>
            </w:pPr>
            <w:r>
              <w:rPr>
                <w:rFonts w:ascii="Arial" w:cs="Arial" w:eastAsia="Arial" w:hAnsi="Arial"/>
                <w:sz w:val="17"/>
                <w:szCs w:val="17"/>
                <w:color w:val="auto"/>
              </w:rPr>
              <w:t>, an</w:t>
            </w:r>
          </w:p>
        </w:tc>
      </w:tr>
      <w:tr>
        <w:trPr>
          <w:trHeight w:val="223"/>
        </w:trPr>
        <w:tc>
          <w:tcPr>
            <w:tcW w:w="4000" w:type="dxa"/>
            <w:vAlign w:val="bottom"/>
            <w:gridSpan w:val="3"/>
          </w:tcPr>
          <w:p>
            <w:pPr>
              <w:spacing w:after="0"/>
              <w:rPr>
                <w:sz w:val="20"/>
                <w:szCs w:val="20"/>
                <w:color w:val="auto"/>
              </w:rPr>
            </w:pPr>
            <w:r>
              <w:rPr>
                <w:rFonts w:ascii="Arial" w:cs="Arial" w:eastAsia="Arial" w:hAnsi="Arial"/>
                <w:sz w:val="17"/>
                <w:szCs w:val="17"/>
                <w:color w:val="auto"/>
              </w:rPr>
              <w:t>employee of the Trust (“Optionee”).</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bl>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Trust desires to have Optionee continue in its employ and to provide Optionee with an incentive by sharing in the success of the Trust;</w:t>
      </w:r>
    </w:p>
    <w:p>
      <w:pPr>
        <w:spacing w:after="0" w:line="176" w:lineRule="exact"/>
        <w:rPr>
          <w:sz w:val="20"/>
          <w:szCs w:val="20"/>
          <w:color w:val="auto"/>
        </w:rPr>
      </w:pPr>
    </w:p>
    <w:p>
      <w:pPr>
        <w:ind w:right="280" w:firstLine="457"/>
        <w:spacing w:after="0" w:line="278"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provide such an incentive to its key employees, the Trust has adopted the Federal Realty Investment Trust 2010 Performance Incentive</w:t>
      </w:r>
      <w:r>
        <w:rPr>
          <w:rFonts w:ascii="Arial" w:cs="Arial" w:eastAsia="Arial" w:hAnsi="Arial"/>
          <w:sz w:val="17"/>
          <w:szCs w:val="17"/>
          <w:b w:val="1"/>
          <w:bCs w:val="1"/>
          <w:color w:val="auto"/>
        </w:rPr>
        <w:t xml:space="preserve"> </w:t>
      </w:r>
      <w:r>
        <w:rPr>
          <w:rFonts w:ascii="Arial" w:cs="Arial" w:eastAsia="Arial" w:hAnsi="Arial"/>
          <w:sz w:val="17"/>
          <w:szCs w:val="17"/>
          <w:color w:val="auto"/>
        </w:rPr>
        <w:t>Plan (“Plan”);</w:t>
      </w:r>
    </w:p>
    <w:p>
      <w:pPr>
        <w:spacing w:after="0" w:line="112" w:lineRule="exact"/>
        <w:rPr>
          <w:sz w:val="20"/>
          <w:szCs w:val="20"/>
          <w:color w:val="auto"/>
        </w:rPr>
      </w:pPr>
    </w:p>
    <w:p>
      <w:pPr>
        <w:jc w:val="both"/>
        <w:ind w:right="220" w:firstLine="457"/>
        <w:spacing w:after="0" w:line="265"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Trust desires to grant, as set forth herein, to Optionee under the Plan (1) options for Shares that qualify as “Incentive Stock Options”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meaning of Section 422 or any successor provision of the Internal Revenue Code of 1986, as amended (“Code”), and/or (2) options not intended to qualify as Incentive Stock Options (“Non-Qualified Share Options”); and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unless otherwise provided herein, capitalized terms used in this Agreement shall have the meaning given them in the Plan.</w:t>
      </w:r>
    </w:p>
    <w:p>
      <w:pPr>
        <w:spacing w:after="0" w:line="164" w:lineRule="exact"/>
        <w:rPr>
          <w:sz w:val="20"/>
          <w:szCs w:val="20"/>
          <w:color w:val="auto"/>
        </w:rPr>
      </w:pPr>
    </w:p>
    <w:p>
      <w:pPr>
        <w:ind w:right="60" w:firstLine="457"/>
        <w:spacing w:after="0" w:line="278"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representations herein contained and intending to be legally bound, the parties hereto agree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12" w:lineRule="exact"/>
        <w:rPr>
          <w:sz w:val="20"/>
          <w:szCs w:val="20"/>
          <w:color w:val="auto"/>
        </w:rPr>
      </w:pPr>
    </w:p>
    <w:p>
      <w:pPr>
        <w:ind w:left="620" w:hanging="160"/>
        <w:spacing w:after="0"/>
        <w:tabs>
          <w:tab w:leader="none" w:pos="62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Option Grant Facts:</w:t>
      </w:r>
      <w:r>
        <w:rPr>
          <w:rFonts w:ascii="Arial" w:cs="Arial" w:eastAsia="Arial" w:hAnsi="Arial"/>
          <w:sz w:val="17"/>
          <w:szCs w:val="17"/>
          <w:b w:val="1"/>
          <w:bCs w:val="1"/>
          <w:color w:val="auto"/>
        </w:rPr>
        <w:t xml:space="preserve"> </w:t>
      </w:r>
      <w:r>
        <w:rPr>
          <w:rFonts w:ascii="Arial" w:cs="Arial" w:eastAsia="Arial" w:hAnsi="Arial"/>
          <w:sz w:val="17"/>
          <w:szCs w:val="17"/>
          <w:color w:val="auto"/>
        </w:rPr>
        <w:t>The Trust hereby grants to Optionee the following option (“Option”) to purchase Shares:</w:t>
      </w:r>
    </w:p>
    <w:p>
      <w:pPr>
        <w:spacing w:after="0" w:line="91" w:lineRule="exact"/>
        <w:rPr>
          <w:rFonts w:ascii="Arial" w:cs="Arial" w:eastAsia="Arial" w:hAnsi="Arial"/>
          <w:sz w:val="17"/>
          <w:szCs w:val="17"/>
          <w:b w:val="1"/>
          <w:bCs w:val="1"/>
          <w:color w:val="auto"/>
        </w:rPr>
      </w:pPr>
    </w:p>
    <w:p>
      <w:pPr>
        <w:ind w:left="1040" w:hanging="343"/>
        <w:spacing w:after="0"/>
        <w:tabs>
          <w:tab w:leader="none" w:pos="1040" w:val="left"/>
        </w:tabs>
        <w:numPr>
          <w:ilvl w:val="1"/>
          <w:numId w:val="124"/>
        </w:numPr>
        <w:rPr>
          <w:rFonts w:ascii="Arial" w:cs="Arial" w:eastAsia="Arial" w:hAnsi="Arial"/>
          <w:sz w:val="17"/>
          <w:szCs w:val="17"/>
          <w:b w:val="1"/>
          <w:bCs w:val="1"/>
          <w:color w:val="auto"/>
        </w:rPr>
      </w:pPr>
      <w:r>
        <w:rPr>
          <w:rFonts w:ascii="Arial" w:cs="Arial" w:eastAsia="Arial" w:hAnsi="Arial"/>
          <w:sz w:val="17"/>
          <w:szCs w:val="17"/>
          <w:color w:val="auto"/>
        </w:rPr>
        <w:t>Number of Shares Subject to this Option:</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Incentive Stock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13"/>
        </w:trPr>
        <w:tc>
          <w:tcPr>
            <w:tcW w:w="280" w:type="dxa"/>
            <w:vAlign w:val="bottom"/>
          </w:tcPr>
          <w:p>
            <w:pPr>
              <w:spacing w:after="0"/>
              <w:rPr>
                <w:sz w:val="18"/>
                <w:szCs w:val="18"/>
                <w:color w:val="auto"/>
              </w:rPr>
            </w:pPr>
          </w:p>
        </w:tc>
        <w:tc>
          <w:tcPr>
            <w:tcW w:w="5240" w:type="dxa"/>
            <w:vAlign w:val="bottom"/>
          </w:tcPr>
          <w:p>
            <w:pPr>
              <w:ind w:left="480"/>
              <w:spacing w:after="0"/>
              <w:rPr>
                <w:sz w:val="20"/>
                <w:szCs w:val="20"/>
                <w:color w:val="auto"/>
              </w:rPr>
            </w:pPr>
            <w:r>
              <w:rPr>
                <w:rFonts w:ascii="Arial" w:cs="Arial" w:eastAsia="Arial" w:hAnsi="Arial"/>
                <w:sz w:val="17"/>
                <w:szCs w:val="17"/>
                <w:color w:val="auto"/>
              </w:rPr>
              <w:t>Non-Qualified Share Options:</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r>
        <w:trPr>
          <w:trHeight w:val="271"/>
        </w:trPr>
        <w:tc>
          <w:tcPr>
            <w:tcW w:w="280" w:type="dxa"/>
            <w:vAlign w:val="bottom"/>
          </w:tcPr>
          <w:p>
            <w:pPr>
              <w:spacing w:after="0"/>
              <w:rPr>
                <w:sz w:val="20"/>
                <w:szCs w:val="20"/>
                <w:color w:val="auto"/>
              </w:rPr>
            </w:pPr>
            <w:r>
              <w:rPr>
                <w:rFonts w:ascii="Arial" w:cs="Arial" w:eastAsia="Arial" w:hAnsi="Arial"/>
                <w:sz w:val="17"/>
                <w:szCs w:val="17"/>
                <w:b w:val="1"/>
                <w:bCs w:val="1"/>
                <w:color w:val="auto"/>
              </w:rPr>
              <w:t>(b)</w:t>
            </w:r>
          </w:p>
        </w:tc>
        <w:tc>
          <w:tcPr>
            <w:tcW w:w="5240" w:type="dxa"/>
            <w:vAlign w:val="bottom"/>
          </w:tcPr>
          <w:p>
            <w:pPr>
              <w:ind w:left="60"/>
              <w:spacing w:after="0"/>
              <w:rPr>
                <w:sz w:val="20"/>
                <w:szCs w:val="20"/>
                <w:color w:val="auto"/>
              </w:rPr>
            </w:pPr>
            <w:r>
              <w:rPr>
                <w:rFonts w:ascii="Arial" w:cs="Arial" w:eastAsia="Arial" w:hAnsi="Arial"/>
                <w:sz w:val="17"/>
                <w:szCs w:val="17"/>
                <w:color w:val="auto"/>
              </w:rPr>
              <w:t>Purchase Price of Shares subject to the Option:</w:t>
            </w:r>
          </w:p>
        </w:tc>
        <w:tc>
          <w:tcPr>
            <w:tcW w:w="2120" w:type="dxa"/>
            <w:vAlign w:val="bottom"/>
          </w:tcPr>
          <w:p>
            <w:pPr>
              <w:ind w:left="2040"/>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spacing w:after="0"/>
              <w:rPr>
                <w:sz w:val="23"/>
                <w:szCs w:val="23"/>
                <w:color w:val="auto"/>
              </w:rPr>
            </w:pPr>
          </w:p>
        </w:tc>
      </w:tr>
      <w:tr>
        <w:trPr>
          <w:trHeight w:val="326"/>
        </w:trPr>
        <w:tc>
          <w:tcPr>
            <w:tcW w:w="280" w:type="dxa"/>
            <w:vAlign w:val="bottom"/>
          </w:tcPr>
          <w:p>
            <w:pPr>
              <w:spacing w:after="0"/>
              <w:rPr>
                <w:sz w:val="20"/>
                <w:szCs w:val="20"/>
                <w:color w:val="auto"/>
              </w:rPr>
            </w:pPr>
            <w:r>
              <w:rPr>
                <w:rFonts w:ascii="Arial" w:cs="Arial" w:eastAsia="Arial" w:hAnsi="Arial"/>
                <w:sz w:val="17"/>
                <w:szCs w:val="17"/>
                <w:b w:val="1"/>
                <w:bCs w:val="1"/>
                <w:color w:val="auto"/>
              </w:rPr>
              <w:t>(c)</w:t>
            </w:r>
          </w:p>
        </w:tc>
        <w:tc>
          <w:tcPr>
            <w:tcW w:w="5240" w:type="dxa"/>
            <w:vAlign w:val="bottom"/>
          </w:tcPr>
          <w:p>
            <w:pPr>
              <w:ind w:left="60"/>
              <w:spacing w:after="0"/>
              <w:rPr>
                <w:sz w:val="20"/>
                <w:szCs w:val="20"/>
                <w:color w:val="auto"/>
              </w:rPr>
            </w:pPr>
            <w:r>
              <w:rPr>
                <w:rFonts w:ascii="Arial" w:cs="Arial" w:eastAsia="Arial" w:hAnsi="Arial"/>
                <w:sz w:val="17"/>
                <w:szCs w:val="17"/>
                <w:color w:val="auto"/>
              </w:rPr>
              <w:t>Grant Date of the Option:</w:t>
            </w:r>
          </w:p>
        </w:tc>
        <w:tc>
          <w:tcPr>
            <w:tcW w:w="2540" w:type="dxa"/>
            <w:vAlign w:val="bottom"/>
            <w:gridSpan w:val="2"/>
          </w:tcPr>
          <w:p>
            <w:pPr>
              <w:ind w:left="2040"/>
              <w:spacing w:after="0"/>
              <w:rPr>
                <w:sz w:val="20"/>
                <w:szCs w:val="20"/>
                <w:color w:val="auto"/>
              </w:rPr>
            </w:pPr>
            <w:r>
              <w:rPr>
                <w:rFonts w:ascii="Arial" w:cs="Arial" w:eastAsia="Arial" w:hAnsi="Arial"/>
                <w:sz w:val="17"/>
                <w:szCs w:val="17"/>
                <w:color w:val="auto"/>
                <w:w w:val="84"/>
              </w:rPr>
              <w:t>______</w:t>
            </w:r>
          </w:p>
        </w:tc>
      </w:tr>
    </w:tbl>
    <w:p>
      <w:pPr>
        <w:spacing w:after="0" w:line="96" w:lineRule="exact"/>
        <w:rPr>
          <w:sz w:val="20"/>
          <w:szCs w:val="20"/>
          <w:color w:val="auto"/>
        </w:rPr>
      </w:pPr>
    </w:p>
    <w:p>
      <w:pPr>
        <w:ind w:left="1040" w:hanging="343"/>
        <w:spacing w:after="0"/>
        <w:tabs>
          <w:tab w:leader="none" w:pos="1040"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Vesting Schedule of Shares Subject to the Option:</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2"/>
              </w:rPr>
              <w:t>Incentive</w:t>
            </w:r>
          </w:p>
        </w:tc>
        <w:tc>
          <w:tcPr>
            <w:tcW w:w="268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5"/>
              </w:rPr>
              <w:t>Non-Qualified</w:t>
            </w:r>
          </w:p>
        </w:tc>
        <w:tc>
          <w:tcPr>
            <w:tcW w:w="274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Vesting Date</w:t>
            </w:r>
          </w:p>
        </w:tc>
        <w:tc>
          <w:tcPr>
            <w:tcW w:w="60" w:type="dxa"/>
            <w:vAlign w:val="bottom"/>
          </w:tcPr>
          <w:p>
            <w:pPr>
              <w:spacing w:after="0"/>
              <w:rPr>
                <w:sz w:val="13"/>
                <w:szCs w:val="13"/>
                <w:color w:val="auto"/>
              </w:rPr>
            </w:pPr>
          </w:p>
        </w:tc>
      </w:tr>
      <w:tr>
        <w:trPr>
          <w:trHeight w:val="29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06"/>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r>
        <w:trPr>
          <w:trHeight w:val="213"/>
        </w:trPr>
        <w:tc>
          <w:tcPr>
            <w:tcW w:w="3180" w:type="dxa"/>
            <w:vAlign w:val="bottom"/>
            <w:gridSpan w:val="2"/>
          </w:tcPr>
          <w:p>
            <w:pPr>
              <w:spacing w:after="0"/>
              <w:rPr>
                <w:sz w:val="20"/>
                <w:szCs w:val="20"/>
                <w:color w:val="auto"/>
              </w:rPr>
            </w:pPr>
            <w:r>
              <w:rPr>
                <w:rFonts w:ascii="Arial" w:cs="Arial" w:eastAsia="Arial" w:hAnsi="Arial"/>
                <w:sz w:val="17"/>
                <w:szCs w:val="17"/>
                <w:color w:val="auto"/>
              </w:rPr>
              <w:t>______</w:t>
            </w:r>
          </w:p>
        </w:tc>
        <w:tc>
          <w:tcPr>
            <w:tcW w:w="780" w:type="dxa"/>
            <w:vAlign w:val="bottom"/>
          </w:tcPr>
          <w:p>
            <w:pPr>
              <w:spacing w:after="0"/>
              <w:rPr>
                <w:sz w:val="20"/>
                <w:szCs w:val="20"/>
                <w:color w:val="auto"/>
              </w:rPr>
            </w:pPr>
            <w:r>
              <w:rPr>
                <w:rFonts w:ascii="Arial" w:cs="Arial" w:eastAsia="Arial" w:hAnsi="Arial"/>
                <w:sz w:val="17"/>
                <w:szCs w:val="17"/>
                <w:color w:val="auto"/>
              </w:rPr>
              <w:t>______</w:t>
            </w:r>
          </w:p>
        </w:tc>
        <w:tc>
          <w:tcPr>
            <w:tcW w:w="3500" w:type="dxa"/>
            <w:vAlign w:val="bottom"/>
            <w:gridSpan w:val="3"/>
          </w:tcPr>
          <w:p>
            <w:pPr>
              <w:ind w:left="2740"/>
              <w:spacing w:after="0"/>
              <w:rPr>
                <w:sz w:val="20"/>
                <w:szCs w:val="20"/>
                <w:color w:val="auto"/>
              </w:rPr>
            </w:pPr>
            <w:r>
              <w:rPr>
                <w:rFonts w:ascii="Arial" w:cs="Arial" w:eastAsia="Arial" w:hAnsi="Arial"/>
                <w:sz w:val="17"/>
                <w:szCs w:val="17"/>
                <w:color w:val="auto"/>
                <w:w w:val="86"/>
              </w:rPr>
              <w:t>______,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5455920</wp:posOffset>
            </wp:positionH>
            <wp:positionV relativeFrom="paragraph">
              <wp:posOffset>-283845</wp:posOffset>
            </wp:positionV>
            <wp:extent cx="1060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-153670</wp:posOffset>
            </wp:positionV>
            <wp:extent cx="1060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6045" cy="8255"/>
                    </a:xfrm>
                    <a:prstGeom prst="rect">
                      <a:avLst/>
                    </a:prstGeom>
                    <a:noFill/>
                  </pic:spPr>
                </pic:pic>
              </a:graphicData>
            </a:graphic>
          </wp:anchor>
        </w:drawing>
        <w:drawing>
          <wp:anchor simplePos="0" relativeHeight="251657728" behindDoc="1" locked="0" layoutInCell="0" allowOverlap="1">
            <wp:simplePos x="0" y="0"/>
            <wp:positionH relativeFrom="column">
              <wp:posOffset>5455920</wp:posOffset>
            </wp:positionH>
            <wp:positionV relativeFrom="paragraph">
              <wp:posOffset>-22860</wp:posOffset>
            </wp:positionV>
            <wp:extent cx="1060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6045" cy="8255"/>
                    </a:xfrm>
                    <a:prstGeom prst="rect">
                      <a:avLst/>
                    </a:prstGeom>
                    <a:noFill/>
                  </pic:spPr>
                </pic:pic>
              </a:graphicData>
            </a:graphic>
          </wp:anchor>
        </w:drawing>
      </w:r>
    </w:p>
    <w:p>
      <w:pPr>
        <w:spacing w:after="0" w:line="127"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color w:val="auto"/>
        </w:rPr>
        <w:t>The Option may be exercised from time-to-time to the extent vested. To the extent any portion of the Option designated above as an Incentive Stock Option shall fail to qualify as an Incentive Stock Option for any reason, including an exercise by the Optionee after the time period required to receive Incentive Stock Option treatment, it shall be deemed a Non-Qualified Share Option.</w:t>
      </w:r>
    </w:p>
    <w:p>
      <w:pPr>
        <w:spacing w:after="0" w:line="124" w:lineRule="exact"/>
        <w:rPr>
          <w:sz w:val="20"/>
          <w:szCs w:val="20"/>
          <w:color w:val="auto"/>
        </w:rPr>
      </w:pPr>
    </w:p>
    <w:p>
      <w:pPr>
        <w:ind w:left="620" w:hanging="160"/>
        <w:spacing w:after="0"/>
        <w:tabs>
          <w:tab w:leader="none" w:pos="620" w:val="left"/>
        </w:tabs>
        <w:numPr>
          <w:ilvl w:val="0"/>
          <w:numId w:val="12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shall expire ten (10) years from the Grant Date, subject to earlier termination as set forth in Section 4 of this Agreement and the terms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5</w:t>
      </w:r>
    </w:p>
    <w:p>
      <w:pPr>
        <w:sectPr>
          <w:pgSz w:w="11900" w:h="16838" w:orient="portrait"/>
          <w:cols w:equalWidth="0" w:num="1">
            <w:col w:w="11420"/>
          </w:cols>
          <w:pgMar w:left="240" w:top="127" w:right="239" w:bottom="1440" w:gutter="0" w:footer="0" w:header="0"/>
        </w:sectPr>
      </w:pPr>
    </w:p>
    <w:bookmarkStart w:id="137" w:name="page138"/>
    <w:bookmarkEnd w:id="137"/>
    <w:p>
      <w:pPr>
        <w:ind w:right="120" w:firstLine="460"/>
        <w:spacing w:after="0" w:line="278" w:lineRule="auto"/>
        <w:tabs>
          <w:tab w:leader="none" w:pos="624"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Acceleration of Vesting.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vesting of this Option shall accelerate and the Option shall fully vest and become immediately exercisable with respect to the full</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subject to the Option for the applicable periods set forth in Section 4 below upon the following:</w:t>
      </w:r>
    </w:p>
    <w:p>
      <w:pPr>
        <w:spacing w:after="0" w:line="116" w:lineRule="exact"/>
        <w:rPr>
          <w:rFonts w:ascii="Arial" w:cs="Arial" w:eastAsia="Arial" w:hAnsi="Arial"/>
          <w:sz w:val="17"/>
          <w:szCs w:val="17"/>
          <w:b w:val="1"/>
          <w:bCs w:val="1"/>
          <w:color w:val="auto"/>
        </w:rPr>
      </w:pPr>
    </w:p>
    <w:p>
      <w:pPr>
        <w:ind w:left="1160" w:hanging="244"/>
        <w:spacing w:after="0"/>
        <w:tabs>
          <w:tab w:leader="none" w:pos="1160" w:val="left"/>
        </w:tabs>
        <w:numPr>
          <w:ilvl w:val="1"/>
          <w:numId w:val="127"/>
        </w:numPr>
        <w:rPr>
          <w:rFonts w:ascii="Arial" w:cs="Arial" w:eastAsia="Arial" w:hAnsi="Arial"/>
          <w:sz w:val="17"/>
          <w:szCs w:val="17"/>
          <w:b w:val="1"/>
          <w:bCs w:val="1"/>
          <w:color w:val="auto"/>
        </w:rPr>
      </w:pPr>
      <w:r>
        <w:rPr>
          <w:rFonts w:ascii="Arial" w:cs="Arial" w:eastAsia="Arial" w:hAnsi="Arial"/>
          <w:sz w:val="17"/>
          <w:szCs w:val="17"/>
          <w:color w:val="auto"/>
        </w:rPr>
        <w:t>the Optionee’s termination of Service upon Disability;</w:t>
      </w:r>
    </w:p>
    <w:p>
      <w:pPr>
        <w:spacing w:after="0" w:line="164" w:lineRule="exact"/>
        <w:rPr>
          <w:rFonts w:ascii="Arial" w:cs="Arial" w:eastAsia="Arial" w:hAnsi="Arial"/>
          <w:sz w:val="17"/>
          <w:szCs w:val="17"/>
          <w:b w:val="1"/>
          <w:bCs w:val="1"/>
          <w:color w:val="auto"/>
        </w:rPr>
      </w:pPr>
    </w:p>
    <w:p>
      <w:pPr>
        <w:ind w:left="1160" w:hanging="244"/>
        <w:spacing w:after="0"/>
        <w:tabs>
          <w:tab w:leader="none" w:pos="1160" w:val="left"/>
        </w:tabs>
        <w:numPr>
          <w:ilvl w:val="1"/>
          <w:numId w:val="127"/>
        </w:numPr>
        <w:rPr>
          <w:rFonts w:ascii="Arial" w:cs="Arial" w:eastAsia="Arial" w:hAnsi="Arial"/>
          <w:sz w:val="17"/>
          <w:szCs w:val="17"/>
          <w:b w:val="1"/>
          <w:bCs w:val="1"/>
          <w:color w:val="auto"/>
        </w:rPr>
      </w:pPr>
      <w:r>
        <w:rPr>
          <w:rFonts w:ascii="Arial" w:cs="Arial" w:eastAsia="Arial" w:hAnsi="Arial"/>
          <w:sz w:val="17"/>
          <w:szCs w:val="17"/>
          <w:color w:val="auto"/>
        </w:rPr>
        <w:t>the Optionee’s death while employed by the Trust; and</w:t>
      </w:r>
    </w:p>
    <w:p>
      <w:pPr>
        <w:spacing w:after="0" w:line="164" w:lineRule="exact"/>
        <w:rPr>
          <w:rFonts w:ascii="Arial" w:cs="Arial" w:eastAsia="Arial" w:hAnsi="Arial"/>
          <w:sz w:val="17"/>
          <w:szCs w:val="17"/>
          <w:b w:val="1"/>
          <w:bCs w:val="1"/>
          <w:color w:val="auto"/>
        </w:rPr>
      </w:pPr>
    </w:p>
    <w:p>
      <w:pPr>
        <w:jc w:val="both"/>
        <w:ind w:firstLine="916"/>
        <w:spacing w:after="0" w:line="263" w:lineRule="auto"/>
        <w:tabs>
          <w:tab w:leader="none" w:pos="1141" w:val="left"/>
        </w:tabs>
        <w:numPr>
          <w:ilvl w:val="1"/>
          <w:numId w:val="127"/>
        </w:numPr>
        <w:rPr>
          <w:rFonts w:ascii="Arial" w:cs="Arial" w:eastAsia="Arial" w:hAnsi="Arial"/>
          <w:sz w:val="17"/>
          <w:szCs w:val="17"/>
          <w:b w:val="1"/>
          <w:bCs w:val="1"/>
          <w:color w:val="auto"/>
        </w:rPr>
      </w:pPr>
      <w:r>
        <w:rPr>
          <w:rFonts w:ascii="Arial" w:cs="Arial" w:eastAsia="Arial" w:hAnsi="Arial"/>
          <w:sz w:val="17"/>
          <w:szCs w:val="17"/>
          <w:color w:val="auto"/>
        </w:rPr>
        <w:t>if the Optionee incurs an Involuntary Termination within the one year period commencing with a Change in Control; provided, however, such accelerated vesting described in this Section 3(c) shall not be applicable to the Option if such Change in Control results from the Optionee’s beneficial ownership (within the meaning of Rule 13d-3 under the Exchange Act) of Shares or Trust Voting Securities.</w:t>
      </w:r>
    </w:p>
    <w:p>
      <w:pPr>
        <w:spacing w:after="0" w:line="124" w:lineRule="exact"/>
        <w:rPr>
          <w:rFonts w:ascii="Arial" w:cs="Arial" w:eastAsia="Arial" w:hAnsi="Arial"/>
          <w:sz w:val="17"/>
          <w:szCs w:val="17"/>
          <w:b w:val="1"/>
          <w:bCs w:val="1"/>
          <w:color w:val="auto"/>
        </w:rPr>
      </w:pPr>
    </w:p>
    <w:p>
      <w:pPr>
        <w:ind w:right="40" w:firstLine="460"/>
        <w:spacing w:after="0" w:line="275" w:lineRule="auto"/>
        <w:tabs>
          <w:tab w:leader="none" w:pos="624"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 Upon Termination of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all or any part of the Option was not exercisable as of the date of termination of Service (after</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Section 3, above), the unvested and unexercisable portion of the Option shall expire at the date of such termination of Service. Notwithstanding anything to the contrary, if the Optionee’s termination of Service is for Cause (as defined in the Plan and any employment or other agreement with the Optionee as of the Grant Date) or the Optionee voluntarily terminates from Service at a time when grounds for the Optionee’s termination for Cause exists, the right of the Optionee to exercise the Option shall terminate at the date of termination of Service. Subject to the preceding, the Optionee or the Optionee’s beneficiary, as applicable, shall have the applicable period of time specified below in which to exercise the Option after the Optionee’s termination of Service; provided, however, in no event may the Option be exercised under any circumstances later than the expiration date described in Section 2:</w:t>
      </w:r>
    </w:p>
    <w:p>
      <w:pPr>
        <w:spacing w:after="0" w:line="117" w:lineRule="exact"/>
        <w:rPr>
          <w:rFonts w:ascii="Arial" w:cs="Arial" w:eastAsia="Arial" w:hAnsi="Arial"/>
          <w:sz w:val="16"/>
          <w:szCs w:val="16"/>
          <w:b w:val="1"/>
          <w:bCs w:val="1"/>
          <w:color w:val="auto"/>
        </w:rPr>
      </w:pPr>
    </w:p>
    <w:p>
      <w:pPr>
        <w:ind w:right="60" w:firstLine="916"/>
        <w:spacing w:after="0" w:line="301" w:lineRule="auto"/>
        <w:tabs>
          <w:tab w:leader="none" w:pos="1150" w:val="left"/>
        </w:tabs>
        <w:numPr>
          <w:ilvl w:val="1"/>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General Termination of Service. </w:t>
      </w:r>
      <w:r>
        <w:rPr>
          <w:rFonts w:ascii="Arial" w:cs="Arial" w:eastAsia="Arial" w:hAnsi="Arial"/>
          <w:sz w:val="15"/>
          <w:szCs w:val="15"/>
          <w:color w:val="auto"/>
        </w:rPr>
        <w:t>Upon the Optionee’s termination of Service for any reason other than by reason of death, Disability, Retirement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below) or Involuntary Termination within the one year period commencing with a Change in Control, the Optionee shall have a period of three (3) months [one year for Executive Officers] after such termination of Service to exercise all or any part of the Option to the extent it was exercisable at the date of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00" w:lineRule="exact"/>
        <w:rPr>
          <w:rFonts w:ascii="Arial" w:cs="Arial" w:eastAsia="Arial" w:hAnsi="Arial"/>
          <w:sz w:val="15"/>
          <w:szCs w:val="15"/>
          <w:b w:val="1"/>
          <w:bCs w:val="1"/>
          <w:color w:val="auto"/>
        </w:rPr>
      </w:pPr>
    </w:p>
    <w:p>
      <w:pPr>
        <w:ind w:right="260" w:firstLine="916"/>
        <w:spacing w:after="0" w:line="258" w:lineRule="auto"/>
        <w:tabs>
          <w:tab w:leader="none" w:pos="1160" w:val="left"/>
        </w:tabs>
        <w:numPr>
          <w:ilvl w:val="1"/>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Service on Retirement</w:t>
      </w:r>
      <w:r>
        <w:rPr>
          <w:rFonts w:ascii="Arial" w:cs="Arial" w:eastAsia="Arial" w:hAnsi="Arial"/>
          <w:sz w:val="17"/>
          <w:szCs w:val="17"/>
          <w:color w:val="auto"/>
        </w:rPr>
        <w:t>. Upon the Optionee’s termination of Service by reason of retirement on or after the Optionee turns age 65</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the Optionee shall have a period of one (1) year after such termination of Service to exercise all or any part of the Option to the extent that it was exercisable upon such termination of Service. An exercise of all or any part of the Option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131" w:lineRule="exact"/>
        <w:rPr>
          <w:rFonts w:ascii="Arial" w:cs="Arial" w:eastAsia="Arial" w:hAnsi="Arial"/>
          <w:sz w:val="17"/>
          <w:szCs w:val="17"/>
          <w:b w:val="1"/>
          <w:bCs w:val="1"/>
          <w:color w:val="auto"/>
        </w:rPr>
      </w:pPr>
    </w:p>
    <w:p>
      <w:pPr>
        <w:ind w:right="20" w:firstLine="916"/>
        <w:spacing w:after="0" w:line="301" w:lineRule="auto"/>
        <w:tabs>
          <w:tab w:leader="none" w:pos="1138" w:val="left"/>
        </w:tabs>
        <w:numPr>
          <w:ilvl w:val="1"/>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Service on Disability. </w:t>
      </w:r>
      <w:r>
        <w:rPr>
          <w:rFonts w:ascii="Arial" w:cs="Arial" w:eastAsia="Arial" w:hAnsi="Arial"/>
          <w:sz w:val="15"/>
          <w:szCs w:val="15"/>
          <w:color w:val="auto"/>
        </w:rPr>
        <w:t>Upon the Optionee’s termination of Service by reason of Disability, the Optionee shall have a period of one (1)</w:t>
      </w:r>
      <w:r>
        <w:rPr>
          <w:rFonts w:ascii="Arial" w:cs="Arial" w:eastAsia="Arial" w:hAnsi="Arial"/>
          <w:sz w:val="15"/>
          <w:szCs w:val="15"/>
          <w:b w:val="1"/>
          <w:bCs w:val="1"/>
          <w:color w:val="auto"/>
        </w:rPr>
        <w:t xml:space="preserve"> </w:t>
      </w:r>
      <w:r>
        <w:rPr>
          <w:rFonts w:ascii="Arial" w:cs="Arial" w:eastAsia="Arial" w:hAnsi="Arial"/>
          <w:sz w:val="15"/>
          <w:szCs w:val="15"/>
          <w:color w:val="auto"/>
        </w:rPr>
        <w:t>year after such termination of Service to exercise all or any part of the Option to the extent that it was exercisable upon such termination of Service including as a result of Section 3 above. Unless the Optionee’s Disability qualifies as a permanent and total disability within the meaning of Section 22(e)(3) of the Code, any exercise of all or any part of the Option more than three (3) months after termination of Service as an employee by reason of Disability may cause any portion of the Option being exercised which was designated as an Incentive Stock Option to fail to qualify as such, in which event it shall be deemed a Non-Qualified Share Option.</w:t>
      </w:r>
    </w:p>
    <w:p>
      <w:pPr>
        <w:spacing w:after="0" w:line="100" w:lineRule="exact"/>
        <w:rPr>
          <w:rFonts w:ascii="Arial" w:cs="Arial" w:eastAsia="Arial" w:hAnsi="Arial"/>
          <w:sz w:val="15"/>
          <w:szCs w:val="15"/>
          <w:b w:val="1"/>
          <w:bCs w:val="1"/>
          <w:color w:val="auto"/>
        </w:rPr>
      </w:pPr>
    </w:p>
    <w:p>
      <w:pPr>
        <w:ind w:left="1160" w:hanging="244"/>
        <w:spacing w:after="0"/>
        <w:tabs>
          <w:tab w:leader="none" w:pos="1160" w:val="left"/>
        </w:tabs>
        <w:numPr>
          <w:ilvl w:val="1"/>
          <w:numId w:val="1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Termination of Service on Death. </w:t>
      </w:r>
      <w:r>
        <w:rPr>
          <w:rFonts w:ascii="Arial" w:cs="Arial" w:eastAsia="Arial" w:hAnsi="Arial"/>
          <w:sz w:val="15"/>
          <w:szCs w:val="15"/>
          <w:color w:val="auto"/>
        </w:rPr>
        <w:t>In the event of the death of the Optionee, the right of the Optionee’s beneficiary to exercise the Option shall expire as</w:t>
      </w:r>
    </w:p>
    <w:p>
      <w:pPr>
        <w:spacing w:after="0" w:line="44"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7"/>
          <w:szCs w:val="17"/>
          <w:color w:val="auto"/>
        </w:rPr>
        <w:t>follows: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2 of 5</w:t>
      </w:r>
    </w:p>
    <w:p>
      <w:pPr>
        <w:sectPr>
          <w:pgSz w:w="11900" w:h="16838" w:orient="portrait"/>
          <w:cols w:equalWidth="0" w:num="1">
            <w:col w:w="11420"/>
          </w:cols>
          <w:pgMar w:left="240" w:top="268" w:right="239" w:bottom="1440" w:gutter="0" w:footer="0" w:header="0"/>
        </w:sectPr>
      </w:pPr>
    </w:p>
    <w:bookmarkStart w:id="138" w:name="page139"/>
    <w:bookmarkEnd w:id="138"/>
    <w:p>
      <w:pPr>
        <w:ind w:left="-20" w:right="140" w:firstLine="1488"/>
        <w:spacing w:after="0" w:line="263" w:lineRule="auto"/>
        <w:tabs>
          <w:tab w:leader="none" w:pos="1664" w:val="left"/>
        </w:tabs>
        <w:numPr>
          <w:ilvl w:val="2"/>
          <w:numId w:val="12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880" cy="37465"/>
                    </a:xfrm>
                    <a:prstGeom prst="rect">
                      <a:avLst/>
                    </a:prstGeom>
                    <a:noFill/>
                  </pic:spPr>
                </pic:pic>
              </a:graphicData>
            </a:graphic>
          </wp:anchor>
        </w:drawing>
        <w:t>if the Optionee’s death occurs when the Optionee is employed by the Trust, the Optionee’s beneficiary shall have a period of two (2) years after the date of the Optionee’s death to exercise all or any part of the Option to the extent that it was exercisable upon such termination of Service including as a result of Section 3 above;</w:t>
      </w:r>
    </w:p>
    <w:p>
      <w:pPr>
        <w:spacing w:after="0" w:line="128" w:lineRule="exact"/>
        <w:rPr>
          <w:rFonts w:ascii="Arial" w:cs="Arial" w:eastAsia="Arial" w:hAnsi="Arial"/>
          <w:sz w:val="17"/>
          <w:szCs w:val="17"/>
          <w:b w:val="1"/>
          <w:bCs w:val="1"/>
          <w:color w:val="auto"/>
        </w:rPr>
      </w:pPr>
    </w:p>
    <w:p>
      <w:pPr>
        <w:ind w:left="-20" w:right="100" w:firstLine="1488"/>
        <w:spacing w:after="0" w:line="257" w:lineRule="auto"/>
        <w:tabs>
          <w:tab w:leader="none" w:pos="1711" w:val="left"/>
        </w:tabs>
        <w:numPr>
          <w:ilvl w:val="2"/>
          <w:numId w:val="128"/>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after the Optionee’s termination of Service by reason of Disability or Retirement but before the expiration of one (1) year after the Optionee’s termination of Service by reason of Disability or Retirement, the one (1) year period provided for in Section 4(b) and (c) shall be extended for an additional one (1) year period such that the Optionee’s beneficiary shall have a period of two (2) years from the date of the Optionee’s termination of Service by reason of Disability or Retirement to exercise all or any part of the Option to the extent that it was exercisable upon such termination of Service including as a result of Section 3 above;</w:t>
      </w:r>
    </w:p>
    <w:p>
      <w:pPr>
        <w:spacing w:after="0" w:line="135" w:lineRule="exact"/>
        <w:rPr>
          <w:rFonts w:ascii="Arial" w:cs="Arial" w:eastAsia="Arial" w:hAnsi="Arial"/>
          <w:sz w:val="17"/>
          <w:szCs w:val="17"/>
          <w:b w:val="1"/>
          <w:bCs w:val="1"/>
          <w:color w:val="auto"/>
        </w:rPr>
      </w:pPr>
    </w:p>
    <w:p>
      <w:pPr>
        <w:ind w:left="-20" w:right="240" w:firstLine="1488"/>
        <w:spacing w:after="0" w:line="273" w:lineRule="auto"/>
        <w:tabs>
          <w:tab w:leader="none" w:pos="1757" w:val="left"/>
        </w:tabs>
        <w:numPr>
          <w:ilvl w:val="2"/>
          <w:numId w:val="128"/>
        </w:numPr>
        <w:rPr>
          <w:rFonts w:ascii="Arial" w:cs="Arial" w:eastAsia="Arial" w:hAnsi="Arial"/>
          <w:sz w:val="17"/>
          <w:szCs w:val="17"/>
          <w:b w:val="1"/>
          <w:bCs w:val="1"/>
          <w:color w:val="auto"/>
        </w:rPr>
      </w:pPr>
      <w:r>
        <w:rPr>
          <w:rFonts w:ascii="Arial" w:cs="Arial" w:eastAsia="Arial" w:hAnsi="Arial"/>
          <w:sz w:val="17"/>
          <w:szCs w:val="17"/>
          <w:color w:val="auto"/>
        </w:rPr>
        <w:t>if the Optionee’s death occurs following any other termination of Service, the Optionee’s beneficiary shall have the remaining period of time specified in Section 4(a), if any, to exercise all or any part of the Option.</w:t>
      </w:r>
    </w:p>
    <w:p>
      <w:pPr>
        <w:spacing w:after="0" w:line="116" w:lineRule="exact"/>
        <w:rPr>
          <w:rFonts w:ascii="Arial" w:cs="Arial" w:eastAsia="Arial" w:hAnsi="Arial"/>
          <w:sz w:val="17"/>
          <w:szCs w:val="17"/>
          <w:b w:val="1"/>
          <w:bCs w:val="1"/>
          <w:color w:val="auto"/>
        </w:rPr>
      </w:pPr>
    </w:p>
    <w:p>
      <w:pPr>
        <w:ind w:left="-20" w:right="120" w:firstLine="916"/>
        <w:spacing w:after="0" w:line="278" w:lineRule="auto"/>
        <w:tabs>
          <w:tab w:leader="none" w:pos="1121" w:val="left"/>
        </w:tabs>
        <w:numPr>
          <w:ilvl w:val="1"/>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If the Optionee incurs an Involuntary Termination within the one (1) year period commencing with a Change in Control,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shall have a period of one (1) year from the date of such Involuntary Termination to exercise all or any part of the Option to the extent that it was exercisable upon such Involuntary Termination including as a result of Section 3 above. Any exercise of all or any part of the Option after an Involuntary Termination following a Change in Control more than three (3) months after termination of Service as an employee may cause any portion of the Option being exercised which was designated as an Incentive Stock Option to fail to qualify as such in which event it shall be deemed a Non-Qualified Share Option.</w:t>
      </w:r>
    </w:p>
    <w:p>
      <w:pPr>
        <w:spacing w:after="0" w:line="232" w:lineRule="exact"/>
        <w:rPr>
          <w:rFonts w:ascii="Arial" w:cs="Arial" w:eastAsia="Arial" w:hAnsi="Arial"/>
          <w:sz w:val="16"/>
          <w:szCs w:val="16"/>
          <w:b w:val="1"/>
          <w:bCs w:val="1"/>
          <w:color w:val="auto"/>
        </w:rPr>
      </w:pPr>
    </w:p>
    <w:p>
      <w:pPr>
        <w:ind w:left="880" w:hanging="448"/>
        <w:spacing w:after="0"/>
        <w:tabs>
          <w:tab w:leader="none" w:pos="88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Exercise Procedures</w:t>
      </w:r>
      <w:r>
        <w:rPr>
          <w:rFonts w:ascii="Arial" w:cs="Arial" w:eastAsia="Arial" w:hAnsi="Arial"/>
          <w:sz w:val="17"/>
          <w:szCs w:val="17"/>
          <w:b w:val="1"/>
          <w:bCs w:val="1"/>
          <w:color w:val="auto"/>
        </w:rPr>
        <w:t>.</w:t>
      </w:r>
    </w:p>
    <w:p>
      <w:pPr>
        <w:spacing w:after="0" w:line="164" w:lineRule="exact"/>
        <w:rPr>
          <w:rFonts w:ascii="Arial" w:cs="Arial" w:eastAsia="Arial" w:hAnsi="Arial"/>
          <w:sz w:val="17"/>
          <w:szCs w:val="17"/>
          <w:b w:val="1"/>
          <w:bCs w:val="1"/>
          <w:color w:val="auto"/>
        </w:rPr>
      </w:pPr>
    </w:p>
    <w:p>
      <w:pPr>
        <w:ind w:left="-20" w:firstLine="916"/>
        <w:spacing w:after="0" w:line="294" w:lineRule="auto"/>
        <w:tabs>
          <w:tab w:leader="none" w:pos="1130" w:val="left"/>
        </w:tabs>
        <w:numPr>
          <w:ilvl w:val="1"/>
          <w:numId w:val="130"/>
        </w:numPr>
        <w:rPr>
          <w:rFonts w:ascii="Arial" w:cs="Arial" w:eastAsia="Arial" w:hAnsi="Arial"/>
          <w:sz w:val="15"/>
          <w:szCs w:val="15"/>
          <w:b w:val="1"/>
          <w:bCs w:val="1"/>
          <w:color w:val="auto"/>
        </w:rPr>
      </w:pPr>
      <w:r>
        <w:rPr>
          <w:rFonts w:ascii="Arial" w:cs="Arial" w:eastAsia="Arial" w:hAnsi="Arial"/>
          <w:sz w:val="15"/>
          <w:szCs w:val="15"/>
          <w:b w:val="1"/>
          <w:bCs w:val="1"/>
          <w:color w:val="auto"/>
        </w:rPr>
        <w:t>Method of Exercise</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vested, the Option shall be exercisable by providing written notice to the Trust and making all additional</w:t>
      </w:r>
      <w:r>
        <w:rPr>
          <w:rFonts w:ascii="Arial" w:cs="Arial" w:eastAsia="Arial" w:hAnsi="Arial"/>
          <w:sz w:val="15"/>
          <w:szCs w:val="15"/>
          <w:b w:val="1"/>
          <w:bCs w:val="1"/>
          <w:color w:val="auto"/>
        </w:rPr>
        <w:t xml:space="preserve"> </w:t>
      </w:r>
      <w:r>
        <w:rPr>
          <w:rFonts w:ascii="Arial" w:cs="Arial" w:eastAsia="Arial" w:hAnsi="Arial"/>
          <w:sz w:val="15"/>
          <w:szCs w:val="15"/>
          <w:color w:val="auto"/>
        </w:rPr>
        <w:t>arrangements to pay the exercise price and provide for any applicable tax withholding as provided in this Section 5. Such written notice shall set forth such information as the Trust may reasonably require from time to time which may include, without limitation: (i) the number of Shares being purchased and whether those Shares are issuable as a result of the exercise of the Incentive Stock Option portion of the Option or the Non-Qualified Share Option portion of the Option; (ii) the total exercise price for the Shares being purchased; and (iii) the exact name(s) as it should appear to whom the Shares are to be issued and address to which the Shares should be sent. For the exercise of the Option to be valid, such written notice must be provided to the Secretary of the Trust and additional arrangements to pay the exercise price must be completed on or before 5:00 P.M. local time at the principal office of the Trust on the expiration date of the Option. If the written notice is not provided to the Secretary of the Trust or the arrangements to pay the exercise price have not be completed on or before such date and time, the Option will expire and be of no further force of effect.</w:t>
      </w:r>
    </w:p>
    <w:p>
      <w:pPr>
        <w:spacing w:after="0" w:line="108" w:lineRule="exact"/>
        <w:rPr>
          <w:rFonts w:ascii="Arial" w:cs="Arial" w:eastAsia="Arial" w:hAnsi="Arial"/>
          <w:sz w:val="15"/>
          <w:szCs w:val="15"/>
          <w:b w:val="1"/>
          <w:bCs w:val="1"/>
          <w:color w:val="auto"/>
        </w:rPr>
      </w:pPr>
    </w:p>
    <w:p>
      <w:pPr>
        <w:ind w:left="-20" w:right="160" w:firstLine="916"/>
        <w:spacing w:after="0" w:line="258" w:lineRule="auto"/>
        <w:tabs>
          <w:tab w:leader="none" w:pos="1140"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of Exercise Price. </w:t>
      </w:r>
      <w:r>
        <w:rPr>
          <w:rFonts w:ascii="Arial" w:cs="Arial" w:eastAsia="Arial" w:hAnsi="Arial"/>
          <w:sz w:val="17"/>
          <w:szCs w:val="17"/>
          <w:color w:val="auto"/>
        </w:rPr>
        <w:t>The exercise price of Shares purchased upon exercise of the Option shall be paid in full (a) in cash, (b) by delivery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Trust of Shares which shall have been held by the Optionee for at least six months having, on the date of exercise, a fair market value equal to the aggregate exercise price, (c) in any combination of cash and Shares, or (d) cash equivalents acceptable to the Trust or by payment in accordance with a broker-assisted cashless exercise program under which, if so instructed by the Optionee, Shares may be issued directly to the Optionee’s broker or dealer against receipt of the exercise price in cash from the broker or dealer.</w:t>
      </w:r>
    </w:p>
    <w:p>
      <w:pPr>
        <w:spacing w:after="0" w:line="131" w:lineRule="exact"/>
        <w:rPr>
          <w:rFonts w:ascii="Arial" w:cs="Arial" w:eastAsia="Arial" w:hAnsi="Arial"/>
          <w:sz w:val="17"/>
          <w:szCs w:val="17"/>
          <w:b w:val="1"/>
          <w:bCs w:val="1"/>
          <w:color w:val="auto"/>
        </w:rPr>
      </w:pPr>
    </w:p>
    <w:p>
      <w:pPr>
        <w:ind w:left="-20" w:right="140" w:firstLine="916"/>
        <w:spacing w:after="0" w:line="278" w:lineRule="auto"/>
        <w:tabs>
          <w:tab w:leader="none" w:pos="1121" w:val="left"/>
        </w:tabs>
        <w:numPr>
          <w:ilvl w:val="1"/>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Delivery of Certificate; Registration of Shares</w:t>
      </w:r>
      <w:r>
        <w:rPr>
          <w:rFonts w:ascii="Arial" w:cs="Arial" w:eastAsia="Arial" w:hAnsi="Arial"/>
          <w:sz w:val="17"/>
          <w:szCs w:val="17"/>
          <w:color w:val="auto"/>
        </w:rPr>
        <w:t>. Subject to Section 9 hereof, either a book entry registration of the purchased Shares or certificates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purchased Shares will be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5</w:t>
      </w:r>
    </w:p>
    <w:p>
      <w:pPr>
        <w:sectPr>
          <w:pgSz w:w="11900" w:h="16838" w:orient="portrait"/>
          <w:cols w:equalWidth="0" w:num="1">
            <w:col w:w="11400"/>
          </w:cols>
          <w:pgMar w:left="260" w:top="272" w:right="239" w:bottom="1440" w:gutter="0" w:footer="0" w:header="0"/>
        </w:sectPr>
      </w:pPr>
    </w:p>
    <w:bookmarkStart w:id="139" w:name="page140"/>
    <w:bookmarkEnd w:id="139"/>
    <w:p>
      <w:pPr>
        <w:ind w:right="40"/>
        <w:spacing w:after="0" w:line="32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880" cy="36830"/>
                    </a:xfrm>
                    <a:prstGeom prst="rect">
                      <a:avLst/>
                    </a:prstGeom>
                    <a:noFill/>
                  </pic:spPr>
                </pic:pic>
              </a:graphicData>
            </a:graphic>
          </wp:anchor>
        </w:drawing>
        <w:t xml:space="preserve">issued and delivered to the Optionee as soon as practicable after the receipt of payment of the exercise price in accordance with Section 5(b) above; </w:t>
      </w:r>
      <w:r>
        <w:rPr>
          <w:rFonts w:ascii="Arial" w:cs="Arial" w:eastAsia="Arial" w:hAnsi="Arial"/>
          <w:sz w:val="14"/>
          <w:szCs w:val="14"/>
          <w:i w:val="1"/>
          <w:iCs w:val="1"/>
          <w:color w:val="auto"/>
        </w:rPr>
        <w:t>provided, however</w:t>
      </w:r>
      <w:r>
        <w:rPr>
          <w:rFonts w:ascii="Arial" w:cs="Arial" w:eastAsia="Arial" w:hAnsi="Arial"/>
          <w:sz w:val="14"/>
          <w:szCs w:val="14"/>
          <w:color w:val="auto"/>
        </w:rPr>
        <w:t>, that delivery of any such Shares shall be deemed effected for all purposes when a stock transfer agent of the Trust shall have placed such Shares into a book-entry account or deposited such certificates in the United States mail, addressed to Optionee, at the address for the Optionee included in the Optionee’s personnel file or to such other address as Optionee may from time to time designate in a written notice to the Trust. The Optionee shall not be deemed for any purpose to be a shareholder of the Trust in respect of any Shares as to which the Option shall not have been exercised, as herein provided, until such Shares have been issued to Optionee by the Trust hereunder.</w:t>
      </w:r>
    </w:p>
    <w:p>
      <w:pPr>
        <w:spacing w:after="0" w:line="88" w:lineRule="exact"/>
        <w:rPr>
          <w:sz w:val="20"/>
          <w:szCs w:val="20"/>
          <w:color w:val="auto"/>
        </w:rPr>
      </w:pPr>
    </w:p>
    <w:p>
      <w:pPr>
        <w:ind w:right="120" w:firstLine="460"/>
        <w:spacing w:after="0" w:line="257" w:lineRule="auto"/>
        <w:tabs>
          <w:tab w:leader="none" w:pos="624"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Plan Provisions Control Option Terms;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is granted pursuant and subject to the terms and conditions of the Plan,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incorporated herein by reference. In the event any provision of this Agreement shall conflict with any of the terms in the Plan as constituted on the Grant Date, the terms of the Plan as constituted on the Grant Date shall control. The Trust may modify the Option after the Grant Date; provided, however, that no such modification may be made which is adverse to the Optionee without the Optionee’s express written agreement. Any such modification shall not be inconsistent with the terms of the Plan. For purposes of this Agreement, a modification which causes an Incentive Stock Option to be a Non-Qualified Share Option shall not be treated as a modification adverse to the Optionee.</w:t>
      </w:r>
    </w:p>
    <w:p>
      <w:pPr>
        <w:spacing w:after="0" w:line="131" w:lineRule="exact"/>
        <w:rPr>
          <w:rFonts w:ascii="Arial" w:cs="Arial" w:eastAsia="Arial" w:hAnsi="Arial"/>
          <w:sz w:val="17"/>
          <w:szCs w:val="17"/>
          <w:b w:val="1"/>
          <w:bCs w:val="1"/>
          <w:color w:val="auto"/>
        </w:rPr>
      </w:pPr>
    </w:p>
    <w:p>
      <w:pPr>
        <w:ind w:right="160" w:firstLine="460"/>
        <w:spacing w:after="0" w:line="294" w:lineRule="auto"/>
        <w:tabs>
          <w:tab w:leader="none" w:pos="624"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provided in this Section 7, the Option may not be assigned or transferred other than by will or the laws of descent and</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The Optionee may transfer, in a not for value transfer, the part of this Option that is a Non-Qualified Share Option to any Family Member (as defined in the Plan). For the purpose of this Section 7, a “not for value” transfer is a transfer which is: (a) a gift; (b) a transfer under a domestic relations order in settlement of marital property rights; or (c) a transfer to an entity in which more than fifty percent of the voting interests are owned by Family Members (or the Optionee) in exchange for an interest in that entity. Following a transfer under this Section 7, the Option shall continue to be subject to the same terms and conditions as were applicable immediately prior to transfer. Subsequent transfers of transferred Options are prohibited except to Family Members of the original Optionee in accordance with this Section 7 or by will or the laws of descent and distribution. The Optionee’s beneficiary may exercise the Optionee’s rights hereunder only to the extent they were exercisable under this Agreement at the date of the death of the Optionee and are otherwise currently exercisable.</w:t>
      </w:r>
    </w:p>
    <w:p>
      <w:pPr>
        <w:spacing w:after="0" w:line="108" w:lineRule="exact"/>
        <w:rPr>
          <w:rFonts w:ascii="Arial" w:cs="Arial" w:eastAsia="Arial" w:hAnsi="Arial"/>
          <w:sz w:val="15"/>
          <w:szCs w:val="15"/>
          <w:b w:val="1"/>
          <w:bCs w:val="1"/>
          <w:color w:val="auto"/>
        </w:rPr>
      </w:pPr>
    </w:p>
    <w:p>
      <w:pPr>
        <w:ind w:firstLine="460"/>
        <w:spacing w:after="0" w:line="294" w:lineRule="auto"/>
        <w:tabs>
          <w:tab w:leader="none" w:pos="624"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Trust shall be entitled to withhold (or secure payment from the Optionee in lieu of withholding) the amount of any withholding or other tax</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law to be withheld or paid by the Trust with respect to any Shares issuable under this Agreement, and the Trust may defer issuance of Shares upon the exercise of the Option unless the Trust is indemnified to its satisfaction against any liability for any such tax. The amount of such withholding or tax payment shall be determined by the Trust or its delegate and shall be payable by the Optionee at such time as the Trust determines. The Optionee may satisfy his or her minimum required tax withholding obligation by the payment of cash to the Trust and/or, if so approved by the Trust, by the withholding from the Option, at the appropriate time, of a number of Shares sufficient, based upon the Fair Market Value of such Shares, to satisfy such tax withholding requirements. The Trust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08" w:lineRule="exact"/>
        <w:rPr>
          <w:rFonts w:ascii="Arial" w:cs="Arial" w:eastAsia="Arial" w:hAnsi="Arial"/>
          <w:sz w:val="15"/>
          <w:szCs w:val="15"/>
          <w:b w:val="1"/>
          <w:bCs w:val="1"/>
          <w:color w:val="auto"/>
        </w:rPr>
      </w:pPr>
    </w:p>
    <w:p>
      <w:pPr>
        <w:ind w:right="220" w:firstLine="460"/>
        <w:spacing w:after="0" w:line="265" w:lineRule="auto"/>
        <w:tabs>
          <w:tab w:leader="none" w:pos="624"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Exercise in Violation of Law</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of the provisions of this Agreement, the Optionee hereby agrees that he or she will not exercise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 granted hereby, and that the Trust will not be obligated to issue any Shares to the Optionee hereunder, if the exercise thereof or the issuance of such Shares shall constitute a violation by the Optionee or the Trust of any provision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 of 5</w:t>
      </w:r>
    </w:p>
    <w:p>
      <w:pPr>
        <w:sectPr>
          <w:pgSz w:w="11900" w:h="16838" w:orient="portrait"/>
          <w:cols w:equalWidth="0" w:num="1">
            <w:col w:w="11420"/>
          </w:cols>
          <w:pgMar w:left="240" w:top="272"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880" cy="37465"/>
                    </a:xfrm>
                    <a:prstGeom prst="rect">
                      <a:avLst/>
                    </a:prstGeom>
                    <a:noFill/>
                  </pic:spPr>
                </pic:pic>
              </a:graphicData>
            </a:graphic>
          </wp:anchor>
        </w:drawing>
        <w:t>any law or regulation of any governmental authority. Any determination in this connection by the Committee shall be final, binding and conclusive.</w:t>
      </w:r>
    </w:p>
    <w:p>
      <w:pPr>
        <w:spacing w:after="0" w:line="160" w:lineRule="exact"/>
        <w:rPr>
          <w:sz w:val="20"/>
          <w:szCs w:val="20"/>
          <w:color w:val="auto"/>
        </w:rPr>
      </w:pPr>
    </w:p>
    <w:p>
      <w:pPr>
        <w:ind w:firstLine="460"/>
        <w:spacing w:after="0" w:line="273" w:lineRule="auto"/>
        <w:tabs>
          <w:tab w:leader="none" w:pos="70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Code Section 409A</w:t>
      </w:r>
      <w:r>
        <w:rPr>
          <w:rFonts w:ascii="Arial" w:cs="Arial" w:eastAsia="Arial" w:hAnsi="Arial"/>
          <w:sz w:val="16"/>
          <w:szCs w:val="16"/>
          <w:color w:val="auto"/>
        </w:rPr>
        <w:t>. Notwithstanding anything herein to the contrary, the Key Employee shall be solely responsible and liable for the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taxes and penalties that may arise in connection with this Agreement (including any taxes arising under Section 409A of the Code). 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Trust has executed this Agreement as of the day and year first above written.</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FEDERAL REALTY INVESTMENT TRUST</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12065</wp:posOffset>
            </wp:positionV>
            <wp:extent cx="26600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6001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Dawn M. Becker</w:t>
      </w:r>
    </w:p>
    <w:p>
      <w:pPr>
        <w:spacing w:after="0" w:line="17"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President-General Counsel</w:t>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and Secretary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5 of 5</w:t>
      </w:r>
    </w:p>
    <w:p>
      <w:pPr>
        <w:sectPr>
          <w:pgSz w:w="11900" w:h="16838" w:orient="portrait"/>
          <w:cols w:equalWidth="0" w:num="1">
            <w:col w:w="11380"/>
          </w:cols>
          <w:pgMar w:left="240" w:top="272" w:right="279" w:bottom="1440" w:gutter="0" w:footer="0" w:header="0"/>
        </w:sectPr>
      </w:pPr>
    </w:p>
    <w:bookmarkStart w:id="141" w:name="page142"/>
    <w:bookmarkEnd w:id="141"/>
    <w:p>
      <w:pPr>
        <w:ind w:left="10480"/>
        <w:spacing w:after="0"/>
        <w:rPr>
          <w:sz w:val="20"/>
          <w:szCs w:val="20"/>
          <w:color w:val="auto"/>
        </w:rPr>
      </w:pPr>
      <w:r>
        <w:rPr>
          <w:rFonts w:ascii="Arial" w:cs="Arial" w:eastAsia="Arial" w:hAnsi="Arial"/>
          <w:sz w:val="15"/>
          <w:szCs w:val="15"/>
          <w:b w:val="1"/>
          <w:bCs w:val="1"/>
          <w:color w:val="auto"/>
        </w:rPr>
        <w:t>Exhibit 10.41</w:t>
      </w:r>
    </w:p>
    <w:p>
      <w:pPr>
        <w:spacing w:after="0" w:line="187"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FEDERAL REALTY INVESTMENT TRUST</w:t>
      </w:r>
    </w:p>
    <w:p>
      <w:pPr>
        <w:spacing w:after="0" w:line="168" w:lineRule="exact"/>
        <w:rPr>
          <w:sz w:val="20"/>
          <w:szCs w:val="20"/>
          <w:color w:val="auto"/>
        </w:rPr>
      </w:pPr>
    </w:p>
    <w:p>
      <w:pPr>
        <w:ind w:left="4060"/>
        <w:spacing w:after="0"/>
        <w:rPr>
          <w:sz w:val="20"/>
          <w:szCs w:val="20"/>
          <w:color w:val="auto"/>
        </w:rPr>
      </w:pPr>
      <w:r>
        <w:rPr>
          <w:rFonts w:ascii="Arial" w:cs="Arial" w:eastAsia="Arial" w:hAnsi="Arial"/>
          <w:sz w:val="17"/>
          <w:szCs w:val="17"/>
          <w:color w:val="auto"/>
        </w:rPr>
        <w:t>RESTRICTED SHARE AWARD AGREEMENT</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February 10, 2011</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parties to this Restricted Share Award Agreement (this “Agreement”), which is made and entered into in Rockville, Maryland on the date specified above, are</w:t>
      </w:r>
    </w:p>
    <w:p>
      <w:pPr>
        <w:spacing w:after="0" w:line="40" w:lineRule="exact"/>
        <w:rPr>
          <w:sz w:val="20"/>
          <w:szCs w:val="20"/>
          <w:color w:val="auto"/>
        </w:rPr>
      </w:pPr>
    </w:p>
    <w:p>
      <w:pPr>
        <w:spacing w:after="0"/>
        <w:tabs>
          <w:tab w:leader="none" w:pos="6900" w:val="left"/>
        </w:tabs>
        <w:rPr>
          <w:sz w:val="20"/>
          <w:szCs w:val="20"/>
          <w:color w:val="auto"/>
        </w:rPr>
      </w:pPr>
      <w:r>
        <w:rPr>
          <w:rFonts w:ascii="Arial" w:cs="Arial" w:eastAsia="Arial" w:hAnsi="Arial"/>
          <w:sz w:val="17"/>
          <w:szCs w:val="17"/>
          <w:color w:val="auto"/>
        </w:rPr>
        <w:t>Federal Realty Investment Trust, a Maryland real estate investment trust (the “Trust”), and</w:t>
      </w:r>
      <w:r>
        <w:rPr>
          <w:sz w:val="20"/>
          <w:szCs w:val="20"/>
          <w:color w:val="auto"/>
        </w:rPr>
        <w:tab/>
      </w:r>
      <w:r>
        <w:rPr>
          <w:rFonts w:ascii="Arial" w:cs="Arial" w:eastAsia="Arial" w:hAnsi="Arial"/>
          <w:sz w:val="15"/>
          <w:szCs w:val="15"/>
          <w:color w:val="auto"/>
        </w:rPr>
        <w:t>, an individual employee of the Trust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-16510</wp:posOffset>
            </wp:positionV>
            <wp:extent cx="530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37" w:lineRule="exact"/>
        <w:rPr>
          <w:sz w:val="20"/>
          <w:szCs w:val="20"/>
          <w:color w:val="auto"/>
        </w:rPr>
      </w:pPr>
    </w:p>
    <w:p>
      <w:pPr>
        <w:ind w:right="100" w:firstLine="457"/>
        <w:spacing w:after="0" w:line="314" w:lineRule="auto"/>
        <w:rPr>
          <w:sz w:val="20"/>
          <w:szCs w:val="20"/>
          <w:color w:val="auto"/>
        </w:rPr>
      </w:pPr>
      <w:r>
        <w:rPr>
          <w:rFonts w:ascii="Arial" w:cs="Arial" w:eastAsia="Arial" w:hAnsi="Arial"/>
          <w:sz w:val="15"/>
          <w:szCs w:val="15"/>
          <w:color w:val="auto"/>
        </w:rPr>
        <w:t>The Board of Trustees of the Trust (the “Board of Trustees”) has authorized the award by the Trust to the Grantee, under the Trust’s 2010 Performance Incentive Plan (the “Plan”) of a Restricted Share Award for a certain number of shares of beneficial interest of the Trust (the “Shares”), subject to certain restrictions and covenants on the part of Grantee. The parties hereto desire to set forth in this Agreement their respective rights and obligations with respect to such Shares.</w:t>
      </w:r>
    </w:p>
    <w:p>
      <w:pPr>
        <w:spacing w:after="0" w:line="94"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In consideration of the covenants set forth in this Agreement, and intending to be legally bound hereby, the parties hereto agree as follows:</w:t>
      </w:r>
    </w:p>
    <w:p>
      <w:pPr>
        <w:spacing w:after="0" w:line="276" w:lineRule="exact"/>
        <w:rPr>
          <w:sz w:val="20"/>
          <w:szCs w:val="20"/>
          <w:color w:val="auto"/>
        </w:rPr>
      </w:pPr>
    </w:p>
    <w:p>
      <w:pPr>
        <w:ind w:left="900" w:hanging="448"/>
        <w:spacing w:after="0"/>
        <w:tabs>
          <w:tab w:leader="none" w:pos="90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 of Restricted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left="680" w:hanging="220"/>
        <w:spacing w:after="0"/>
        <w:tabs>
          <w:tab w:leader="none" w:pos="68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In consideration of the Grantee’s covenants set forth in Section 5, the Trust hereby confirms the grant to the Grantee, as of February 10, 2011 (the “Grant</w:t>
      </w:r>
    </w:p>
    <w:p>
      <w:pPr>
        <w:spacing w:after="0" w:line="40" w:lineRule="exact"/>
        <w:rPr>
          <w:sz w:val="20"/>
          <w:szCs w:val="20"/>
          <w:color w:val="auto"/>
        </w:rPr>
      </w:pPr>
    </w:p>
    <w:p>
      <w:pPr>
        <w:ind w:right="460"/>
        <w:spacing w:after="0" w:line="264" w:lineRule="auto"/>
        <w:rPr>
          <w:sz w:val="20"/>
          <w:szCs w:val="20"/>
          <w:color w:val="auto"/>
        </w:rPr>
      </w:pPr>
      <w:r>
        <w:rPr>
          <w:rFonts w:ascii="Arial" w:cs="Arial" w:eastAsia="Arial" w:hAnsi="Arial"/>
          <w:sz w:val="17"/>
          <w:szCs w:val="17"/>
          <w:color w:val="auto"/>
        </w:rPr>
        <w:t>Date”), of ( ) Shares (the “Restricted Shares”) (having a Fair Market Value equal to approximately $200,000 on the Grant Date), subject to the restrictions and other terms and conditions set forth herein and in the Plan.</w:t>
      </w:r>
    </w:p>
    <w:p>
      <w:pPr>
        <w:spacing w:after="0" w:line="128" w:lineRule="exact"/>
        <w:rPr>
          <w:sz w:val="20"/>
          <w:szCs w:val="20"/>
          <w:color w:val="auto"/>
        </w:rPr>
      </w:pPr>
    </w:p>
    <w:p>
      <w:pPr>
        <w:jc w:val="both"/>
        <w:ind w:right="20" w:firstLine="460"/>
        <w:spacing w:after="0" w:line="259" w:lineRule="auto"/>
        <w:tabs>
          <w:tab w:leader="none" w:pos="693" w:val="left"/>
        </w:tabs>
        <w:numPr>
          <w:ilvl w:val="0"/>
          <w:numId w:val="134"/>
        </w:numPr>
        <w:rPr>
          <w:rFonts w:ascii="Arial" w:cs="Arial" w:eastAsia="Arial" w:hAnsi="Arial"/>
          <w:sz w:val="17"/>
          <w:szCs w:val="17"/>
          <w:color w:val="auto"/>
        </w:rPr>
      </w:pPr>
      <w:r>
        <w:rPr>
          <w:rFonts w:ascii="Arial" w:cs="Arial" w:eastAsia="Arial" w:hAnsi="Arial"/>
          <w:sz w:val="17"/>
          <w:szCs w:val="17"/>
          <w:color w:val="auto"/>
        </w:rPr>
        <w:t>On or as soon as practicable after the Grant Date, the Trust shall cause the Restricted Shares to be issued in certificated form or by a book-entry designation for the account of Grantee . Such Restricted Shares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w:t>
      </w:r>
    </w:p>
    <w:p>
      <w:pPr>
        <w:spacing w:after="0" w:line="133"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If the restricted Shares are issued in certificated form, the certificate or certificates representing the Restricted Shares shall be held in custody by the Chief Financial Officer of the Trust until the Restricted Period (as hereinafter defined in Section 3) with respect thereto shall have lapsed. Restricted Shares issued by a book-entry designation shall be held in a book-entry account designated by the Trust until the restrictions provided in this Agreement with respect thereto shall have been removed. At any time as may be requested by the Trust, if necessary to enforce the restrictions applicable to the Restricted Shares, the Grantee shall deliver to the Trust one or more undated stock powers endorsed in blank relating to the Restricted Shares.</w:t>
      </w:r>
    </w:p>
    <w:p>
      <w:pPr>
        <w:spacing w:after="0" w:line="232" w:lineRule="exact"/>
        <w:rPr>
          <w:sz w:val="20"/>
          <w:szCs w:val="20"/>
          <w:color w:val="auto"/>
        </w:rPr>
      </w:pPr>
    </w:p>
    <w:p>
      <w:pPr>
        <w:ind w:left="900" w:hanging="448"/>
        <w:spacing w:after="0"/>
        <w:tabs>
          <w:tab w:leader="none" w:pos="90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Applicable to Restricted Shares</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right="280" w:firstLine="460"/>
        <w:spacing w:after="0" w:line="273" w:lineRule="auto"/>
        <w:tabs>
          <w:tab w:leader="none" w:pos="68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Beginning on the Grant Date, the Grantee shall have all rights and privileges of a stockholder with respect to the Restricted Shares, except that the following restrictions shall apply:</w:t>
      </w:r>
    </w:p>
    <w:p>
      <w:pPr>
        <w:spacing w:after="0" w:line="43" w:lineRule="exact"/>
        <w:rPr>
          <w:rFonts w:ascii="Arial" w:cs="Arial" w:eastAsia="Arial" w:hAnsi="Arial"/>
          <w:sz w:val="17"/>
          <w:szCs w:val="17"/>
          <w:color w:val="auto"/>
        </w:rPr>
      </w:pPr>
    </w:p>
    <w:p>
      <w:pPr>
        <w:ind w:left="460" w:right="120" w:firstLine="438"/>
        <w:spacing w:after="0" w:line="273" w:lineRule="auto"/>
        <w:tabs>
          <w:tab w:leader="none" w:pos="1098" w:val="left"/>
        </w:tabs>
        <w:numPr>
          <w:ilvl w:val="2"/>
          <w:numId w:val="135"/>
        </w:numPr>
        <w:rPr>
          <w:rFonts w:ascii="Arial" w:cs="Arial" w:eastAsia="Arial" w:hAnsi="Arial"/>
          <w:sz w:val="17"/>
          <w:szCs w:val="17"/>
          <w:color w:val="auto"/>
        </w:rPr>
      </w:pPr>
      <w:r>
        <w:rPr>
          <w:rFonts w:ascii="Arial" w:cs="Arial" w:eastAsia="Arial" w:hAnsi="Arial"/>
          <w:sz w:val="17"/>
          <w:szCs w:val="17"/>
          <w:color w:val="auto"/>
        </w:rPr>
        <w:t>none of the Restricted Shares may be assigned or transferred (other than by will or the laws of descent and distribution, or in the Committee’s discretion, pursuant to a domestic relations</w:t>
      </w:r>
    </w:p>
    <w:p>
      <w:pPr>
        <w:sectPr>
          <w:pgSz w:w="11900" w:h="16838" w:orient="portrait"/>
          <w:cols w:equalWidth="0" w:num="1">
            <w:col w:w="11420"/>
          </w:cols>
          <w:pgMar w:left="240" w:top="127" w:right="23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880" cy="36830"/>
                    </a:xfrm>
                    <a:prstGeom prst="rect">
                      <a:avLst/>
                    </a:prstGeom>
                    <a:noFill/>
                  </pic:spPr>
                </pic:pic>
              </a:graphicData>
            </a:graphic>
          </wp:anchor>
        </w:drawing>
        <w:t>order within the meaning of Rule 16a-12 of the Securities Exchange Act of 1934, as amended) during the Restricted Period (as hereinafter defined in Section 3);</w:t>
      </w:r>
    </w:p>
    <w:p>
      <w:pPr>
        <w:spacing w:after="0" w:line="99" w:lineRule="exact"/>
        <w:rPr>
          <w:sz w:val="20"/>
          <w:szCs w:val="20"/>
          <w:color w:val="auto"/>
        </w:rPr>
      </w:pPr>
    </w:p>
    <w:p>
      <w:pPr>
        <w:ind w:left="1140" w:hanging="242"/>
        <w:spacing w:after="0"/>
        <w:tabs>
          <w:tab w:leader="none" w:pos="1140" w:val="left"/>
        </w:tabs>
        <w:numPr>
          <w:ilvl w:val="2"/>
          <w:numId w:val="136"/>
        </w:numPr>
        <w:rPr>
          <w:rFonts w:ascii="Arial" w:cs="Arial" w:eastAsia="Arial" w:hAnsi="Arial"/>
          <w:sz w:val="17"/>
          <w:szCs w:val="17"/>
          <w:color w:val="auto"/>
        </w:rPr>
      </w:pPr>
      <w:r>
        <w:rPr>
          <w:rFonts w:ascii="Arial" w:cs="Arial" w:eastAsia="Arial" w:hAnsi="Arial"/>
          <w:sz w:val="17"/>
          <w:szCs w:val="17"/>
          <w:color w:val="auto"/>
        </w:rPr>
        <w:t>all or a portion of the Restricted Shares may be forfeited in accordance with Section 4; and</w:t>
      </w:r>
    </w:p>
    <w:p>
      <w:pPr>
        <w:spacing w:after="0" w:line="87" w:lineRule="exact"/>
        <w:rPr>
          <w:rFonts w:ascii="Arial" w:cs="Arial" w:eastAsia="Arial" w:hAnsi="Arial"/>
          <w:sz w:val="17"/>
          <w:szCs w:val="17"/>
          <w:color w:val="auto"/>
        </w:rPr>
      </w:pPr>
    </w:p>
    <w:p>
      <w:pPr>
        <w:jc w:val="both"/>
        <w:ind w:left="460" w:firstLine="438"/>
        <w:spacing w:after="0" w:line="263" w:lineRule="auto"/>
        <w:tabs>
          <w:tab w:leader="none" w:pos="1191" w:val="left"/>
        </w:tabs>
        <w:numPr>
          <w:ilvl w:val="2"/>
          <w:numId w:val="136"/>
        </w:numPr>
        <w:rPr>
          <w:rFonts w:ascii="Arial" w:cs="Arial" w:eastAsia="Arial" w:hAnsi="Arial"/>
          <w:sz w:val="17"/>
          <w:szCs w:val="17"/>
          <w:color w:val="auto"/>
        </w:rPr>
      </w:pPr>
      <w:r>
        <w:rPr>
          <w:rFonts w:ascii="Arial" w:cs="Arial" w:eastAsia="Arial" w:hAnsi="Arial"/>
          <w:sz w:val="17"/>
          <w:szCs w:val="17"/>
          <w:color w:val="auto"/>
        </w:rPr>
        <w:t>any Shares distributed as a dividend or otherwise and any other property (other than ordinary dividends) distributed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28" w:lineRule="exact"/>
        <w:rPr>
          <w:rFonts w:ascii="Arial" w:cs="Arial" w:eastAsia="Arial" w:hAnsi="Arial"/>
          <w:sz w:val="17"/>
          <w:szCs w:val="17"/>
          <w:color w:val="auto"/>
        </w:rPr>
      </w:pPr>
    </w:p>
    <w:p>
      <w:pPr>
        <w:ind w:firstLine="460"/>
        <w:spacing w:after="0" w:line="263" w:lineRule="auto"/>
        <w:tabs>
          <w:tab w:leader="none" w:pos="693" w:val="left"/>
        </w:tabs>
        <w:numPr>
          <w:ilvl w:val="1"/>
          <w:numId w:val="137"/>
        </w:numPr>
        <w:rPr>
          <w:rFonts w:ascii="Arial" w:cs="Arial" w:eastAsia="Arial" w:hAnsi="Arial"/>
          <w:sz w:val="17"/>
          <w:szCs w:val="17"/>
          <w:color w:val="auto"/>
        </w:rPr>
      </w:pPr>
      <w:r>
        <w:rPr>
          <w:rFonts w:ascii="Arial" w:cs="Arial" w:eastAsia="Arial" w:hAnsi="Arial"/>
          <w:sz w:val="17"/>
          <w:szCs w:val="17"/>
          <w:color w:val="auto"/>
        </w:rPr>
        <w:t>Any attempt to dispose of Restricted Shares in a manner contrary to the restrictions set forth in this Agreement shall be null, void and ineffective. As the restrictions set forth in this Section 2 hereof lapse in accordance with the terms of this Agreement as to all or a portion of the Restricted Shares, such shares shall no longer be considered Restricted Shares for purposes of this Agreement.</w:t>
      </w:r>
    </w:p>
    <w:p>
      <w:pPr>
        <w:spacing w:after="0" w:line="239" w:lineRule="exact"/>
        <w:rPr>
          <w:rFonts w:ascii="Arial" w:cs="Arial" w:eastAsia="Arial" w:hAnsi="Arial"/>
          <w:sz w:val="17"/>
          <w:szCs w:val="17"/>
          <w:color w:val="auto"/>
        </w:rPr>
      </w:pPr>
    </w:p>
    <w:p>
      <w:pPr>
        <w:ind w:left="900" w:hanging="448"/>
        <w:spacing w:after="0"/>
        <w:tabs>
          <w:tab w:leader="none" w:pos="90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Restricted Period</w:t>
      </w:r>
      <w:r>
        <w:rPr>
          <w:rFonts w:ascii="Arial" w:cs="Arial" w:eastAsia="Arial" w:hAnsi="Arial"/>
          <w:sz w:val="17"/>
          <w:szCs w:val="17"/>
          <w:b w:val="1"/>
          <w:bCs w:val="1"/>
          <w:color w:val="auto"/>
        </w:rPr>
        <w:t>.</w:t>
      </w:r>
    </w:p>
    <w:p>
      <w:pPr>
        <w:spacing w:after="0" w:line="91" w:lineRule="exact"/>
        <w:rPr>
          <w:rFonts w:ascii="Arial" w:cs="Arial" w:eastAsia="Arial" w:hAnsi="Arial"/>
          <w:sz w:val="17"/>
          <w:szCs w:val="17"/>
          <w:b w:val="1"/>
          <w:bCs w:val="1"/>
          <w:color w:val="auto"/>
        </w:rPr>
      </w:pPr>
    </w:p>
    <w:p>
      <w:pPr>
        <w:ind w:left="680" w:hanging="220"/>
        <w:spacing w:after="0"/>
        <w:tabs>
          <w:tab w:leader="none" w:pos="680" w:val="left"/>
        </w:tabs>
        <w:numPr>
          <w:ilvl w:val="1"/>
          <w:numId w:val="138"/>
        </w:numPr>
        <w:rPr>
          <w:rFonts w:ascii="Arial" w:cs="Arial" w:eastAsia="Arial" w:hAnsi="Arial"/>
          <w:sz w:val="15"/>
          <w:szCs w:val="15"/>
          <w:color w:val="auto"/>
        </w:rPr>
      </w:pPr>
      <w:r>
        <w:rPr>
          <w:rFonts w:ascii="Arial" w:cs="Arial" w:eastAsia="Arial" w:hAnsi="Arial"/>
          <w:sz w:val="15"/>
          <w:szCs w:val="15"/>
          <w:color w:val="auto"/>
        </w:rPr>
        <w:t>The restrictions set forth in Section 2 shall apply for a period (the “Restricted Period”) from the Grant Date until such Restricted Period lapses as follows:</w:t>
      </w:r>
    </w:p>
    <w:p>
      <w:pPr>
        <w:spacing w:after="0" w:line="110" w:lineRule="exact"/>
        <w:rPr>
          <w:rFonts w:ascii="Arial" w:cs="Arial" w:eastAsia="Arial" w:hAnsi="Arial"/>
          <w:sz w:val="15"/>
          <w:szCs w:val="15"/>
          <w:color w:val="auto"/>
        </w:rPr>
      </w:pPr>
    </w:p>
    <w:p>
      <w:pPr>
        <w:ind w:left="1100" w:hanging="202"/>
        <w:spacing w:after="0"/>
        <w:tabs>
          <w:tab w:leader="none" w:pos="110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with respect to fifty percent (50%) of the Restricted Shares, the Restricted Period shall lapse on February 10, 2015; and</w:t>
      </w:r>
    </w:p>
    <w:p>
      <w:pPr>
        <w:spacing w:after="0" w:line="87" w:lineRule="exact"/>
        <w:rPr>
          <w:rFonts w:ascii="Arial" w:cs="Arial" w:eastAsia="Arial" w:hAnsi="Arial"/>
          <w:sz w:val="17"/>
          <w:szCs w:val="17"/>
          <w:color w:val="auto"/>
        </w:rPr>
      </w:pPr>
    </w:p>
    <w:p>
      <w:pPr>
        <w:ind w:left="1140" w:hanging="242"/>
        <w:spacing w:after="0"/>
        <w:tabs>
          <w:tab w:leader="none" w:pos="1140" w:val="left"/>
        </w:tabs>
        <w:numPr>
          <w:ilvl w:val="2"/>
          <w:numId w:val="138"/>
        </w:numPr>
        <w:rPr>
          <w:rFonts w:ascii="Arial" w:cs="Arial" w:eastAsia="Arial" w:hAnsi="Arial"/>
          <w:sz w:val="17"/>
          <w:szCs w:val="17"/>
          <w:color w:val="auto"/>
        </w:rPr>
      </w:pPr>
      <w:r>
        <w:rPr>
          <w:rFonts w:ascii="Arial" w:cs="Arial" w:eastAsia="Arial" w:hAnsi="Arial"/>
          <w:sz w:val="17"/>
          <w:szCs w:val="17"/>
          <w:color w:val="auto"/>
        </w:rPr>
        <w:t>with respect to the remaining fifty percent (50%) of the Restricted Shares, the Restricted Period shall lapse on February 10, 2017;</w:t>
      </w:r>
    </w:p>
    <w:p>
      <w:pPr>
        <w:spacing w:after="0" w:line="16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provided, however, that the Restricted Period for the Restricted Shares shall not lapse on either date set forth above unless the Grantee has tendered to the Trust, on or before that date, the amount of any state and federal withholding tax obligation which will be imposed on the Trust by reason of the lapsing of the Restricted Period for such Restricted Shares on that date.</w:t>
      </w:r>
    </w:p>
    <w:p>
      <w:pPr>
        <w:spacing w:after="0" w:line="128" w:lineRule="exact"/>
        <w:rPr>
          <w:sz w:val="20"/>
          <w:szCs w:val="20"/>
          <w:color w:val="auto"/>
        </w:rPr>
      </w:pPr>
    </w:p>
    <w:p>
      <w:pPr>
        <w:ind w:right="60" w:firstLine="460"/>
        <w:spacing w:after="0" w:line="286" w:lineRule="auto"/>
        <w:tabs>
          <w:tab w:leader="none" w:pos="69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Notwithstanding the foregoing and subject to the proviso below, the Restricted Period shall lapse, as to all Restricted Shares, in the event there occurs a Change in Control, provided in any case that the Grantee or his legal representative shall first tender, in accordance with Section 3(c), the amount of any state and federal withholding tax obligation which will be imposed on the Trust by reason of the lapsing of the Restricted Period for such Restricted Shares.</w:t>
      </w:r>
    </w:p>
    <w:p>
      <w:pPr>
        <w:spacing w:after="0" w:line="113" w:lineRule="exact"/>
        <w:rPr>
          <w:rFonts w:ascii="Arial" w:cs="Arial" w:eastAsia="Arial" w:hAnsi="Arial"/>
          <w:sz w:val="16"/>
          <w:szCs w:val="16"/>
          <w:color w:val="auto"/>
        </w:rPr>
      </w:pPr>
    </w:p>
    <w:p>
      <w:pPr>
        <w:ind w:right="20" w:firstLine="460"/>
        <w:spacing w:after="0" w:line="272" w:lineRule="auto"/>
        <w:tabs>
          <w:tab w:leader="none" w:pos="684"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soon as reasonably practicable after the Restricted Period has ended, the Trust shall notify Grantee of the amount of required withholding taxes due on the vesting of the Restricted Shares (“Tax Notice”). Grantee shall tender to the Trust the amount specified in the Tax Notice within five (5) business days after the date of the Tax Notice, or such longer period of time as the Trust may designate. The Trust shall not be required to remove the restrictions on such Restricted Shares until such time as the Grantee shall have paid such tax withholding amount in full. The Trust, at its sole discretion and on such terms and conditions determined by the Trust from time to time, may permit the Grantee to satisfy the tax withholding obligations through the sale of all or a portion of such Shares resulting from this Agreement or by a return to the Trust of a number of Shares having a Fair Market Value equal to the withholding amount due. In the event Grantee fails to make appropriate arrangement to satisfy tax and withholding obligations, the Trust may return to the Trust any Shares resulting from this Agreement and thereby withhold from benefits payable under this Agreement or the Trust may withhold from other amounts due the Grantee and pay over to the appropriate authority, all federal, state, county, city or other taxes as shall be required pursuant to any law or governmental regulation or ruling.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 of 5</w:t>
      </w:r>
    </w:p>
    <w:p>
      <w:pPr>
        <w:sectPr>
          <w:pgSz w:w="11900" w:h="16838" w:orient="portrait"/>
          <w:cols w:equalWidth="0" w:num="1">
            <w:col w:w="11420"/>
          </w:cols>
          <w:pgMar w:left="240" w:top="272" w:right="239" w:bottom="1440" w:gutter="0" w:footer="0" w:header="0"/>
        </w:sectPr>
      </w:pPr>
    </w:p>
    <w:bookmarkStart w:id="143" w:name="page144"/>
    <w:bookmarkEnd w:id="143"/>
    <w:p>
      <w:pPr>
        <w:ind w:left="900" w:hanging="448"/>
        <w:spacing w:after="0"/>
        <w:tabs>
          <w:tab w:leader="none" w:pos="900"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880" cy="36830"/>
                    </a:xfrm>
                    <a:prstGeom prst="rect">
                      <a:avLst/>
                    </a:prstGeom>
                    <a:noFill/>
                  </pic:spPr>
                </pic:pic>
              </a:graphicData>
            </a:graphic>
          </wp:anchor>
        </w:drawing>
        <w:t>Forfeiture</w:t>
      </w:r>
      <w:r>
        <w:rPr>
          <w:rFonts w:ascii="Arial" w:cs="Arial" w:eastAsia="Arial" w:hAnsi="Arial"/>
          <w:sz w:val="17"/>
          <w:szCs w:val="17"/>
          <w:b w:val="1"/>
          <w:bCs w:val="1"/>
          <w:color w:val="auto"/>
        </w:rPr>
        <w:t>.</w:t>
      </w:r>
    </w:p>
    <w:p>
      <w:pPr>
        <w:spacing w:after="0" w:line="91"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If there is a termination of the Grantee’s Service with the Trust for any reason, then all rights of the Grantee to any and all then-remaining Restricted Shares, after giving application to Sections 3(a) and (b), shall terminate and be forfeited. Upon forfeiture of all or any portion of Restricted Shares, the certificate(s) representing the forfeited Restricted Shares shall be canceled or the forfeited Restricted Shares shall be removed from the Grantee’s book entry account, returned to the Trust and canceled, as applicable.</w:t>
      </w:r>
    </w:p>
    <w:p>
      <w:pPr>
        <w:spacing w:after="0" w:line="244" w:lineRule="exact"/>
        <w:rPr>
          <w:sz w:val="20"/>
          <w:szCs w:val="20"/>
          <w:color w:val="auto"/>
        </w:rPr>
      </w:pPr>
    </w:p>
    <w:p>
      <w:pPr>
        <w:ind w:left="900" w:hanging="448"/>
        <w:spacing w:after="0"/>
        <w:tabs>
          <w:tab w:leader="none" w:pos="90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Confidentiality; Non-Solicitation</w:t>
      </w:r>
      <w:r>
        <w:rPr>
          <w:rFonts w:ascii="Arial" w:cs="Arial" w:eastAsia="Arial" w:hAnsi="Arial"/>
          <w:sz w:val="17"/>
          <w:szCs w:val="17"/>
          <w:b w:val="1"/>
          <w:bCs w:val="1"/>
          <w:color w:val="auto"/>
        </w:rPr>
        <w:t>.</w:t>
      </w:r>
    </w:p>
    <w:p>
      <w:pPr>
        <w:spacing w:after="0" w:line="91"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7"/>
          <w:szCs w:val="17"/>
          <w:color w:val="auto"/>
        </w:rPr>
        <w:t>The Grantee acknowledges that, due to his [her] long-term position as</w:t>
      </w:r>
      <w:r>
        <w:rPr>
          <w:sz w:val="20"/>
          <w:szCs w:val="20"/>
          <w:color w:val="auto"/>
        </w:rPr>
        <w:tab/>
      </w:r>
      <w:r>
        <w:rPr>
          <w:rFonts w:ascii="Arial" w:cs="Arial" w:eastAsia="Arial" w:hAnsi="Arial"/>
          <w:sz w:val="15"/>
          <w:szCs w:val="15"/>
          <w:color w:val="auto"/>
        </w:rPr>
        <w:t>of the Trust, he [she] currently possesses and, through the course of his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3284220</wp:posOffset>
            </wp:positionH>
            <wp:positionV relativeFrom="paragraph">
              <wp:posOffset>-12065</wp:posOffset>
            </wp:positionV>
            <wp:extent cx="530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7"/>
          <w:szCs w:val="17"/>
          <w:color w:val="auto"/>
        </w:rPr>
        <w:t>future employment at the Trust, will acquire additional secret, confidential or proprietary information, or trade secrets concerning the operations, clientele, intellectual property, future plans, or business methods of the Trust or its Affiliates (collectively, “Confidential Information”). In addition to the other mutual covenants and agreements set forth in this Award Agreement, the Trust has provided the Grantee with the Restricted Share Award as consideration for the Grantee’s promises, more fully described below in this Section 5, to refrain from soliciting business or employment from certain individuals with a business relationship with the Trust or its Affiliates. The Grantee acknowledges that the terms and conditions of this Agreement, including his [her] receipt of Restricted Shares valued at approximately two hundred thousand dollars ($200,000) protect him [her] against any undue hardship as a result of the enforcement of any and all terms of this Section 5, in full accordance with the provisions set forth below.</w:t>
      </w:r>
    </w:p>
    <w:p>
      <w:pPr>
        <w:spacing w:after="0" w:line="138" w:lineRule="exact"/>
        <w:rPr>
          <w:sz w:val="20"/>
          <w:szCs w:val="20"/>
          <w:color w:val="auto"/>
        </w:rPr>
      </w:pPr>
    </w:p>
    <w:p>
      <w:pPr>
        <w:ind w:right="180" w:firstLine="460"/>
        <w:spacing w:after="0" w:line="280" w:lineRule="auto"/>
        <w:tabs>
          <w:tab w:leader="none" w:pos="684"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 xml:space="preserve">Nondisclosure of Confidential Information. </w:t>
      </w:r>
      <w:r>
        <w:rPr>
          <w:rFonts w:ascii="Arial" w:cs="Arial" w:eastAsia="Arial" w:hAnsi="Arial"/>
          <w:sz w:val="16"/>
          <w:szCs w:val="16"/>
          <w:color w:val="auto"/>
        </w:rPr>
        <w:t>The Grantee acknowledges and reaffirms that the Grantee will comply with the terms of the confidentiality letter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executed by the Grantee upon commencement of his [her] employment with the Trust. Without limiting the provisions of the confidentiality letter, the Grantee promises not to use or disclose any Confidential Information before it has become generally known within the relevant industry through no fault of the Grantee. The Grantee also agrees that this promise will remain in effect following his [her] termination of employment with the Trust for any reason.</w:t>
      </w:r>
    </w:p>
    <w:p>
      <w:pPr>
        <w:spacing w:after="0" w:line="117" w:lineRule="exact"/>
        <w:rPr>
          <w:rFonts w:ascii="Arial" w:cs="Arial" w:eastAsia="Arial" w:hAnsi="Arial"/>
          <w:sz w:val="16"/>
          <w:szCs w:val="16"/>
          <w:color w:val="auto"/>
        </w:rPr>
      </w:pPr>
    </w:p>
    <w:p>
      <w:pPr>
        <w:ind w:left="700" w:hanging="240"/>
        <w:spacing w:after="0"/>
        <w:tabs>
          <w:tab w:leader="none" w:pos="700"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Non-Solicitation. </w:t>
      </w:r>
      <w:r>
        <w:rPr>
          <w:rFonts w:ascii="Arial" w:cs="Arial" w:eastAsia="Arial" w:hAnsi="Arial"/>
          <w:sz w:val="17"/>
          <w:szCs w:val="17"/>
          <w:color w:val="auto"/>
        </w:rPr>
        <w:t>For the reasons set forth above in this Section 5, the Grantee agrees that:</w:t>
      </w:r>
    </w:p>
    <w:p>
      <w:pPr>
        <w:spacing w:after="0" w:line="87" w:lineRule="exact"/>
        <w:rPr>
          <w:rFonts w:ascii="Arial" w:cs="Arial" w:eastAsia="Arial" w:hAnsi="Arial"/>
          <w:sz w:val="17"/>
          <w:szCs w:val="17"/>
          <w:color w:val="auto"/>
        </w:rPr>
      </w:pPr>
    </w:p>
    <w:p>
      <w:pPr>
        <w:ind w:left="460" w:right="80" w:firstLine="438"/>
        <w:spacing w:after="0" w:line="263" w:lineRule="auto"/>
        <w:tabs>
          <w:tab w:leader="none" w:pos="109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For a period of one (1) year following the termination of the Grantee’s employment for any reason, whether voluntary or involuntary, he [she] will not, at any time or for any reason, acting alone or with or on behalf of any Person, whether as principal, director, partner, agent, employee, consultant or otherwise, directly or indirectly:</w:t>
      </w:r>
    </w:p>
    <w:p>
      <w:pPr>
        <w:spacing w:after="0" w:line="51" w:lineRule="exact"/>
        <w:rPr>
          <w:rFonts w:ascii="Arial" w:cs="Arial" w:eastAsia="Arial" w:hAnsi="Arial"/>
          <w:sz w:val="17"/>
          <w:szCs w:val="17"/>
          <w:color w:val="auto"/>
        </w:rPr>
      </w:pPr>
    </w:p>
    <w:p>
      <w:pPr>
        <w:ind w:left="920" w:right="80" w:firstLine="417"/>
        <w:spacing w:after="0" w:line="273" w:lineRule="auto"/>
        <w:tabs>
          <w:tab w:leader="none" w:pos="1614" w:val="left"/>
        </w:tabs>
        <w:numPr>
          <w:ilvl w:val="2"/>
          <w:numId w:val="142"/>
        </w:numPr>
        <w:rPr>
          <w:rFonts w:ascii="Arial" w:cs="Arial" w:eastAsia="Arial" w:hAnsi="Arial"/>
          <w:sz w:val="17"/>
          <w:szCs w:val="17"/>
          <w:color w:val="auto"/>
        </w:rPr>
      </w:pPr>
      <w:r>
        <w:rPr>
          <w:rFonts w:ascii="Arial" w:cs="Arial" w:eastAsia="Arial" w:hAnsi="Arial"/>
          <w:sz w:val="17"/>
          <w:szCs w:val="17"/>
          <w:color w:val="auto"/>
        </w:rPr>
        <w:t>Solicit, induce, or entice any client, customer, contractor, tenant, licensor, supplier, partner, or other business relationship of the Trust or any of its Affiliates to terminate, renegotiate, or otherwise cease or modify its relationship with the Trust or its Affiliates.</w:t>
      </w:r>
    </w:p>
    <w:p>
      <w:pPr>
        <w:spacing w:after="0" w:line="43" w:lineRule="exact"/>
        <w:rPr>
          <w:rFonts w:ascii="Arial" w:cs="Arial" w:eastAsia="Arial" w:hAnsi="Arial"/>
          <w:sz w:val="17"/>
          <w:szCs w:val="17"/>
          <w:color w:val="auto"/>
        </w:rPr>
      </w:pPr>
    </w:p>
    <w:p>
      <w:pPr>
        <w:ind w:left="920" w:right="180" w:firstLine="417"/>
        <w:spacing w:after="0" w:line="263" w:lineRule="auto"/>
        <w:tabs>
          <w:tab w:leader="none" w:pos="1605" w:val="left"/>
        </w:tabs>
        <w:numPr>
          <w:ilvl w:val="2"/>
          <w:numId w:val="142"/>
        </w:numPr>
        <w:rPr>
          <w:rFonts w:ascii="Arial" w:cs="Arial" w:eastAsia="Arial" w:hAnsi="Arial"/>
          <w:sz w:val="17"/>
          <w:szCs w:val="17"/>
          <w:color w:val="auto"/>
        </w:rPr>
      </w:pPr>
      <w:r>
        <w:rPr>
          <w:rFonts w:ascii="Arial" w:cs="Arial" w:eastAsia="Arial" w:hAnsi="Arial"/>
          <w:sz w:val="17"/>
          <w:szCs w:val="17"/>
          <w:color w:val="auto"/>
        </w:rPr>
        <w:t>Solicit the employment or engagement of any person currently (and for a period of one year prior to the Grantee’s termination of employment) employed by the Trust or any of its Affiliates, whether or not such person would commit any breach of a contract by reason of his [her] leaving the service of the Trust.</w:t>
      </w:r>
    </w:p>
    <w:p>
      <w:pPr>
        <w:spacing w:after="0" w:line="51" w:lineRule="exact"/>
        <w:rPr>
          <w:rFonts w:ascii="Arial" w:cs="Arial" w:eastAsia="Arial" w:hAnsi="Arial"/>
          <w:sz w:val="17"/>
          <w:szCs w:val="17"/>
          <w:color w:val="auto"/>
        </w:rPr>
      </w:pPr>
    </w:p>
    <w:p>
      <w:pPr>
        <w:ind w:left="460" w:right="80" w:firstLine="438"/>
        <w:spacing w:after="0" w:line="273" w:lineRule="auto"/>
        <w:tabs>
          <w:tab w:leader="none" w:pos="114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During the Grantee’s employment with the Trust and at all times following his [her] termination from employment for any reason, he [she] is prohibited, at any time or for any reason,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 of 5</w:t>
      </w:r>
    </w:p>
    <w:p>
      <w:pPr>
        <w:sectPr>
          <w:pgSz w:w="11900" w:h="16838" w:orient="portrait"/>
          <w:cols w:equalWidth="0" w:num="1">
            <w:col w:w="11420"/>
          </w:cols>
          <w:pgMar w:left="240" w:top="268" w:right="239" w:bottom="1440" w:gutter="0" w:footer="0" w:header="0"/>
        </w:sectPr>
      </w:pPr>
    </w:p>
    <w:bookmarkStart w:id="144" w:name="page145"/>
    <w:bookmarkEnd w:id="144"/>
    <w:p>
      <w:pPr>
        <w:ind w:left="460" w:right="40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880" cy="36830"/>
                    </a:xfrm>
                    <a:prstGeom prst="rect">
                      <a:avLst/>
                    </a:prstGeom>
                    <a:noFill/>
                  </pic:spPr>
                </pic:pic>
              </a:graphicData>
            </a:graphic>
          </wp:anchor>
        </w:drawing>
        <w:t>from using the Trust’s Confidential Information or any other unlawful means to directly or indirectly solicit, induce, or entice any client, customer, contractor, tenant, licensor, supplier, partner, or other business relationship of the Trust or any of its Affiliates to terminate, renegotiate, or otherwise cease or modify its relationship with the Trust or its Affiliates.</w:t>
      </w:r>
    </w:p>
    <w:p>
      <w:pPr>
        <w:spacing w:after="0" w:line="128" w:lineRule="exact"/>
        <w:rPr>
          <w:sz w:val="20"/>
          <w:szCs w:val="20"/>
          <w:color w:val="auto"/>
        </w:rPr>
      </w:pPr>
    </w:p>
    <w:p>
      <w:pPr>
        <w:ind w:right="420" w:firstLine="460"/>
        <w:spacing w:after="0" w:line="345" w:lineRule="auto"/>
        <w:tabs>
          <w:tab w:leader="none" w:pos="693"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Reasonableness of Provisions. </w:t>
      </w:r>
      <w:r>
        <w:rPr>
          <w:rFonts w:ascii="Arial" w:cs="Arial" w:eastAsia="Arial" w:hAnsi="Arial"/>
          <w:sz w:val="14"/>
          <w:szCs w:val="14"/>
          <w:color w:val="auto"/>
        </w:rPr>
        <w:t>The Grantee agrees that the covenants contained in this Section 5 are reasonably tailored to protect the Trust’s Confidential</w:t>
      </w:r>
      <w:r>
        <w:rPr>
          <w:rFonts w:ascii="Arial" w:cs="Arial" w:eastAsia="Arial" w:hAnsi="Arial"/>
          <w:sz w:val="14"/>
          <w:szCs w:val="14"/>
          <w:i w:val="1"/>
          <w:iCs w:val="1"/>
          <w:color w:val="auto"/>
        </w:rPr>
        <w:t xml:space="preserve"> </w:t>
      </w:r>
      <w:r>
        <w:rPr>
          <w:rFonts w:ascii="Arial" w:cs="Arial" w:eastAsia="Arial" w:hAnsi="Arial"/>
          <w:sz w:val="14"/>
          <w:szCs w:val="14"/>
          <w:color w:val="auto"/>
        </w:rPr>
        <w:t>Information and business interests and to ensure that he [she] does not violate his [her] duty of loyalty or his fiduciary duties to the Trust, and are reasonable in all circumstances in scope, duration, and all other respects. The provisions of this Section 5 will survive the expiration or earlier termination of this Agreement.</w:t>
      </w:r>
    </w:p>
    <w:p>
      <w:pPr>
        <w:spacing w:after="0" w:line="76" w:lineRule="exact"/>
        <w:rPr>
          <w:rFonts w:ascii="Arial" w:cs="Arial" w:eastAsia="Arial" w:hAnsi="Arial"/>
          <w:sz w:val="14"/>
          <w:szCs w:val="14"/>
          <w:color w:val="auto"/>
        </w:rPr>
      </w:pPr>
    </w:p>
    <w:p>
      <w:pPr>
        <w:ind w:right="20" w:firstLine="460"/>
        <w:spacing w:after="0" w:line="304" w:lineRule="auto"/>
        <w:tabs>
          <w:tab w:leader="none" w:pos="684"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 xml:space="preserve">Remedies; Equitable Relief. </w:t>
      </w:r>
      <w:r>
        <w:rPr>
          <w:rFonts w:ascii="Arial" w:cs="Arial" w:eastAsia="Arial" w:hAnsi="Arial"/>
          <w:sz w:val="15"/>
          <w:szCs w:val="15"/>
          <w:color w:val="auto"/>
        </w:rPr>
        <w:t>The Grantee agrees that the Trust would be irreparably harmed if the Grantee (i) used or disclosed Confidential Information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the Trust’s express authorization or (ii) took any action or participated in any activity contrary to the terms set forth above during or after termination of his [her] employment with the Trust. The Grantee expressly agrees that the Trust will be entitled, in addition to damages and any other remedies provided by law, to an injunction or other equitable remedy respecting such violation or continued violation by the Grantee of the promises set forth in this Section 5.</w:t>
      </w:r>
    </w:p>
    <w:p>
      <w:pPr>
        <w:spacing w:after="0" w:line="102" w:lineRule="exact"/>
        <w:rPr>
          <w:rFonts w:ascii="Arial" w:cs="Arial" w:eastAsia="Arial" w:hAnsi="Arial"/>
          <w:sz w:val="15"/>
          <w:szCs w:val="15"/>
          <w:color w:val="auto"/>
        </w:rPr>
      </w:pPr>
    </w:p>
    <w:p>
      <w:pPr>
        <w:ind w:right="40" w:firstLine="460"/>
        <w:spacing w:after="0" w:line="304" w:lineRule="auto"/>
        <w:tabs>
          <w:tab w:leader="none" w:pos="665" w:val="left"/>
        </w:tabs>
        <w:numPr>
          <w:ilvl w:val="0"/>
          <w:numId w:val="143"/>
        </w:numPr>
        <w:rPr>
          <w:rFonts w:ascii="Arial" w:cs="Arial" w:eastAsia="Arial" w:hAnsi="Arial"/>
          <w:sz w:val="15"/>
          <w:szCs w:val="15"/>
          <w:color w:val="auto"/>
        </w:rPr>
      </w:pPr>
      <w:r>
        <w:rPr>
          <w:rFonts w:ascii="Arial" w:cs="Arial" w:eastAsia="Arial" w:hAnsi="Arial"/>
          <w:sz w:val="15"/>
          <w:szCs w:val="15"/>
          <w:i w:val="1"/>
          <w:iCs w:val="1"/>
          <w:color w:val="auto"/>
        </w:rPr>
        <w:t xml:space="preserve">Importance of Enforcement. </w:t>
      </w:r>
      <w:r>
        <w:rPr>
          <w:rFonts w:ascii="Arial" w:cs="Arial" w:eastAsia="Arial" w:hAnsi="Arial"/>
          <w:sz w:val="15"/>
          <w:szCs w:val="15"/>
          <w:color w:val="auto"/>
        </w:rPr>
        <w:t>The Grantee recognizes and agrees that the covenants set forth in this Section 5 are the essential consideration for this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and that the invalidation of any provision of this Section 5 by a court of competent jurisdiction shall (i) represent a failure of the consideration on which this Agreement is based, and therefore (ii) result in the Grantee’s forfeiture of any Restricted Shares and any vested shares of the Trust (or proceeds thereof) that he [she] receives pursuant to this Agreement. Such forfeiture shall not prejudice the Company’s right to enforce this Section 5, to the extent it is enforceable by law.</w:t>
      </w:r>
    </w:p>
    <w:p>
      <w:pPr>
        <w:spacing w:after="0" w:line="102" w:lineRule="exact"/>
        <w:rPr>
          <w:rFonts w:ascii="Arial" w:cs="Arial" w:eastAsia="Arial" w:hAnsi="Arial"/>
          <w:sz w:val="15"/>
          <w:szCs w:val="15"/>
          <w:color w:val="auto"/>
        </w:rPr>
      </w:pPr>
    </w:p>
    <w:p>
      <w:pPr>
        <w:ind w:right="120" w:firstLine="460"/>
        <w:spacing w:after="0" w:line="273" w:lineRule="auto"/>
        <w:tabs>
          <w:tab w:leader="none" w:pos="693" w:val="left"/>
        </w:tabs>
        <w:numPr>
          <w:ilvl w:val="0"/>
          <w:numId w:val="143"/>
        </w:numPr>
        <w:rPr>
          <w:rFonts w:ascii="Arial" w:cs="Arial" w:eastAsia="Arial" w:hAnsi="Arial"/>
          <w:sz w:val="17"/>
          <w:szCs w:val="17"/>
          <w:color w:val="auto"/>
        </w:rPr>
      </w:pPr>
      <w:r>
        <w:rPr>
          <w:rFonts w:ascii="Arial" w:cs="Arial" w:eastAsia="Arial" w:hAnsi="Arial"/>
          <w:sz w:val="17"/>
          <w:szCs w:val="17"/>
          <w:i w:val="1"/>
          <w:iCs w:val="1"/>
          <w:color w:val="auto"/>
        </w:rPr>
        <w:t xml:space="preserve">Relationship to Other Agreements. </w:t>
      </w:r>
      <w:r>
        <w:rPr>
          <w:rFonts w:ascii="Arial" w:cs="Arial" w:eastAsia="Arial" w:hAnsi="Arial"/>
          <w:sz w:val="17"/>
          <w:szCs w:val="17"/>
          <w:color w:val="auto"/>
        </w:rPr>
        <w:t>The provisions in this Section 5 shall supersede and control in all respects the provisions of any other agreement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between the Trust and Grantee, including without limitation, any Severance Agreement.</w:t>
      </w:r>
    </w:p>
    <w:p>
      <w:pPr>
        <w:spacing w:after="0" w:line="232" w:lineRule="exact"/>
        <w:rPr>
          <w:sz w:val="20"/>
          <w:szCs w:val="20"/>
          <w:color w:val="auto"/>
        </w:rPr>
      </w:pPr>
    </w:p>
    <w:p>
      <w:pPr>
        <w:ind w:left="900" w:hanging="448"/>
        <w:spacing w:after="0"/>
        <w:tabs>
          <w:tab w:leader="none" w:pos="900"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Effect on Other Agreements and Arrangements</w:t>
      </w:r>
      <w:r>
        <w:rPr>
          <w:rFonts w:ascii="Arial" w:cs="Arial" w:eastAsia="Arial" w:hAnsi="Arial"/>
          <w:sz w:val="17"/>
          <w:szCs w:val="17"/>
          <w:b w:val="1"/>
          <w:bCs w:val="1"/>
          <w:color w:val="auto"/>
        </w:rPr>
        <w:t>.</w:t>
      </w:r>
    </w:p>
    <w:p>
      <w:pPr>
        <w:spacing w:after="0" w:line="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Unless otherwise expressly set forth herein, this Agreement shall not affect or supersede any severance or Change in Control agreement or arrangement previously entered into between the Grantee and the Trust.</w:t>
      </w:r>
    </w:p>
    <w:p>
      <w:pPr>
        <w:spacing w:after="0" w:line="232" w:lineRule="exact"/>
        <w:rPr>
          <w:sz w:val="20"/>
          <w:szCs w:val="20"/>
          <w:color w:val="auto"/>
        </w:rPr>
      </w:pPr>
    </w:p>
    <w:p>
      <w:pPr>
        <w:ind w:left="900" w:hanging="448"/>
        <w:spacing w:after="0"/>
        <w:tabs>
          <w:tab w:leader="none" w:pos="900"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Assignment</w:t>
      </w:r>
      <w:r>
        <w:rPr>
          <w:rFonts w:ascii="Arial" w:cs="Arial" w:eastAsia="Arial" w:hAnsi="Arial"/>
          <w:sz w:val="17"/>
          <w:szCs w:val="17"/>
          <w:b w:val="1"/>
          <w:bCs w:val="1"/>
          <w:color w:val="auto"/>
        </w:rPr>
        <w:t>.</w:t>
      </w:r>
    </w:p>
    <w:p>
      <w:pPr>
        <w:spacing w:after="0" w:line="9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This Agreement shall be binding upon and inure to the benefit of the heirs and representatives of the Grantee and the assigns and successors of the Trust, but neither this Agreement nor any rights hereunder shall be assignable or otherwise subject to hypothecation by the Grantee.</w:t>
      </w:r>
    </w:p>
    <w:p>
      <w:pPr>
        <w:spacing w:after="0" w:line="232" w:lineRule="exact"/>
        <w:rPr>
          <w:sz w:val="20"/>
          <w:szCs w:val="20"/>
          <w:color w:val="auto"/>
        </w:rPr>
      </w:pPr>
    </w:p>
    <w:p>
      <w:pPr>
        <w:ind w:left="900" w:hanging="448"/>
        <w:spacing w:after="0"/>
        <w:tabs>
          <w:tab w:leader="none" w:pos="90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Amendment</w:t>
      </w:r>
      <w:r>
        <w:rPr>
          <w:rFonts w:ascii="Arial" w:cs="Arial" w:eastAsia="Arial" w:hAnsi="Arial"/>
          <w:sz w:val="17"/>
          <w:szCs w:val="17"/>
          <w:b w:val="1"/>
          <w:bCs w:val="1"/>
          <w:color w:val="auto"/>
        </w:rPr>
        <w:t>.</w:t>
      </w:r>
    </w:p>
    <w:p>
      <w:pPr>
        <w:spacing w:after="0" w:line="91" w:lineRule="exact"/>
        <w:rPr>
          <w:sz w:val="20"/>
          <w:szCs w:val="20"/>
          <w:color w:val="auto"/>
        </w:rPr>
      </w:pPr>
    </w:p>
    <w:p>
      <w:pPr>
        <w:ind w:right="140"/>
        <w:spacing w:after="0" w:line="342" w:lineRule="auto"/>
        <w:rPr>
          <w:sz w:val="20"/>
          <w:szCs w:val="20"/>
          <w:color w:val="auto"/>
        </w:rPr>
      </w:pPr>
      <w:r>
        <w:rPr>
          <w:rFonts w:ascii="Arial" w:cs="Arial" w:eastAsia="Arial" w:hAnsi="Arial"/>
          <w:sz w:val="15"/>
          <w:szCs w:val="15"/>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w:t>
      </w:r>
    </w:p>
    <w:p>
      <w:pPr>
        <w:spacing w:after="0" w:line="185" w:lineRule="exact"/>
        <w:rPr>
          <w:sz w:val="20"/>
          <w:szCs w:val="20"/>
          <w:color w:val="auto"/>
        </w:rPr>
      </w:pPr>
    </w:p>
    <w:p>
      <w:pPr>
        <w:ind w:left="900" w:hanging="448"/>
        <w:spacing w:after="0"/>
        <w:tabs>
          <w:tab w:leader="none" w:pos="900"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w:t>
      </w:r>
      <w:r>
        <w:rPr>
          <w:rFonts w:ascii="Arial" w:cs="Arial" w:eastAsia="Arial" w:hAnsi="Arial"/>
          <w:sz w:val="17"/>
          <w:szCs w:val="17"/>
          <w:b w:val="1"/>
          <w:bCs w:val="1"/>
          <w:color w:val="auto"/>
        </w:rPr>
        <w: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 of 5</w:t>
      </w:r>
    </w:p>
    <w:p>
      <w:pPr>
        <w:sectPr>
          <w:pgSz w:w="11900" w:h="16838" w:orient="portrait"/>
          <w:cols w:equalWidth="0" w:num="1">
            <w:col w:w="11420"/>
          </w:cols>
          <w:pgMar w:left="240" w:top="272" w:right="239" w:bottom="1440" w:gutter="0" w:footer="0" w:header="0"/>
        </w:sectPr>
      </w:pPr>
    </w:p>
    <w:bookmarkStart w:id="145" w:name="page146"/>
    <w:bookmarkEnd w:id="145"/>
    <w:p>
      <w:pPr>
        <w:ind w:right="5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29488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880" cy="37465"/>
                    </a:xfrm>
                    <a:prstGeom prst="rect">
                      <a:avLst/>
                    </a:prstGeom>
                    <a:noFill/>
                  </pic:spPr>
                </pic:pic>
              </a:graphicData>
            </a:graphic>
          </wp:anchor>
        </w:drawing>
        <w:t>This Agreement and its validity, interpretation, performance and enforcement shall be governed by the laws of the State of Maryland other than the conflict of laws provisions of such laws, and shall be construed in accordance therewith.</w:t>
      </w:r>
    </w:p>
    <w:p>
      <w:pPr>
        <w:spacing w:after="0" w:line="232" w:lineRule="exact"/>
        <w:rPr>
          <w:sz w:val="20"/>
          <w:szCs w:val="20"/>
          <w:color w:val="auto"/>
        </w:rPr>
      </w:pPr>
    </w:p>
    <w:p>
      <w:pPr>
        <w:ind w:left="900" w:hanging="448"/>
        <w:spacing w:after="0"/>
        <w:tabs>
          <w:tab w:leader="none" w:pos="900"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Severability</w:t>
      </w:r>
      <w:r>
        <w:rPr>
          <w:rFonts w:ascii="Arial" w:cs="Arial" w:eastAsia="Arial" w:hAnsi="Arial"/>
          <w:sz w:val="17"/>
          <w:szCs w:val="17"/>
          <w:b w:val="1"/>
          <w:bCs w:val="1"/>
          <w:color w:val="auto"/>
        </w:rPr>
        <w:t>.</w:t>
      </w:r>
    </w:p>
    <w:p>
      <w:pPr>
        <w:spacing w:after="0" w:line="9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244" w:lineRule="exact"/>
        <w:rPr>
          <w:sz w:val="20"/>
          <w:szCs w:val="20"/>
          <w:color w:val="auto"/>
        </w:rPr>
      </w:pPr>
    </w:p>
    <w:p>
      <w:pPr>
        <w:ind w:left="900" w:hanging="448"/>
        <w:spacing w:after="0"/>
        <w:tabs>
          <w:tab w:leader="none" w:pos="90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Continued Employment</w:t>
      </w:r>
      <w:r>
        <w:rPr>
          <w:rFonts w:ascii="Arial" w:cs="Arial" w:eastAsia="Arial" w:hAnsi="Arial"/>
          <w:sz w:val="17"/>
          <w:szCs w:val="17"/>
          <w:b w:val="1"/>
          <w:bCs w:val="1"/>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not confer upon the Grantee any right with respect to continuance of employment by the Trust.</w:t>
      </w:r>
    </w:p>
    <w:p>
      <w:pPr>
        <w:spacing w:after="0" w:line="276" w:lineRule="exact"/>
        <w:rPr>
          <w:sz w:val="20"/>
          <w:szCs w:val="20"/>
          <w:color w:val="auto"/>
        </w:rPr>
      </w:pPr>
    </w:p>
    <w:p>
      <w:pPr>
        <w:ind w:left="900" w:hanging="448"/>
        <w:spacing w:after="0"/>
        <w:tabs>
          <w:tab w:leader="none" w:pos="900"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Certain References</w:t>
      </w:r>
      <w:r>
        <w:rPr>
          <w:rFonts w:ascii="Arial" w:cs="Arial" w:eastAsia="Arial" w:hAnsi="Arial"/>
          <w:sz w:val="17"/>
          <w:szCs w:val="17"/>
          <w:b w:val="1"/>
          <w:bCs w:val="1"/>
          <w:color w:val="auto"/>
        </w:rPr>
        <w:t>.</w:t>
      </w:r>
    </w:p>
    <w:p>
      <w:pPr>
        <w:spacing w:after="0" w:line="91"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References to the Grantee in any provision of this Agreement under circumstances where the provision should logically be construed to apply to the Grantee’s executors or the administrators, or the person or persons to whom all or any portion of the Restricted Shares may be transferred by will or the laws of descent and distribution, shall be deemed to include such person or persons.</w:t>
      </w:r>
    </w:p>
    <w:p>
      <w:pPr>
        <w:spacing w:after="0" w:line="240" w:lineRule="exact"/>
        <w:rPr>
          <w:sz w:val="20"/>
          <w:szCs w:val="20"/>
          <w:color w:val="auto"/>
        </w:rPr>
      </w:pPr>
    </w:p>
    <w:p>
      <w:pPr>
        <w:ind w:left="900" w:hanging="448"/>
        <w:spacing w:after="0"/>
        <w:tabs>
          <w:tab w:leader="none" w:pos="900"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83(b) Election</w:t>
      </w:r>
      <w:r>
        <w:rPr>
          <w:rFonts w:ascii="Arial" w:cs="Arial" w:eastAsia="Arial" w:hAnsi="Arial"/>
          <w:sz w:val="17"/>
          <w:szCs w:val="17"/>
          <w:b w:val="1"/>
          <w:bCs w:val="1"/>
          <w:color w:val="auto"/>
        </w:rPr>
        <w:t>.</w:t>
      </w:r>
    </w:p>
    <w:p>
      <w:pPr>
        <w:spacing w:after="0" w:line="9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Grantee acknowledges that it is the Grantee’s sole responsibility, and not the Trust’s, to file a timely election under section 83(b) of the Internal Revenue Code, of 1986, as amended. The Grantee acknowledges that he or she is relying on his or her own advisors with respect to the decision as to whether or not to file any section 83(b) election.</w:t>
      </w:r>
    </w:p>
    <w:p>
      <w:pPr>
        <w:spacing w:after="0" w:line="240" w:lineRule="exact"/>
        <w:rPr>
          <w:sz w:val="20"/>
          <w:szCs w:val="20"/>
          <w:color w:val="auto"/>
        </w:rPr>
      </w:pPr>
    </w:p>
    <w:p>
      <w:pPr>
        <w:ind w:left="900" w:hanging="448"/>
        <w:spacing w:after="0"/>
        <w:tabs>
          <w:tab w:leader="none" w:pos="90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Taxes</w:t>
      </w:r>
      <w:r>
        <w:rPr>
          <w:rFonts w:ascii="Arial" w:cs="Arial" w:eastAsia="Arial" w:hAnsi="Arial"/>
          <w:sz w:val="17"/>
          <w:szCs w:val="17"/>
          <w:b w:val="1"/>
          <w:bCs w:val="1"/>
          <w:color w:val="auto"/>
        </w:rPr>
        <w:t>.</w:t>
      </w:r>
    </w:p>
    <w:p>
      <w:pPr>
        <w:spacing w:after="0" w:line="9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Notwithstanding anything herein to the contrary, Grantee shall be solely responsible and liable for the satisfaction of all taxes and penalties that may arise in connection with this Agreement (including any taxes arising under Section 409A of the Code).</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WITNESS WHEREOF, the Trust has caused this Agreement to be duly executed and the Grantee has hereunto set his hand effective as of the day and year first above written.</w:t>
      </w:r>
    </w:p>
    <w:p>
      <w:pPr>
        <w:spacing w:after="0" w:line="15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FEDERAL REALTY INVESTMENT TRUST</w:t>
      </w:r>
    </w:p>
    <w:p>
      <w:pPr>
        <w:spacing w:after="0" w:line="260" w:lineRule="exact"/>
        <w:rPr>
          <w:sz w:val="20"/>
          <w:szCs w:val="20"/>
          <w:color w:val="auto"/>
        </w:rPr>
      </w:pPr>
    </w:p>
    <w:tbl>
      <w:tblPr>
        <w:tblLayout w:type="fixed"/>
        <w:tblInd w:w="4920" w:type="dxa"/>
        <w:tblCellMar>
          <w:top w:w="0" w:type="dxa"/>
          <w:left w:w="0" w:type="dxa"/>
          <w:bottom w:w="0" w:type="dxa"/>
          <w:right w:w="0" w:type="dxa"/>
        </w:tblCellMar>
      </w:tblPr>
      <w:tr>
        <w:trPr>
          <w:trHeight w:val="195"/>
        </w:trPr>
        <w:tc>
          <w:tcPr>
            <w:tcW w:w="900" w:type="dxa"/>
            <w:vAlign w:val="bottom"/>
          </w:tcPr>
          <w:p>
            <w:pPr>
              <w:spacing w:after="0"/>
              <w:rPr>
                <w:sz w:val="20"/>
                <w:szCs w:val="20"/>
                <w:color w:val="auto"/>
              </w:rPr>
            </w:pPr>
            <w:r>
              <w:rPr>
                <w:rFonts w:ascii="Arial" w:cs="Arial" w:eastAsia="Arial" w:hAnsi="Arial"/>
                <w:sz w:val="17"/>
                <w:szCs w:val="17"/>
                <w:color w:val="auto"/>
              </w:rPr>
              <w:t>By:</w:t>
            </w:r>
          </w:p>
        </w:tc>
        <w:tc>
          <w:tcPr>
            <w:tcW w:w="5600" w:type="dxa"/>
            <w:vAlign w:val="bottom"/>
            <w:tcBorders>
              <w:bottom w:val="single" w:sz="8" w:color="auto"/>
            </w:tcBorders>
          </w:tcPr>
          <w:p>
            <w:pPr>
              <w:spacing w:after="0"/>
              <w:rPr>
                <w:sz w:val="16"/>
                <w:szCs w:val="16"/>
                <w:color w:val="auto"/>
              </w:rPr>
            </w:pPr>
          </w:p>
        </w:tc>
      </w:tr>
      <w:tr>
        <w:trPr>
          <w:trHeight w:val="203"/>
        </w:trPr>
        <w:tc>
          <w:tcPr>
            <w:tcW w:w="900" w:type="dxa"/>
            <w:vAlign w:val="bottom"/>
          </w:tcPr>
          <w:p>
            <w:pPr>
              <w:spacing w:after="0"/>
              <w:rPr>
                <w:sz w:val="20"/>
                <w:szCs w:val="20"/>
                <w:color w:val="auto"/>
              </w:rPr>
            </w:pPr>
            <w:r>
              <w:rPr>
                <w:rFonts w:ascii="Arial" w:cs="Arial" w:eastAsia="Arial" w:hAnsi="Arial"/>
                <w:sz w:val="17"/>
                <w:szCs w:val="17"/>
                <w:color w:val="auto"/>
              </w:rPr>
              <w:t>Name:</w:t>
            </w:r>
          </w:p>
        </w:tc>
        <w:tc>
          <w:tcPr>
            <w:tcW w:w="560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13"/>
        </w:trPr>
        <w:tc>
          <w:tcPr>
            <w:tcW w:w="900" w:type="dxa"/>
            <w:vAlign w:val="bottom"/>
          </w:tcPr>
          <w:p>
            <w:pPr>
              <w:spacing w:after="0"/>
              <w:rPr>
                <w:sz w:val="20"/>
                <w:szCs w:val="20"/>
                <w:color w:val="auto"/>
              </w:rPr>
            </w:pPr>
            <w:r>
              <w:rPr>
                <w:rFonts w:ascii="Arial" w:cs="Arial" w:eastAsia="Arial" w:hAnsi="Arial"/>
                <w:sz w:val="17"/>
                <w:szCs w:val="17"/>
                <w:color w:val="auto"/>
              </w:rPr>
              <w:t>Title:</w:t>
            </w:r>
          </w:p>
        </w:tc>
        <w:tc>
          <w:tcPr>
            <w:tcW w:w="560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198"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WITNESS:</w:t>
      </w:r>
      <w:r>
        <w:rPr>
          <w:sz w:val="20"/>
          <w:szCs w:val="20"/>
          <w:color w:val="auto"/>
        </w:rPr>
        <w:tab/>
      </w:r>
      <w:r>
        <w:rPr>
          <w:rFonts w:ascii="Arial" w:cs="Arial" w:eastAsia="Arial" w:hAnsi="Arial"/>
          <w:sz w:val="17"/>
          <w:szCs w:val="17"/>
          <w:color w:val="auto"/>
        </w:rPr>
        <w:t>GRANTEE</w:t>
      </w:r>
    </w:p>
    <w:p>
      <w:pPr>
        <w:spacing w:after="0" w:line="267"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2529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41"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-3810</wp:posOffset>
            </wp:positionV>
            <wp:extent cx="3565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65525" cy="825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 of 5</w:t>
      </w:r>
    </w:p>
    <w:p>
      <w:pPr>
        <w:sectPr>
          <w:pgSz w:w="11900" w:h="16838" w:orient="portrait"/>
          <w:cols w:equalWidth="0" w:num="1">
            <w:col w:w="11420"/>
          </w:cols>
          <w:pgMar w:left="240" w:top="272"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21.1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FEDERAL REALTY INVESTMENT TRUST AND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jc w:val="center"/>
              <w:spacing w:after="0"/>
              <w:rPr>
                <w:sz w:val="20"/>
                <w:szCs w:val="20"/>
                <w:color w:val="auto"/>
              </w:rPr>
            </w:pPr>
            <w:r>
              <w:rPr>
                <w:rFonts w:ascii="Arial" w:cs="Arial" w:eastAsia="Arial" w:hAnsi="Arial"/>
                <w:sz w:val="13"/>
                <w:szCs w:val="13"/>
                <w:b w:val="1"/>
                <w:bCs w:val="1"/>
                <w:color w:val="auto"/>
              </w:rPr>
              <w:t>NAME OF</w:t>
            </w:r>
          </w:p>
        </w:tc>
        <w:tc>
          <w:tcPr>
            <w:tcW w:w="460" w:type="dxa"/>
            <w:vAlign w:val="bottom"/>
          </w:tcPr>
          <w:p>
            <w:pPr>
              <w:spacing w:after="0"/>
              <w:rPr>
                <w:sz w:val="13"/>
                <w:szCs w:val="13"/>
                <w:color w:val="auto"/>
              </w:rPr>
            </w:pPr>
          </w:p>
        </w:tc>
        <w:tc>
          <w:tcPr>
            <w:tcW w:w="5360" w:type="dxa"/>
            <w:vAlign w:val="bottom"/>
          </w:tcPr>
          <w:p>
            <w:pPr>
              <w:jc w:val="center"/>
              <w:spacing w:after="0"/>
              <w:rPr>
                <w:sz w:val="20"/>
                <w:szCs w:val="20"/>
                <w:color w:val="auto"/>
              </w:rPr>
            </w:pPr>
            <w:r>
              <w:rPr>
                <w:rFonts w:ascii="Arial" w:cs="Arial" w:eastAsia="Arial" w:hAnsi="Arial"/>
                <w:sz w:val="13"/>
                <w:szCs w:val="13"/>
                <w:b w:val="1"/>
                <w:bCs w:val="1"/>
                <w:color w:val="auto"/>
                <w:w w:val="97"/>
              </w:rPr>
              <w:t>STATE OF INCORPORATION OF</w:t>
            </w:r>
          </w:p>
        </w:tc>
      </w:tr>
      <w:tr>
        <w:trPr>
          <w:trHeight w:val="167"/>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SUBSIDIARY</w:t>
            </w:r>
          </w:p>
        </w:tc>
        <w:tc>
          <w:tcPr>
            <w:tcW w:w="46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ORGANIZATION</w:t>
            </w:r>
          </w:p>
        </w:tc>
      </w:tr>
      <w:tr>
        <w:trPr>
          <w:trHeight w:val="126"/>
        </w:trPr>
        <w:tc>
          <w:tcPr>
            <w:tcW w:w="5600" w:type="dxa"/>
            <w:vAlign w:val="bottom"/>
          </w:tcPr>
          <w:p>
            <w:pPr>
              <w:jc w:val="center"/>
              <w:spacing w:after="0" w:line="126" w:lineRule="exact"/>
              <w:rPr>
                <w:sz w:val="20"/>
                <w:szCs w:val="20"/>
                <w:color w:val="auto"/>
              </w:rPr>
            </w:pPr>
            <w:r>
              <w:rPr>
                <w:rFonts w:ascii="Arial" w:cs="Arial" w:eastAsia="Arial" w:hAnsi="Arial"/>
                <w:sz w:val="13"/>
                <w:szCs w:val="13"/>
                <w:color w:val="auto"/>
                <w:w w:val="89"/>
              </w:rPr>
              <w:t>Street Retail, Inc</w:t>
            </w:r>
          </w:p>
        </w:tc>
        <w:tc>
          <w:tcPr>
            <w:tcW w:w="460" w:type="dxa"/>
            <w:vAlign w:val="bottom"/>
          </w:tcPr>
          <w:p>
            <w:pPr>
              <w:spacing w:after="0"/>
              <w:rPr>
                <w:sz w:val="10"/>
                <w:szCs w:val="10"/>
                <w:color w:val="auto"/>
              </w:rPr>
            </w:pPr>
          </w:p>
        </w:tc>
        <w:tc>
          <w:tcPr>
            <w:tcW w:w="5360" w:type="dxa"/>
            <w:vAlign w:val="bottom"/>
          </w:tcPr>
          <w:p>
            <w:pPr>
              <w:jc w:val="center"/>
              <w:spacing w:after="0" w:line="126" w:lineRule="exact"/>
              <w:rPr>
                <w:sz w:val="20"/>
                <w:szCs w:val="20"/>
                <w:color w:val="auto"/>
              </w:rPr>
            </w:pPr>
            <w:r>
              <w:rPr>
                <w:rFonts w:ascii="Arial" w:cs="Arial" w:eastAsia="Arial" w:hAnsi="Arial"/>
                <w:sz w:val="13"/>
                <w:szCs w:val="13"/>
                <w:color w:val="auto"/>
                <w:w w:val="93"/>
              </w:rPr>
              <w:t>Maryland</w:t>
            </w:r>
          </w:p>
        </w:tc>
      </w:tr>
      <w:tr>
        <w:trPr>
          <w:trHeight w:val="141"/>
        </w:trPr>
        <w:tc>
          <w:tcPr>
            <w:tcW w:w="5600" w:type="dxa"/>
            <w:vAlign w:val="bottom"/>
          </w:tcPr>
          <w:p>
            <w:pPr>
              <w:jc w:val="center"/>
              <w:spacing w:after="0" w:line="141" w:lineRule="exact"/>
              <w:rPr>
                <w:sz w:val="20"/>
                <w:szCs w:val="20"/>
                <w:color w:val="auto"/>
              </w:rPr>
            </w:pPr>
            <w:r>
              <w:rPr>
                <w:rFonts w:ascii="Arial" w:cs="Arial" w:eastAsia="Arial" w:hAnsi="Arial"/>
                <w:sz w:val="13"/>
                <w:szCs w:val="13"/>
                <w:color w:val="auto"/>
                <w:w w:val="88"/>
              </w:rPr>
              <w:t>FRIT San Jose Town and</w:t>
            </w:r>
          </w:p>
        </w:tc>
        <w:tc>
          <w:tcPr>
            <w:tcW w:w="460" w:type="dxa"/>
            <w:vAlign w:val="bottom"/>
          </w:tcPr>
          <w:p>
            <w:pPr>
              <w:spacing w:after="0"/>
              <w:rPr>
                <w:sz w:val="12"/>
                <w:szCs w:val="12"/>
                <w:color w:val="auto"/>
              </w:rPr>
            </w:pPr>
          </w:p>
        </w:tc>
        <w:tc>
          <w:tcPr>
            <w:tcW w:w="5360" w:type="dxa"/>
            <w:vAlign w:val="bottom"/>
          </w:tcPr>
          <w:p>
            <w:pPr>
              <w:spacing w:after="0"/>
              <w:rPr>
                <w:sz w:val="12"/>
                <w:szCs w:val="12"/>
                <w:color w:val="auto"/>
              </w:rPr>
            </w:pPr>
          </w:p>
        </w:tc>
      </w:tr>
      <w:tr>
        <w:trPr>
          <w:trHeight w:val="175"/>
        </w:trPr>
        <w:tc>
          <w:tcPr>
            <w:tcW w:w="5600" w:type="dxa"/>
            <w:vAlign w:val="bottom"/>
          </w:tcPr>
          <w:p>
            <w:pPr>
              <w:jc w:val="center"/>
              <w:spacing w:after="0"/>
              <w:rPr>
                <w:sz w:val="20"/>
                <w:szCs w:val="20"/>
                <w:color w:val="auto"/>
              </w:rPr>
            </w:pPr>
            <w:r>
              <w:rPr>
                <w:rFonts w:ascii="Arial" w:cs="Arial" w:eastAsia="Arial" w:hAnsi="Arial"/>
                <w:sz w:val="13"/>
                <w:szCs w:val="13"/>
                <w:color w:val="auto"/>
                <w:w w:val="93"/>
              </w:rPr>
              <w:t>Country Village, LLC</w:t>
            </w:r>
          </w:p>
        </w:tc>
        <w:tc>
          <w:tcPr>
            <w:tcW w:w="46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3"/>
                <w:szCs w:val="13"/>
                <w:color w:val="auto"/>
                <w:w w:val="94"/>
              </w:rPr>
              <w:t>California</w:t>
            </w:r>
          </w:p>
        </w:tc>
      </w:tr>
    </w:tbl>
    <w:p>
      <w:pPr>
        <w:sectPr>
          <w:pgSz w:w="11900" w:h="16838" w:orient="portrait"/>
          <w:cols w:equalWidth="0" w:num="1">
            <w:col w:w="11420"/>
          </w:cols>
          <w:pgMar w:left="240" w:top="12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have issued our reports dated February 15, 2011, with respect to the consolidated financial statements, schedules and internal control over financial reporting included in the Annual Report of Federal Realty Investment Trust on Form 10-K for the year ended December 31, 2010. We hereby consent to the incorporation by reference of said reports in the Registration Statements of Federal Realty Investment Trust on Forms S-3 (File No. 333-166060 effective 4/14/2010, File No. 333-160009 effective 6/16/2009, File No. 333-160306 effective 6/29/2009, File No. 333-100819 effective 10/29/2002, File No. 033-63687 effective 10/25/1995 and File No. 333-135159 effective 6/20/2006 and on Forms S-8 (File No. 333-166531 effective 5/5/2010, File No. 333-60364 effective 05/07/2001, File No. 333-63617 effective 09/17/1998, File No. 333-147080 effective 11/01/2007 and File No. 333-147081 effective 11/01/2007).</w:t>
      </w:r>
    </w:p>
    <w:p>
      <w:pPr>
        <w:spacing w:after="0" w:line="27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GRANT THORNTON LLP</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15, 2011</w:t>
      </w:r>
    </w:p>
    <w:p>
      <w:pPr>
        <w:sectPr>
          <w:pgSz w:w="11900" w:h="16838" w:orient="portrait"/>
          <w:cols w:equalWidth="0" w:num="1">
            <w:col w:w="11420"/>
          </w:cols>
          <w:pgMar w:left="240" w:top="127" w:right="239" w:bottom="1440" w:gutter="0" w:footer="0" w:header="0"/>
        </w:sectPr>
      </w:pPr>
    </w:p>
    <w:bookmarkStart w:id="148" w:name="page149"/>
    <w:bookmarkEnd w:id="148"/>
    <w:p>
      <w:pPr>
        <w:ind w:left="10560"/>
        <w:spacing w:after="0"/>
        <w:rPr>
          <w:sz w:val="20"/>
          <w:szCs w:val="20"/>
          <w:color w:val="auto"/>
        </w:rPr>
      </w:pPr>
      <w:r>
        <w:rPr>
          <w:rFonts w:ascii="Arial" w:cs="Arial" w:eastAsia="Arial" w:hAnsi="Arial"/>
          <w:sz w:val="15"/>
          <w:szCs w:val="15"/>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Donald C. Wood, certify that:</w:t>
      </w:r>
    </w:p>
    <w:p>
      <w:pPr>
        <w:spacing w:after="0" w:line="87" w:lineRule="exact"/>
        <w:rPr>
          <w:sz w:val="20"/>
          <w:szCs w:val="20"/>
          <w:color w:val="auto"/>
        </w:rPr>
      </w:pPr>
    </w:p>
    <w:p>
      <w:pPr>
        <w:ind w:left="900" w:hanging="448"/>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87" w:lineRule="exact"/>
        <w:rPr>
          <w:rFonts w:ascii="Arial" w:cs="Arial" w:eastAsia="Arial" w:hAnsi="Arial"/>
          <w:sz w:val="17"/>
          <w:szCs w:val="17"/>
          <w:color w:val="auto"/>
        </w:rPr>
      </w:pPr>
    </w:p>
    <w:p>
      <w:pPr>
        <w:ind w:left="900" w:right="60" w:hanging="448"/>
        <w:spacing w:after="0" w:line="339" w:lineRule="auto"/>
        <w:tabs>
          <w:tab w:leader="none" w:pos="9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right="140" w:hanging="448"/>
        <w:spacing w:after="0" w:line="273"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7"/>
          <w:szCs w:val="17"/>
          <w:color w:val="auto"/>
        </w:rPr>
      </w:pPr>
    </w:p>
    <w:p>
      <w:pPr>
        <w:ind w:left="900" w:hanging="448"/>
        <w:spacing w:after="0" w:line="263"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7"/>
          <w:szCs w:val="17"/>
          <w:color w:val="auto"/>
        </w:rPr>
      </w:pPr>
    </w:p>
    <w:p>
      <w:pPr>
        <w:ind w:left="1480" w:right="20" w:hanging="565"/>
        <w:spacing w:after="0" w:line="263" w:lineRule="auto"/>
        <w:tabs>
          <w:tab w:leader="none" w:pos="14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7"/>
          <w:szCs w:val="17"/>
          <w:color w:val="auto"/>
        </w:rPr>
      </w:pPr>
    </w:p>
    <w:p>
      <w:pPr>
        <w:ind w:left="1480" w:right="20" w:hanging="565"/>
        <w:spacing w:after="0" w:line="263" w:lineRule="auto"/>
        <w:tabs>
          <w:tab w:leader="none" w:pos="14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7"/>
          <w:szCs w:val="17"/>
          <w:color w:val="auto"/>
        </w:rPr>
      </w:pPr>
    </w:p>
    <w:p>
      <w:pPr>
        <w:ind w:left="1480" w:right="60" w:hanging="565"/>
        <w:spacing w:after="0" w:line="305" w:lineRule="auto"/>
        <w:tabs>
          <w:tab w:leader="none" w:pos="14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6"/>
          <w:szCs w:val="16"/>
          <w:color w:val="auto"/>
        </w:rPr>
      </w:pPr>
    </w:p>
    <w:p>
      <w:pPr>
        <w:jc w:val="both"/>
        <w:ind w:left="1480" w:right="100" w:hanging="565"/>
        <w:spacing w:after="0" w:line="263" w:lineRule="auto"/>
        <w:tabs>
          <w:tab w:leader="none" w:pos="14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7"/>
          <w:szCs w:val="17"/>
          <w:color w:val="auto"/>
        </w:rPr>
      </w:pPr>
    </w:p>
    <w:p>
      <w:pPr>
        <w:ind w:left="900" w:right="700" w:hanging="448"/>
        <w:spacing w:after="0" w:line="339" w:lineRule="auto"/>
        <w:tabs>
          <w:tab w:leader="none" w:pos="90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80" w:hanging="565"/>
        <w:spacing w:after="0" w:line="273" w:lineRule="auto"/>
        <w:tabs>
          <w:tab w:leader="none" w:pos="14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1480" w:right="40" w:hanging="565"/>
        <w:spacing w:after="0" w:line="273" w:lineRule="auto"/>
        <w:tabs>
          <w:tab w:leader="none" w:pos="14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04"/>
        </w:trPr>
        <w:tc>
          <w:tcPr>
            <w:tcW w:w="3300" w:type="dxa"/>
            <w:vAlign w:val="bottom"/>
          </w:tcPr>
          <w:p>
            <w:pPr>
              <w:spacing w:after="0"/>
              <w:rPr>
                <w:sz w:val="20"/>
                <w:szCs w:val="20"/>
                <w:color w:val="auto"/>
              </w:rPr>
            </w:pPr>
            <w:r>
              <w:rPr>
                <w:rFonts w:ascii="Arial" w:cs="Arial" w:eastAsia="Arial" w:hAnsi="Arial"/>
                <w:sz w:val="17"/>
                <w:szCs w:val="17"/>
                <w:color w:val="auto"/>
              </w:rPr>
              <w:t>February 15, 2011</w:t>
            </w:r>
          </w:p>
        </w:tc>
        <w:tc>
          <w:tcPr>
            <w:tcW w:w="2980" w:type="dxa"/>
            <w:vAlign w:val="bottom"/>
          </w:tcPr>
          <w:p>
            <w:pPr>
              <w:ind w:left="2080"/>
              <w:spacing w:after="0"/>
              <w:rPr>
                <w:sz w:val="20"/>
                <w:szCs w:val="20"/>
                <w:color w:val="auto"/>
              </w:rPr>
            </w:pPr>
            <w:r>
              <w:rPr>
                <w:rFonts w:ascii="Arial" w:cs="Arial" w:eastAsia="Arial" w:hAnsi="Arial"/>
                <w:sz w:val="17"/>
                <w:szCs w:val="17"/>
                <w:color w:val="auto"/>
              </w:rPr>
              <w:t>NAME:</w:t>
            </w:r>
          </w:p>
        </w:tc>
        <w:tc>
          <w:tcPr>
            <w:tcW w:w="514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06"/>
        </w:trPr>
        <w:tc>
          <w:tcPr>
            <w:tcW w:w="3300" w:type="dxa"/>
            <w:vAlign w:val="bottom"/>
          </w:tcPr>
          <w:p>
            <w:pPr>
              <w:spacing w:after="0"/>
              <w:rPr>
                <w:sz w:val="17"/>
                <w:szCs w:val="17"/>
                <w:color w:val="auto"/>
              </w:rPr>
            </w:pPr>
          </w:p>
        </w:tc>
        <w:tc>
          <w:tcPr>
            <w:tcW w:w="2980" w:type="dxa"/>
            <w:vAlign w:val="bottom"/>
          </w:tcPr>
          <w:p>
            <w:pPr>
              <w:ind w:left="2080"/>
              <w:spacing w:after="0"/>
              <w:rPr>
                <w:sz w:val="20"/>
                <w:szCs w:val="20"/>
                <w:color w:val="auto"/>
              </w:rPr>
            </w:pPr>
            <w:r>
              <w:rPr>
                <w:rFonts w:ascii="Arial" w:cs="Arial" w:eastAsia="Arial" w:hAnsi="Arial"/>
                <w:sz w:val="17"/>
                <w:szCs w:val="17"/>
                <w:color w:val="auto"/>
              </w:rPr>
              <w:t>TITLE:</w:t>
            </w:r>
          </w:p>
        </w:tc>
        <w:tc>
          <w:tcPr>
            <w:tcW w:w="5140" w:type="dxa"/>
            <w:vAlign w:val="bottom"/>
          </w:tcPr>
          <w:p>
            <w:pPr>
              <w:spacing w:after="0"/>
              <w:rPr>
                <w:sz w:val="20"/>
                <w:szCs w:val="20"/>
                <w:color w:val="auto"/>
              </w:rPr>
            </w:pPr>
            <w:r>
              <w:rPr>
                <w:rFonts w:ascii="Arial" w:cs="Arial" w:eastAsia="Arial" w:hAnsi="Arial"/>
                <w:sz w:val="17"/>
                <w:szCs w:val="17"/>
                <w:color w:val="auto"/>
              </w:rPr>
              <w:t>President, Chief Executive Officer and Trustee</w:t>
            </w:r>
          </w:p>
        </w:tc>
      </w:t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127" w:right="239" w:bottom="1440" w:gutter="0" w:footer="0" w:header="0"/>
        </w:sectPr>
      </w:pPr>
    </w:p>
    <w:bookmarkStart w:id="149" w:name="page150"/>
    <w:bookmarkEnd w:id="149"/>
    <w:p>
      <w:pPr>
        <w:ind w:left="10560"/>
        <w:spacing w:after="0"/>
        <w:rPr>
          <w:sz w:val="20"/>
          <w:szCs w:val="20"/>
          <w:color w:val="auto"/>
        </w:rPr>
      </w:pPr>
      <w:r>
        <w:rPr>
          <w:rFonts w:ascii="Arial" w:cs="Arial" w:eastAsia="Arial" w:hAnsi="Arial"/>
          <w:sz w:val="15"/>
          <w:szCs w:val="15"/>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 Andrew P. Blocher, certify that:</w:t>
      </w:r>
    </w:p>
    <w:p>
      <w:pPr>
        <w:spacing w:after="0" w:line="87" w:lineRule="exact"/>
        <w:rPr>
          <w:sz w:val="20"/>
          <w:szCs w:val="20"/>
          <w:color w:val="auto"/>
        </w:rPr>
      </w:pPr>
    </w:p>
    <w:p>
      <w:pPr>
        <w:ind w:left="900" w:hanging="448"/>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Federal Realty Investment Trust;</w:t>
      </w:r>
    </w:p>
    <w:p>
      <w:pPr>
        <w:spacing w:after="0" w:line="87" w:lineRule="exact"/>
        <w:rPr>
          <w:rFonts w:ascii="Arial" w:cs="Arial" w:eastAsia="Arial" w:hAnsi="Arial"/>
          <w:sz w:val="17"/>
          <w:szCs w:val="17"/>
          <w:color w:val="auto"/>
        </w:rPr>
      </w:pPr>
    </w:p>
    <w:p>
      <w:pPr>
        <w:ind w:left="900" w:right="60" w:hanging="448"/>
        <w:spacing w:after="0" w:line="339" w:lineRule="auto"/>
        <w:tabs>
          <w:tab w:leader="none" w:pos="9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900" w:right="140" w:hanging="448"/>
        <w:spacing w:after="0" w:line="273"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7"/>
          <w:szCs w:val="17"/>
          <w:color w:val="auto"/>
        </w:rPr>
      </w:pPr>
    </w:p>
    <w:p>
      <w:pPr>
        <w:ind w:left="900" w:hanging="448"/>
        <w:spacing w:after="0" w:line="263"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Arial" w:cs="Arial" w:eastAsia="Arial" w:hAnsi="Arial"/>
          <w:sz w:val="17"/>
          <w:szCs w:val="17"/>
          <w:color w:val="auto"/>
        </w:rPr>
      </w:pPr>
    </w:p>
    <w:p>
      <w:pPr>
        <w:ind w:left="1480" w:right="20" w:hanging="565"/>
        <w:spacing w:after="0" w:line="263" w:lineRule="auto"/>
        <w:tabs>
          <w:tab w:leader="none" w:pos="14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7"/>
          <w:szCs w:val="17"/>
          <w:color w:val="auto"/>
        </w:rPr>
      </w:pPr>
    </w:p>
    <w:p>
      <w:pPr>
        <w:ind w:left="1480" w:right="20" w:hanging="565"/>
        <w:spacing w:after="0" w:line="263" w:lineRule="auto"/>
        <w:tabs>
          <w:tab w:leader="none" w:pos="14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7"/>
          <w:szCs w:val="17"/>
          <w:color w:val="auto"/>
        </w:rPr>
      </w:pPr>
    </w:p>
    <w:p>
      <w:pPr>
        <w:ind w:left="1480" w:right="60" w:hanging="565"/>
        <w:spacing w:after="0" w:line="305" w:lineRule="auto"/>
        <w:tabs>
          <w:tab w:leader="none" w:pos="14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6"/>
          <w:szCs w:val="16"/>
          <w:color w:val="auto"/>
        </w:rPr>
      </w:pPr>
    </w:p>
    <w:p>
      <w:pPr>
        <w:jc w:val="both"/>
        <w:ind w:left="1480" w:right="100" w:hanging="565"/>
        <w:spacing w:after="0" w:line="263" w:lineRule="auto"/>
        <w:tabs>
          <w:tab w:leader="none" w:pos="14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7"/>
          <w:szCs w:val="17"/>
          <w:color w:val="auto"/>
        </w:rPr>
      </w:pPr>
    </w:p>
    <w:p>
      <w:pPr>
        <w:ind w:left="900" w:right="700" w:hanging="448"/>
        <w:spacing w:after="0" w:line="339" w:lineRule="auto"/>
        <w:tabs>
          <w:tab w:leader="none" w:pos="90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80" w:hanging="565"/>
        <w:spacing w:after="0" w:line="273" w:lineRule="auto"/>
        <w:tabs>
          <w:tab w:leader="none" w:pos="14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7"/>
          <w:szCs w:val="17"/>
          <w:color w:val="auto"/>
        </w:rPr>
      </w:pPr>
    </w:p>
    <w:p>
      <w:pPr>
        <w:ind w:left="1480" w:right="40" w:hanging="565"/>
        <w:spacing w:after="0" w:line="273" w:lineRule="auto"/>
        <w:tabs>
          <w:tab w:leader="none" w:pos="14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P. Blocher</w:t>
            </w:r>
          </w:p>
        </w:tc>
      </w:tr>
      <w:tr>
        <w:trPr>
          <w:trHeight w:val="204"/>
        </w:trPr>
        <w:tc>
          <w:tcPr>
            <w:tcW w:w="3300" w:type="dxa"/>
            <w:vAlign w:val="bottom"/>
          </w:tcPr>
          <w:p>
            <w:pPr>
              <w:spacing w:after="0"/>
              <w:rPr>
                <w:sz w:val="20"/>
                <w:szCs w:val="20"/>
                <w:color w:val="auto"/>
              </w:rPr>
            </w:pPr>
            <w:r>
              <w:rPr>
                <w:rFonts w:ascii="Arial" w:cs="Arial" w:eastAsia="Arial" w:hAnsi="Arial"/>
                <w:sz w:val="17"/>
                <w:szCs w:val="17"/>
                <w:color w:val="auto"/>
              </w:rPr>
              <w:t>February 15, 2011</w:t>
            </w:r>
          </w:p>
        </w:tc>
        <w:tc>
          <w:tcPr>
            <w:tcW w:w="2980" w:type="dxa"/>
            <w:vAlign w:val="bottom"/>
          </w:tcPr>
          <w:p>
            <w:pPr>
              <w:ind w:left="2080"/>
              <w:spacing w:after="0"/>
              <w:rPr>
                <w:sz w:val="20"/>
                <w:szCs w:val="20"/>
                <w:color w:val="auto"/>
              </w:rPr>
            </w:pPr>
            <w:r>
              <w:rPr>
                <w:rFonts w:ascii="Arial" w:cs="Arial" w:eastAsia="Arial" w:hAnsi="Arial"/>
                <w:sz w:val="17"/>
                <w:szCs w:val="17"/>
                <w:color w:val="auto"/>
              </w:rPr>
              <w:t>NAME:</w:t>
            </w:r>
          </w:p>
        </w:tc>
        <w:tc>
          <w:tcPr>
            <w:tcW w:w="5140" w:type="dxa"/>
            <w:vAlign w:val="bottom"/>
          </w:tcPr>
          <w:p>
            <w:pPr>
              <w:spacing w:after="0"/>
              <w:rPr>
                <w:sz w:val="20"/>
                <w:szCs w:val="20"/>
                <w:color w:val="auto"/>
              </w:rPr>
            </w:pPr>
            <w:r>
              <w:rPr>
                <w:rFonts w:ascii="Arial" w:cs="Arial" w:eastAsia="Arial" w:hAnsi="Arial"/>
                <w:sz w:val="17"/>
                <w:szCs w:val="17"/>
                <w:color w:val="auto"/>
              </w:rPr>
              <w:t>Andrew P. Blocher</w:t>
            </w:r>
          </w:p>
        </w:tc>
      </w:tr>
      <w:tr>
        <w:trPr>
          <w:trHeight w:val="206"/>
        </w:trPr>
        <w:tc>
          <w:tcPr>
            <w:tcW w:w="3300" w:type="dxa"/>
            <w:vAlign w:val="bottom"/>
          </w:tcPr>
          <w:p>
            <w:pPr>
              <w:spacing w:after="0"/>
              <w:rPr>
                <w:sz w:val="17"/>
                <w:szCs w:val="17"/>
                <w:color w:val="auto"/>
              </w:rPr>
            </w:pPr>
          </w:p>
        </w:tc>
        <w:tc>
          <w:tcPr>
            <w:tcW w:w="2980" w:type="dxa"/>
            <w:vAlign w:val="bottom"/>
          </w:tcPr>
          <w:p>
            <w:pPr>
              <w:ind w:left="2080"/>
              <w:spacing w:after="0"/>
              <w:rPr>
                <w:sz w:val="20"/>
                <w:szCs w:val="20"/>
                <w:color w:val="auto"/>
              </w:rPr>
            </w:pPr>
            <w:r>
              <w:rPr>
                <w:rFonts w:ascii="Arial" w:cs="Arial" w:eastAsia="Arial" w:hAnsi="Arial"/>
                <w:sz w:val="17"/>
                <w:szCs w:val="17"/>
                <w:color w:val="auto"/>
              </w:rPr>
              <w:t>TITLE:</w:t>
            </w:r>
          </w:p>
        </w:tc>
        <w:tc>
          <w:tcPr>
            <w:tcW w:w="5140" w:type="dxa"/>
            <w:vAlign w:val="bottom"/>
          </w:tcPr>
          <w:p>
            <w:pPr>
              <w:spacing w:after="0"/>
              <w:rPr>
                <w:sz w:val="20"/>
                <w:szCs w:val="20"/>
                <w:color w:val="auto"/>
              </w:rPr>
            </w:pPr>
            <w:r>
              <w:rPr>
                <w:rFonts w:ascii="Arial" w:cs="Arial" w:eastAsia="Arial" w:hAnsi="Arial"/>
                <w:sz w:val="17"/>
                <w:szCs w:val="17"/>
                <w:color w:val="auto"/>
              </w:rPr>
              <w:t>Senior Vice President-Chief Financial Officer and Treasurer</w:t>
            </w:r>
          </w:p>
        </w:tc>
      </w:t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7"/>
                <w:szCs w:val="17"/>
                <w:color w:val="auto"/>
              </w:rPr>
              <w:t>(Principal Financial and Accounting Officer)</w:t>
            </w:r>
          </w:p>
        </w:tc>
      </w:tr>
    </w:tbl>
    <w:p>
      <w:pPr>
        <w:sectPr>
          <w:pgSz w:w="11900" w:h="16838" w:orient="portrait"/>
          <w:cols w:equalWidth="0" w:num="1">
            <w:col w:w="11420"/>
          </w:cols>
          <w:pgMar w:left="240" w:top="127"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32.1</w:t>
      </w:r>
    </w:p>
    <w:p>
      <w:pPr>
        <w:spacing w:after="0" w:line="164"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CERTIFICATION</w:t>
      </w:r>
    </w:p>
    <w:p>
      <w:pPr>
        <w:spacing w:after="0" w:line="8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7" w:lineRule="exact"/>
        <w:rPr>
          <w:sz w:val="20"/>
          <w:szCs w:val="20"/>
          <w:color w:val="auto"/>
        </w:rPr>
      </w:pPr>
    </w:p>
    <w:p>
      <w:pPr>
        <w:jc w:val="both"/>
        <w:ind w:right="60" w:firstLine="457"/>
        <w:spacing w:after="0" w:line="263" w:lineRule="auto"/>
        <w:rPr>
          <w:sz w:val="20"/>
          <w:szCs w:val="20"/>
          <w:color w:val="auto"/>
        </w:rPr>
      </w:pPr>
      <w:r>
        <w:rPr>
          <w:rFonts w:ascii="Arial" w:cs="Arial" w:eastAsia="Arial" w:hAnsi="Arial"/>
          <w:sz w:val="17"/>
          <w:szCs w:val="17"/>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2010 (the “Report”). The undersigned hereby certifies, to the best of his knowledge, that:</w:t>
      </w:r>
    </w:p>
    <w:p>
      <w:pPr>
        <w:spacing w:after="0" w:line="51" w:lineRule="exact"/>
        <w:rPr>
          <w:sz w:val="20"/>
          <w:szCs w:val="20"/>
          <w:color w:val="auto"/>
        </w:rPr>
      </w:pPr>
    </w:p>
    <w:p>
      <w:pPr>
        <w:ind w:left="900" w:hanging="448"/>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7" w:lineRule="exact"/>
        <w:rPr>
          <w:rFonts w:ascii="Arial" w:cs="Arial" w:eastAsia="Arial" w:hAnsi="Arial"/>
          <w:sz w:val="17"/>
          <w:szCs w:val="17"/>
          <w:color w:val="auto"/>
        </w:rPr>
      </w:pPr>
    </w:p>
    <w:p>
      <w:pPr>
        <w:ind w:left="900" w:hanging="448"/>
        <w:spacing w:after="0"/>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Donald C. Wood</w:t>
            </w:r>
          </w:p>
        </w:tc>
      </w:tr>
      <w:tr>
        <w:trPr>
          <w:trHeight w:val="204"/>
        </w:trPr>
        <w:tc>
          <w:tcPr>
            <w:tcW w:w="3300" w:type="dxa"/>
            <w:vAlign w:val="bottom"/>
          </w:tcPr>
          <w:p>
            <w:pPr>
              <w:spacing w:after="0"/>
              <w:rPr>
                <w:sz w:val="20"/>
                <w:szCs w:val="20"/>
                <w:color w:val="auto"/>
              </w:rPr>
            </w:pPr>
            <w:r>
              <w:rPr>
                <w:rFonts w:ascii="Arial" w:cs="Arial" w:eastAsia="Arial" w:hAnsi="Arial"/>
                <w:sz w:val="17"/>
                <w:szCs w:val="17"/>
                <w:color w:val="auto"/>
              </w:rPr>
              <w:t>February 15, 2011</w:t>
            </w:r>
          </w:p>
        </w:tc>
        <w:tc>
          <w:tcPr>
            <w:tcW w:w="2980" w:type="dxa"/>
            <w:vAlign w:val="bottom"/>
          </w:tcPr>
          <w:p>
            <w:pPr>
              <w:ind w:left="2080"/>
              <w:spacing w:after="0"/>
              <w:rPr>
                <w:sz w:val="20"/>
                <w:szCs w:val="20"/>
                <w:color w:val="auto"/>
              </w:rPr>
            </w:pPr>
            <w:r>
              <w:rPr>
                <w:rFonts w:ascii="Arial" w:cs="Arial" w:eastAsia="Arial" w:hAnsi="Arial"/>
                <w:sz w:val="17"/>
                <w:szCs w:val="17"/>
                <w:color w:val="auto"/>
              </w:rPr>
              <w:t>NAME:</w:t>
            </w:r>
          </w:p>
        </w:tc>
        <w:tc>
          <w:tcPr>
            <w:tcW w:w="5140" w:type="dxa"/>
            <w:vAlign w:val="bottom"/>
          </w:tcPr>
          <w:p>
            <w:pPr>
              <w:spacing w:after="0"/>
              <w:rPr>
                <w:sz w:val="20"/>
                <w:szCs w:val="20"/>
                <w:color w:val="auto"/>
              </w:rPr>
            </w:pPr>
            <w:r>
              <w:rPr>
                <w:rFonts w:ascii="Arial" w:cs="Arial" w:eastAsia="Arial" w:hAnsi="Arial"/>
                <w:sz w:val="17"/>
                <w:szCs w:val="17"/>
                <w:color w:val="auto"/>
              </w:rPr>
              <w:t>Donald C. Wood</w:t>
            </w:r>
          </w:p>
        </w:tc>
      </w:tr>
      <w:tr>
        <w:trPr>
          <w:trHeight w:val="206"/>
        </w:trPr>
        <w:tc>
          <w:tcPr>
            <w:tcW w:w="3300" w:type="dxa"/>
            <w:vAlign w:val="bottom"/>
          </w:tcPr>
          <w:p>
            <w:pPr>
              <w:spacing w:after="0"/>
              <w:rPr>
                <w:sz w:val="17"/>
                <w:szCs w:val="17"/>
                <w:color w:val="auto"/>
              </w:rPr>
            </w:pPr>
          </w:p>
        </w:tc>
        <w:tc>
          <w:tcPr>
            <w:tcW w:w="2980" w:type="dxa"/>
            <w:vAlign w:val="bottom"/>
          </w:tcPr>
          <w:p>
            <w:pPr>
              <w:ind w:left="2080"/>
              <w:spacing w:after="0"/>
              <w:rPr>
                <w:sz w:val="20"/>
                <w:szCs w:val="20"/>
                <w:color w:val="auto"/>
              </w:rPr>
            </w:pPr>
            <w:r>
              <w:rPr>
                <w:rFonts w:ascii="Arial" w:cs="Arial" w:eastAsia="Arial" w:hAnsi="Arial"/>
                <w:sz w:val="17"/>
                <w:szCs w:val="17"/>
                <w:color w:val="auto"/>
              </w:rPr>
              <w:t>TITLE:</w:t>
            </w:r>
          </w:p>
        </w:tc>
        <w:tc>
          <w:tcPr>
            <w:tcW w:w="5140" w:type="dxa"/>
            <w:vAlign w:val="bottom"/>
          </w:tcPr>
          <w:p>
            <w:pPr>
              <w:spacing w:after="0"/>
              <w:rPr>
                <w:sz w:val="20"/>
                <w:szCs w:val="20"/>
                <w:color w:val="auto"/>
              </w:rPr>
            </w:pPr>
            <w:r>
              <w:rPr>
                <w:rFonts w:ascii="Arial" w:cs="Arial" w:eastAsia="Arial" w:hAnsi="Arial"/>
                <w:sz w:val="17"/>
                <w:szCs w:val="17"/>
                <w:color w:val="auto"/>
              </w:rPr>
              <w:t>President, Chief Executive Officer and Trustee</w:t>
            </w:r>
          </w:p>
        </w:tc>
      </w:t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127"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32.2</w:t>
      </w:r>
    </w:p>
    <w:p>
      <w:pPr>
        <w:spacing w:after="0" w:line="164"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CERTIFICATION</w:t>
      </w:r>
    </w:p>
    <w:p>
      <w:pPr>
        <w:spacing w:after="0" w:line="87"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7"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Annual Report on Form 10-K for the period ended December 31, 2010 (the “Report”). The undersigned hereby certifies, to the best of his knowledge, that:</w:t>
      </w:r>
    </w:p>
    <w:p>
      <w:pPr>
        <w:spacing w:after="0" w:line="51" w:lineRule="exact"/>
        <w:rPr>
          <w:sz w:val="20"/>
          <w:szCs w:val="20"/>
          <w:color w:val="auto"/>
        </w:rPr>
      </w:pPr>
    </w:p>
    <w:p>
      <w:pPr>
        <w:ind w:left="900" w:hanging="448"/>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87" w:lineRule="exact"/>
        <w:rPr>
          <w:rFonts w:ascii="Arial" w:cs="Arial" w:eastAsia="Arial" w:hAnsi="Arial"/>
          <w:sz w:val="17"/>
          <w:szCs w:val="17"/>
          <w:color w:val="auto"/>
        </w:rPr>
      </w:pPr>
    </w:p>
    <w:p>
      <w:pPr>
        <w:ind w:left="900" w:hanging="448"/>
        <w:spacing w:after="0"/>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Andrew P. Blocher</w:t>
            </w:r>
          </w:p>
        </w:tc>
      </w:tr>
      <w:tr>
        <w:trPr>
          <w:trHeight w:val="204"/>
        </w:trPr>
        <w:tc>
          <w:tcPr>
            <w:tcW w:w="3300" w:type="dxa"/>
            <w:vAlign w:val="bottom"/>
          </w:tcPr>
          <w:p>
            <w:pPr>
              <w:spacing w:after="0"/>
              <w:rPr>
                <w:sz w:val="20"/>
                <w:szCs w:val="20"/>
                <w:color w:val="auto"/>
              </w:rPr>
            </w:pPr>
            <w:r>
              <w:rPr>
                <w:rFonts w:ascii="Arial" w:cs="Arial" w:eastAsia="Arial" w:hAnsi="Arial"/>
                <w:sz w:val="17"/>
                <w:szCs w:val="17"/>
                <w:color w:val="auto"/>
              </w:rPr>
              <w:t>February 15, 2011</w:t>
            </w:r>
          </w:p>
        </w:tc>
        <w:tc>
          <w:tcPr>
            <w:tcW w:w="2980" w:type="dxa"/>
            <w:vAlign w:val="bottom"/>
          </w:tcPr>
          <w:p>
            <w:pPr>
              <w:ind w:left="2080"/>
              <w:spacing w:after="0"/>
              <w:rPr>
                <w:sz w:val="20"/>
                <w:szCs w:val="20"/>
                <w:color w:val="auto"/>
              </w:rPr>
            </w:pPr>
            <w:r>
              <w:rPr>
                <w:rFonts w:ascii="Arial" w:cs="Arial" w:eastAsia="Arial" w:hAnsi="Arial"/>
                <w:sz w:val="17"/>
                <w:szCs w:val="17"/>
                <w:color w:val="auto"/>
              </w:rPr>
              <w:t>NAME:</w:t>
            </w:r>
          </w:p>
        </w:tc>
        <w:tc>
          <w:tcPr>
            <w:tcW w:w="5140" w:type="dxa"/>
            <w:vAlign w:val="bottom"/>
          </w:tcPr>
          <w:p>
            <w:pPr>
              <w:spacing w:after="0"/>
              <w:rPr>
                <w:sz w:val="20"/>
                <w:szCs w:val="20"/>
                <w:color w:val="auto"/>
              </w:rPr>
            </w:pPr>
            <w:r>
              <w:rPr>
                <w:rFonts w:ascii="Arial" w:cs="Arial" w:eastAsia="Arial" w:hAnsi="Arial"/>
                <w:sz w:val="17"/>
                <w:szCs w:val="17"/>
                <w:color w:val="auto"/>
              </w:rPr>
              <w:t>Andrew P. Blocher</w:t>
            </w:r>
          </w:p>
        </w:tc>
      </w:tr>
      <w:tr>
        <w:trPr>
          <w:trHeight w:val="206"/>
        </w:trPr>
        <w:tc>
          <w:tcPr>
            <w:tcW w:w="3300" w:type="dxa"/>
            <w:vAlign w:val="bottom"/>
          </w:tcPr>
          <w:p>
            <w:pPr>
              <w:spacing w:after="0"/>
              <w:rPr>
                <w:sz w:val="17"/>
                <w:szCs w:val="17"/>
                <w:color w:val="auto"/>
              </w:rPr>
            </w:pPr>
          </w:p>
        </w:tc>
        <w:tc>
          <w:tcPr>
            <w:tcW w:w="2980" w:type="dxa"/>
            <w:vAlign w:val="bottom"/>
          </w:tcPr>
          <w:p>
            <w:pPr>
              <w:ind w:left="2080"/>
              <w:spacing w:after="0"/>
              <w:rPr>
                <w:sz w:val="20"/>
                <w:szCs w:val="20"/>
                <w:color w:val="auto"/>
              </w:rPr>
            </w:pPr>
            <w:r>
              <w:rPr>
                <w:rFonts w:ascii="Arial" w:cs="Arial" w:eastAsia="Arial" w:hAnsi="Arial"/>
                <w:sz w:val="17"/>
                <w:szCs w:val="17"/>
                <w:color w:val="auto"/>
              </w:rPr>
              <w:t>TITLE:</w:t>
            </w:r>
          </w:p>
        </w:tc>
        <w:tc>
          <w:tcPr>
            <w:tcW w:w="5140" w:type="dxa"/>
            <w:vAlign w:val="bottom"/>
          </w:tcPr>
          <w:p>
            <w:pPr>
              <w:spacing w:after="0"/>
              <w:rPr>
                <w:sz w:val="20"/>
                <w:szCs w:val="20"/>
                <w:color w:val="auto"/>
              </w:rPr>
            </w:pPr>
            <w:r>
              <w:rPr>
                <w:rFonts w:ascii="Arial" w:cs="Arial" w:eastAsia="Arial" w:hAnsi="Arial"/>
                <w:sz w:val="17"/>
                <w:szCs w:val="17"/>
                <w:color w:val="auto"/>
              </w:rPr>
              <w:t>Senior Vice President-Chief Financial Officer and Treasurer</w:t>
            </w:r>
          </w:p>
        </w:tc>
      </w:tr>
      <w:tr>
        <w:trPr>
          <w:trHeight w:val="213"/>
        </w:trPr>
        <w:tc>
          <w:tcPr>
            <w:tcW w:w="33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lvl w:ilvl="1">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lvl w:ilvl="1">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1)"/>
      <w:numFmt w:val="decimal"/>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1)"/>
      <w:numFmt w:val="decimal"/>
      <w:start w:val="12"/>
    </w:lvl>
  </w:abstractNum>
  <w:abstractNum w:abstractNumId="28">
    <w:nsid w:val="57FC4FBB"/>
    <w:multiLevelType w:val="hybridMultilevel"/>
    <w:lvl w:ilvl="0">
      <w:lvlJc w:val="left"/>
      <w:lvlText w:val="(%1)"/>
      <w:numFmt w:val="decimal"/>
      <w:start w:val="1"/>
    </w:lvl>
  </w:abstractNum>
  <w:abstractNum w:abstractNumId="29">
    <w:nsid w:val="CC1016F"/>
    <w:multiLevelType w:val="hybridMultilevel"/>
    <w:lvl w:ilvl="0">
      <w:lvlJc w:val="left"/>
      <w:lvlText w:val="(%1)"/>
      <w:numFmt w:val="decimal"/>
      <w:start w:val="4"/>
    </w:lvl>
  </w:abstractNum>
  <w:abstractNum w:abstractNumId="30">
    <w:nsid w:val="43F18422"/>
    <w:multiLevelType w:val="hybridMultilevel"/>
    <w:lvl w:ilvl="0">
      <w:lvlJc w:val="left"/>
      <w:lvlText w:val="(%1)"/>
      <w:numFmt w:val="decimal"/>
      <w:start w:val="5"/>
    </w:lvl>
  </w:abstractNum>
  <w:abstractNum w:abstractNumId="31">
    <w:nsid w:val="60EF0119"/>
    <w:multiLevelType w:val="hybridMultilevel"/>
    <w:lvl w:ilvl="0">
      <w:lvlJc w:val="left"/>
      <w:lvlText w:val="(%1)"/>
      <w:numFmt w:val="decimal"/>
      <w:start w:val="7"/>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1)"/>
      <w:numFmt w:val="decimal"/>
      <w:start w:val="1"/>
    </w:lvl>
  </w:abstractNum>
  <w:abstractNum w:abstractNumId="51">
    <w:nsid w:val="6A3DD3E8"/>
    <w:multiLevelType w:val="hybridMultilevel"/>
    <w:lvl w:ilvl="0">
      <w:lvlJc w:val="left"/>
      <w:lvlText w:val="(%1)"/>
      <w:numFmt w:val="lowerLetter"/>
      <w:start w:val="1"/>
    </w:lvl>
  </w:abstractNum>
  <w:abstractNum w:abstractNumId="52">
    <w:nsid w:val="71C91298"/>
    <w:multiLevelType w:val="hybridMultilevel"/>
    <w:lvl w:ilvl="0">
      <w:lvlJc w:val="left"/>
      <w:lvlText w:val="(%1)"/>
      <w:numFmt w:val="lowerLetter"/>
      <w:start w:val="2"/>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2"/>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1)"/>
      <w:numFmt w:val="lowerLetter"/>
      <w:start w:val="2"/>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1"/>
    </w:lvl>
  </w:abstractNum>
  <w:abstractNum w:abstractNumId="64">
    <w:nsid w:val="1CA0C5FA"/>
    <w:multiLevelType w:val="hybridMultilevel"/>
    <w:lvl w:ilvl="0">
      <w:lvlJc w:val="left"/>
      <w:lvlText w:val="(%1)"/>
      <w:numFmt w:val="decimal"/>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3"/>
    </w:lvl>
  </w:abstractNum>
  <w:abstractNum w:abstractNumId="67">
    <w:nsid w:val="7C58FD05"/>
    <w:multiLevelType w:val="hybridMultilevel"/>
    <w:lvl w:ilvl="0">
      <w:lvlJc w:val="left"/>
      <w:lvlText w:val="%1."/>
      <w:numFmt w:val="decimal"/>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1)"/>
      <w:numFmt w:val="decimal"/>
      <w:start w:val="2"/>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
      <w:numFmt w:val="bullet"/>
      <w:start w:val="1"/>
    </w:lvl>
    <w:lvl w:ilvl="1">
      <w:lvlJc w:val="left"/>
      <w:lvlText w:val="%2"/>
      <w:numFmt w:val="decimal"/>
      <w:start w:val="101"/>
    </w:lvl>
  </w:abstractNum>
  <w:abstractNum w:abstractNumId="72">
    <w:nsid w:val="3C5991A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3">
    <w:nsid w:val="4BD8591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74">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
    <w:nsid w:val="39B7AAA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6">
    <w:nsid w:val="2B0D8DB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7">
    <w:nsid w:val="6C80EC70"/>
    <w:multiLevelType w:val="hybridMultilevel"/>
    <w:lvl w:ilvl="0">
      <w:lvlJc w:val="left"/>
      <w:lvlText w:val="%1."/>
      <w:numFmt w:val="decimal"/>
      <w:start w:val="4"/>
    </w:lvl>
  </w:abstractNum>
  <w:abstractNum w:abstractNumId="78">
    <w:nsid w:val="379E21B5"/>
    <w:multiLevelType w:val="hybridMultilevel"/>
    <w:lvl w:ilvl="0">
      <w:lvlJc w:val="left"/>
      <w:lvlText w:val="%1."/>
      <w:numFmt w:val="decimal"/>
      <w:start w:val="12"/>
    </w:lvl>
  </w:abstractNum>
  <w:abstractNum w:abstractNumId="79">
    <w:nsid w:val="69E37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0">
    <w:nsid w:val="2C27173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1">
    <w:nsid w:val="4C9B09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2">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1DF029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4">
    <w:nsid w:val="5675FF36"/>
    <w:multiLevelType w:val="hybridMultilevel"/>
    <w:lvl w:ilvl="0">
      <w:lvlJc w:val="left"/>
      <w:lvlText w:val="%1."/>
      <w:numFmt w:val="decimal"/>
      <w:start w:val="4"/>
    </w:lvl>
  </w:abstractNum>
  <w:abstractNum w:abstractNumId="85">
    <w:nsid w:val="3DD1509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6">
    <w:nsid w:val="3DB012B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7">
    <w:nsid w:val="2708C9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8">
    <w:nsid w:val="5B25ACE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9">
    <w:nsid w:val="175DFCF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0">
    <w:nsid w:val="4F97E3E4"/>
    <w:multiLevelType w:val="hybridMultilevel"/>
    <w:lvl w:ilvl="0">
      <w:lvlJc w:val="left"/>
      <w:lvlText w:val="%1."/>
      <w:numFmt w:val="decimal"/>
      <w:start w:val="4"/>
    </w:lvl>
  </w:abstractNum>
  <w:abstractNum w:abstractNumId="91">
    <w:nsid w:val="53B0A9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2">
    <w:nsid w:val="34FD6B4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3">
    <w:nsid w:val="5915FF32"/>
    <w:multiLevelType w:val="hybridMultilevel"/>
    <w:lvl w:ilvl="0">
      <w:lvlJc w:val="left"/>
      <w:lvlText w:val="%1"/>
      <w:numFmt w:val="lowerLetter"/>
      <w:start w:val="1"/>
    </w:lvl>
    <w:lvl w:ilvl="1">
      <w:lvlJc w:val="left"/>
      <w:lvlText w:val="(%2)"/>
      <w:numFmt w:val="lowerRoman"/>
      <w:start w:val="2"/>
    </w:lvl>
  </w:abstractNum>
  <w:abstractNum w:abstractNumId="94">
    <w:nsid w:val="56438D15"/>
    <w:multiLevelType w:val="hybridMultilevel"/>
    <w:lvl w:ilvl="0">
      <w:lvlJc w:val="left"/>
      <w:lvlText w:val="(%1)"/>
      <w:numFmt w:val="lowerLetter"/>
      <w:start w:val="2"/>
    </w:lvl>
    <w:lvl w:ilvl="1">
      <w:lvlJc w:val="left"/>
      <w:lvlText w:val="%2"/>
      <w:numFmt w:val="lowerRoman"/>
      <w:start w:val="1"/>
    </w:lvl>
  </w:abstractNum>
  <w:abstractNum w:abstractNumId="95">
    <w:nsid w:val="519E3149"/>
    <w:multiLevelType w:val="hybridMultilevel"/>
    <w:lvl w:ilvl="0">
      <w:lvlJc w:val="left"/>
      <w:lvlText w:val="%1."/>
      <w:numFmt w:val="decimal"/>
      <w:start w:val="4"/>
    </w:lvl>
    <w:lvl w:ilvl="1">
      <w:lvlJc w:val="left"/>
      <w:lvlText w:val="(%2)"/>
      <w:numFmt w:val="lowerLetter"/>
      <w:start w:val="1"/>
    </w:lvl>
  </w:abstractNum>
  <w:abstractNum w:abstractNumId="96">
    <w:nsid w:val="2C6E4AFD"/>
    <w:multiLevelType w:val="hybridMultilevel"/>
    <w:lvl w:ilvl="0">
      <w:lvlJc w:val="left"/>
      <w:lvlText w:val="(%1)"/>
      <w:numFmt w:val="lowerLetter"/>
      <w:start w:val="2"/>
    </w:lvl>
  </w:abstractNum>
  <w:abstractNum w:abstractNumId="97">
    <w:nsid w:val="17A1B582"/>
    <w:multiLevelType w:val="hybridMultilevel"/>
    <w:lvl w:ilvl="0">
      <w:lvlJc w:val="left"/>
      <w:lvlText w:val="(%1)"/>
      <w:numFmt w:val="lowerLetter"/>
      <w:start w:val="3"/>
    </w:lvl>
    <w:lvl w:ilvl="1">
      <w:lvlJc w:val="left"/>
      <w:lvlText w:val="(%2)"/>
      <w:numFmt w:val="lowerRoman"/>
      <w:start w:val="1"/>
    </w:lvl>
  </w:abstractNum>
  <w:abstractNum w:abstractNumId="98">
    <w:nsid w:val="4DF72E4E"/>
    <w:multiLevelType w:val="hybridMultilevel"/>
    <w:lvl w:ilvl="0">
      <w:lvlJc w:val="left"/>
      <w:lvlText w:val="%1."/>
      <w:numFmt w:val="decimal"/>
      <w:start w:val="5"/>
    </w:lvl>
  </w:abstractNum>
  <w:abstractNum w:abstractNumId="99">
    <w:nsid w:val="5046B5A9"/>
    <w:multiLevelType w:val="hybridMultilevel"/>
    <w:lvl w:ilvl="0">
      <w:lvlJc w:val="left"/>
      <w:lvlText w:val="%1."/>
      <w:numFmt w:val="decimal"/>
      <w:start w:val="9"/>
    </w:lvl>
  </w:abstractNum>
  <w:abstractNum w:abstractNumId="100">
    <w:nsid w:val="5D888A08"/>
    <w:multiLevelType w:val="hybridMultilevel"/>
    <w:lvl w:ilvl="0">
      <w:lvlJc w:val="left"/>
      <w:lvlText w:val="%1."/>
      <w:numFmt w:val="decimal"/>
      <w:start w:val="1"/>
    </w:lvl>
    <w:lvl w:ilvl="1">
      <w:lvlJc w:val="left"/>
      <w:lvlText w:val="(%2)"/>
      <w:numFmt w:val="lowerLetter"/>
      <w:start w:val="1"/>
    </w:lvl>
  </w:abstractNum>
  <w:abstractNum w:abstractNumId="101">
    <w:nsid w:val="2A082C70"/>
    <w:multiLevelType w:val="hybridMultilevel"/>
    <w:lvl w:ilvl="0">
      <w:lvlJc w:val="left"/>
      <w:lvlText w:val="(%1)"/>
      <w:numFmt w:val="lowerLetter"/>
      <w:start w:val="4"/>
    </w:lvl>
  </w:abstractNum>
  <w:abstractNum w:abstractNumId="102">
    <w:nsid w:val="5EC6AFD4"/>
    <w:multiLevelType w:val="hybridMultilevel"/>
    <w:lvl w:ilvl="0">
      <w:lvlJc w:val="left"/>
      <w:lvlText w:val="%1."/>
      <w:numFmt w:val="decimal"/>
      <w:start w:val="2"/>
    </w:lvl>
  </w:abstractNum>
  <w:abstractNum w:abstractNumId="103">
    <w:nsid w:val="19E21BB2"/>
    <w:multiLevelType w:val="hybridMultilevel"/>
    <w:lvl w:ilvl="0">
      <w:lvlJc w:val="left"/>
      <w:lvlText w:val="%1."/>
      <w:numFmt w:val="decimal"/>
      <w:start w:val="3"/>
    </w:lvl>
    <w:lvl w:ilvl="1">
      <w:lvlJc w:val="left"/>
      <w:lvlText w:val="(%2)"/>
      <w:numFmt w:val="lowerLetter"/>
      <w:start w:val="1"/>
    </w:lvl>
  </w:abstractNum>
  <w:abstractNum w:abstractNumId="104">
    <w:nsid w:val="75E0858A"/>
    <w:multiLevelType w:val="hybridMultilevel"/>
    <w:lvl w:ilvl="0">
      <w:lvlJc w:val="left"/>
      <w:lvlText w:val="(%1)"/>
      <w:numFmt w:val="lowerLetter"/>
      <w:start w:val="4"/>
    </w:lvl>
  </w:abstractNum>
  <w:abstractNum w:abstractNumId="105">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6">
    <w:nsid w:val="5399C65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07">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8">
    <w:nsid w:val="4427069A"/>
    <w:multiLevelType w:val="hybridMultilevel"/>
    <w:lvl w:ilvl="0">
      <w:lvlJc w:val="left"/>
      <w:lvlText w:val="%1"/>
      <w:numFmt w:val="decimal"/>
      <w:start w:val="1"/>
    </w:lvl>
    <w:lvl w:ilvl="1">
      <w:lvlJc w:val="left"/>
      <w:lvlText w:val="(%2)"/>
      <w:numFmt w:val="lowerLetter"/>
      <w:start w:val="3"/>
    </w:lvl>
  </w:abstractNum>
  <w:abstractNum w:abstractNumId="109">
    <w:nsid w:val="B37E80A"/>
    <w:multiLevelType w:val="hybridMultilevel"/>
    <w:lvl w:ilvl="0">
      <w:lvlJc w:val="left"/>
      <w:lvlText w:val="%1."/>
      <w:numFmt w:val="decimal"/>
      <w:start w:val="6"/>
    </w:lvl>
    <w:lvl w:ilvl="1">
      <w:lvlJc w:val="left"/>
      <w:lvlText w:val="%2"/>
      <w:numFmt w:val="lowerLetter"/>
      <w:start w:val="1"/>
    </w:lvl>
  </w:abstractNum>
  <w:abstractNum w:abstractNumId="110">
    <w:nsid w:val="2157F6BC"/>
    <w:multiLevelType w:val="hybridMultilevel"/>
    <w:lvl w:ilvl="0">
      <w:lvlJc w:val="left"/>
      <w:lvlText w:val="%1."/>
      <w:numFmt w:val="decimal"/>
      <w:start w:val="9"/>
    </w:lvl>
  </w:abstractNum>
  <w:abstractNum w:abstractNumId="111">
    <w:nsid w:val="704E1DD5"/>
    <w:multiLevelType w:val="hybridMultilevel"/>
    <w:lvl w:ilvl="0">
      <w:lvlJc w:val="left"/>
      <w:lvlText w:val="%1."/>
      <w:numFmt w:val="decimal"/>
      <w:start w:val="1"/>
    </w:lvl>
    <w:lvl w:ilvl="1">
      <w:lvlJc w:val="left"/>
      <w:lvlText w:val="(%2)"/>
      <w:numFmt w:val="lowerLetter"/>
      <w:start w:val="1"/>
    </w:lvl>
  </w:abstractNum>
  <w:abstractNum w:abstractNumId="112">
    <w:nsid w:val="57D2F10E"/>
    <w:multiLevelType w:val="hybridMultilevel"/>
    <w:lvl w:ilvl="0">
      <w:lvlJc w:val="left"/>
      <w:lvlText w:val="(%1)"/>
      <w:numFmt w:val="lowerLetter"/>
      <w:start w:val="4"/>
    </w:lvl>
  </w:abstractNum>
  <w:abstractNum w:abstractNumId="113">
    <w:nsid w:val="BFFAE18"/>
    <w:multiLevelType w:val="hybridMultilevel"/>
    <w:lvl w:ilvl="0">
      <w:lvlJc w:val="left"/>
      <w:lvlText w:val="%1."/>
      <w:numFmt w:val="decimal"/>
      <w:start w:val="2"/>
    </w:lvl>
  </w:abstractNum>
  <w:abstractNum w:abstractNumId="114">
    <w:nsid w:val="E3E47A8"/>
    <w:multiLevelType w:val="hybridMultilevel"/>
    <w:lvl w:ilvl="0">
      <w:lvlJc w:val="left"/>
      <w:lvlText w:val="%1."/>
      <w:numFmt w:val="decimal"/>
      <w:start w:val="3"/>
    </w:lvl>
    <w:lvl w:ilvl="1">
      <w:lvlJc w:val="left"/>
      <w:lvlText w:val="(%2)"/>
      <w:numFmt w:val="lowerLetter"/>
      <w:start w:val="1"/>
    </w:lvl>
  </w:abstractNum>
  <w:abstractNum w:abstractNumId="115">
    <w:nsid w:val="2E48F044"/>
    <w:multiLevelType w:val="hybridMultilevel"/>
    <w:lvl w:ilvl="0">
      <w:lvlJc w:val="left"/>
      <w:lvlText w:val="(%1)"/>
      <w:numFmt w:val="lowerLetter"/>
      <w:start w:val="4"/>
    </w:lvl>
  </w:abstractNum>
  <w:abstractNum w:abstractNumId="116">
    <w:nsid w:val="49D0FE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7">
    <w:nsid w:val="4BEE5A5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8">
    <w:nsid w:val="5551B9F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decimal"/>
      <w:start w:val="1"/>
    </w:lvl>
    <w:lvl w:ilvl="1">
      <w:lvlJc w:val="left"/>
      <w:lvlText w:val="(%2)"/>
      <w:numFmt w:val="lowerLetter"/>
      <w:start w:val="3"/>
    </w:lvl>
  </w:abstractNum>
  <w:abstractNum w:abstractNumId="121">
    <w:nsid w:val="24E99DD7"/>
    <w:multiLevelType w:val="hybridMultilevel"/>
    <w:lvl w:ilvl="0">
      <w:lvlJc w:val="left"/>
      <w:lvlText w:val="%1."/>
      <w:numFmt w:val="decimal"/>
      <w:start w:val="6"/>
    </w:lvl>
    <w:lvl w:ilvl="1">
      <w:lvlJc w:val="left"/>
      <w:lvlText w:val="%2"/>
      <w:numFmt w:val="lowerLetter"/>
      <w:start w:val="1"/>
    </w:lvl>
  </w:abstractNum>
  <w:abstractNum w:abstractNumId="122">
    <w:nsid w:val="2A31B62D"/>
    <w:multiLevelType w:val="hybridMultilevel"/>
    <w:lvl w:ilvl="0">
      <w:lvlJc w:val="left"/>
      <w:lvlText w:val="%1."/>
      <w:numFmt w:val="decimal"/>
      <w:start w:val="9"/>
    </w:lvl>
  </w:abstractNum>
  <w:abstractNum w:abstractNumId="123">
    <w:nsid w:val="1849C29B"/>
    <w:multiLevelType w:val="hybridMultilevel"/>
    <w:lvl w:ilvl="0">
      <w:lvlJc w:val="left"/>
      <w:lvlText w:val="%1."/>
      <w:numFmt w:val="decimal"/>
      <w:start w:val="1"/>
    </w:lvl>
    <w:lvl w:ilvl="1">
      <w:lvlJc w:val="left"/>
      <w:lvlText w:val="(%2)"/>
      <w:numFmt w:val="lowerLetter"/>
      <w:start w:val="1"/>
    </w:lvl>
  </w:abstractNum>
  <w:abstractNum w:abstractNumId="124">
    <w:nsid w:val="7DFF9D09"/>
    <w:multiLevelType w:val="hybridMultilevel"/>
    <w:lvl w:ilvl="0">
      <w:lvlJc w:val="left"/>
      <w:lvlText w:val="(%1)"/>
      <w:numFmt w:val="lowerLetter"/>
      <w:start w:val="4"/>
    </w:lvl>
  </w:abstractNum>
  <w:abstractNum w:abstractNumId="125">
    <w:nsid w:val="754342"/>
    <w:multiLevelType w:val="hybridMultilevel"/>
    <w:lvl w:ilvl="0">
      <w:lvlJc w:val="left"/>
      <w:lvlText w:val="%1."/>
      <w:numFmt w:val="decimal"/>
      <w:start w:val="2"/>
    </w:lvl>
  </w:abstractNum>
  <w:abstractNum w:abstractNumId="126">
    <w:nsid w:val="69E7F3E5"/>
    <w:multiLevelType w:val="hybridMultilevel"/>
    <w:lvl w:ilvl="0">
      <w:lvlJc w:val="left"/>
      <w:lvlText w:val="%1."/>
      <w:numFmt w:val="decimal"/>
      <w:start w:val="3"/>
    </w:lvl>
    <w:lvl w:ilvl="1">
      <w:lvlJc w:val="left"/>
      <w:lvlText w:val="(%2)"/>
      <w:numFmt w:val="lowerLetter"/>
      <w:start w:val="1"/>
    </w:lvl>
  </w:abstractNum>
  <w:abstractNum w:abstractNumId="127">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1816F8C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9">
    <w:nsid w:val="37DF223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0">
    <w:nsid w:val="7AB49DAF"/>
    <w:multiLevelType w:val="hybridMultilevel"/>
    <w:lvl w:ilvl="0">
      <w:lvlJc w:val="left"/>
      <w:lvlText w:val="%1."/>
      <w:numFmt w:val="decimal"/>
      <w:start w:val="6"/>
    </w:lvl>
  </w:abstractNum>
  <w:abstractNum w:abstractNumId="131">
    <w:nsid w:val="759F82CD"/>
    <w:multiLevelType w:val="hybridMultilevel"/>
    <w:lvl w:ilvl="0">
      <w:lvlJc w:val="left"/>
      <w:lvlText w:val="%1."/>
      <w:numFmt w:val="decimal"/>
      <w:start w:val="10"/>
    </w:lvl>
  </w:abstractNum>
  <w:abstractNum w:abstractNumId="132">
    <w:nsid w:val="61E74EA3"/>
    <w:multiLevelType w:val="hybridMultilevel"/>
    <w:lvl w:ilvl="0">
      <w:lvlJc w:val="left"/>
      <w:lvlText w:val="%1."/>
      <w:numFmt w:val="decimal"/>
      <w:start w:val="1"/>
    </w:lvl>
    <w:lvl w:ilvl="1">
      <w:lvlJc w:val="left"/>
      <w:lvlText w:val="(%2)"/>
      <w:numFmt w:val="lowerLetter"/>
      <w:start w:val="1"/>
    </w:lvl>
  </w:abstractNum>
  <w:abstractNum w:abstractNumId="133">
    <w:nsid w:val="597B4D84"/>
    <w:multiLevelType w:val="hybridMultilevel"/>
    <w:lvl w:ilvl="0">
      <w:lvlJc w:val="left"/>
      <w:lvlText w:val="(%1)"/>
      <w:numFmt w:val="lowerLetter"/>
      <w:start w:val="2"/>
    </w:lvl>
  </w:abstractNum>
  <w:abstractNum w:abstractNumId="134">
    <w:nsid w:val="F819E7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35">
    <w:nsid w:val="57C7D42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6">
    <w:nsid w:val="312167A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7">
    <w:nsid w:val="631B64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8">
    <w:nsid w:val="78B5E776"/>
    <w:multiLevelType w:val="hybridMultilevel"/>
    <w:lvl w:ilvl="0">
      <w:lvlJc w:val="left"/>
      <w:lvlText w:val="(%1)"/>
      <w:numFmt w:val="lowerLetter"/>
      <w:start w:val="2"/>
    </w:lvl>
  </w:abstractNum>
  <w:abstractNum w:abstractNumId="139">
    <w:nsid w:val="75486E47"/>
    <w:multiLevelType w:val="hybridMultilevel"/>
    <w:lvl w:ilvl="0">
      <w:lvlJc w:val="left"/>
      <w:lvlText w:val="%1."/>
      <w:numFmt w:val="decimal"/>
      <w:start w:val="4"/>
    </w:lvl>
  </w:abstractNum>
  <w:abstractNum w:abstractNumId="140">
    <w:nsid w:val="6E534CDE"/>
    <w:multiLevelType w:val="hybridMultilevel"/>
    <w:lvl w:ilvl="0">
      <w:lvlJc w:val="left"/>
      <w:lvlText w:val="%1."/>
      <w:numFmt w:val="decimal"/>
      <w:start w:val="5"/>
    </w:lvl>
  </w:abstractNum>
  <w:abstractNum w:abstractNumId="141">
    <w:nsid w:val="1A0DDE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65968C1C"/>
    <w:multiLevelType w:val="hybridMultilevel"/>
    <w:lvl w:ilvl="0">
      <w:lvlJc w:val="left"/>
      <w:lvlText w:val="(%1)"/>
      <w:numFmt w:val="lowerLetter"/>
      <w:start w:val="4"/>
    </w:lvl>
  </w:abstractNum>
  <w:abstractNum w:abstractNumId="143">
    <w:nsid w:val="46263DEC"/>
    <w:multiLevelType w:val="hybridMultilevel"/>
    <w:lvl w:ilvl="0">
      <w:lvlJc w:val="left"/>
      <w:lvlText w:val="%1."/>
      <w:numFmt w:val="decimal"/>
      <w:start w:val="6"/>
    </w:lvl>
  </w:abstractNum>
  <w:abstractNum w:abstractNumId="144">
    <w:nsid w:val="260D8C4A"/>
    <w:multiLevelType w:val="hybridMultilevel"/>
    <w:lvl w:ilvl="0">
      <w:lvlJc w:val="left"/>
      <w:lvlText w:val="%1."/>
      <w:numFmt w:val="decimal"/>
      <w:start w:val="7"/>
    </w:lvl>
  </w:abstractNum>
  <w:abstractNum w:abstractNumId="145">
    <w:nsid w:val="73D4D3C4"/>
    <w:multiLevelType w:val="hybridMultilevel"/>
    <w:lvl w:ilvl="0">
      <w:lvlJc w:val="left"/>
      <w:lvlText w:val="%1."/>
      <w:numFmt w:val="decimal"/>
      <w:start w:val="8"/>
    </w:lvl>
  </w:abstractNum>
  <w:abstractNum w:abstractNumId="146">
    <w:nsid w:val="746F2E30"/>
    <w:multiLevelType w:val="hybridMultilevel"/>
    <w:lvl w:ilvl="0">
      <w:lvlJc w:val="left"/>
      <w:lvlText w:val="%1."/>
      <w:numFmt w:val="decimal"/>
      <w:start w:val="9"/>
    </w:lvl>
  </w:abstractNum>
  <w:abstractNum w:abstractNumId="147">
    <w:nsid w:val="6FDE8AF6"/>
    <w:multiLevelType w:val="hybridMultilevel"/>
    <w:lvl w:ilvl="0">
      <w:lvlJc w:val="left"/>
      <w:lvlText w:val="%1."/>
      <w:numFmt w:val="decimal"/>
      <w:start w:val="10"/>
    </w:lvl>
  </w:abstractNum>
  <w:abstractNum w:abstractNumId="148">
    <w:nsid w:val="3FC32E20"/>
    <w:multiLevelType w:val="hybridMultilevel"/>
    <w:lvl w:ilvl="0">
      <w:lvlJc w:val="left"/>
      <w:lvlText w:val="%1."/>
      <w:numFmt w:val="decimal"/>
      <w:start w:val="11"/>
    </w:lvl>
  </w:abstractNum>
  <w:abstractNum w:abstractNumId="149">
    <w:nsid w:val="49C0E823"/>
    <w:multiLevelType w:val="hybridMultilevel"/>
    <w:lvl w:ilvl="0">
      <w:lvlJc w:val="left"/>
      <w:lvlText w:val="%1."/>
      <w:numFmt w:val="decimal"/>
      <w:start w:val="12"/>
    </w:lvl>
  </w:abstractNum>
  <w:abstractNum w:abstractNumId="150">
    <w:nsid w:val="14D53685"/>
    <w:multiLevelType w:val="hybridMultilevel"/>
    <w:lvl w:ilvl="0">
      <w:lvlJc w:val="left"/>
      <w:lvlText w:val="%1."/>
      <w:numFmt w:val="decimal"/>
      <w:start w:val="13"/>
    </w:lvl>
  </w:abstractNum>
  <w:abstractNum w:abstractNumId="151">
    <w:nsid w:val="230F856C"/>
    <w:multiLevelType w:val="hybridMultilevel"/>
    <w:lvl w:ilvl="0">
      <w:lvlJc w:val="left"/>
      <w:lvlText w:val="%1."/>
      <w:numFmt w:val="decimal"/>
      <w:start w:val="14"/>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2019-12-10T00:53:05Z</dcterms:created>
  <dcterms:modified xsi:type="dcterms:W3CDTF">2019-12-10T00:53:05Z</dcterms:modified>
</cp:coreProperties>
</file>