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Pursuant to Rule 433</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Dated November 28, 2006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Statement No. 333-135159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Supplementing Prospectus Supplement Dated November 28, 2006 and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Prospectus dated June 20, 2006</w:t>
      </w:r>
    </w:p>
    <w:p>
      <w:pPr>
        <w:spacing w:after="0" w:line="3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9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5.40% Notes due 2013</w:t>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color w:val="auto"/>
        </w:rPr>
        <w:t>Term sheet dated November 28, 2006</w:t>
      </w:r>
    </w:p>
    <w:p>
      <w:pPr>
        <w:sectPr>
          <w:pgSz w:w="11900" w:h="16838" w:orient="portrait"/>
          <w:cols w:equalWidth="0" w:num="1">
            <w:col w:w="11420"/>
          </w:cols>
          <w:pgMar w:left="240" w:top="239" w:right="239" w:bottom="1440" w:gutter="0" w:footer="0" w:header="0"/>
        </w:sectPr>
      </w:pPr>
    </w:p>
    <w:p>
      <w:pPr>
        <w:spacing w:after="0" w:line="117" w:lineRule="exact"/>
        <w:rPr>
          <w:sz w:val="24"/>
          <w:szCs w:val="24"/>
          <w:color w:val="auto"/>
        </w:rPr>
      </w:pPr>
    </w:p>
    <w:p>
      <w:pPr>
        <w:spacing w:after="0"/>
        <w:rPr>
          <w:sz w:val="20"/>
          <w:szCs w:val="20"/>
          <w:color w:val="auto"/>
        </w:rPr>
      </w:pPr>
      <w:r>
        <w:rPr>
          <w:rFonts w:ascii="Arial" w:cs="Arial" w:eastAsia="Arial" w:hAnsi="Arial"/>
          <w:sz w:val="16"/>
          <w:szCs w:val="16"/>
          <w:color w:val="auto"/>
        </w:rPr>
        <w:t>Size:</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spacing w:after="0"/>
        <w:rPr>
          <w:sz w:val="20"/>
          <w:szCs w:val="20"/>
          <w:color w:val="auto"/>
        </w:rPr>
      </w:pPr>
      <w:r>
        <w:rPr>
          <w:rFonts w:ascii="Arial" w:cs="Arial" w:eastAsia="Arial" w:hAnsi="Arial"/>
          <w:sz w:val="15"/>
          <w:szCs w:val="15"/>
          <w:color w:val="auto"/>
        </w:rPr>
        <w:t>$135,000,000</w:t>
      </w:r>
    </w:p>
    <w:p>
      <w:pPr>
        <w:spacing w:after="0" w:line="151" w:lineRule="exact"/>
        <w:rPr>
          <w:sz w:val="24"/>
          <w:szCs w:val="24"/>
          <w:color w:val="auto"/>
        </w:rPr>
      </w:pPr>
    </w:p>
    <w:p>
      <w:pPr>
        <w:sectPr>
          <w:pgSz w:w="11900" w:h="16838" w:orient="portrait"/>
          <w:cols w:equalWidth="0" w:num="2">
            <w:col w:w="3300" w:space="720"/>
            <w:col w:w="7400"/>
          </w:cols>
          <w:pgMar w:left="240" w:top="239" w:right="239" w:bottom="1440" w:gutter="0" w:footer="0" w:header="0"/>
          <w:type w:val="continuous"/>
        </w:sectPr>
      </w:pPr>
    </w:p>
    <w:p>
      <w:pPr>
        <w:spacing w:after="0"/>
        <w:rPr>
          <w:sz w:val="20"/>
          <w:szCs w:val="20"/>
          <w:color w:val="auto"/>
        </w:rPr>
      </w:pPr>
      <w:r>
        <w:rPr>
          <w:rFonts w:ascii="Arial" w:cs="Arial" w:eastAsia="Arial" w:hAnsi="Arial"/>
          <w:sz w:val="15"/>
          <w:szCs w:val="15"/>
          <w:color w:val="auto"/>
        </w:rPr>
        <w:t>Coupon (Interest Rate):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5.40% per year</w:t>
      </w:r>
    </w:p>
    <w:p>
      <w:pPr>
        <w:spacing w:after="0" w:line="152" w:lineRule="exact"/>
        <w:rPr>
          <w:sz w:val="24"/>
          <w:szCs w:val="24"/>
          <w:color w:val="auto"/>
        </w:rPr>
      </w:pPr>
    </w:p>
    <w:p>
      <w:pPr>
        <w:sectPr>
          <w:pgSz w:w="11900" w:h="16838" w:orient="portrait"/>
          <w:cols w:equalWidth="0" w:num="2">
            <w:col w:w="3300" w:space="720"/>
            <w:col w:w="7400"/>
          </w:cols>
          <w:pgMar w:left="240" w:top="239" w:right="239" w:bottom="1440" w:gutter="0" w:footer="0" w:header="0"/>
          <w:type w:val="continuous"/>
        </w:sectPr>
      </w:pPr>
    </w:p>
    <w:p>
      <w:pPr>
        <w:spacing w:after="0"/>
        <w:rPr>
          <w:sz w:val="20"/>
          <w:szCs w:val="20"/>
          <w:color w:val="auto"/>
        </w:rPr>
      </w:pPr>
      <w:r>
        <w:rPr>
          <w:rFonts w:ascii="Arial" w:cs="Arial" w:eastAsia="Arial" w:hAnsi="Arial"/>
          <w:sz w:val="16"/>
          <w:szCs w:val="16"/>
          <w:color w:val="auto"/>
        </w:rPr>
        <w:t>Yield to Maturity: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5.40%</w:t>
      </w:r>
    </w:p>
    <w:p>
      <w:pPr>
        <w:spacing w:after="0" w:line="140" w:lineRule="exact"/>
        <w:rPr>
          <w:sz w:val="24"/>
          <w:szCs w:val="24"/>
          <w:color w:val="auto"/>
        </w:rPr>
      </w:pPr>
    </w:p>
    <w:p>
      <w:pPr>
        <w:sectPr>
          <w:pgSz w:w="11900" w:h="16838" w:orient="portrait"/>
          <w:cols w:equalWidth="0" w:num="2">
            <w:col w:w="3300" w:space="720"/>
            <w:col w:w="7400"/>
          </w:cols>
          <w:pgMar w:left="240" w:top="239" w:right="239" w:bottom="1440" w:gutter="0" w:footer="0" w:header="0"/>
          <w:type w:val="continuous"/>
        </w:sectPr>
      </w:pPr>
    </w:p>
    <w:p>
      <w:pPr>
        <w:spacing w:after="0"/>
        <w:rPr>
          <w:sz w:val="20"/>
          <w:szCs w:val="20"/>
          <w:color w:val="auto"/>
        </w:rPr>
      </w:pPr>
      <w:r>
        <w:rPr>
          <w:rFonts w:ascii="Arial" w:cs="Arial" w:eastAsia="Arial" w:hAnsi="Arial"/>
          <w:sz w:val="15"/>
          <w:szCs w:val="15"/>
          <w:color w:val="auto"/>
        </w:rPr>
        <w:t>Spread to Benchmark Treasury: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90 basis points</w:t>
      </w:r>
    </w:p>
    <w:p>
      <w:pPr>
        <w:spacing w:after="0" w:line="152" w:lineRule="exact"/>
        <w:rPr>
          <w:sz w:val="24"/>
          <w:szCs w:val="24"/>
          <w:color w:val="auto"/>
        </w:rPr>
      </w:pPr>
    </w:p>
    <w:p>
      <w:pPr>
        <w:sectPr>
          <w:pgSz w:w="11900" w:h="16838" w:orient="portrait"/>
          <w:cols w:equalWidth="0" w:num="2">
            <w:col w:w="3300" w:space="720"/>
            <w:col w:w="7400"/>
          </w:cols>
          <w:pgMar w:left="240" w:top="239" w:right="239" w:bottom="1440" w:gutter="0" w:footer="0" w:header="0"/>
          <w:type w:val="continuous"/>
        </w:sectPr>
      </w:pPr>
    </w:p>
    <w:p>
      <w:pPr>
        <w:spacing w:after="0"/>
        <w:rPr>
          <w:sz w:val="20"/>
          <w:szCs w:val="20"/>
          <w:color w:val="auto"/>
        </w:rPr>
      </w:pPr>
      <w:r>
        <w:rPr>
          <w:rFonts w:ascii="Arial" w:cs="Arial" w:eastAsia="Arial" w:hAnsi="Arial"/>
          <w:sz w:val="15"/>
          <w:szCs w:val="15"/>
          <w:color w:val="auto"/>
        </w:rPr>
        <w:t>Benchmark Treasury: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4.25% UST due November 15, 2013</w:t>
      </w:r>
    </w:p>
    <w:p>
      <w:pPr>
        <w:spacing w:after="0" w:line="152" w:lineRule="exact"/>
        <w:rPr>
          <w:sz w:val="24"/>
          <w:szCs w:val="24"/>
          <w:color w:val="auto"/>
        </w:rPr>
      </w:pPr>
    </w:p>
    <w:p>
      <w:pPr>
        <w:sectPr>
          <w:pgSz w:w="11900" w:h="16838" w:orient="portrait"/>
          <w:cols w:equalWidth="0" w:num="2">
            <w:col w:w="3300" w:space="720"/>
            <w:col w:w="7400"/>
          </w:cols>
          <w:pgMar w:left="240" w:top="239" w:right="239" w:bottom="1440" w:gutter="0" w:footer="0" w:header="0"/>
          <w:type w:val="continuous"/>
        </w:sectPr>
      </w:pPr>
    </w:p>
    <w:p>
      <w:pPr>
        <w:spacing w:after="0"/>
        <w:rPr>
          <w:sz w:val="20"/>
          <w:szCs w:val="20"/>
          <w:color w:val="auto"/>
        </w:rPr>
      </w:pPr>
      <w:r>
        <w:rPr>
          <w:rFonts w:ascii="Arial" w:cs="Arial" w:eastAsia="Arial" w:hAnsi="Arial"/>
          <w:sz w:val="16"/>
          <w:szCs w:val="16"/>
          <w:color w:val="auto"/>
        </w:rPr>
        <w:t>Benchmark Treasury Yield and Price: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4.50%; 98-16+</w:t>
      </w:r>
    </w:p>
    <w:p>
      <w:pPr>
        <w:spacing w:after="0" w:line="140" w:lineRule="exact"/>
        <w:rPr>
          <w:sz w:val="24"/>
          <w:szCs w:val="24"/>
          <w:color w:val="auto"/>
        </w:rPr>
      </w:pPr>
    </w:p>
    <w:p>
      <w:pPr>
        <w:sectPr>
          <w:pgSz w:w="11900" w:h="16838" w:orient="portrait"/>
          <w:cols w:equalWidth="0" w:num="2">
            <w:col w:w="3300" w:space="720"/>
            <w:col w:w="7400"/>
          </w:cols>
          <w:pgMar w:left="240" w:top="239" w:right="239" w:bottom="1440" w:gutter="0" w:footer="0" w:header="0"/>
          <w:type w:val="continuous"/>
        </w:sectPr>
      </w:pPr>
    </w:p>
    <w:p>
      <w:pPr>
        <w:spacing w:after="0"/>
        <w:rPr>
          <w:sz w:val="20"/>
          <w:szCs w:val="20"/>
          <w:color w:val="auto"/>
        </w:rPr>
      </w:pPr>
      <w:r>
        <w:rPr>
          <w:rFonts w:ascii="Arial" w:cs="Arial" w:eastAsia="Arial" w:hAnsi="Arial"/>
          <w:sz w:val="15"/>
          <w:szCs w:val="15"/>
          <w:color w:val="auto"/>
        </w:rPr>
        <w:t>Interest Payment Dates: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June 1 and December 1</w:t>
      </w:r>
    </w:p>
    <w:p>
      <w:pPr>
        <w:spacing w:after="0" w:line="152" w:lineRule="exact"/>
        <w:rPr>
          <w:sz w:val="24"/>
          <w:szCs w:val="24"/>
          <w:color w:val="auto"/>
        </w:rPr>
      </w:pPr>
    </w:p>
    <w:p>
      <w:pPr>
        <w:sectPr>
          <w:pgSz w:w="11900" w:h="16838" w:orient="portrait"/>
          <w:cols w:equalWidth="0" w:num="2">
            <w:col w:w="3300" w:space="720"/>
            <w:col w:w="7400"/>
          </w:cols>
          <w:pgMar w:left="240" w:top="239" w:right="239" w:bottom="1440" w:gutter="0" w:footer="0" w:header="0"/>
          <w:type w:val="continuous"/>
        </w:sectPr>
      </w:pPr>
    </w:p>
    <w:p>
      <w:pPr>
        <w:spacing w:after="0"/>
        <w:rPr>
          <w:sz w:val="20"/>
          <w:szCs w:val="20"/>
          <w:color w:val="auto"/>
        </w:rPr>
      </w:pPr>
      <w:r>
        <w:rPr>
          <w:rFonts w:ascii="Arial" w:cs="Arial" w:eastAsia="Arial" w:hAnsi="Arial"/>
          <w:sz w:val="16"/>
          <w:szCs w:val="16"/>
          <w:color w:val="auto"/>
        </w:rPr>
        <w:t>First Payment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June 1, 2007</w:t>
      </w:r>
    </w:p>
    <w:p>
      <w:pPr>
        <w:spacing w:after="0" w:line="151" w:lineRule="exact"/>
        <w:rPr>
          <w:sz w:val="24"/>
          <w:szCs w:val="24"/>
          <w:color w:val="auto"/>
        </w:rPr>
      </w:pPr>
    </w:p>
    <w:p>
      <w:pPr>
        <w:sectPr>
          <w:pgSz w:w="11900" w:h="16838" w:orient="portrait"/>
          <w:cols w:equalWidth="0" w:num="2">
            <w:col w:w="3300" w:space="720"/>
            <w:col w:w="7400"/>
          </w:cols>
          <w:pgMar w:left="240" w:top="239" w:right="239" w:bottom="1440" w:gutter="0" w:footer="0" w:header="0"/>
          <w:type w:val="continuous"/>
        </w:sectPr>
      </w:pPr>
    </w:p>
    <w:p>
      <w:pPr>
        <w:spacing w:after="0"/>
        <w:rPr>
          <w:sz w:val="20"/>
          <w:szCs w:val="20"/>
          <w:color w:val="auto"/>
        </w:rPr>
      </w:pPr>
      <w:r>
        <w:rPr>
          <w:rFonts w:ascii="Arial" w:cs="Arial" w:eastAsia="Arial" w:hAnsi="Arial"/>
          <w:sz w:val="16"/>
          <w:szCs w:val="16"/>
          <w:color w:val="auto"/>
        </w:rPr>
        <w:t>Maturity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December 1, 2013</w:t>
      </w:r>
    </w:p>
    <w:p>
      <w:pPr>
        <w:spacing w:after="0" w:line="151" w:lineRule="exact"/>
        <w:rPr>
          <w:sz w:val="24"/>
          <w:szCs w:val="24"/>
          <w:color w:val="auto"/>
        </w:rPr>
      </w:pPr>
    </w:p>
    <w:p>
      <w:pPr>
        <w:sectPr>
          <w:pgSz w:w="11900" w:h="16838" w:orient="portrait"/>
          <w:cols w:equalWidth="0" w:num="2">
            <w:col w:w="3300" w:space="720"/>
            <w:col w:w="7400"/>
          </w:cols>
          <w:pgMar w:left="240" w:top="239" w:right="239" w:bottom="1440" w:gutter="0" w:footer="0" w:header="0"/>
          <w:type w:val="continuous"/>
        </w:sectPr>
      </w:pPr>
    </w:p>
    <w:p>
      <w:pPr>
        <w:spacing w:after="0"/>
        <w:rPr>
          <w:sz w:val="20"/>
          <w:szCs w:val="20"/>
          <w:color w:val="auto"/>
        </w:rPr>
      </w:pPr>
      <w:r>
        <w:rPr>
          <w:rFonts w:ascii="Arial" w:cs="Arial" w:eastAsia="Arial" w:hAnsi="Arial"/>
          <w:sz w:val="16"/>
          <w:szCs w:val="16"/>
          <w:color w:val="auto"/>
        </w:rPr>
        <w:t>Price to Public: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100.000% of principal amount; plus accrued interest, if any, from December 1, 2006.</w:t>
      </w:r>
    </w:p>
    <w:p>
      <w:pPr>
        <w:spacing w:after="0" w:line="140" w:lineRule="exact"/>
        <w:rPr>
          <w:sz w:val="24"/>
          <w:szCs w:val="24"/>
          <w:color w:val="auto"/>
        </w:rPr>
      </w:pPr>
    </w:p>
    <w:p>
      <w:pPr>
        <w:sectPr>
          <w:pgSz w:w="11900" w:h="16838" w:orient="portrait"/>
          <w:cols w:equalWidth="0" w:num="2">
            <w:col w:w="3300" w:space="720"/>
            <w:col w:w="7400"/>
          </w:cols>
          <w:pgMar w:left="240" w:top="239" w:right="239" w:bottom="1440" w:gutter="0" w:footer="0" w:header="0"/>
          <w:type w:val="continuous"/>
        </w:sectPr>
      </w:pPr>
    </w:p>
    <w:p>
      <w:pPr>
        <w:spacing w:after="0"/>
        <w:rPr>
          <w:sz w:val="20"/>
          <w:szCs w:val="20"/>
          <w:color w:val="auto"/>
        </w:rPr>
      </w:pPr>
      <w:r>
        <w:rPr>
          <w:rFonts w:ascii="Arial" w:cs="Arial" w:eastAsia="Arial" w:hAnsi="Arial"/>
          <w:sz w:val="15"/>
          <w:szCs w:val="15"/>
          <w:color w:val="auto"/>
        </w:rPr>
        <w:t>Settlement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T+3; December 1, 2006</w:t>
      </w:r>
    </w:p>
    <w:p>
      <w:pPr>
        <w:spacing w:after="0" w:line="152" w:lineRule="exact"/>
        <w:rPr>
          <w:sz w:val="24"/>
          <w:szCs w:val="24"/>
          <w:color w:val="auto"/>
        </w:rPr>
      </w:pPr>
    </w:p>
    <w:p>
      <w:pPr>
        <w:sectPr>
          <w:pgSz w:w="11900" w:h="16838" w:orient="portrait"/>
          <w:cols w:equalWidth="0" w:num="2">
            <w:col w:w="3300" w:space="720"/>
            <w:col w:w="7400"/>
          </w:cols>
          <w:pgMar w:left="240" w:top="239" w:right="239" w:bottom="1440" w:gutter="0" w:footer="0" w:header="0"/>
          <w:type w:val="continuous"/>
        </w:sectPr>
      </w:pPr>
    </w:p>
    <w:p>
      <w:pPr>
        <w:spacing w:after="0"/>
        <w:rPr>
          <w:sz w:val="20"/>
          <w:szCs w:val="20"/>
          <w:color w:val="auto"/>
        </w:rPr>
      </w:pPr>
      <w:r>
        <w:rPr>
          <w:rFonts w:ascii="Arial" w:cs="Arial" w:eastAsia="Arial" w:hAnsi="Arial"/>
          <w:sz w:val="15"/>
          <w:szCs w:val="15"/>
          <w:color w:val="auto"/>
        </w:rPr>
        <w:t>Record Dates: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May 15 and November 15</w:t>
      </w:r>
    </w:p>
    <w:p>
      <w:pPr>
        <w:spacing w:after="0" w:line="152" w:lineRule="exact"/>
        <w:rPr>
          <w:sz w:val="24"/>
          <w:szCs w:val="24"/>
          <w:color w:val="auto"/>
        </w:rPr>
      </w:pPr>
    </w:p>
    <w:p>
      <w:pPr>
        <w:sectPr>
          <w:pgSz w:w="11900" w:h="16838" w:orient="portrait"/>
          <w:cols w:equalWidth="0" w:num="2">
            <w:col w:w="3300" w:space="720"/>
            <w:col w:w="7400"/>
          </w:cols>
          <w:pgMar w:left="240" w:top="239" w:right="239" w:bottom="1440" w:gutter="0" w:footer="0" w:header="0"/>
          <w:type w:val="continuous"/>
        </w:sectPr>
      </w:pPr>
    </w:p>
    <w:p>
      <w:pPr>
        <w:spacing w:after="0"/>
        <w:rPr>
          <w:sz w:val="20"/>
          <w:szCs w:val="20"/>
          <w:color w:val="auto"/>
        </w:rPr>
      </w:pPr>
      <w:r>
        <w:rPr>
          <w:rFonts w:ascii="Arial" w:cs="Arial" w:eastAsia="Arial" w:hAnsi="Arial"/>
          <w:sz w:val="16"/>
          <w:szCs w:val="16"/>
          <w:color w:val="auto"/>
        </w:rPr>
        <w:t>Aggregate Price to Public: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$135,000,000; plus accrued interest, if any, from December 1, 2006.</w:t>
      </w:r>
    </w:p>
    <w:p>
      <w:pPr>
        <w:spacing w:after="0" w:line="151" w:lineRule="exact"/>
        <w:rPr>
          <w:sz w:val="24"/>
          <w:szCs w:val="24"/>
          <w:color w:val="auto"/>
        </w:rPr>
      </w:pPr>
    </w:p>
    <w:p>
      <w:pPr>
        <w:sectPr>
          <w:pgSz w:w="11900" w:h="16838" w:orient="portrait"/>
          <w:cols w:equalWidth="0" w:num="2">
            <w:col w:w="3300" w:space="720"/>
            <w:col w:w="7400"/>
          </w:cols>
          <w:pgMar w:left="240" w:top="239" w:right="239" w:bottom="1440" w:gutter="0" w:footer="0" w:header="0"/>
          <w:type w:val="continuous"/>
        </w:sectPr>
      </w:pPr>
    </w:p>
    <w:p>
      <w:pPr>
        <w:spacing w:after="0"/>
        <w:rPr>
          <w:sz w:val="20"/>
          <w:szCs w:val="20"/>
          <w:color w:val="auto"/>
        </w:rPr>
      </w:pPr>
      <w:r>
        <w:rPr>
          <w:rFonts w:ascii="Arial" w:cs="Arial" w:eastAsia="Arial" w:hAnsi="Arial"/>
          <w:sz w:val="16"/>
          <w:szCs w:val="16"/>
          <w:color w:val="auto"/>
        </w:rPr>
        <w:t>Underwriting Discount: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0.625%</w:t>
      </w:r>
    </w:p>
    <w:p>
      <w:pPr>
        <w:spacing w:after="0" w:line="151" w:lineRule="exact"/>
        <w:rPr>
          <w:sz w:val="24"/>
          <w:szCs w:val="24"/>
          <w:color w:val="auto"/>
        </w:rPr>
      </w:pPr>
    </w:p>
    <w:p>
      <w:pPr>
        <w:sectPr>
          <w:pgSz w:w="11900" w:h="16838" w:orient="portrait"/>
          <w:cols w:equalWidth="0" w:num="2">
            <w:col w:w="3300" w:space="720"/>
            <w:col w:w="7400"/>
          </w:cols>
          <w:pgMar w:left="240" w:top="239" w:right="239" w:bottom="1440" w:gutter="0" w:footer="0" w:header="0"/>
          <w:type w:val="continuous"/>
        </w:sectPr>
      </w:pPr>
    </w:p>
    <w:p>
      <w:pPr>
        <w:spacing w:after="0"/>
        <w:rPr>
          <w:sz w:val="20"/>
          <w:szCs w:val="20"/>
          <w:color w:val="auto"/>
        </w:rPr>
      </w:pPr>
      <w:r>
        <w:rPr>
          <w:rFonts w:ascii="Arial" w:cs="Arial" w:eastAsia="Arial" w:hAnsi="Arial"/>
          <w:sz w:val="15"/>
          <w:szCs w:val="15"/>
          <w:color w:val="auto"/>
        </w:rPr>
        <w:t>Net Proceeds to the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$134,156,250; plus accrued interest, if any, from December 1, 2006.</w:t>
      </w:r>
    </w:p>
    <w:p>
      <w:pPr>
        <w:spacing w:after="0" w:line="50" w:lineRule="exact"/>
        <w:rPr>
          <w:sz w:val="24"/>
          <w:szCs w:val="24"/>
          <w:color w:val="auto"/>
        </w:rPr>
      </w:pPr>
    </w:p>
    <w:p>
      <w:pPr>
        <w:sectPr>
          <w:pgSz w:w="11900" w:h="16838" w:orient="portrait"/>
          <w:cols w:equalWidth="0" w:num="2">
            <w:col w:w="3300" w:space="720"/>
            <w:col w:w="7400"/>
          </w:cols>
          <w:pgMar w:left="240" w:top="239" w:right="239" w:bottom="1440" w:gutter="0" w:footer="0" w:header="0"/>
          <w:type w:val="continuous"/>
        </w:sectPr>
      </w:pPr>
    </w:p>
    <w:p>
      <w:pPr>
        <w:spacing w:after="0"/>
        <w:rPr>
          <w:sz w:val="20"/>
          <w:szCs w:val="20"/>
          <w:color w:val="auto"/>
        </w:rPr>
      </w:pPr>
      <w:r>
        <w:rPr>
          <w:rFonts w:ascii="Arial" w:cs="Arial" w:eastAsia="Arial" w:hAnsi="Arial"/>
          <w:sz w:val="15"/>
          <w:szCs w:val="15"/>
          <w:color w:val="auto"/>
        </w:rPr>
        <w:t>before Expenses:</w:t>
      </w:r>
    </w:p>
    <w:p>
      <w:pPr>
        <w:sectPr>
          <w:pgSz w:w="11900" w:h="16838" w:orient="portrait"/>
          <w:cols w:equalWidth="0" w:num="1">
            <w:col w:w="11420"/>
          </w:cols>
          <w:pgMar w:left="240" w:top="239" w:right="239" w:bottom="1440" w:gutter="0" w:footer="0" w:header="0"/>
          <w:type w:val="continuous"/>
        </w:sectPr>
      </w:pPr>
    </w:p>
    <w:p>
      <w:pPr>
        <w:spacing w:after="0" w:line="159" w:lineRule="exact"/>
        <w:rPr>
          <w:sz w:val="24"/>
          <w:szCs w:val="24"/>
          <w:color w:val="auto"/>
        </w:rPr>
      </w:pPr>
    </w:p>
    <w:p>
      <w:pPr>
        <w:spacing w:after="0"/>
        <w:rPr>
          <w:sz w:val="20"/>
          <w:szCs w:val="20"/>
          <w:color w:val="auto"/>
        </w:rPr>
      </w:pPr>
      <w:r>
        <w:rPr>
          <w:rFonts w:ascii="Arial" w:cs="Arial" w:eastAsia="Arial" w:hAnsi="Arial"/>
          <w:sz w:val="16"/>
          <w:szCs w:val="16"/>
          <w:color w:val="auto"/>
        </w:rPr>
        <w:t>Redemption Provision:</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spacing w:after="0"/>
        <w:rPr>
          <w:sz w:val="20"/>
          <w:szCs w:val="20"/>
          <w:color w:val="auto"/>
        </w:rPr>
      </w:pPr>
      <w:r>
        <w:rPr>
          <w:rFonts w:ascii="Arial" w:cs="Arial" w:eastAsia="Arial" w:hAnsi="Arial"/>
          <w:sz w:val="15"/>
          <w:szCs w:val="15"/>
          <w:color w:val="auto"/>
        </w:rPr>
        <w:t>Make-whole call at any time based on U.S. Treasury plus 0.15% (fifteen one-hundredths of one percent)</w:t>
      </w:r>
    </w:p>
    <w:p>
      <w:pPr>
        <w:spacing w:after="0" w:line="151" w:lineRule="exact"/>
        <w:rPr>
          <w:sz w:val="24"/>
          <w:szCs w:val="24"/>
          <w:color w:val="auto"/>
        </w:rPr>
      </w:pPr>
    </w:p>
    <w:p>
      <w:pPr>
        <w:sectPr>
          <w:pgSz w:w="11900" w:h="16838" w:orient="portrait"/>
          <w:cols w:equalWidth="0" w:num="2">
            <w:col w:w="3300" w:space="720"/>
            <w:col w:w="7400"/>
          </w:cols>
          <w:pgMar w:left="240" w:top="239" w:right="239" w:bottom="1440" w:gutter="0" w:footer="0" w:header="0"/>
          <w:type w:val="continuous"/>
        </w:sectPr>
      </w:pPr>
    </w:p>
    <w:p>
      <w:pPr>
        <w:spacing w:after="0"/>
        <w:rPr>
          <w:sz w:val="20"/>
          <w:szCs w:val="20"/>
          <w:color w:val="auto"/>
        </w:rPr>
      </w:pPr>
      <w:r>
        <w:rPr>
          <w:rFonts w:ascii="Arial" w:cs="Arial" w:eastAsia="Arial" w:hAnsi="Arial"/>
          <w:sz w:val="15"/>
          <w:szCs w:val="15"/>
          <w:color w:val="auto"/>
        </w:rPr>
        <w:t>Dealer Concession: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0.375%</w:t>
      </w:r>
    </w:p>
    <w:p>
      <w:pPr>
        <w:spacing w:after="0" w:line="152" w:lineRule="exact"/>
        <w:rPr>
          <w:sz w:val="24"/>
          <w:szCs w:val="24"/>
          <w:color w:val="auto"/>
        </w:rPr>
      </w:pPr>
    </w:p>
    <w:p>
      <w:pPr>
        <w:sectPr>
          <w:pgSz w:w="11900" w:h="16838" w:orient="portrait"/>
          <w:cols w:equalWidth="0" w:num="2">
            <w:col w:w="3300" w:space="720"/>
            <w:col w:w="7400"/>
          </w:cols>
          <w:pgMar w:left="240" w:top="239" w:right="239" w:bottom="1440" w:gutter="0" w:footer="0" w:header="0"/>
          <w:type w:val="continuous"/>
        </w:sectPr>
      </w:pPr>
    </w:p>
    <w:p>
      <w:pPr>
        <w:spacing w:after="0"/>
        <w:rPr>
          <w:sz w:val="20"/>
          <w:szCs w:val="20"/>
          <w:color w:val="auto"/>
        </w:rPr>
      </w:pPr>
      <w:r>
        <w:rPr>
          <w:rFonts w:ascii="Arial" w:cs="Arial" w:eastAsia="Arial" w:hAnsi="Arial"/>
          <w:sz w:val="15"/>
          <w:szCs w:val="15"/>
          <w:color w:val="auto"/>
        </w:rPr>
        <w:t>Reallowance: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0.250%</w:t>
      </w:r>
    </w:p>
    <w:p>
      <w:pPr>
        <w:spacing w:after="0" w:line="152" w:lineRule="exact"/>
        <w:rPr>
          <w:sz w:val="24"/>
          <w:szCs w:val="24"/>
          <w:color w:val="auto"/>
        </w:rPr>
      </w:pPr>
    </w:p>
    <w:p>
      <w:pPr>
        <w:sectPr>
          <w:pgSz w:w="11900" w:h="16838" w:orient="portrait"/>
          <w:cols w:equalWidth="0" w:num="2">
            <w:col w:w="3300" w:space="720"/>
            <w:col w:w="7400"/>
          </w:cols>
          <w:pgMar w:left="240" w:top="239" w:right="239" w:bottom="1440" w:gutter="0" w:footer="0" w:header="0"/>
          <w:type w:val="continuous"/>
        </w:sectPr>
      </w:pPr>
    </w:p>
    <w:p>
      <w:pPr>
        <w:spacing w:after="0"/>
        <w:rPr>
          <w:sz w:val="20"/>
          <w:szCs w:val="20"/>
          <w:color w:val="auto"/>
        </w:rPr>
      </w:pPr>
      <w:r>
        <w:rPr>
          <w:rFonts w:ascii="Arial" w:cs="Arial" w:eastAsia="Arial" w:hAnsi="Arial"/>
          <w:sz w:val="16"/>
          <w:szCs w:val="16"/>
          <w:color w:val="auto"/>
        </w:rPr>
        <w:t>CUSIP:</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313747AP2</w:t>
      </w:r>
    </w:p>
    <w:p>
      <w:pPr>
        <w:sectPr>
          <w:pgSz w:w="11900" w:h="16838" w:orient="portrait"/>
          <w:cols w:equalWidth="0" w:num="2">
            <w:col w:w="3300" w:space="720"/>
            <w:col w:w="7400"/>
          </w:cols>
          <w:pgMar w:left="240" w:top="23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Joint Book-Running Managers:</w:t>
            </w:r>
          </w:p>
        </w:tc>
        <w:tc>
          <w:tcPr>
            <w:tcW w:w="4100" w:type="dxa"/>
            <w:vAlign w:val="bottom"/>
          </w:tcPr>
          <w:p>
            <w:pPr>
              <w:ind w:left="900"/>
              <w:spacing w:after="0"/>
              <w:rPr>
                <w:sz w:val="20"/>
                <w:szCs w:val="20"/>
                <w:color w:val="auto"/>
              </w:rPr>
            </w:pPr>
            <w:r>
              <w:rPr>
                <w:rFonts w:ascii="Arial" w:cs="Arial" w:eastAsia="Arial" w:hAnsi="Arial"/>
                <w:sz w:val="18"/>
                <w:szCs w:val="18"/>
                <w:color w:val="auto"/>
              </w:rPr>
              <w:t>Wachovia Capital Markets, LLC</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47,250,000</w:t>
            </w:r>
          </w:p>
        </w:tc>
      </w:tr>
      <w:tr>
        <w:trPr>
          <w:trHeight w:val="222"/>
        </w:trPr>
        <w:tc>
          <w:tcPr>
            <w:tcW w:w="3120" w:type="dxa"/>
            <w:vAlign w:val="bottom"/>
          </w:tcPr>
          <w:p>
            <w:pPr>
              <w:spacing w:after="0"/>
              <w:rPr>
                <w:sz w:val="19"/>
                <w:szCs w:val="19"/>
                <w:color w:val="auto"/>
              </w:rPr>
            </w:pPr>
          </w:p>
        </w:tc>
        <w:tc>
          <w:tcPr>
            <w:tcW w:w="4100" w:type="dxa"/>
            <w:vAlign w:val="bottom"/>
          </w:tcPr>
          <w:p>
            <w:pPr>
              <w:ind w:left="900"/>
              <w:spacing w:after="0"/>
              <w:rPr>
                <w:sz w:val="20"/>
                <w:szCs w:val="20"/>
                <w:color w:val="auto"/>
              </w:rPr>
            </w:pPr>
            <w:r>
              <w:rPr>
                <w:rFonts w:ascii="Arial" w:cs="Arial" w:eastAsia="Arial" w:hAnsi="Arial"/>
                <w:sz w:val="18"/>
                <w:szCs w:val="18"/>
                <w:color w:val="auto"/>
              </w:rPr>
              <w:t>Citigroup Global Markets Inc.</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33,750,000</w:t>
            </w:r>
          </w:p>
        </w:tc>
      </w:tr>
      <w:tr>
        <w:trPr>
          <w:trHeight w:val="331"/>
        </w:trPr>
        <w:tc>
          <w:tcPr>
            <w:tcW w:w="3120" w:type="dxa"/>
            <w:vAlign w:val="bottom"/>
          </w:tcPr>
          <w:p>
            <w:pPr>
              <w:spacing w:after="0"/>
              <w:rPr>
                <w:sz w:val="20"/>
                <w:szCs w:val="20"/>
                <w:color w:val="auto"/>
              </w:rPr>
            </w:pPr>
            <w:r>
              <w:rPr>
                <w:rFonts w:ascii="Arial" w:cs="Arial" w:eastAsia="Arial" w:hAnsi="Arial"/>
                <w:sz w:val="18"/>
                <w:szCs w:val="18"/>
                <w:color w:val="auto"/>
              </w:rPr>
              <w:t>Co-Managers:</w:t>
            </w:r>
          </w:p>
        </w:tc>
        <w:tc>
          <w:tcPr>
            <w:tcW w:w="4100" w:type="dxa"/>
            <w:vAlign w:val="bottom"/>
          </w:tcPr>
          <w:p>
            <w:pPr>
              <w:ind w:left="900"/>
              <w:spacing w:after="0"/>
              <w:rPr>
                <w:sz w:val="20"/>
                <w:szCs w:val="20"/>
                <w:color w:val="auto"/>
              </w:rPr>
            </w:pPr>
            <w:r>
              <w:rPr>
                <w:rFonts w:ascii="Arial" w:cs="Arial" w:eastAsia="Arial" w:hAnsi="Arial"/>
                <w:sz w:val="18"/>
                <w:szCs w:val="18"/>
                <w:color w:val="auto"/>
              </w:rPr>
              <w:t>Bear, Stearns &amp; Co. Inc.</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13,500,000</w:t>
            </w:r>
          </w:p>
        </w:tc>
      </w:tr>
      <w:tr>
        <w:trPr>
          <w:trHeight w:val="216"/>
        </w:trPr>
        <w:tc>
          <w:tcPr>
            <w:tcW w:w="3120" w:type="dxa"/>
            <w:vAlign w:val="bottom"/>
          </w:tcPr>
          <w:p>
            <w:pPr>
              <w:spacing w:after="0"/>
              <w:rPr>
                <w:sz w:val="18"/>
                <w:szCs w:val="18"/>
                <w:color w:val="auto"/>
              </w:rPr>
            </w:pPr>
          </w:p>
        </w:tc>
        <w:tc>
          <w:tcPr>
            <w:tcW w:w="4100" w:type="dxa"/>
            <w:vAlign w:val="bottom"/>
          </w:tcPr>
          <w:p>
            <w:pPr>
              <w:ind w:left="900"/>
              <w:spacing w:after="0"/>
              <w:rPr>
                <w:sz w:val="20"/>
                <w:szCs w:val="20"/>
                <w:color w:val="auto"/>
              </w:rPr>
            </w:pPr>
            <w:r>
              <w:rPr>
                <w:rFonts w:ascii="Arial" w:cs="Arial" w:eastAsia="Arial" w:hAnsi="Arial"/>
                <w:sz w:val="18"/>
                <w:szCs w:val="18"/>
                <w:color w:val="auto"/>
              </w:rPr>
              <w:t>Banc of America Securities LLC</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6,750,000</w:t>
            </w:r>
          </w:p>
        </w:tc>
      </w:tr>
      <w:tr>
        <w:trPr>
          <w:trHeight w:val="216"/>
        </w:trPr>
        <w:tc>
          <w:tcPr>
            <w:tcW w:w="3120" w:type="dxa"/>
            <w:vAlign w:val="bottom"/>
          </w:tcPr>
          <w:p>
            <w:pPr>
              <w:spacing w:after="0"/>
              <w:rPr>
                <w:sz w:val="18"/>
                <w:szCs w:val="18"/>
                <w:color w:val="auto"/>
              </w:rPr>
            </w:pPr>
          </w:p>
        </w:tc>
        <w:tc>
          <w:tcPr>
            <w:tcW w:w="4100" w:type="dxa"/>
            <w:vAlign w:val="bottom"/>
          </w:tcPr>
          <w:p>
            <w:pPr>
              <w:ind w:left="900"/>
              <w:spacing w:after="0"/>
              <w:rPr>
                <w:sz w:val="20"/>
                <w:szCs w:val="20"/>
                <w:color w:val="auto"/>
              </w:rPr>
            </w:pPr>
            <w:r>
              <w:rPr>
                <w:rFonts w:ascii="Arial" w:cs="Arial" w:eastAsia="Arial" w:hAnsi="Arial"/>
                <w:sz w:val="18"/>
                <w:szCs w:val="18"/>
                <w:color w:val="auto"/>
              </w:rPr>
              <w:t>Commerzbank Capital Markets Corp.</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6,750,000</w:t>
            </w:r>
          </w:p>
        </w:tc>
      </w:tr>
      <w:tr>
        <w:trPr>
          <w:trHeight w:val="216"/>
        </w:trPr>
        <w:tc>
          <w:tcPr>
            <w:tcW w:w="3120" w:type="dxa"/>
            <w:vAlign w:val="bottom"/>
          </w:tcPr>
          <w:p>
            <w:pPr>
              <w:spacing w:after="0"/>
              <w:rPr>
                <w:sz w:val="18"/>
                <w:szCs w:val="18"/>
                <w:color w:val="auto"/>
              </w:rPr>
            </w:pPr>
          </w:p>
        </w:tc>
        <w:tc>
          <w:tcPr>
            <w:tcW w:w="4100" w:type="dxa"/>
            <w:vAlign w:val="bottom"/>
          </w:tcPr>
          <w:p>
            <w:pPr>
              <w:ind w:left="900"/>
              <w:spacing w:after="0"/>
              <w:rPr>
                <w:sz w:val="20"/>
                <w:szCs w:val="20"/>
                <w:color w:val="auto"/>
              </w:rPr>
            </w:pPr>
            <w:r>
              <w:rPr>
                <w:rFonts w:ascii="Arial" w:cs="Arial" w:eastAsia="Arial" w:hAnsi="Arial"/>
                <w:sz w:val="18"/>
                <w:szCs w:val="18"/>
                <w:color w:val="auto"/>
              </w:rPr>
              <w:t>J.P. Morgan Securities Inc.</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6,750,000</w:t>
            </w:r>
          </w:p>
        </w:tc>
      </w:tr>
      <w:tr>
        <w:trPr>
          <w:trHeight w:val="216"/>
        </w:trPr>
        <w:tc>
          <w:tcPr>
            <w:tcW w:w="3120" w:type="dxa"/>
            <w:vAlign w:val="bottom"/>
          </w:tcPr>
          <w:p>
            <w:pPr>
              <w:spacing w:after="0"/>
              <w:rPr>
                <w:sz w:val="18"/>
                <w:szCs w:val="18"/>
                <w:color w:val="auto"/>
              </w:rPr>
            </w:pPr>
          </w:p>
        </w:tc>
        <w:tc>
          <w:tcPr>
            <w:tcW w:w="4100" w:type="dxa"/>
            <w:vAlign w:val="bottom"/>
          </w:tcPr>
          <w:p>
            <w:pPr>
              <w:ind w:left="900"/>
              <w:spacing w:after="0"/>
              <w:rPr>
                <w:sz w:val="20"/>
                <w:szCs w:val="20"/>
                <w:color w:val="auto"/>
              </w:rPr>
            </w:pPr>
            <w:r>
              <w:rPr>
                <w:rFonts w:ascii="Arial" w:cs="Arial" w:eastAsia="Arial" w:hAnsi="Arial"/>
                <w:sz w:val="18"/>
                <w:szCs w:val="18"/>
                <w:color w:val="auto"/>
              </w:rPr>
              <w:t>Piper Jaffray &amp; Co.</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6,750,000</w:t>
            </w:r>
          </w:p>
        </w:tc>
      </w:tr>
      <w:tr>
        <w:trPr>
          <w:trHeight w:val="216"/>
        </w:trPr>
        <w:tc>
          <w:tcPr>
            <w:tcW w:w="3120" w:type="dxa"/>
            <w:vAlign w:val="bottom"/>
          </w:tcPr>
          <w:p>
            <w:pPr>
              <w:spacing w:after="0"/>
              <w:rPr>
                <w:sz w:val="18"/>
                <w:szCs w:val="18"/>
                <w:color w:val="auto"/>
              </w:rPr>
            </w:pPr>
          </w:p>
        </w:tc>
        <w:tc>
          <w:tcPr>
            <w:tcW w:w="4100" w:type="dxa"/>
            <w:vAlign w:val="bottom"/>
          </w:tcPr>
          <w:p>
            <w:pPr>
              <w:ind w:left="900"/>
              <w:spacing w:after="0"/>
              <w:rPr>
                <w:sz w:val="20"/>
                <w:szCs w:val="20"/>
                <w:color w:val="auto"/>
              </w:rPr>
            </w:pPr>
            <w:r>
              <w:rPr>
                <w:rFonts w:ascii="Arial" w:cs="Arial" w:eastAsia="Arial" w:hAnsi="Arial"/>
                <w:sz w:val="18"/>
                <w:szCs w:val="18"/>
                <w:color w:val="auto"/>
              </w:rPr>
              <w:t>PNC Capital Markets LLC.</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6,750,000</w:t>
            </w:r>
          </w:p>
        </w:tc>
      </w:tr>
      <w:tr>
        <w:trPr>
          <w:trHeight w:val="222"/>
        </w:trPr>
        <w:tc>
          <w:tcPr>
            <w:tcW w:w="3120" w:type="dxa"/>
            <w:vAlign w:val="bottom"/>
          </w:tcPr>
          <w:p>
            <w:pPr>
              <w:spacing w:after="0"/>
              <w:rPr>
                <w:sz w:val="19"/>
                <w:szCs w:val="19"/>
                <w:color w:val="auto"/>
              </w:rPr>
            </w:pPr>
          </w:p>
        </w:tc>
        <w:tc>
          <w:tcPr>
            <w:tcW w:w="4100" w:type="dxa"/>
            <w:vAlign w:val="bottom"/>
          </w:tcPr>
          <w:p>
            <w:pPr>
              <w:ind w:left="900"/>
              <w:spacing w:after="0"/>
              <w:rPr>
                <w:sz w:val="20"/>
                <w:szCs w:val="20"/>
                <w:color w:val="auto"/>
              </w:rPr>
            </w:pPr>
            <w:r>
              <w:rPr>
                <w:rFonts w:ascii="Arial" w:cs="Arial" w:eastAsia="Arial" w:hAnsi="Arial"/>
                <w:sz w:val="18"/>
                <w:szCs w:val="18"/>
                <w:color w:val="auto"/>
              </w:rPr>
              <w:t>SunTrust Capital Markets, Inc.</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6,750,000</w:t>
            </w:r>
          </w:p>
        </w:tc>
      </w:tr>
    </w:tbl>
    <w:p>
      <w:pPr>
        <w:spacing w:after="0" w:line="1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100"/>
        <w:spacing w:after="0" w:line="296" w:lineRule="auto"/>
        <w:rPr>
          <w:sz w:val="20"/>
          <w:szCs w:val="20"/>
          <w:color w:val="auto"/>
        </w:rPr>
      </w:pPr>
      <w:r>
        <w:rPr>
          <w:rFonts w:ascii="Arial" w:cs="Arial" w:eastAsia="Arial" w:hAnsi="Arial"/>
          <w:sz w:val="16"/>
          <w:szCs w:val="16"/>
          <w:b w:val="1"/>
          <w:bCs w:val="1"/>
          <w:color w:val="auto"/>
        </w:rPr>
        <w:t>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calling Wachovia Capital Markets, LLC toll-free at 1-866-289-1262 or Citigroup Global Markets, Inc. toll-free at 1-800-858-5407.</w:t>
      </w:r>
    </w:p>
    <w:p>
      <w:pPr>
        <w:spacing w:after="0" w:line="108" w:lineRule="exact"/>
        <w:rPr>
          <w:sz w:val="20"/>
          <w:szCs w:val="20"/>
          <w:color w:val="auto"/>
        </w:rPr>
      </w:pPr>
    </w:p>
    <w:p>
      <w:pPr>
        <w:spacing w:after="0" w:line="339" w:lineRule="auto"/>
        <w:rPr>
          <w:sz w:val="20"/>
          <w:szCs w:val="20"/>
          <w:color w:val="auto"/>
        </w:rPr>
      </w:pPr>
      <w:r>
        <w:rPr>
          <w:rFonts w:ascii="Arial" w:cs="Arial" w:eastAsia="Arial" w:hAnsi="Arial"/>
          <w:sz w:val="16"/>
          <w:szCs w:val="16"/>
          <w:b w:val="1"/>
          <w:bCs w:val="1"/>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sectPr>
      <w:pgSz w:w="11900" w:h="16838" w:orient="portrait"/>
      <w:cols w:equalWidth="0" w:num="1">
        <w:col w:w="11320"/>
      </w:cols>
      <w:pgMar w:left="240" w:top="3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2019-12-13T00:54:05Z</dcterms:created>
  <dcterms:modified xsi:type="dcterms:W3CDTF">2019-12-13T00:54:05Z</dcterms:modified>
</cp:coreProperties>
</file>