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45085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-228600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5" w:lineRule="exact"/>
        <w:rPr>
          <w:sz w:val="24"/>
          <w:szCs w:val="24"/>
          <w:color w:val="auto"/>
        </w:rPr>
      </w:pPr>
    </w:p>
    <w:p>
      <w:pPr>
        <w:ind w:left="720" w:right="52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THE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quarterly period ended June 30, 2013</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57" w:lineRule="exact"/>
        <w:rPr>
          <w:sz w:val="24"/>
          <w:szCs w:val="24"/>
          <w:color w:val="auto"/>
        </w:rPr>
      </w:pPr>
    </w:p>
    <w:p>
      <w:pPr>
        <w:ind w:left="720" w:right="1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7" w:lineRule="exact"/>
        <w:rPr>
          <w:sz w:val="24"/>
          <w:szCs w:val="24"/>
          <w:color w:val="auto"/>
        </w:rPr>
      </w:pPr>
    </w:p>
    <w:p>
      <w:pPr>
        <w:ind w:left="3680"/>
        <w:spacing w:after="0"/>
        <w:tabs>
          <w:tab w:leader="none" w:pos="692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Commission file number: 1-07533</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FEDERAL REALTY INVESTMENT TRUST</w:t>
      </w:r>
    </w:p>
    <w:p>
      <w:pPr>
        <w:spacing w:after="0" w:line="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62"/>
        </w:trPr>
        <w:tc>
          <w:tcPr>
            <w:tcW w:w="6780" w:type="dxa"/>
            <w:vAlign w:val="bottom"/>
          </w:tcPr>
          <w:p>
            <w:pPr>
              <w:jc w:val="center"/>
              <w:ind w:right="2653"/>
              <w:spacing w:after="0"/>
              <w:rPr>
                <w:sz w:val="20"/>
                <w:szCs w:val="20"/>
                <w:color w:val="auto"/>
              </w:rPr>
            </w:pPr>
            <w:r>
              <w:rPr>
                <w:rFonts w:ascii="Times New Roman" w:cs="Times New Roman" w:eastAsia="Times New Roman" w:hAnsi="Times New Roman"/>
                <w:sz w:val="20"/>
                <w:szCs w:val="20"/>
                <w:b w:val="1"/>
                <w:bCs w:val="1"/>
                <w:color w:val="auto"/>
                <w:w w:val="98"/>
              </w:rPr>
              <w:t>Maryland</w:t>
            </w:r>
          </w:p>
        </w:tc>
        <w:tc>
          <w:tcPr>
            <w:tcW w:w="2340" w:type="dxa"/>
            <w:vAlign w:val="bottom"/>
          </w:tcPr>
          <w:p>
            <w:pPr>
              <w:jc w:val="right"/>
              <w:ind w:right="610"/>
              <w:spacing w:after="0"/>
              <w:rPr>
                <w:sz w:val="20"/>
                <w:szCs w:val="20"/>
                <w:color w:val="auto"/>
              </w:rPr>
            </w:pPr>
            <w:r>
              <w:rPr>
                <w:rFonts w:ascii="Times New Roman" w:cs="Times New Roman" w:eastAsia="Times New Roman" w:hAnsi="Times New Roman"/>
                <w:sz w:val="20"/>
                <w:szCs w:val="20"/>
                <w:b w:val="1"/>
                <w:bCs w:val="1"/>
                <w:color w:val="auto"/>
              </w:rPr>
              <w:t>52-0782497</w:t>
            </w:r>
          </w:p>
        </w:tc>
      </w:tr>
      <w:tr>
        <w:trPr>
          <w:trHeight w:val="245"/>
        </w:trPr>
        <w:tc>
          <w:tcPr>
            <w:tcW w:w="6780" w:type="dxa"/>
            <w:vAlign w:val="bottom"/>
          </w:tcPr>
          <w:p>
            <w:pPr>
              <w:jc w:val="center"/>
              <w:ind w:right="2653"/>
              <w:spacing w:after="0"/>
              <w:rPr>
                <w:sz w:val="20"/>
                <w:szCs w:val="20"/>
                <w:color w:val="auto"/>
              </w:rPr>
            </w:pPr>
            <w:r>
              <w:rPr>
                <w:rFonts w:ascii="Times New Roman" w:cs="Times New Roman" w:eastAsia="Times New Roman" w:hAnsi="Times New Roman"/>
                <w:sz w:val="16"/>
                <w:szCs w:val="16"/>
                <w:b w:val="1"/>
                <w:bCs w:val="1"/>
                <w:color w:val="auto"/>
              </w:rPr>
              <w:t>(State of Organization)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525"/>
        </w:trPr>
        <w:tc>
          <w:tcPr>
            <w:tcW w:w="6780" w:type="dxa"/>
            <w:vAlign w:val="bottom"/>
          </w:tcPr>
          <w:p>
            <w:pPr>
              <w:jc w:val="center"/>
              <w:ind w:right="2653"/>
              <w:spacing w:after="0"/>
              <w:rPr>
                <w:sz w:val="20"/>
                <w:szCs w:val="20"/>
                <w:color w:val="auto"/>
              </w:rPr>
            </w:pPr>
            <w:r>
              <w:rPr>
                <w:rFonts w:ascii="Times New Roman" w:cs="Times New Roman" w:eastAsia="Times New Roman" w:hAnsi="Times New Roman"/>
                <w:sz w:val="20"/>
                <w:szCs w:val="20"/>
                <w:b w:val="1"/>
                <w:bCs w:val="1"/>
                <w:color w:val="auto"/>
                <w:w w:val="98"/>
              </w:rPr>
              <w:t>1626 East Jefferson Street, Rockville, Maryland</w:t>
            </w:r>
          </w:p>
        </w:tc>
        <w:tc>
          <w:tcPr>
            <w:tcW w:w="2340" w:type="dxa"/>
            <w:vAlign w:val="bottom"/>
          </w:tcPr>
          <w:p>
            <w:pPr>
              <w:jc w:val="right"/>
              <w:ind w:right="830"/>
              <w:spacing w:after="0"/>
              <w:rPr>
                <w:sz w:val="20"/>
                <w:szCs w:val="20"/>
                <w:color w:val="auto"/>
              </w:rPr>
            </w:pPr>
            <w:r>
              <w:rPr>
                <w:rFonts w:ascii="Times New Roman" w:cs="Times New Roman" w:eastAsia="Times New Roman" w:hAnsi="Times New Roman"/>
                <w:sz w:val="20"/>
                <w:szCs w:val="20"/>
                <w:b w:val="1"/>
                <w:bCs w:val="1"/>
                <w:color w:val="auto"/>
              </w:rPr>
              <w:t>20852</w:t>
            </w:r>
          </w:p>
        </w:tc>
      </w:tr>
      <w:tr>
        <w:trPr>
          <w:trHeight w:val="245"/>
        </w:trPr>
        <w:tc>
          <w:tcPr>
            <w:tcW w:w="6780" w:type="dxa"/>
            <w:vAlign w:val="bottom"/>
          </w:tcPr>
          <w:p>
            <w:pPr>
              <w:jc w:val="center"/>
              <w:ind w:right="2673"/>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30"/>
        </w:trPr>
        <w:tc>
          <w:tcPr>
            <w:tcW w:w="6780" w:type="dxa"/>
            <w:vAlign w:val="bottom"/>
          </w:tcPr>
          <w:p>
            <w:pPr>
              <w:jc w:val="right"/>
              <w:ind w:right="1033"/>
              <w:spacing w:after="0"/>
              <w:rPr>
                <w:sz w:val="20"/>
                <w:szCs w:val="20"/>
                <w:color w:val="auto"/>
              </w:rPr>
            </w:pPr>
            <w:r>
              <w:rPr>
                <w:rFonts w:ascii="Times New Roman" w:cs="Times New Roman" w:eastAsia="Times New Roman" w:hAnsi="Times New Roman"/>
                <w:sz w:val="18"/>
                <w:szCs w:val="18"/>
                <w:b w:val="1"/>
                <w:bCs w:val="1"/>
                <w:color w:val="auto"/>
              </w:rPr>
              <w:t>(301) 998-8100</w:t>
            </w:r>
          </w:p>
        </w:tc>
        <w:tc>
          <w:tcPr>
            <w:tcW w:w="2340" w:type="dxa"/>
            <w:vAlign w:val="bottom"/>
          </w:tcPr>
          <w:p>
            <w:pPr>
              <w:spacing w:after="0"/>
              <w:rPr>
                <w:sz w:val="24"/>
                <w:szCs w:val="24"/>
                <w:color w:val="auto"/>
              </w:rPr>
            </w:pPr>
          </w:p>
        </w:tc>
      </w:tr>
      <w:tr>
        <w:trPr>
          <w:trHeight w:val="206"/>
        </w:trPr>
        <w:tc>
          <w:tcPr>
            <w:tcW w:w="6780" w:type="dxa"/>
            <w:vAlign w:val="bottom"/>
          </w:tcPr>
          <w:p>
            <w:pPr>
              <w:jc w:val="center"/>
              <w:ind w:left="327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340" w:type="dxa"/>
            <w:vAlign w:val="bottom"/>
          </w:tcPr>
          <w:p>
            <w:pPr>
              <w:spacing w:after="0"/>
              <w:rPr>
                <w:sz w:val="17"/>
                <w:szCs w:val="17"/>
                <w:color w:val="auto"/>
              </w:rPr>
            </w:pPr>
          </w:p>
        </w:tc>
      </w:tr>
    </w:tbl>
    <w:p>
      <w:pPr>
        <w:spacing w:after="0" w:line="140"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2" w:right="23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838" w:orient="portrait"/>
          <w:cols w:equalWidth="0" w:num="4">
            <w:col w:w="1740" w:space="700"/>
            <w:col w:w="3960" w:space="720"/>
            <w:col w:w="3260" w:space="720"/>
            <w:col w:w="320"/>
          </w:cols>
          <w:pgMar w:left="240" w:top="232" w:right="23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8" w:lineRule="exact"/>
        <w:rPr>
          <w:sz w:val="24"/>
          <w:szCs w:val="24"/>
          <w:color w:val="auto"/>
        </w:rPr>
      </w:pPr>
    </w:p>
    <w:p>
      <w:pPr>
        <w:sectPr>
          <w:pgSz w:w="11900" w:h="16838" w:orient="portrait"/>
          <w:cols w:equalWidth="0" w:num="4">
            <w:col w:w="1720" w:space="720"/>
            <w:col w:w="3960" w:space="720"/>
            <w:col w:w="3260" w:space="720"/>
            <w:col w:w="320"/>
          </w:cols>
          <w:pgMar w:left="240" w:top="232"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2" w:lineRule="exact"/>
        <w:rPr>
          <w:sz w:val="24"/>
          <w:szCs w:val="24"/>
          <w:color w:val="auto"/>
        </w:rPr>
      </w:pPr>
    </w:p>
    <w:p>
      <w:pPr>
        <w:sectPr>
          <w:pgSz w:w="11900" w:h="16838" w:orient="portrait"/>
          <w:cols w:equalWidth="0" w:num="3">
            <w:col w:w="8240" w:space="240"/>
            <w:col w:w="500" w:space="180"/>
            <w:col w:w="2260"/>
          </w:cols>
          <w:pgMar w:left="240" w:top="23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number of Registrant’s common shares outstanding on July 29, 2013 was 65,695,201.</w:t>
      </w:r>
    </w:p>
    <w:p>
      <w:pPr>
        <w:sectPr>
          <w:pgSz w:w="11900" w:h="16838" w:orient="portrait"/>
          <w:cols w:equalWidth="0" w:num="1">
            <w:col w:w="11420"/>
          </w:cols>
          <w:pgMar w:left="240" w:top="23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0000FF"/>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8"/>
        </w:trPr>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QUARTER ENDED JUNE 30, 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2">
              <w:r>
                <w:rPr>
                  <w:rFonts w:ascii="Times New Roman" w:cs="Times New Roman" w:eastAsia="Times New Roman" w:hAnsi="Times New Roman"/>
                  <w:sz w:val="18"/>
                  <w:szCs w:val="18"/>
                  <w:color w:val="0000FF"/>
                  <w:w w:val="88"/>
                </w:rPr>
                <w:t>3</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Balance Sheets as of June 30, 2013 (unaudited) and December 31,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4</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and six months ended June 30, 2013 and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5</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Statement of Shareholders' Equity (unaudited) for the six months ended June 30, 2013</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6</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six months ended June 30, 2013 and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7</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8</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14">
              <w:r>
                <w:rPr>
                  <w:rFonts w:ascii="Times New Roman" w:cs="Times New Roman" w:eastAsia="Times New Roman" w:hAnsi="Times New Roman"/>
                  <w:sz w:val="18"/>
                  <w:szCs w:val="18"/>
                  <w:color w:val="0000FF"/>
                  <w:w w:val="88"/>
                </w:rPr>
                <w:t>15</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0">
              <w:r>
                <w:rPr>
                  <w:rFonts w:ascii="Times New Roman" w:cs="Times New Roman" w:eastAsia="Times New Roman" w:hAnsi="Times New Roman"/>
                  <w:sz w:val="18"/>
                  <w:szCs w:val="18"/>
                  <w:color w:val="0000FF"/>
                  <w:w w:val="88"/>
                </w:rPr>
                <w:t>29</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1">
              <w:r>
                <w:rPr>
                  <w:rFonts w:ascii="Times New Roman" w:cs="Times New Roman" w:eastAsia="Times New Roman" w:hAnsi="Times New Roman"/>
                  <w:sz w:val="18"/>
                  <w:szCs w:val="18"/>
                  <w:color w:val="0000FF"/>
                  <w:w w:val="88"/>
                </w:rPr>
                <w:t>30</w:t>
              </w:r>
            </w:hyperlink>
          </w:p>
        </w:tc>
      </w:tr>
      <w:tr>
        <w:trPr>
          <w:trHeight w:val="574"/>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1">
              <w:r>
                <w:rPr>
                  <w:rFonts w:ascii="Times New Roman" w:cs="Times New Roman" w:eastAsia="Times New Roman" w:hAnsi="Times New Roman"/>
                  <w:sz w:val="18"/>
                  <w:szCs w:val="18"/>
                  <w:color w:val="0000FF"/>
                  <w:w w:val="88"/>
                </w:rPr>
                <w:t>30</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1">
              <w:r>
                <w:rPr>
                  <w:rFonts w:ascii="Times New Roman" w:cs="Times New Roman" w:eastAsia="Times New Roman" w:hAnsi="Times New Roman"/>
                  <w:sz w:val="18"/>
                  <w:szCs w:val="18"/>
                  <w:color w:val="0000FF"/>
                  <w:w w:val="88"/>
                </w:rPr>
                <w:t>30</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1">
              <w:r>
                <w:rPr>
                  <w:rFonts w:ascii="Times New Roman" w:cs="Times New Roman" w:eastAsia="Times New Roman" w:hAnsi="Times New Roman"/>
                  <w:sz w:val="18"/>
                  <w:szCs w:val="18"/>
                  <w:color w:val="0000FF"/>
                  <w:w w:val="88"/>
                </w:rPr>
                <w:t>30</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2">
              <w:r>
                <w:rPr>
                  <w:rFonts w:ascii="Times New Roman" w:cs="Times New Roman" w:eastAsia="Times New Roman" w:hAnsi="Times New Roman"/>
                  <w:sz w:val="18"/>
                  <w:szCs w:val="18"/>
                  <w:color w:val="0000FF"/>
                  <w:w w:val="88"/>
                </w:rPr>
                <w:t>31</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2">
              <w:r>
                <w:rPr>
                  <w:rFonts w:ascii="Times New Roman" w:cs="Times New Roman" w:eastAsia="Times New Roman" w:hAnsi="Times New Roman"/>
                  <w:sz w:val="18"/>
                  <w:szCs w:val="18"/>
                  <w:color w:val="0000FF"/>
                  <w:w w:val="88"/>
                </w:rPr>
                <w:t>31</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2">
              <w:r>
                <w:rPr>
                  <w:rFonts w:ascii="Times New Roman" w:cs="Times New Roman" w:eastAsia="Times New Roman" w:hAnsi="Times New Roman"/>
                  <w:sz w:val="18"/>
                  <w:szCs w:val="18"/>
                  <w:color w:val="0000FF"/>
                  <w:w w:val="88"/>
                </w:rPr>
                <w:t>31</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2">
              <w:r>
                <w:rPr>
                  <w:rFonts w:ascii="Times New Roman" w:cs="Times New Roman" w:eastAsia="Times New Roman" w:hAnsi="Times New Roman"/>
                  <w:sz w:val="18"/>
                  <w:szCs w:val="18"/>
                  <w:color w:val="0000FF"/>
                  <w:w w:val="88"/>
                </w:rPr>
                <w:t>31</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2">
              <w:r>
                <w:rPr>
                  <w:rFonts w:ascii="Times New Roman" w:cs="Times New Roman" w:eastAsia="Times New Roman" w:hAnsi="Times New Roman"/>
                  <w:sz w:val="18"/>
                  <w:szCs w:val="18"/>
                  <w:color w:val="0000FF"/>
                  <w:w w:val="88"/>
                </w:rPr>
                <w:t>31</w:t>
              </w:r>
            </w:hyperlink>
          </w:p>
        </w:tc>
      </w:tr>
      <w:tr>
        <w:trPr>
          <w:trHeight w:val="574"/>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2">
              <w:r>
                <w:rPr>
                  <w:rFonts w:ascii="Times New Roman" w:cs="Times New Roman" w:eastAsia="Times New Roman" w:hAnsi="Times New Roman"/>
                  <w:sz w:val="18"/>
                  <w:szCs w:val="18"/>
                  <w:color w:val="0000FF"/>
                  <w:w w:val="88"/>
                </w:rPr>
                <w:t>32</w:t>
              </w:r>
            </w:hyperlink>
          </w:p>
        </w:tc>
      </w:tr>
      <w:tr>
        <w:trPr>
          <w:trHeight w:val="939"/>
        </w:trPr>
        <w:tc>
          <w:tcPr>
            <w:tcW w:w="880" w:type="dxa"/>
            <w:vAlign w:val="bottom"/>
          </w:tcPr>
          <w:p>
            <w:pPr>
              <w:spacing w:after="0"/>
              <w:rPr>
                <w:sz w:val="24"/>
                <w:szCs w:val="24"/>
                <w:color w:val="auto"/>
              </w:rPr>
            </w:pPr>
          </w:p>
        </w:tc>
        <w:tc>
          <w:tcPr>
            <w:tcW w:w="1034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balance sheet as of December 31, 2012,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six months ended June 30, 2013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4"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1"/>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(including $264,821 and $264,506 of consolidated variable interest entities, 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4,550,534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4,490,960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401,385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288,714</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4,951,919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4,779,674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$15,579 and $12,024 of consolidated variable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(1,224,295)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real estate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3,664,996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3,555,379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36,988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55,648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 partnership</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132,659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$10,488 and $10,140, respectively</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10,861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4,085,203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3,898,565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Mortgages payable (including $204,055 and $205,299 of consolidated variable interest entities,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724,984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760,789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71,693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299,979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299,575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1,213,333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1,076,545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138,932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120,929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47,685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97,302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103,379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2,607,266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2,493,552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94,420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Preferred shares, authorized 15,000,000 shares, $.01 par: 5.417% Series 1 Cumulative Convertible Preferred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 (stated at liquidation preference $25 per share), 399,896 shares issued and outstanding</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shares of beneficial interest, $.01 par, 100,000,000 shares authorized, 65,687,234 and 64,815,446</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1,963,000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1,875,525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(586,970)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1,360,717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1,286,812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1,383,787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1,310,593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4,085,203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3,898,565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420"/>
          </w:cols>
          <w:pgMar w:left="240" w:top="12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4"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Rental income</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153,769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306,988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282,457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property income</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Mortgage interest income</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157,947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147,560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315,699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293,849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 expenses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53,016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taxes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32,594</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14,143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80,477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71,770</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94,034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85,781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188,881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171,523</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63,913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122,326</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interest income</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(57,526)</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7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33,803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33,596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69,645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65,858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11,860</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38,797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33,596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74,639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77,718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7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37,539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72,127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75,589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37,404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32,468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71,856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75,318</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PER COMMON SHARE, BASIC</w:t>
            </w: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basic</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63,556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65,311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63,732</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47,202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84,659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71,283</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82,147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69,154</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gridSpan w:val="8"/>
          </w:tcPr>
          <w:p>
            <w:pPr>
              <w:jc w:val="center"/>
              <w:ind w:left="253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2013</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560" w:type="dxa"/>
            <w:vAlign w:val="bottom"/>
            <w:gridSpan w:val="4"/>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vMerge w:val="restart"/>
          </w:tcPr>
          <w:p>
            <w:pPr>
              <w:spacing w:after="0"/>
              <w:rPr>
                <w:sz w:val="12"/>
                <w:szCs w:val="12"/>
                <w:color w:val="auto"/>
              </w:rPr>
            </w:pPr>
          </w:p>
        </w:tc>
        <w:tc>
          <w:tcPr>
            <w:tcW w:w="156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Excess of Net</w:t>
            </w:r>
          </w:p>
        </w:tc>
        <w:tc>
          <w:tcPr>
            <w:tcW w:w="110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DECEMBER 31, 2012</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64,815,446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$1,875,525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23,781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$ 1,310,593</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excluding $1,425 attributable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redeemable noncontrolling interests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73,214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 change in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10,020</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to common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shareholders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(95,455)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to preferred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declared to noncontrolling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734,636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81,989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81,997</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16,304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issued under dividend reinvestment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10,207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 net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88,165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color w:val="auto"/>
              </w:rPr>
              <w:t>3,924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3,925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Conversion and 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22,476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21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JUNE 30, 2013</w:t>
            </w: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399,896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65,687,234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$1,963,000</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(610,569)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23,070</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$ 1,383,787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0"/>
          </w:cols>
          <w:pgMar w:left="24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1"/>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74,639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77,718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including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80,477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71,770</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5,170</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increase in security deposits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146,696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149,895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(47,776)</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 from real estate partnership in excess of earnings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mortgage and other notes receivable,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 to upsize and extend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senior notes, net of costs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269,343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Redemption and retirement of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mortgages, capital leases and notes payable, net of costs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mortgages, capital leases and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common shares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83,220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39,629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(87,259)</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82,860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71,378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14,968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67,806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108,366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82,774</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June 30, 2013, we owned or had a controlling interest in community and neighborhood shopping centers and mixed-use properties which are operated as 89 predominantly retail real estate projects.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2012 amounts have been reclassified to conform to current period presentation.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February 2013, the FASB issued ASU 2013-02, “Comprehensive Income (Topic 220): Reporting Amounts Reclassified Out of Accumulated Other Comprehensive Income.” ASU 2013-02 requires entities to disclose certain information relating to amounts reclassified out of accumulated other comprehensive income. We adopted the standard effective January 1, 2013 and it did not have a significant impact to our consolidated financial statements.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4"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61,155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62,515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capitalized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54,552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57,526</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57,410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58,132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NON-CASH FINANCING TRANSACTION:</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April 3, 2013, we acquired the fee interest in a 95,000 square foot retail property located in Darien, Connecticut for $47.3 million. The purchase price allocation will be finalized after our valuation studies are complete. We incurred approximately $0.2 million of acquisition costs which are included in "general and administrative expenses" for the six months ended June 30, 2013.</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April 5, 2013, one of our tenants acquired our fee interest in the land under an office building at our Village of Shirlington property in Arlington, Virginia, that was subject to a long term ground lease. The ground lease included an option for the tenant to purchase the fee interest. The sales price was $6.5 million, and the gain was $5.0 million.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4—REAL ESTATE PARTNERSHIP</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2013,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summarized operating results and the financial position of the Partnership:</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96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4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RESULTS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4,624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1,361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3,520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1,104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Our share of net income from real estate partnership</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5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SHEETS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172,602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174,509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182,005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182,780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Mortgages payable</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57,040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57,155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4,771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 capital</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120,854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182,005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182,780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Our share of unconsolidated debt</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17,147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Our investment in real estate partnership</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2013, we repaid the following mortgage loans at par:</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Payoff Amount</w:t>
            </w:r>
          </w:p>
        </w:tc>
        <w:tc>
          <w:tcPr>
            <w:tcW w:w="220" w:type="dxa"/>
            <w:vAlign w:val="bottom"/>
          </w:tcPr>
          <w:p>
            <w:pPr>
              <w:spacing w:after="0"/>
              <w:rPr>
                <w:sz w:val="16"/>
                <w:szCs w:val="16"/>
                <w:color w:val="auto"/>
              </w:rPr>
            </w:pPr>
          </w:p>
        </w:tc>
        <w:tc>
          <w:tcPr>
            <w:tcW w:w="18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220" w:type="dxa"/>
            <w:vAlign w:val="bottom"/>
          </w:tcPr>
          <w:p>
            <w:pPr>
              <w:spacing w:after="0"/>
              <w:rPr>
                <w:sz w:val="16"/>
                <w:szCs w:val="16"/>
                <w:color w:val="auto"/>
              </w:rPr>
            </w:pPr>
          </w:p>
        </w:tc>
        <w:tc>
          <w:tcPr>
            <w:tcW w:w="18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264"/>
        </w:trPr>
        <w:tc>
          <w:tcPr>
            <w:tcW w:w="5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5"/>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White Marsh Plaza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2013</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 2013</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Crow Canyon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2013</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11, 2013</w:t>
            </w:r>
          </w:p>
        </w:tc>
      </w:tr>
    </w:tbl>
    <w:p>
      <w:pPr>
        <w:spacing w:after="0" w:line="171"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w:t>
      </w:r>
    </w:p>
    <w:p>
      <w:pPr>
        <w:spacing w:after="0" w:line="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9, 2013, we issued $275.0 million of fixed rate senior notes that mature on June 1, 2023 and bear interest at 2.75%. The net proceeds from this note offering after issuance discounts, underwriting fees and other costs were approximately $269.3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2013, we redeemed our $135.0 million 5.40% senior notes prior to the original maturity date of December 1, 2013. The redemption price of</w:t>
      </w:r>
    </w:p>
    <w:p>
      <w:pPr>
        <w:spacing w:after="0" w:line="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$138.5 million included a make-whole premium of approximately $3.3 million and accrued but unpaid interest of $0.2 million. The make-whole premium is included in "early extinguishment of debt" for the three and six months ended June 30, 2013.</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2013, the maximum amount of borrowings outstanding under our revolving credit facility was $76.0 million for both periods, the weighted average amount of borrowings outstanding was $22.4 million</w:t>
      </w:r>
    </w:p>
    <w:p>
      <w:pPr>
        <w:sectPr>
          <w:pgSz w:w="11900" w:h="16838" w:orient="portrait"/>
          <w:cols w:equalWidth="0" w:num="1">
            <w:col w:w="11420"/>
          </w:cols>
          <w:pgMar w:left="240" w:top="124"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4" w:right="2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and $19.7 million, respectively, and the weighted average interest rate, before amortization of debt fees, was 1.23% and 1.29%, respectively. At June 30, 2013, there was no balance outstanding.</w:t>
      </w:r>
    </w:p>
    <w:p>
      <w:pPr>
        <w:spacing w:after="0" w:line="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June 30, 2013, we were in compliance with all loan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6—FAIR VALUE OF FINANCIAL INSTRUMENTS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June 30, 2013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2"/>
                <w:szCs w:val="12"/>
                <w:color w:val="auto"/>
              </w:rPr>
            </w:pPr>
          </w:p>
        </w:tc>
        <w:tc>
          <w:tcPr>
            <w:tcW w:w="98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2"/>
                <w:szCs w:val="12"/>
                <w:color w:val="auto"/>
              </w:rPr>
            </w:pPr>
          </w:p>
        </w:tc>
        <w:tc>
          <w:tcPr>
            <w:tcW w:w="11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1,024,963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1,064,453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1,060,364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1,110,757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1,213,333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1,262,466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1,076,545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1,190,833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June 30, 2013, we have two interest rate swap agreements with a notional amount of $275.0 million that are measured at fair value on a recurring basis. The interest rate swap agreements fix the variable portion of our $275.0 million term loan at 1.72% from December 1, 2011 through November 1, 2018. We assess effectiveness of our cash flow hedges both at inception and on an ongoing basis. The effective portion of changes in fair value of the interest rate swaps associated with our cash flow hedges is recorded in accumulated other comprehensive income/loss and is subsequently reclassified into interest expense as interest is incurred on the related variable rate debt. Within the next 12 months, we expect to reclassify an estimated $4.1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June 30, 2013, and we do not anticipate it will have a significant effect in the future.</w:t>
      </w:r>
    </w:p>
    <w:p>
      <w:pPr>
        <w:spacing w:after="0" w:line="21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2013 was a liability of $2.4 million and is included in "accounts payable and accrued expenses" on our consolidated balance sheets. For the three and six months ended June 30, 2013, the change in valuation on our interest rate swaps was $8.4 million and $10.0 million, respectively, (including $1.1 million and $2.1 million, respectively, reclassified from other comprehensive loss to interest expense) and is included in "accumulated other comprehensive loss."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financial liabilities that are measured at fair value on a recurring basis, by level within the fair value hierarchy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2013</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0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2,368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12,388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12,388</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9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the same number of our common shares, at our option. A total of 286,032 operating partnership units are outstanding which have a total fair value of $29.7 million, based on our closing stock price on June 30,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1.380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0.677</w:t>
            </w:r>
          </w:p>
        </w:tc>
        <w:tc>
          <w:tcPr>
            <w:tcW w:w="4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0.677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0.677</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0.677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an at the market (“ATM”) equity program in which we may from time to time offer and sell common shares having an aggregate offering price of 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$300.0 million. We intend to use the net proceeds to fund potential acquisition opportunities, fund our development and redevelopment pipeline, repay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outstanding under our revolving credit facility and/or for general corporate purposes. For the three months ended June 30, 2013, we issued 432,522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at a weighted average price per share of $116.55 for net cash proceeds of $49.8 million and paid $0.6 million in commissions and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in additional offering expenses related to the sales of these common shares. For the six months ended June 30, 2013, we issued 734,579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at a weighted average price per share of $113.08 for net cash proceeds of $82.0 million and paid $1.0 million in commissions and $0.1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offering expenses related to the sales of these common shares. As of June 30, 2013, we had the capacity to issue up to $130.3 million in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under our ATM equity program.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rental income are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23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1"/>
        </w:trPr>
        <w:tc>
          <w:tcPr>
            <w:tcW w:w="5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Minimum rents</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Retail and commercial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104,455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207,590</w:t>
            </w:r>
          </w:p>
        </w:tc>
      </w:tr>
      <w:tr>
        <w:trPr>
          <w:trHeight w:val="243"/>
        </w:trPr>
        <w:tc>
          <w:tcPr>
            <w:tcW w:w="5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13,351</w:t>
            </w:r>
          </w:p>
        </w:tc>
      </w:tr>
      <w:tr>
        <w:trPr>
          <w:trHeight w:val="27"/>
        </w:trPr>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reimbursement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53,432</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rent</w:t>
            </w: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4,584</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rental income</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153,769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141,796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306,988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282,457</w:t>
            </w:r>
          </w:p>
        </w:tc>
      </w:tr>
      <w:tr>
        <w:trPr>
          <w:trHeight w:val="27"/>
        </w:trPr>
        <w:tc>
          <w:tcPr>
            <w:tcW w:w="5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72"/>
        </w:trPr>
        <w:tc>
          <w:tcPr>
            <w:tcW w:w="558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rents include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240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1"/>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Straight-line rents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above market leases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below market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10—SHARE-BASED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23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1"/>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incurred</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Grants of common shares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4,890</w:t>
            </w:r>
          </w:p>
        </w:tc>
      </w:tr>
      <w:tr>
        <w:trPr>
          <w:trHeight w:val="243"/>
        </w:trPr>
        <w:tc>
          <w:tcPr>
            <w:tcW w:w="5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Grants of options</w:t>
            </w: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5,171</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4,718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4"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11—EARNINGS PER SHARE</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six months ended June 30, 2013 and 2012,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3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dilutive EPS calculation, dilutive stock options were calculated using the treasury stock method consistent with prior periods. There were no anti-dilutive stock options for the three and six months ended June 30, 2013 and 2012.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7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75"/>
        </w:trPr>
        <w:tc>
          <w:tcPr>
            <w:tcW w:w="74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9"/>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69,645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65,858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Income from continuing operations attributable to noncontrolling interests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available for common shareholders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32,196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66,434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63,042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11,860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 basic and diluted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37,190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71,428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74,902</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64,922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65,311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63,880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65,080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63,732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the Trust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32,545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67,133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w:t>
      </w:r>
    </w:p>
    <w:p>
      <w:pPr>
        <w:spacing w:after="0" w:line="17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On July 22, 2013, we sold the fee interest in our final building at Fifth Avenue in San Diego, California for a sales price of $15.3 million resulting in a gain of approximately $11 million.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2012 filed with the Securities and Exchange Commission (the “SEC”) on February 12, 2013.</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2012 and under Part II, Item 1A in this Quarterly Report on Form 10-Q, before making any investments in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June 30, 2013, we owned or had a controlling interest in community and neighborhood shopping centers and mixed-use properties which are operated as 89 predominantly retail real estate projects comprising approximately 19.6 million square feet (excludes unconsolidated joint venture properties). In total, the real estate projects were 95.3% leased and 94.5% occupied at June 30, 2013. A joint venture in which we own a 30% interest owned seven retail real estate projects totaling approximately 1.0 million square feet as of June 30, 2013. In total, the joint venture properties in which we own a 30% interest were 86.2% leased and 85.8% occupied at June 30, 2013.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Significant Property Acquisition &amp; Dispositions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April 3, 2013, we acquired the fee interest in a 95,000 square foot retail property located in Darien, Connecticut for $47.3 million. The purchase price allocation will be finalized after our valuation studies are complete. We incurred approximately $0.2 million of acquisition costs which are included in "general and administrative expenses" for the six months ended June 30, 2013.</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April 5, 2013, one of our tenants acquired our fee interest in the land under an office building at our Village of Shirlington property in Arlington, Virginia, that was subject to a long term ground lease. The ground lease included an option for the tenant to purchase the fee interest. The sales price was $6.5 million, and the gain was $5.0 million.</w:t>
      </w:r>
    </w:p>
    <w:p>
      <w:pPr>
        <w:spacing w:after="0" w:line="203"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On July 22, 2013, we sold the fee interest in our final building at Fifth Avenue in San Diego, California for a sales price of $15.3 million resulting in a gain of approximately $11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Significant Debt and Equity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2013, we repaid the following mortgage loans at par: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Payoff Amount</w:t>
            </w:r>
          </w:p>
        </w:tc>
        <w:tc>
          <w:tcPr>
            <w:tcW w:w="220" w:type="dxa"/>
            <w:vAlign w:val="bottom"/>
          </w:tcPr>
          <w:p>
            <w:pPr>
              <w:spacing w:after="0"/>
              <w:rPr>
                <w:sz w:val="16"/>
                <w:szCs w:val="16"/>
                <w:color w:val="auto"/>
              </w:rPr>
            </w:pPr>
          </w:p>
        </w:tc>
        <w:tc>
          <w:tcPr>
            <w:tcW w:w="18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220" w:type="dxa"/>
            <w:vAlign w:val="bottom"/>
          </w:tcPr>
          <w:p>
            <w:pPr>
              <w:spacing w:after="0"/>
              <w:rPr>
                <w:sz w:val="16"/>
                <w:szCs w:val="16"/>
                <w:color w:val="auto"/>
              </w:rPr>
            </w:pPr>
          </w:p>
        </w:tc>
        <w:tc>
          <w:tcPr>
            <w:tcW w:w="18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264"/>
        </w:trPr>
        <w:tc>
          <w:tcPr>
            <w:tcW w:w="5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5"/>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White Marsh Plaza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2013</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 2013</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Crow Canyon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2013</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11, 2013</w:t>
            </w:r>
          </w:p>
        </w:tc>
      </w:tr>
    </w:tbl>
    <w:p>
      <w:pPr>
        <w:spacing w:after="0" w:line="171"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9, 2013, we issued $275.0 million of fixed rate senior notes that mature on June 1, 2023 and bear interest at 2.75%. The net proceeds from this note offering after issuance discounts, underwriting fees and other costs were approximately $269.3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2013, we redeemed our $135.0 million 5.40% senior notes prior to the original maturity date of December 1, 2013. The redemption price of</w:t>
      </w:r>
    </w:p>
    <w:p>
      <w:pPr>
        <w:spacing w:after="0" w:line="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$138.5 million included a make-whole premium of approximately $3.3 million and accrued but unpaid interest of $0.2 million. The make-whole premium is included in "early extinguishment of debt" for the three and six months ended June 30, 2013.</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June 30, 2013, we issued 432,522 common shares at the weighted average price per share of $116.55 for net cash proceeds of $49.8 million and paid $0.6 million in commissions and less than $0.1 million in additional offering expenses related to the sales of these common shares. For the six months ended June 30, 2013, we issued 734,579 common shares at a weighted average price per share of $113.08 for net cash proceeds of $82.0 million and paid $1.0 million in commissions and $0.1 million in additional offering expenses related to the sales of these common shares. As of June 30, 2013, we had the capacity to issue up to $130.3 million in common shares under our ATM equity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$121 million and $3 million, respectively, for the six months ended June 30, 2013 and $45 million and $3 million, respectively, for the six months ended June 30, 2012. We capitalized external and internal costs related to other property improvements of $17 million and $1 million, respectively, for the six months ended June 30, 2013 and $21 million and $1 million, respectively, for the six months ended June 30, 2012. We capitalized external and internal costs related to leasing activities of $5 million and $3 million, respectively, for the six months ended June 30, 2013 and $3 million and $3 million, respectively, for the six months ended June 30, 2012. The amount of capitalized internal costs for salaries and related benefits for development and redevelopment activities, other property improvements, and leasing activities were $3 million, $1 million, and $2 million, respectively, for the six months ended June 30, 2013 and $2 million, $1 million, and $3 million, respectively, for the six months ended June 30, 2012.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development and redevelopments,</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same-center portfolio,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2013, we expect to have redevelopment projects stabilizing with projected costs of approximately $29 million.</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continue to invest in the development at Assembly Row which is a long-term development project we expect to be involved in over the coming years. The carrying value of the development portion of this project at June 30, 2013 is approximately $204 million. The project currently has zoning entitlements to build 2.3 million square feet of commercial-use buildings, 2,100 residential units, and a 200 room hotel. In December 2011, we entered into agreements with AvalonBay Communities ("AvalonBay") for a portion of the first phase of development at Assembly Row which will include 450 residential units (by AvalonBay) and approximately 326,000 square feet of retail space and 98,000 square feet of office space (both by the Trust). The Massachusetts Bay Transit Authority (MBTA) is constructing the new orange line T-Stop at the property. Our construction on the first phase commenced during first quarter 2012. Total expected costs for Phase I of Assembly Row range from $190 million to $200 million of which $67 million has been incurred to date. We expect Phase I to stabilize in 2015. Additionally during 2013, we are continuing our infrastructure work. In total, we expect to invest between $95 million and $105 million in Assembly Row in 2013, net of expected public funding.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4"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the third quarter 2012, we broke ground on the first phase of Pike &amp; Rose in Rockville, MD, a long-term multi-phased mixed-use project located on a portion of our Mid-Pike Plaza property. The property currently has zoning entitlements to build 1.7 million square feet of commercial-use buildings and 1,583 residential units. Phase I of Pike &amp; Rose involves demolition of roughly 25% of the existing gross leasable area at Mid-Pike Plaza (which was completed during the second quarter 2012) and construction of 493 residential units, 151,000 square feet of retail space and 79,000 square feet of office space. Total expected costs for Phase I of Pike &amp; Rose range from $245 million to $255 million of which $58 million has been incurred to date. We expect Phase I of the project to stabilize in 2015/2016. We expect to invest between $85 million and $105 million in 2013.</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our ongoing redevelopment efforts at Santana Row and are currently under construction on a 212 unit residential building which we expect to stabilize in 2014. Santana Row currently has zoning entitlements to build an additional 348 residential units and 305,000 square feet of retail and office space. Projected costs of the 212 unit residential building are $70 million to $75 million of which $41 million has been incurred to date. We expect to incur the remaining costs for the project throughout 2013 and early 2014.</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and Santana Row will be pursued opportunistically based on, among other things, market conditions, and our evaluation of whether those phases will generate an appropriate risk adjusted financial return.</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continued to see signs of improvement for many of our tenants as well as increased interest from prospective tenants for our retail spaces. While there can be no assurance that these positive signs will continue, we remain cautiously optimistic regarding the improved trends we have seen over the past few years. We believe the locations of our centers and diverse tenant base mitigates the negative impact of the economic environment, however, any reduction in our tenants' abilities to pay base rent, percentage rent or other charges, will adversely affect our financial condition and results of operations. During 2013, we expect to see increases in rental income as a result of our significant leasing activity over the past two years which resulted in higher occupancy in the latter half of 2012. We seek to maintain a mix of strong national, regional, and local retailers. At June 30, 2013, no single tenant accounted for more than 3.4% of annualized base rent.</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continue to review acquisition opportunities in our primary markets that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June 30, 2013, the leasable square feet in our properties was 94.5% occupied and 95.3%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second quarter 2013, we signed leases for a total of 505,000 square feet of retail space including 471,000 square feet of comparable space leases (leases for which there was a prior tenant) at an average rental increase of 15% on a cash basis and 29% on a straight-line basis. New leases for comparable spaces were signed for 258,000 square feet at an average rental increase of 24% on a cash basis and 40% on a straight-line basis. Renewals for comparable spaces were signed for 213,000 square feet at an average rental increase of 6% on a cash basis and 18% on a straight-line basis.</w:t>
      </w:r>
    </w:p>
    <w:p>
      <w:pPr>
        <w:spacing w:after="0" w:line="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2013, we signed leases for a total of 771,000 square feet of retail space including 725,000 square feet of comparable space leases (leases for which there was a prior tenant) at an average rental increase of 14% on a cash basis and 27% on a straight-line basis. New leases for comparable spaces were signed for 397,000 square feet at an average rental increase of 24% on a cash basis and 37% on a straight-line basis. Renewals for comparable spaces were signed for 328,000 square feet at an average rental increase of 5% on a cash basis and 17% on a straight-line basis.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4"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Tenant improvements and incentives were $51.43 per square foot for new leases and $0.10 per square foot for renewals for the six months ended June 30, 2013. Tenant improvements and incentives increased for new deals relative to our historical experience primarily due to a replacement tenant for Best Buy at Santana Row and one grocery anchor lease at Ellisburg Shopping Center. We expect the amount to return to levels more in line with our historical experience for the rest of 2013.</w:t>
      </w:r>
    </w:p>
    <w:p>
      <w:pPr>
        <w:spacing w:after="0" w:line="4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(fit-out) of a space as it relates to a specific 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leases signed in 2013 generally become effective over the following two years though some may not become effective until 2016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2013, we believe our leasing volume will be in-line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three and six months ended June 30, 2013, all or a portion of 81 properties were considered same-center and nine properties were considered redevelopment or expansion for both periods. For the six months ended June 30, 2013, two properties were moved from acquisitions to same-center designation and one property was moved from redevelopment to same-center designation when compared to the designations as of December 31, 2012.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development or expansion.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4"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2013 AND 2012</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153,769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141,796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11,973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157,947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147,560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10,387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1,323</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2,436</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112,068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104,117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7,951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33,596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4,994</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38,797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33,596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5,201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5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37,539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4,936</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property revenue increased $10.4 million, or 7.0%, to $157.9 million in the three months ended June 30, 2013 compared to $147.6 million in the three months ended June 30, 2012. The percentage occupied at our shopping centers increased to 94.5% at June 30, 2013 compared to 93.4% at June 30, 2012. Changes in the components of property revenue are discussed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9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7"/>
          <w:szCs w:val="17"/>
          <w:color w:val="auto"/>
        </w:rPr>
        <w:t>Rental income consists primarily of minimum rent, cost reimbursements from tenants and percentage rent. Rental income increased $12.0 million, or 8.4%, to $153.8 million in the three months ended June 30, 2013 compared to $141.8 million in the three months ended June 30, 2012 due primarily to the following:</w:t>
      </w:r>
    </w:p>
    <w:p>
      <w:pPr>
        <w:spacing w:after="0" w:line="1" w:lineRule="exact"/>
        <w:rPr>
          <w:sz w:val="20"/>
          <w:szCs w:val="20"/>
          <w:color w:val="auto"/>
        </w:rPr>
      </w:pPr>
    </w:p>
    <w:p>
      <w:pPr>
        <w:ind w:left="1700" w:right="600" w:hanging="801"/>
        <w:spacing w:after="0" w:line="281"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$6.7 million at same-center properties due primarily to approximately $3.0 million related to higher rental rates, increased occupancy of approximately $1.8 million, and an increase in recovery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$3.8 million attributable to properties acquired in 2013 and 2012, and</w:t>
      </w:r>
    </w:p>
    <w:p>
      <w:pPr>
        <w:spacing w:after="0" w:line="63" w:lineRule="exact"/>
        <w:rPr>
          <w:rFonts w:ascii="Times New Roman" w:cs="Times New Roman" w:eastAsia="Times New Roman" w:hAnsi="Times New Roman"/>
          <w:sz w:val="18"/>
          <w:szCs w:val="18"/>
          <w:color w:val="auto"/>
        </w:rPr>
      </w:pPr>
    </w:p>
    <w:p>
      <w:pPr>
        <w:ind w:left="1700" w:right="60" w:hanging="801"/>
        <w:spacing w:after="0" w:line="282"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$0.9 million at redevelopment properties due primarily to the lease-up and stabilization of certain of our redevelopment properties partially offset by lower income from Mid-Pike Plaza as the property is prepared for the development of Pike &amp; Rose.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Property Income</w:t>
      </w:r>
    </w:p>
    <w:p>
      <w:pPr>
        <w:spacing w:after="0" w:line="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Other property income decreased $1.6 million, or 34.9%, to $2.9 million in the three months ended June 30, 2013 compared to $4.5 million in the three months ended June 30, 2012. Included in other property income are items which, although recurring, inherently tend to fluctuate more than rental income from period to period, such as lease termination fees. This decrease is primarily due to a decrease in lease termination fees at same-center properties.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$2.4 million, or 5.6%, to $45.9 million in the three months ended June 30, 2013 compared to $43.4 million in the three months ended June 30, 2012.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Rental expenses increased $1.3 million, or 4.9%, to $28.2 million in the three months ended June 30, 2013 compared to $26.9 million in the three months ended June 30, 2012. This increase is primarily due to the following:</w:t>
      </w:r>
    </w:p>
    <w:p>
      <w:pPr>
        <w:spacing w:after="0" w:line="54" w:lineRule="exact"/>
        <w:rPr>
          <w:sz w:val="20"/>
          <w:szCs w:val="20"/>
          <w:color w:val="auto"/>
        </w:rPr>
      </w:pPr>
    </w:p>
    <w:p>
      <w:pPr>
        <w:ind w:left="1420" w:hanging="52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related to properties acquired in 2013 and 2012,</w:t>
      </w:r>
    </w:p>
    <w:p>
      <w:pPr>
        <w:spacing w:after="0" w:line="76"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in repairs and maintenance at same-center and redevelopment properties,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$0.3 million in marketing expenses at our Assembly Row and Pike &amp; Rose projects,</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$0.4 million in bad debt expense at same-center properties.</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other property income and rental expenses as discussed above, rental expenses as a percentage of rental income plus other property income decreased to 18.0% in the three months ended June 30, 2013 from 18.4% in the three months ended June 30, 2012.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Real estate tax expense increased $1.1 million, or 6.7% to $17.7 million in the three months ended June 30, 2013 compared to $16.5 million in the three months ended June 30, 2012 due primarily to properties acquired in 2013 and 2012 and annual increases in assessments.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Property operating income increased $8.0 million, or 7.6%, to $112.1 million in the three months ended June 30, 2013 compared to $104.1 million in the three months ended June 30, 2012. This increase is primarily due to growth in earnings at same-center properties and properties acquired in 2013 and 2012.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Interest expense decreased $1.6 million, or 5.5%, to $27.1 million in the three months ended June 30, 2013 compared to $28.7 million in the three months ended June 30, 2012. This decrease is due primarily to the following:</w:t>
      </w:r>
    </w:p>
    <w:p>
      <w:pPr>
        <w:spacing w:after="0" w:line="2" w:lineRule="exact"/>
        <w:rPr>
          <w:sz w:val="20"/>
          <w:szCs w:val="20"/>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$3.7 million due to a lower overall weighted average borrowing rate,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in capitalized interest,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$3.4 million due to higher borrowings.</w:t>
      </w:r>
    </w:p>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Gross interest costs were $30.9 million and $31.3 million in the three months ended June 30, 2013 and 2012, respectively. Capitalized interest was $3.8 million and $2.5 million in the three months ended June 30, 2013 and 2012,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 Extinguishment of Debt</w:t>
      </w:r>
    </w:p>
    <w:p>
      <w:pPr>
        <w:spacing w:after="0" w:line="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$3.4 million of early extinguishment of debt in the three months ended June 30, 2013 relates to the make-whole premium paid as part of the early redemption of our 5.40% senior notes and the related write-off of unamortized debt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$1.2 million, or 16.3%, to $8.3 million in the three months ended June 30, 2013 from $7.1 million in the three months ended June 30, 2012. This increase is due primarily to higher personnel related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$4.7 million, or 13.2%, to $39.9 million in the three months ended June 30, 2013 from $35.2 million in the three months ended June 30, 2012. This increase is due primarily to 2013 and 2012 acquisitions and accelerated depreciation due to the change in use of a redevelopment property.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$5.0 million gain on sale of real estate for the three months ended June 30,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2013 AND 2012</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Dollars</w:t>
            </w:r>
          </w:p>
        </w:tc>
      </w:tr>
      <w:tr>
        <w:trPr>
          <w:trHeight w:val="250"/>
        </w:trPr>
        <w:tc>
          <w:tcPr>
            <w:tcW w:w="5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20" w:type="dxa"/>
            <w:vAlign w:val="bottom"/>
          </w:tcPr>
          <w:p>
            <w:pPr>
              <w:spacing w:after="0"/>
              <w:rPr>
                <w:sz w:val="21"/>
                <w:szCs w:val="21"/>
                <w:color w:val="auto"/>
              </w:rPr>
            </w:pPr>
          </w:p>
        </w:tc>
      </w:tr>
      <w:tr>
        <w:trPr>
          <w:trHeight w:val="25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306,988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282,457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24,531</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315,699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293,849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21,850</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93,045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85,610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7,435</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222,654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208,239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14,415</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69,645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65,858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3,787</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74,639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77,718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5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72,127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75,589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Total property revenue increased $21.9 million, or 7.4%, to $315.7 million in the six months ended June 30, 2013 compared to $293.8 million in the six months ended June 30, 2012. The percentage occupied at our shopping centers increased to 94.5% at June 30, 2013 compared to 93.4% at June 30, 2012. Changes in the components of property revenue are discussed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9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Rental income increased $24.5 million, or 8.7%, to $307.0 million in the six months ended June 30, 2013 compared to $282.5 million in the six months ended June 30, 2012 due primarily to the following:</w:t>
      </w:r>
    </w:p>
    <w:p>
      <w:pPr>
        <w:spacing w:after="0" w:line="1" w:lineRule="exact"/>
        <w:rPr>
          <w:sz w:val="20"/>
          <w:szCs w:val="20"/>
          <w:color w:val="auto"/>
        </w:rPr>
      </w:pPr>
    </w:p>
    <w:p>
      <w:pPr>
        <w:ind w:left="1700" w:right="520" w:hanging="801"/>
        <w:spacing w:after="0" w:line="281"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$14.9 million at same-center properties due primarily to approximately $6.3 million related to higher rental rates, increased occupancy of approximately $3.3 million, an increase in recovery income, and an increase in percentage rent,</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$7.0 million attributable to properties acquired in 2013 and 2012, and</w:t>
      </w:r>
    </w:p>
    <w:p>
      <w:pPr>
        <w:spacing w:after="0" w:line="63" w:lineRule="exact"/>
        <w:rPr>
          <w:rFonts w:ascii="Times New Roman" w:cs="Times New Roman" w:eastAsia="Times New Roman" w:hAnsi="Times New Roman"/>
          <w:sz w:val="18"/>
          <w:szCs w:val="18"/>
          <w:color w:val="auto"/>
        </w:rPr>
      </w:pPr>
    </w:p>
    <w:p>
      <w:pPr>
        <w:ind w:left="1700" w:right="60" w:hanging="801"/>
        <w:spacing w:after="0" w:line="282"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million at redevelopment properties due primarily to the lease-up and stabilization of certain of our redevelopment properties partially offset by lower income from Mid-Pike Plaza as the property is prepared for the development of Pike &amp; Rose.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Property Income</w:t>
      </w:r>
    </w:p>
    <w:p>
      <w:pPr>
        <w:spacing w:after="0" w:line="92" w:lineRule="exact"/>
        <w:rPr>
          <w:sz w:val="20"/>
          <w:szCs w:val="20"/>
          <w:color w:val="auto"/>
        </w:rPr>
      </w:pPr>
    </w:p>
    <w:p>
      <w:pPr>
        <w:ind w:left="60" w:right="120"/>
        <w:spacing w:after="0" w:line="261" w:lineRule="auto"/>
        <w:rPr>
          <w:sz w:val="20"/>
          <w:szCs w:val="20"/>
          <w:color w:val="auto"/>
        </w:rPr>
      </w:pPr>
      <w:r>
        <w:rPr>
          <w:rFonts w:ascii="Times New Roman" w:cs="Times New Roman" w:eastAsia="Times New Roman" w:hAnsi="Times New Roman"/>
          <w:sz w:val="18"/>
          <w:szCs w:val="18"/>
          <w:color w:val="auto"/>
        </w:rPr>
        <w:t>Other property income decreased $2.7 million, or 30.1%, to $6.2 million in the six months ended June 30, 2013 compared to $8.8 million in the six months ended June 30, 2012. Included in other property income are items which, although recurring, inherently tend to fluctuate more than rental income from period to period, such as lease termination fees. This decrease is primarily due to a decrease in lease termination fees at same-center properties, partially offset by an increase in lease termination fees at redevelopment properties.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$7.4 million , or 8.7%, to $93.0 million in the six months ended June 30, 2013 compared to $85.6 million in the six months ended June 30, 2012.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expenses increased $4.7 million, or 8.9%, to $57.7 million in the six months ended June 30, 2013 compared to $53.0 million in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2012. This increase is primarily due to the following:</w:t>
      </w:r>
    </w:p>
    <w:p>
      <w:pPr>
        <w:spacing w:after="0" w:line="45" w:lineRule="exact"/>
        <w:rPr>
          <w:sz w:val="20"/>
          <w:szCs w:val="20"/>
          <w:color w:val="auto"/>
        </w:rPr>
      </w:pPr>
    </w:p>
    <w:p>
      <w:pPr>
        <w:ind w:left="1700" w:right="340" w:hanging="801"/>
        <w:spacing w:after="0" w:line="281"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 million in repairs and maintenance at same-center and redevelopment properties due primarily to higher snow removal costs, and</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related to properties acquired in 2013 and 2012,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$0.3 million in marketing expenses at our Assembly Row and Pike &amp; Rose projects,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$0.6 million in bad debt expense.</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other property income and rental expenses as discussed above, rental expenses as a percentage of rental income plus other property income increased to 18.4% in the six months ended June 30, 2013 from 18.2% in the six months ended June 30, 2012.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Real estate tax expense increased $2.7 million, or 8.3% to $35.3 million in the six months ended June 30, 2013 compared to $32.6 million in the six months ended June 30, 2012 due primarily to properties acquired in 2013 and 2012 and annual increases in assessments.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$14.4 million, or 6.9% , to $222.7 million in the six months ended June 30, 2013 compared to $208.2 million in the six months ended June 30, 2012. This increase is primarily due to growth in earnings at same-center properties, properties acquired in 2013 and 2012 and redevelopment properties.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decreased $3.0 million, or 5.2%, to $54.6 million in the six months ended June 30, 2013 compared to $57.5 million in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2012. This decrease is due primarily to the following:</w:t>
      </w:r>
    </w:p>
    <w:p>
      <w:pPr>
        <w:spacing w:after="0" w:line="45" w:lineRule="exact"/>
        <w:rPr>
          <w:sz w:val="20"/>
          <w:szCs w:val="20"/>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$6.2 million due to a lower overall weighted average borrowing rate,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in capitalized interest,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$4.8 million due to higher borrowings.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Gross interest costs were $61.2 million and $62.5 million in the six months ended June 30, 2013 and 2012, respectively. Capitalized interest was $6.6 million and $5.0 million in the six months ended June 30, 2013 and 2012,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 Extinguishment of Debt</w:t>
      </w:r>
    </w:p>
    <w:p>
      <w:pPr>
        <w:spacing w:after="0" w:line="9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$3.4 million of early extinguishment of debt in the six months ended June 30, 2013 relates to the make-whole premium paid as part of the early redemption of our 5.40% senior notes and the related write-off of unamortized debt fees.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124"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$1.2 million, or 8.6%, to $15.4 million in the six months ended June 30, 2013 from $14.1 million in the six months ended June 30, 2012. This increase is due primarily to higher personnel related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$8.7 million, or 12.1%, to $80.5 million in the six months ended June 30, 2013 from $71.8 million in the six months ended June 30, 2012. This increase is due primarily to 2013 and 2012 acquisitions and accelerated depreciation due to the change in use of a redevelopment property.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w:t>
      </w:r>
    </w:p>
    <w:p>
      <w:pPr>
        <w:spacing w:after="0" w:line="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$5.0 million gain on sale of real estate for the six months ended June 30,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4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$11.9 million gain on sale of real estate in the six months ended June 30, 2012 is due to the sale of our Newbury Street Partnership's entire portfolio of three buildings on October 31, 2011. Due to the timing of receiving financial information from the general partner, our share of earnings was recorded one quarter in arrears. Therefore, we recognized the gain on sale of $11.9 million in the six months ended June 30, 2012.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February 2013, the FASB issued ASU 2013-02, “Comprehensive Income (Topic 220): Reporting Amounts Reclassified Out of Accumulated Other Comprehensive Income.” ASU 2013-02 requires entities to disclose certain information relating to amounts reclassified out of accumulated other comprehensive income. We adopted the standard effective January 1, 2013 and it did not have a significant impact to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2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June 30, 2013, we had $108.4 million of cash and cash equivalents and no borrowings outstanding on our $600.0 million revolving credit facility that matures on April 21, 2017. In addition, we have an option (subject to bank approval) to increase the credit facility through an accordion feature to $1.0 billion. Our $275.0 million unsecured term loan which matures on November 21, 2018 also has an option (subject to bank approval) to increase the term loan through an accordion feature to $350.0 million. As of June 30, 2013, we had the capacity to issue up to $130.3 million in common shares under our ATM equity program.</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2013, the maximum amount of borrowings outstanding under our revolving credit facility was $76.0 million, the weighted average amount of borrowings outstanding was $19.7 million and the weighted average interest rate, before amortization of debt fees, was 1.29%. On May 9, 2013, we issued $275.0 million of fixed rate senior notes that mature on June 1, 2023 and bear interest at 2.75%. The net proceeds from this note offering after issuance discounts, underwriting fees and other costs were approximately $269.3 million. On June 9, 2013, we redeemed our $135.0 million 5.40% senior notes prior to the original maturity date of December 1, 2013. The redemption included a $3.3 million make-whole premium. We have no additional debt maturing for the remainder of 2013. We currently believe that cash flows from operations, cash on hand, our ATM equity program, our revolving credit facility and our general ability to access the capital</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124"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will be sufficient to finance our operations and fund our debt service requirements (including maturities) and capital expenditures.</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overall capital requirements for the remainder of 2013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2013 which is the result of the 212 unit residential building at Santana Row, which will open in late 2013, and the continued construction of Phase 1 at both Assembly Row and Pike &amp; Rose with expected openings of portions of both projects in 2014. Over the next two years, we expect to invest approximately $350 million related to the current phases of these three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future development and redevelopment projects as well as limit future acquisitions, reduce our operating expenditures, or re-evaluate our dividend policy.</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conditions in the capital markets which could affect our ability to access those markets, the following factors could affect our ability to meet our liquidity requirements:</w:t>
      </w:r>
    </w:p>
    <w:p>
      <w:pPr>
        <w:ind w:left="1700" w:right="40" w:hanging="801"/>
        <w:spacing w:after="0" w:line="250" w:lineRule="auto"/>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service additional or replacement debt due to increases in interest rates or a decline in our operating performance.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146,696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149,895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82,860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71,378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14,968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36,988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67,806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108,366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82,774</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$3.2 million to $146.7 million during the six months ended June 30, 2013 from $149.9 million during the six months ended June 30, 2012. The decrease was primarily attributable to higher unbilled receivables as a result of higher snow removal and other recoverable expenses and lower prepaid rent, partially offset by higher net income before certain non-cash items.</w:t>
      </w:r>
    </w:p>
    <w:p>
      <w:pPr>
        <w:spacing w:after="0" w:line="12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increased $84.8 million to $158.2 million during the six months ended June 30, 2013 from $73.3 million during the six months ended June 30, 2012. The increase was primarily attributable to:</w:t>
      </w:r>
    </w:p>
    <w:p>
      <w:pPr>
        <w:spacing w:after="0" w:line="2" w:lineRule="exact"/>
        <w:rPr>
          <w:sz w:val="20"/>
          <w:szCs w:val="20"/>
          <w:color w:val="auto"/>
        </w:rPr>
      </w:pPr>
    </w:p>
    <w:p>
      <w:pPr>
        <w:ind w:left="1700" w:hanging="80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 million acquisition of a shopping center in Darien, Connecticut in April 2013,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$45.2 million increase in capital investments in 2013 due primarily to our projects at Assembly Row, Pike &amp; Rose and Santana Row,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million in proceeds from the sale of real estate in 2013.</w:t>
      </w:r>
    </w:p>
    <w:p>
      <w:pPr>
        <w:spacing w:after="0" w:line="17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increased $144.4 million to $82.9 million during the six months ended June 30, 2013 from $61.6 million used during the six months ended June 30, 2012. The increase was primarily attributable to:</w:t>
      </w:r>
    </w:p>
    <w:p>
      <w:pPr>
        <w:spacing w:after="0" w:line="2" w:lineRule="exact"/>
        <w:rPr>
          <w:sz w:val="20"/>
          <w:szCs w:val="20"/>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$269.3 million in net proceeds from the issuance of 2.75% senior notes in May 2013, and</w:t>
      </w:r>
    </w:p>
    <w:p>
      <w:pPr>
        <w:spacing w:after="0" w:line="63" w:lineRule="exact"/>
        <w:rPr>
          <w:rFonts w:ascii="Times New Roman" w:cs="Times New Roman" w:eastAsia="Times New Roman" w:hAnsi="Times New Roman"/>
          <w:sz w:val="18"/>
          <w:szCs w:val="18"/>
          <w:color w:val="auto"/>
        </w:rPr>
      </w:pPr>
    </w:p>
    <w:p>
      <w:pPr>
        <w:ind w:left="1700" w:right="240" w:hanging="801"/>
        <w:spacing w:after="0" w:line="282" w:lineRule="auto"/>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 million increase in net proceeds from the issuance of common shares due primarily to the sale of 0.7 million shares under our ATM equity program at a weighted average price of $113.08 during the six</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27" w:lineRule="exact"/>
        <w:rPr>
          <w:sz w:val="20"/>
          <w:szCs w:val="20"/>
          <w:color w:val="auto"/>
        </w:rPr>
      </w:pPr>
    </w:p>
    <w:p>
      <w:pPr>
        <w:ind w:left="1700" w:right="340"/>
        <w:spacing w:after="0" w:line="313" w:lineRule="auto"/>
        <w:rPr>
          <w:sz w:val="20"/>
          <w:szCs w:val="20"/>
          <w:color w:val="auto"/>
        </w:rPr>
      </w:pPr>
      <w:r>
        <w:rPr>
          <w:rFonts w:ascii="Times New Roman" w:cs="Times New Roman" w:eastAsia="Times New Roman" w:hAnsi="Times New Roman"/>
          <w:sz w:val="18"/>
          <w:szCs w:val="18"/>
          <w:color w:val="auto"/>
        </w:rPr>
        <w:t>months ended June 30, 2013 compared to 0.4 million at a weighted average price of $98.54 during the six months ended June 30, 2012,</w:t>
      </w:r>
    </w:p>
    <w:p>
      <w:pPr>
        <w:ind w:left="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million redemption of our 5.4% senior notes in June 2013,</w:t>
      </w:r>
    </w:p>
    <w:p>
      <w:pPr>
        <w:spacing w:after="0" w:line="63" w:lineRule="exact"/>
        <w:rPr>
          <w:rFonts w:ascii="Times New Roman" w:cs="Times New Roman" w:eastAsia="Times New Roman" w:hAnsi="Times New Roman"/>
          <w:sz w:val="18"/>
          <w:szCs w:val="18"/>
          <w:color w:val="auto"/>
        </w:rPr>
      </w:pPr>
    </w:p>
    <w:p>
      <w:pPr>
        <w:ind w:left="1700" w:right="80" w:hanging="801"/>
        <w:spacing w:after="0" w:line="281" w:lineRule="auto"/>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million increase in repayment of mortgages, capital leases and notes payable due to the payoff of two mortgages totaling $28.2 million in 2013 compared to one mortgage for $6.9 million in 2012, and</w:t>
      </w:r>
    </w:p>
    <w:p>
      <w:pPr>
        <w:spacing w:after="0" w:line="1" w:lineRule="exact"/>
        <w:rPr>
          <w:rFonts w:ascii="Times New Roman" w:cs="Times New Roman" w:eastAsia="Times New Roman" w:hAnsi="Times New Roman"/>
          <w:sz w:val="18"/>
          <w:szCs w:val="18"/>
          <w:color w:val="auto"/>
        </w:rPr>
      </w:pPr>
    </w:p>
    <w:p>
      <w:pPr>
        <w:ind w:left="1700" w:right="620" w:hanging="801"/>
        <w:spacing w:after="0" w:line="282" w:lineRule="auto"/>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million increase in dividends paid to shareholders due to an increase in the dividend rate and increased number of shares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2013,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June 30, 2013, our investment in the Partnership was $33.0 million and the Partnership had approximately $57.0 million of mortgages payable outstanding.</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124"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June 30, 2013:</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4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3"/>
                <w:szCs w:val="13"/>
                <w:color w:val="auto"/>
              </w:rPr>
            </w:pPr>
          </w:p>
        </w:tc>
        <w:tc>
          <w:tcPr>
            <w:tcW w:w="15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Principal Balance as of</w:t>
            </w:r>
          </w:p>
        </w:tc>
        <w:tc>
          <w:tcPr>
            <w:tcW w:w="120" w:type="dxa"/>
            <w:vAlign w:val="bottom"/>
          </w:tcPr>
          <w:p>
            <w:pPr>
              <w:spacing w:after="0"/>
              <w:rPr>
                <w:sz w:val="13"/>
                <w:szCs w:val="13"/>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 as of</w:t>
            </w: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20" w:type="dxa"/>
            <w:vAlign w:val="bottom"/>
          </w:tcPr>
          <w:p>
            <w:pPr>
              <w:spacing w:after="0"/>
              <w:rPr>
                <w:sz w:val="16"/>
                <w:szCs w:val="16"/>
                <w:color w:val="auto"/>
              </w:rPr>
            </w:pPr>
          </w:p>
        </w:tc>
        <w:tc>
          <w:tcPr>
            <w:tcW w:w="15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June 30, 2013</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2013</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Idylwood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16,910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15,835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Leesburg Plaza</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29,423</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27,553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Loehmann’s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38,047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35,628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Pentagon Row</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54,619</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51,147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Melville Mall (2)</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21,126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1,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54,787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Barracks Road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44,300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37,580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Hauppauge</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16,700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14,167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Lawrence Park</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26,637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Wildwood</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27,600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23,413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Wynnewood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27,146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Brick Plaza</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33,000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27,650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East Bay Bridge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62,465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Rollingwood Apartments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24,050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22,706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1, 2019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29th Place (Shoppers’ World)</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5,204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31, 2021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Montrose Crossing</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78,055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10,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7,361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713,460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11,524</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724,984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Term loan (3)</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LIBOR + 1.30%</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 (4)</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16,005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15,579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2028</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Escondido (municipal bonds) (5)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Revolving credit facility (6)</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LIBOR + 0.90%</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21, 2017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299,979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5.95%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5.65%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6.20%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5.90%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1, 2020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3.00%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 2023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1,219,200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unamortized discount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1,213,333</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Capital lease obligations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71,682</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Various</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2,309,978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240" w:hanging="652"/>
        <w:spacing w:after="0" w:line="28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payable do not include our 30% share ($17.1 million) of the $57.0 million debt of the partnership with a discretionary fund created and advised by ING Clarion Partners.</w:t>
      </w:r>
    </w:p>
    <w:p>
      <w:pPr>
        <w:spacing w:after="0" w:line="1" w:lineRule="exact"/>
        <w:rPr>
          <w:rFonts w:ascii="Times New Roman" w:cs="Times New Roman" w:eastAsia="Times New Roman" w:hAnsi="Times New Roman"/>
          <w:sz w:val="18"/>
          <w:szCs w:val="18"/>
          <w:color w:val="auto"/>
        </w:rPr>
      </w:pPr>
    </w:p>
    <w:p>
      <w:pPr>
        <w:ind w:left="660" w:right="80" w:hanging="652"/>
        <w:spacing w:after="0" w:line="313"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w:t>
      </w:r>
    </w:p>
    <w:p>
      <w:pPr>
        <w:sectPr>
          <w:pgSz w:w="11900" w:h="16838" w:orient="portrait"/>
          <w:cols w:equalWidth="0" w:num="1">
            <w:col w:w="11420"/>
          </w:cols>
          <w:pgMar w:left="240" w:top="124" w:right="23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mortgage loan is reflected on the balance sheet, though it is not our legal obligation.</w:t>
      </w:r>
    </w:p>
    <w:p>
      <w:pPr>
        <w:sectPr>
          <w:pgSz w:w="11900" w:h="16838" w:orient="portrait"/>
          <w:cols w:equalWidth="0" w:num="1">
            <w:col w:w="9559"/>
          </w:cols>
          <w:pgMar w:left="900" w:top="121" w:right="1440" w:bottom="1440" w:gutter="0" w:footer="0" w:header="0"/>
        </w:sectPr>
      </w:pPr>
    </w:p>
    <w:p>
      <w:pPr>
        <w:spacing w:after="0" w:line="26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559"/>
          </w:cols>
          <w:pgMar w:left="900" w:top="121"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00" w:lineRule="exact"/>
        <w:rPr>
          <w:sz w:val="20"/>
          <w:szCs w:val="20"/>
          <w:color w:val="auto"/>
        </w:rPr>
      </w:pPr>
    </w:p>
    <w:p>
      <w:pPr>
        <w:ind w:left="660" w:right="120" w:hanging="652"/>
        <w:spacing w:after="0" w:line="28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two interest rate swap agreements that fix the LIBOR portion of the interest rate on the term loan at 1.72%. The spread on the term loan was reduced from 145 basis points to 130 basis points based on our credit rating at May 1, 2013 resulting in a fixed rate of 3.02%.</w:t>
      </w:r>
    </w:p>
    <w:p>
      <w:pPr>
        <w:spacing w:after="0" w:line="1" w:lineRule="exact"/>
        <w:rPr>
          <w:rFonts w:ascii="Times New Roman" w:cs="Times New Roman" w:eastAsia="Times New Roman" w:hAnsi="Times New Roman"/>
          <w:sz w:val="18"/>
          <w:szCs w:val="18"/>
          <w:color w:val="auto"/>
        </w:rPr>
      </w:pPr>
    </w:p>
    <w:p>
      <w:pPr>
        <w:ind w:left="660" w:right="680" w:hanging="652"/>
        <w:spacing w:after="0" w:line="28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of 5.43% represents the weighted average interest rate for ten unsecured fixed rate notes payable. These notes mature from November 15, 2014 to May 31, 2028.</w:t>
      </w:r>
    </w:p>
    <w:p>
      <w:pPr>
        <w:spacing w:after="0" w:line="1" w:lineRule="exact"/>
        <w:rPr>
          <w:rFonts w:ascii="Times New Roman" w:cs="Times New Roman" w:eastAsia="Times New Roman" w:hAnsi="Times New Roman"/>
          <w:sz w:val="18"/>
          <w:szCs w:val="18"/>
          <w:color w:val="auto"/>
        </w:rPr>
      </w:pPr>
    </w:p>
    <w:p>
      <w:pPr>
        <w:ind w:left="660" w:right="400" w:hanging="652"/>
        <w:spacing w:after="0" w:line="28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 w:lineRule="exact"/>
        <w:rPr>
          <w:rFonts w:ascii="Times New Roman" w:cs="Times New Roman" w:eastAsia="Times New Roman" w:hAnsi="Times New Roman"/>
          <w:sz w:val="18"/>
          <w:szCs w:val="18"/>
          <w:color w:val="auto"/>
        </w:rPr>
      </w:pPr>
    </w:p>
    <w:p>
      <w:pPr>
        <w:ind w:left="660" w:right="32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revolving credit facility during the six months ended June 30, 2013 was $76.0 million, and the weighted average interest rate on borrowings under our revolving credit facility, before amortization of debt fees, was 1.29%.</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revolving credit facility, term loan and other debt agreements include financial and other covenants that may limit our operating activities in the future. As of June 30, 2013,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June 30, 2013:</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6,023</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6,202</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160,268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158,855</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319,148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297</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206,007</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206,331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134,727</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62,412</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197,169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200,361</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177,654</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378,049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1,023,361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102,509</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1,197,422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1,519,179</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713,460</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2,304,321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hanging="652"/>
        <w:spacing w:after="0" w:line="28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revolving credit facility matures on April 21, 2017, subject to a one-year extension at our option. As of June 30, 2013, there was $0 drawn under our revolving credit facility.</w:t>
      </w:r>
    </w:p>
    <w:p>
      <w:pPr>
        <w:spacing w:after="0" w:line="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differs from the total reported on the consolidated balance sheet due to the unamortized net premium or discount on certain mortgage loans, senior notes and debentures as of June 30, 2013.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124"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cash flow hedge is deemed ineffective, the ineffective portion of changes in fair value of the interest rate swaps associated with our cash flow hedges is recognized in earnings in the period affected.</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June 30, 2013, we are party to two interest rate swap agreements that effectively fixed the rate on the term loan at 3.02%. Both swaps were designated and qualified as cash flow hedges and were recorded at fair value. Hedge ineffectiveness has not impacted earnings as of June 30, 2013, and we do not anticipate it will have a significant effect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REIT Qualification</w:t>
      </w:r>
    </w:p>
    <w:p>
      <w:pPr>
        <w:spacing w:after="0" w:line="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2" w:lineRule="exact"/>
        <w:rPr>
          <w:sz w:val="20"/>
          <w:szCs w:val="20"/>
          <w:color w:val="auto"/>
        </w:rPr>
      </w:pPr>
    </w:p>
    <w:p>
      <w:pPr>
        <w:ind w:left="1700" w:right="460" w:hanging="801"/>
        <w:spacing w:after="0" w:line="281" w:lineRule="auto"/>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to FFO, we have also included FFO excluding the current period “early extinguishment of debt” charge which relates to the early redemption of our 5.40% senior notes. We believe the unusual nature of this charge, being a make-whole payment on the remaining principal and interest on the redeemed notes, is worthy of separate evaluation and consequently have provided both relevant metrics.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reconciliation of net income to FFO available for common shareholders and to FFO available for common shareholders excluding early extinguishment of debt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38,797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33,596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74,639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77,718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35,834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joint venture real estate assets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71,388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133,863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66,778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133,432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Early extinguishment of debt, net of allocation to unvested shares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380"/>
              <w:spacing w:after="0" w:line="205" w:lineRule="exact"/>
              <w:rPr>
                <w:sz w:val="20"/>
                <w:szCs w:val="20"/>
                <w:color w:val="auto"/>
              </w:rPr>
            </w:pPr>
            <w:r>
              <w:rPr>
                <w:rFonts w:ascii="Times New Roman" w:cs="Times New Roman" w:eastAsia="Times New Roman" w:hAnsi="Times New Roman"/>
                <w:sz w:val="18"/>
                <w:szCs w:val="18"/>
                <w:color w:val="auto"/>
              </w:rPr>
              <w:t>Funds from operations available for common shareholders excluding early</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74,531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66,778</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148,580</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133,432</w:t>
            </w: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extinguishment of debt</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diluted (1)</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65,605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64,204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65,383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64,074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per diluted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6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excluding early</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4"/>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extinguishment of debt, per diluted share</w:t>
            </w: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-127635</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jc w:val="both"/>
        <w:ind w:left="660" w:right="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June 30, 2013, we were party to two interest rate swap agreements that effectively fixed the rate on the term loan at 3.02%.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 changing interest rate environment could have on the overall level of economic activity or the action that our management might take to reduce our exposure to the change. This analysis assumes no change in our financial structure.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June 30, 2013, we had $2.3 billion of fixed-rate debt outstanding, including our $275.0 million term loan as the rate is effectively fixed by two interest rate swap agreements, and $71.7 million of capital lease obligations. If market interest rates used to calculate the fair value on our fixed-rate debt instruments at June 30, 2013 had been 1.0% higher, the fair value of those debt instruments on that date would have decreased by approximately $88.4 million. If market interest rates used to calculate the fair value on our fixed-rate debt instruments at June 30, 2013 had been 1.0% lower, the fair value of those debt instruments on that date would have increased by approximately $94.3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variable rate debt. At June 30, 2013, we had $9.4 million of variable rate debt outstanding which consisted of municipal bonds. Our revolving credit facility had no outstanding balance as of June 30, 2013.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2013. Based on this evaluation, our management, including our Chief Executive Officer and Chief Financial Officer, concluded that our disclosure controls and procedures were effective as of June 30, 2013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quarterly period covered by this reports that materially affected, or is reasonably likely to materially affect, our internal control over financial reporting.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for the year ended December 31, 2012 filed with the SEC on February 12, 2013. These factors include, but are not limited to, the following:</w:t>
      </w:r>
    </w:p>
    <w:p>
      <w:pPr>
        <w:spacing w:after="0" w:line="2" w:lineRule="exact"/>
        <w:rPr>
          <w:sz w:val="20"/>
          <w:szCs w:val="20"/>
          <w:color w:val="auto"/>
        </w:rPr>
      </w:pPr>
    </w:p>
    <w:p>
      <w:pPr>
        <w:ind w:left="1700" w:right="100" w:hanging="801"/>
        <w:spacing w:after="0" w:line="281"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spacing w:after="0" w:line="1" w:lineRule="exact"/>
        <w:rPr>
          <w:rFonts w:ascii="Times New Roman" w:cs="Times New Roman" w:eastAsia="Times New Roman" w:hAnsi="Times New Roman"/>
          <w:sz w:val="18"/>
          <w:szCs w:val="18"/>
          <w:color w:val="auto"/>
        </w:rPr>
      </w:pPr>
    </w:p>
    <w:p>
      <w:pPr>
        <w:ind w:left="1700" w:right="60" w:hanging="801"/>
        <w:spacing w:after="0" w:line="266"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00" w:lineRule="exact"/>
        <w:rPr>
          <w:sz w:val="20"/>
          <w:szCs w:val="20"/>
          <w:color w:val="auto"/>
        </w:rPr>
      </w:pPr>
    </w:p>
    <w:p>
      <w:pPr>
        <w:ind w:left="1700" w:right="180" w:hanging="801"/>
        <w:spacing w:after="0" w:line="266"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4"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63" w:lineRule="exact"/>
        <w:rPr>
          <w:rFonts w:ascii="Times New Roman" w:cs="Times New Roman" w:eastAsia="Times New Roman" w:hAnsi="Times New Roman"/>
          <w:sz w:val="18"/>
          <w:szCs w:val="18"/>
          <w:color w:val="auto"/>
        </w:rPr>
      </w:pPr>
    </w:p>
    <w:p>
      <w:pPr>
        <w:ind w:left="2760" w:right="460" w:hanging="807"/>
        <w:spacing w:after="0" w:line="281" w:lineRule="auto"/>
        <w:tabs>
          <w:tab w:leader="none" w:pos="2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1"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acquisitions may fail to perform as expected,</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at our properties and result in unanticipated costs, and</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we may not be able to sell properties when appropriate;</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63" w:lineRule="exact"/>
        <w:rPr>
          <w:rFonts w:ascii="Times New Roman" w:cs="Times New Roman" w:eastAsia="Times New Roman" w:hAnsi="Times New Roman"/>
          <w:sz w:val="18"/>
          <w:szCs w:val="18"/>
          <w:color w:val="auto"/>
        </w:rPr>
      </w:pPr>
    </w:p>
    <w:p>
      <w:pPr>
        <w:ind w:left="1700" w:right="180" w:hanging="801"/>
        <w:spacing w:after="0" w:line="266"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4" w:lineRule="exact"/>
        <w:rPr>
          <w:rFonts w:ascii="Times New Roman" w:cs="Times New Roman" w:eastAsia="Times New Roman" w:hAnsi="Times New Roman"/>
          <w:sz w:val="18"/>
          <w:szCs w:val="18"/>
          <w:color w:val="auto"/>
        </w:rPr>
      </w:pPr>
    </w:p>
    <w:p>
      <w:pPr>
        <w:ind w:left="1700" w:hanging="801"/>
        <w:spacing w:after="0" w:line="266"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June 30, 2013, we redeemed 12,138 operating partnership units for cash.</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20"/>
          </w:cols>
          <w:pgMar w:left="24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Times New Roman" w:cs="Times New Roman" w:eastAsia="Times New Roman" w:hAnsi="Times New Roman"/>
          <w:sz w:val="18"/>
          <w:szCs w:val="18"/>
          <w:color w:val="auto"/>
        </w:rPr>
        <w:t>August 1, 2013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Times New Roman" w:cs="Times New Roman" w:eastAsia="Times New Roman" w:hAnsi="Times New Roman"/>
          <w:sz w:val="18"/>
          <w:szCs w:val="18"/>
          <w:color w:val="auto"/>
        </w:rPr>
        <w:t>August 1, 2013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80"/>
          </w:cols>
          <w:pgMar w:left="240" w:top="124"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160009)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2013; 5.95% Notes due 2014; 5.90% Notes due 2020; 3.00% Notes due 2022; and 2.75% Notes due 2023 (previously filed as Exhibit 4(a)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Trust’s Registration Statement on Form S-3 (File No. 333-63619) filed on September 17, 1998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Split Dollar Life Insurance Agreement dated August 12, 1998 between the Trust and Donald C. Wood (previously filed as a portion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 to the Trust’s Annual Report on Form 10-K for the year ended December 31, 2000 (File No. 1-07533) and incorporated herein by</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10-Q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awards made under the Trust’s Annual Incentive Bonus Program for shares issued out of 2001</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Incentive Plan (previously filed as Exhibit 10.29 to the 2004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4"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4" w:right="2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bl>
    <w:p>
      <w:pPr>
        <w:ind w:left="1080" w:right="340"/>
        <w:spacing w:after="0" w:line="261" w:lineRule="auto"/>
        <w:rPr>
          <w:sz w:val="20"/>
          <w:szCs w:val="20"/>
          <w:color w:val="auto"/>
        </w:rPr>
      </w:pPr>
      <w:r>
        <w:rPr>
          <w:rFonts w:ascii="Times New Roman" w:cs="Times New Roman" w:eastAsia="Times New Roman" w:hAnsi="Times New Roman"/>
          <w:sz w:val="18"/>
          <w:szCs w:val="18"/>
          <w:color w:val="auto"/>
        </w:rPr>
        <w:t>Lead Arranger and Book Manager (previously filed as Exhibit 10.1 to the Trust’s Current Report on Form 8-K (File No. 1-07533), filed on July 11, 2011 and incorporated herein by reference)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4"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issued out of the 2010 Plan (previously filed as Exhibit 10.35 to the Trust's Annual Report on Form 10-K for the year ended December 31,</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2012 (File No. 1-07533) (the "2012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Performance Share Award Agreement for shares awarded out of the 2010 Plan (previously filed as Exhibit 10.37 to the Trust's 2012</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80" w:right="460" w:hanging="1045"/>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Trust’s Quarterly Report on Form 10-Q for the quarter ended June 30, 2013,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4"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August 1, 2013</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James M. Taylor, Jr.</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18"/>
          <w:szCs w:val="18"/>
          <w:color w:val="auto"/>
        </w:rPr>
        <w:t>August 1, 2013</w:t>
      </w:r>
      <w:r>
        <w:rPr>
          <w:sz w:val="20"/>
          <w:szCs w:val="20"/>
          <w:color w:val="auto"/>
        </w:rPr>
        <w:tab/>
      </w:r>
      <w:r>
        <w:rPr>
          <w:rFonts w:ascii="Times New Roman" w:cs="Times New Roman" w:eastAsia="Times New Roman" w:hAnsi="Times New Roman"/>
          <w:sz w:val="17"/>
          <w:szCs w:val="17"/>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2013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August 1, 2013</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2013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18"/>
          <w:szCs w:val="18"/>
          <w:color w:val="auto"/>
        </w:rPr>
        <w:t>August 1, 2013</w:t>
      </w:r>
      <w:r>
        <w:rPr>
          <w:sz w:val="20"/>
          <w:szCs w:val="20"/>
          <w:color w:val="auto"/>
        </w:rPr>
        <w:tab/>
      </w:r>
      <w:r>
        <w:rPr>
          <w:rFonts w:ascii="Times New Roman" w:cs="Times New Roman" w:eastAsia="Times New Roman" w:hAnsi="Times New Roman"/>
          <w:sz w:val="17"/>
          <w:szCs w:val="17"/>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3"/>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lvl w:ilvl="1">
      <w:lvlJc w:val="left"/>
      <w:lvlText w:val="•"/>
      <w:numFmt w:val="bullet"/>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2019-12-05T10:16:54Z</dcterms:created>
  <dcterms:modified xsi:type="dcterms:W3CDTF">2019-12-05T10:16:54Z</dcterms:modified>
</cp:coreProperties>
</file>