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December 4,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980" w:type="dxa"/>
            <w:vAlign w:val="bottom"/>
          </w:tcPr>
          <w:p>
            <w:pPr>
              <w:jc w:val="center"/>
              <w:ind w:right="1242"/>
              <w:spacing w:after="0"/>
              <w:rPr>
                <w:sz w:val="20"/>
                <w:szCs w:val="20"/>
                <w:color w:val="auto"/>
              </w:rPr>
            </w:pPr>
            <w:r>
              <w:rPr>
                <w:rFonts w:ascii="Arial" w:cs="Arial" w:eastAsia="Arial" w:hAnsi="Arial"/>
                <w:sz w:val="18"/>
                <w:szCs w:val="18"/>
                <w:b w:val="1"/>
                <w:bCs w:val="1"/>
                <w:color w:val="auto"/>
                <w:w w:val="98"/>
              </w:rPr>
              <w:t>Maryland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52-0782497</w:t>
            </w:r>
          </w:p>
        </w:tc>
      </w:tr>
      <w:tr>
        <w:trPr>
          <w:trHeight w:val="149"/>
        </w:trPr>
        <w:tc>
          <w:tcPr>
            <w:tcW w:w="2980" w:type="dxa"/>
            <w:vAlign w:val="bottom"/>
          </w:tcPr>
          <w:p>
            <w:pPr>
              <w:jc w:val="center"/>
              <w:ind w:right="12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160655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On December 4, 2013, Federal Realty Investment Trust (the “Registrant”) entered into an underwriting agreement with Wells Fargo Securities, LLC, Citigroup Global Markets Inc. and J.P. Morgan Securities LLC, as representatives of the several underwriters named in Schedule I to the related pricing agreement, whereby the Registrant agreed to issue and sell $300,000,000 aggregate principal amount of 3.95% Notes due 2024 (the “Notes”) in an underwritten public offering. The Notes will be governed by the Indenture, dated as of September 1, 1998, between the Registrant and U.S. Bank National Association (successor trustee to Wachovia Bank, National Association (successor trustee to First Union National Bank)). The offering closed on December 9, 2013.</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Notes will be senior unsecured obligations of the Registrant and will rank equally with all of the Registrant’s other senior unsecured indebtedness. The Notes will bear interest at 3.95% per annum, and interest will be payable on January 15 and July 15 of each year, beginning on July 15, 2014. The Notes will mature on January 15, 2024.</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5200" w:type="dxa"/>
            <w:vAlign w:val="bottom"/>
            <w:vMerge w:val="restart"/>
          </w:tcPr>
          <w:p>
            <w:pPr>
              <w:ind w:left="420"/>
              <w:spacing w:after="0"/>
              <w:rPr>
                <w:sz w:val="20"/>
                <w:szCs w:val="20"/>
                <w:color w:val="auto"/>
              </w:rPr>
            </w:pPr>
            <w:r>
              <w:rPr>
                <w:rFonts w:ascii="Arial" w:cs="Arial" w:eastAsia="Arial" w:hAnsi="Arial"/>
                <w:sz w:val="18"/>
                <w:szCs w:val="18"/>
                <w:color w:val="auto"/>
                <w:w w:val="90"/>
              </w:rPr>
              <w:t>Underwriting Agreement, dated December 4, 2013, by and among</w:t>
            </w: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spacing w:after="0" w:line="195" w:lineRule="exact"/>
              <w:rPr>
                <w:sz w:val="20"/>
                <w:szCs w:val="20"/>
                <w:color w:val="auto"/>
              </w:rPr>
            </w:pPr>
            <w:r>
              <w:rPr>
                <w:rFonts w:ascii="Arial" w:cs="Arial" w:eastAsia="Arial" w:hAnsi="Arial"/>
                <w:sz w:val="18"/>
                <w:szCs w:val="18"/>
                <w:color w:val="auto"/>
              </w:rPr>
              <w:t>1.1</w:t>
            </w:r>
          </w:p>
        </w:tc>
        <w:tc>
          <w:tcPr>
            <w:tcW w:w="5200" w:type="dxa"/>
            <w:vAlign w:val="bottom"/>
            <w:vMerge w:val="continue"/>
          </w:tcPr>
          <w:p>
            <w:pPr>
              <w:spacing w:after="0"/>
              <w:rPr>
                <w:sz w:val="16"/>
                <w:szCs w:val="16"/>
                <w:color w:val="auto"/>
              </w:rPr>
            </w:pPr>
          </w:p>
        </w:tc>
        <w:tc>
          <w:tcPr>
            <w:tcW w:w="5400" w:type="dxa"/>
            <w:vAlign w:val="bottom"/>
            <w:gridSpan w:val="2"/>
          </w:tcPr>
          <w:p>
            <w:pPr>
              <w:ind w:left="40"/>
              <w:spacing w:after="0" w:line="195" w:lineRule="exact"/>
              <w:rPr>
                <w:sz w:val="20"/>
                <w:szCs w:val="20"/>
                <w:color w:val="auto"/>
              </w:rPr>
            </w:pPr>
            <w:r>
              <w:rPr>
                <w:rFonts w:ascii="Arial" w:cs="Arial" w:eastAsia="Arial" w:hAnsi="Arial"/>
                <w:sz w:val="18"/>
                <w:szCs w:val="18"/>
                <w:color w:val="auto"/>
                <w:w w:val="91"/>
              </w:rPr>
              <w:t>the Registrant and Wells Fargo Securities, LLC, Citigroup Global Markets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0" w:type="dxa"/>
            <w:vAlign w:val="bottom"/>
            <w:gridSpan w:val="3"/>
          </w:tcPr>
          <w:p>
            <w:pPr>
              <w:ind w:left="420"/>
              <w:spacing w:after="0"/>
              <w:rPr>
                <w:sz w:val="20"/>
                <w:szCs w:val="20"/>
                <w:color w:val="auto"/>
              </w:rPr>
            </w:pPr>
            <w:r>
              <w:rPr>
                <w:rFonts w:ascii="Arial" w:cs="Arial" w:eastAsia="Arial" w:hAnsi="Arial"/>
                <w:sz w:val="18"/>
                <w:szCs w:val="18"/>
                <w:color w:val="auto"/>
                <w:w w:val="98"/>
              </w:rPr>
              <w:t>Inc. and J.P. Morgan Securities LLC, as representatives of the underwriters named in Schedule I to the related pricing agreement</w:t>
            </w:r>
          </w:p>
        </w:tc>
        <w:tc>
          <w:tcPr>
            <w:tcW w:w="0" w:type="dxa"/>
            <w:vAlign w:val="bottom"/>
          </w:tcPr>
          <w:p>
            <w:pPr>
              <w:spacing w:after="0"/>
              <w:rPr>
                <w:sz w:val="1"/>
                <w:szCs w:val="1"/>
                <w:color w:val="auto"/>
              </w:rPr>
            </w:pP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1.2</w:t>
            </w:r>
          </w:p>
        </w:tc>
        <w:tc>
          <w:tcPr>
            <w:tcW w:w="10600" w:type="dxa"/>
            <w:vAlign w:val="bottom"/>
            <w:gridSpan w:val="3"/>
          </w:tcPr>
          <w:p>
            <w:pPr>
              <w:ind w:left="420"/>
              <w:spacing w:after="0"/>
              <w:rPr>
                <w:sz w:val="20"/>
                <w:szCs w:val="20"/>
                <w:color w:val="auto"/>
              </w:rPr>
            </w:pPr>
            <w:r>
              <w:rPr>
                <w:rFonts w:ascii="Arial" w:cs="Arial" w:eastAsia="Arial" w:hAnsi="Arial"/>
                <w:sz w:val="18"/>
                <w:szCs w:val="18"/>
                <w:color w:val="auto"/>
                <w:w w:val="92"/>
              </w:rPr>
              <w:t>Pricing Agreement, dated December 4, 2013, by and among the Registrant and Wells Fargo Securities, LLC, Citigroup Global Markets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0" w:type="dxa"/>
            <w:vAlign w:val="bottom"/>
            <w:gridSpan w:val="3"/>
          </w:tcPr>
          <w:p>
            <w:pPr>
              <w:ind w:left="420"/>
              <w:spacing w:after="0"/>
              <w:rPr>
                <w:sz w:val="20"/>
                <w:szCs w:val="20"/>
                <w:color w:val="auto"/>
              </w:rPr>
            </w:pPr>
            <w:r>
              <w:rPr>
                <w:rFonts w:ascii="Arial" w:cs="Arial" w:eastAsia="Arial" w:hAnsi="Arial"/>
                <w:sz w:val="18"/>
                <w:szCs w:val="18"/>
                <w:color w:val="auto"/>
              </w:rPr>
              <w:t>and J.P. Morgan Securities LLC, as representatives of the underwriters named therein</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4.1</w:t>
            </w:r>
          </w:p>
        </w:tc>
        <w:tc>
          <w:tcPr>
            <w:tcW w:w="10600" w:type="dxa"/>
            <w:vAlign w:val="bottom"/>
            <w:gridSpan w:val="3"/>
          </w:tcPr>
          <w:p>
            <w:pPr>
              <w:ind w:left="420"/>
              <w:spacing w:after="0"/>
              <w:rPr>
                <w:sz w:val="20"/>
                <w:szCs w:val="20"/>
                <w:color w:val="auto"/>
              </w:rPr>
            </w:pPr>
            <w:r>
              <w:rPr>
                <w:rFonts w:ascii="Arial" w:cs="Arial" w:eastAsia="Arial" w:hAnsi="Arial"/>
                <w:sz w:val="18"/>
                <w:szCs w:val="18"/>
                <w:color w:val="auto"/>
              </w:rPr>
              <w:t>Form of 3.95% Note due 2024</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5.1</w:t>
            </w:r>
          </w:p>
        </w:tc>
        <w:tc>
          <w:tcPr>
            <w:tcW w:w="10600" w:type="dxa"/>
            <w:vAlign w:val="bottom"/>
            <w:gridSpan w:val="3"/>
          </w:tcPr>
          <w:p>
            <w:pPr>
              <w:ind w:left="420"/>
              <w:spacing w:after="0"/>
              <w:rPr>
                <w:sz w:val="20"/>
                <w:szCs w:val="20"/>
                <w:color w:val="auto"/>
              </w:rPr>
            </w:pPr>
            <w:r>
              <w:rPr>
                <w:rFonts w:ascii="Arial" w:cs="Arial" w:eastAsia="Arial" w:hAnsi="Arial"/>
                <w:sz w:val="18"/>
                <w:szCs w:val="18"/>
                <w:color w:val="auto"/>
              </w:rPr>
              <w:t>Opinion of Pillsbury Winthrop Shaw Pittman LLP relating to legality of the securities being issued by the Registrant</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8.1</w:t>
            </w:r>
          </w:p>
        </w:tc>
        <w:tc>
          <w:tcPr>
            <w:tcW w:w="10600" w:type="dxa"/>
            <w:vAlign w:val="bottom"/>
            <w:gridSpan w:val="3"/>
          </w:tcPr>
          <w:p>
            <w:pPr>
              <w:ind w:left="420"/>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12.1</w:t>
            </w:r>
          </w:p>
        </w:tc>
        <w:tc>
          <w:tcPr>
            <w:tcW w:w="10600" w:type="dxa"/>
            <w:vAlign w:val="bottom"/>
            <w:gridSpan w:val="3"/>
          </w:tcPr>
          <w:p>
            <w:pPr>
              <w:ind w:left="420"/>
              <w:spacing w:after="0"/>
              <w:rPr>
                <w:sz w:val="20"/>
                <w:szCs w:val="20"/>
                <w:color w:val="auto"/>
              </w:rPr>
            </w:pPr>
            <w:r>
              <w:rPr>
                <w:rFonts w:ascii="Arial" w:cs="Arial" w:eastAsia="Arial" w:hAnsi="Arial"/>
                <w:sz w:val="18"/>
                <w:szCs w:val="18"/>
                <w:color w:val="auto"/>
              </w:rPr>
              <w:t>Statement Regarding Computation of Ratio of Earnings to Fixed Charges</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10600" w:type="dxa"/>
            <w:vAlign w:val="bottom"/>
            <w:gridSpan w:val="3"/>
          </w:tcPr>
          <w:p>
            <w:pPr>
              <w:ind w:left="420"/>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c>
          <w:tcPr>
            <w:tcW w:w="0" w:type="dxa"/>
            <w:vAlign w:val="bottom"/>
          </w:tcPr>
          <w:p>
            <w:pPr>
              <w:spacing w:after="0"/>
              <w:rPr>
                <w:sz w:val="1"/>
                <w:szCs w:val="1"/>
                <w:color w:val="auto"/>
              </w:rPr>
            </w:pPr>
          </w:p>
        </w:tc>
      </w:tr>
    </w:tbl>
    <w:p>
      <w:pPr>
        <w:sectPr>
          <w:pgSz w:w="11900" w:h="16838" w:orient="portrait"/>
          <w:cols w:equalWidth="0" w:num="1">
            <w:col w:w="11320"/>
          </w:cols>
          <w:pgMar w:left="240" w:top="27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580" w:type="dxa"/>
            <w:vAlign w:val="bottom"/>
            <w:gridSpan w:val="2"/>
          </w:tcPr>
          <w:p>
            <w:pPr>
              <w:ind w:left="2060"/>
              <w:spacing w:after="0"/>
              <w:rPr>
                <w:sz w:val="20"/>
                <w:szCs w:val="20"/>
                <w:color w:val="auto"/>
              </w:rPr>
            </w:pPr>
            <w:r>
              <w:rPr>
                <w:rFonts w:ascii="Arial" w:cs="Arial" w:eastAsia="Arial" w:hAnsi="Arial"/>
                <w:sz w:val="18"/>
                <w:szCs w:val="18"/>
                <w:color w:val="auto"/>
              </w:rPr>
              <w:t>FEDERAL REALTY INVESTMENT TRUST</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 December 9, 2013</w:t>
            </w:r>
          </w:p>
        </w:tc>
        <w:tc>
          <w:tcPr>
            <w:tcW w:w="7580" w:type="dxa"/>
            <w:vAlign w:val="bottom"/>
            <w:gridSpan w:val="2"/>
          </w:tcPr>
          <w:p>
            <w:pPr>
              <w:ind w:left="2060"/>
              <w:spacing w:after="0"/>
              <w:rPr>
                <w:sz w:val="20"/>
                <w:szCs w:val="20"/>
                <w:color w:val="auto"/>
              </w:rPr>
            </w:pPr>
            <w:r>
              <w:rPr>
                <w:rFonts w:ascii="Arial" w:cs="Arial" w:eastAsia="Arial" w:hAnsi="Arial"/>
                <w:sz w:val="18"/>
                <w:szCs w:val="18"/>
                <w:color w:val="auto"/>
              </w:rPr>
              <w:t>By:  /s/ Dawn M. Becker</w:t>
            </w:r>
          </w:p>
        </w:tc>
      </w:tr>
      <w:tr>
        <w:trPr>
          <w:trHeight w:val="195"/>
        </w:trPr>
        <w:tc>
          <w:tcPr>
            <w:tcW w:w="38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Dawn M. Becker</w:t>
            </w:r>
          </w:p>
        </w:tc>
      </w:tr>
      <w:tr>
        <w:trPr>
          <w:trHeight w:val="230"/>
        </w:trPr>
        <w:tc>
          <w:tcPr>
            <w:tcW w:w="3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Executive Vice President-General Counsel and Secretary</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160655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4,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ITIGROUP</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23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8"/>
          <w:szCs w:val="18"/>
          <w:color w:val="auto"/>
        </w:rPr>
        <w:t>Wells Fargo Securities, LLC</w:t>
      </w:r>
    </w:p>
    <w:p>
      <w:pPr>
        <w:spacing w:after="0" w:line="23" w:lineRule="exact"/>
        <w:rPr>
          <w:sz w:val="20"/>
          <w:szCs w:val="20"/>
          <w:color w:val="auto"/>
        </w:rPr>
      </w:pPr>
    </w:p>
    <w:p>
      <w:pPr>
        <w:ind w:left="560" w:right="8520" w:firstLine="2"/>
        <w:spacing w:after="0" w:line="323" w:lineRule="auto"/>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South Tryon Street Charlotte, North Carolina 28202</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New York, New York 10013</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New York, New York 10179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debt securities (the “Securities”) specified in Schedule II to such Pricing Agreement (with respect to the Securities specified in such Schedule II, the “Designated Securities”).</w:t>
      </w:r>
    </w:p>
    <w:p>
      <w:pPr>
        <w:spacing w:after="0" w:line="19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20" w:firstLine="464"/>
        <w:spacing w:after="0" w:line="286" w:lineRule="auto"/>
        <w:tabs>
          <w:tab w:leader="none" w:pos="636" w:val="left"/>
        </w:tabs>
        <w:numPr>
          <w:ilvl w:val="0"/>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Particular sales of Designated Securities may be made from time to time to the Underwriters of such Designated Securities, for whom the firms designated as representatives of the Underwriters of such Designated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any of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71" w:lineRule="exact"/>
        <w:rPr>
          <w:rFonts w:ascii="Arial" w:cs="Arial" w:eastAsia="Arial" w:hAnsi="Arial"/>
          <w:sz w:val="16"/>
          <w:szCs w:val="16"/>
          <w:color w:val="auto"/>
        </w:rPr>
      </w:pPr>
    </w:p>
    <w:p>
      <w:pPr>
        <w:ind w:left="640" w:hanging="17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represents and warrants to, and agrees with, each of the Underwriters as of the date hereof, the Applicable Time referred to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2(c) hereof and the Time of Delivery referred to in Section 4 hereof that:</w:t>
      </w:r>
    </w:p>
    <w:p>
      <w:pPr>
        <w:spacing w:after="0" w:line="103" w:lineRule="exact"/>
        <w:rPr>
          <w:sz w:val="20"/>
          <w:szCs w:val="20"/>
          <w:color w:val="auto"/>
        </w:rPr>
      </w:pPr>
    </w:p>
    <w:p>
      <w:pPr>
        <w:ind w:left="460" w:right="20" w:firstLine="443"/>
        <w:spacing w:after="0" w:line="285" w:lineRule="auto"/>
        <w:tabs>
          <w:tab w:leader="none" w:pos="1143"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333-181236), including the related preliminary prospectus, which registration statement became effective upon filing under Rule 462(e) of the rules and regulations of the Commission under the Securities Act of 1933, as amended (the “Act”). Such registration statement covers the registration of the Securities under the Act. Promptly after execution and delivery of a Pricing Agreement with respect to the Designated Securities specified therein, the Company will prepare and file a prospectus in accordance with the provisions of Rule 430B under the Act (“Rule 430B”) and paragraph</w:t>
      </w:r>
    </w:p>
    <w:p>
      <w:pPr>
        <w:spacing w:after="0" w:line="2" w:lineRule="exact"/>
        <w:rPr>
          <w:rFonts w:ascii="Arial" w:cs="Arial" w:eastAsia="Arial" w:hAnsi="Arial"/>
          <w:sz w:val="16"/>
          <w:szCs w:val="16"/>
          <w:color w:val="auto"/>
        </w:rPr>
      </w:pPr>
    </w:p>
    <w:p>
      <w:pPr>
        <w:ind w:left="460" w:firstLine="4"/>
        <w:spacing w:after="0" w:line="292" w:lineRule="auto"/>
        <w:tabs>
          <w:tab w:leader="none" w:pos="715" w:val="left"/>
        </w:tabs>
        <w:numPr>
          <w:ilvl w:val="0"/>
          <w:numId w:val="5"/>
        </w:numPr>
        <w:rPr>
          <w:rFonts w:ascii="Arial" w:cs="Arial" w:eastAsia="Arial" w:hAnsi="Arial"/>
          <w:sz w:val="16"/>
          <w:szCs w:val="16"/>
          <w:color w:val="auto"/>
        </w:rPr>
      </w:pPr>
      <w:r>
        <w:rPr>
          <w:rFonts w:ascii="Arial" w:cs="Arial" w:eastAsia="Arial" w:hAnsi="Arial"/>
          <w:sz w:val="16"/>
          <w:szCs w:val="16"/>
          <w:color w:val="auto"/>
        </w:rPr>
        <w:t>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 “Rule 430B Information.” Each prospectus used in connection with the offering of Designated Securities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 w:name="page6"/>
    <w:bookmarkEnd w:id="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59" w:lineRule="exact"/>
        <w:rPr>
          <w:sz w:val="20"/>
          <w:szCs w:val="20"/>
          <w:color w:val="auto"/>
        </w:rPr>
      </w:pPr>
    </w:p>
    <w:p>
      <w:pPr>
        <w:ind w:right="80" w:firstLine="438"/>
        <w:spacing w:after="0" w:line="271" w:lineRule="auto"/>
        <w:rPr>
          <w:sz w:val="20"/>
          <w:szCs w:val="20"/>
          <w:color w:val="auto"/>
        </w:rPr>
      </w:pPr>
      <w:r>
        <w:rPr>
          <w:rFonts w:ascii="Arial" w:cs="Arial" w:eastAsia="Arial" w:hAnsi="Arial"/>
          <w:sz w:val="17"/>
          <w:szCs w:val="17"/>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71" w:lineRule="exact"/>
        <w:rPr>
          <w:sz w:val="20"/>
          <w:szCs w:val="20"/>
          <w:color w:val="auto"/>
        </w:rPr>
      </w:pPr>
    </w:p>
    <w:p>
      <w:pPr>
        <w:ind w:right="100" w:firstLine="443"/>
        <w:spacing w:after="0" w:line="285" w:lineRule="auto"/>
        <w:tabs>
          <w:tab w:leader="none" w:pos="693" w:val="left"/>
        </w:tabs>
        <w:numPr>
          <w:ilvl w:val="1"/>
          <w:numId w:val="6"/>
        </w:numPr>
        <w:rPr>
          <w:rFonts w:ascii="Arial" w:cs="Arial" w:eastAsia="Arial" w:hAnsi="Arial"/>
          <w:sz w:val="16"/>
          <w:szCs w:val="16"/>
          <w:color w:val="auto"/>
        </w:rPr>
      </w:pPr>
      <w:r>
        <w:rPr>
          <w:rFonts w:ascii="Arial" w:cs="Arial" w:eastAsia="Arial" w:hAnsi="Arial"/>
          <w:sz w:val="16"/>
          <w:szCs w:val="16"/>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Securities in reliance on the exemption of Rule 163 under the Act (“Rule 163”), (D) at the earliest time that the Company or another offering participant made a bona fide offer (within the meaning of Rule 164(h)</w:t>
      </w:r>
    </w:p>
    <w:p>
      <w:pPr>
        <w:spacing w:after="0" w:line="2" w:lineRule="exact"/>
        <w:rPr>
          <w:rFonts w:ascii="Arial" w:cs="Arial" w:eastAsia="Arial" w:hAnsi="Arial"/>
          <w:sz w:val="16"/>
          <w:szCs w:val="16"/>
          <w:color w:val="auto"/>
        </w:rPr>
      </w:pPr>
    </w:p>
    <w:p>
      <w:pPr>
        <w:ind w:right="100" w:firstLine="4"/>
        <w:spacing w:after="0" w:line="252"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 the Act) of the Designated Securities, (E) at the date hereof and (F) at the date of each Pricing Agreement the Company was, is and will be a “well-known seasoned issuer” as defined in Rule 405 under the Act (“Rule 405”),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74" w:right="279" w:bottom="1440" w:gutter="0" w:footer="0" w:header="0"/>
        </w:sectPr>
      </w:pPr>
    </w:p>
    <w:bookmarkStart w:id="6" w:name="page7"/>
    <w:bookmarkEnd w:id="6"/>
    <w:p>
      <w:pPr>
        <w:jc w:val="both"/>
        <w:ind w:right="100" w:firstLine="443"/>
        <w:spacing w:after="0" w:line="302" w:lineRule="auto"/>
        <w:tabs>
          <w:tab w:leader="none" w:pos="683"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Original Registration Statement became effective upon filing under Rule 462(e) under the Act (“Rule 462(e)”) on May 8, 2012,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46" w:lineRule="exact"/>
        <w:rPr>
          <w:sz w:val="20"/>
          <w:szCs w:val="20"/>
          <w:color w:val="auto"/>
        </w:rPr>
      </w:pPr>
    </w:p>
    <w:p>
      <w:pPr>
        <w:ind w:firstLine="438"/>
        <w:spacing w:after="0" w:line="257" w:lineRule="auto"/>
        <w:rPr>
          <w:sz w:val="20"/>
          <w:szCs w:val="20"/>
          <w:color w:val="auto"/>
        </w:rPr>
      </w:pPr>
      <w:r>
        <w:rPr>
          <w:rFonts w:ascii="Arial" w:cs="Arial" w:eastAsia="Arial" w:hAnsi="Arial"/>
          <w:sz w:val="18"/>
          <w:szCs w:val="18"/>
          <w:color w:val="auto"/>
        </w:rPr>
        <w:t>Any offer that is a written communication relating to the Securities made prior to the filing of the Original Registration Statement by the Company or any person acting on its behalf (within the meaning, for this paragraph only, of Rule 163(c)) has been filed (unless exempt from filing pursuant to Rule 163) 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80" w:lineRule="exact"/>
        <w:rPr>
          <w:sz w:val="20"/>
          <w:szCs w:val="20"/>
          <w:color w:val="auto"/>
        </w:rPr>
      </w:pPr>
    </w:p>
    <w:p>
      <w:pPr>
        <w:ind w:firstLine="443"/>
        <w:spacing w:after="0" w:line="297" w:lineRule="auto"/>
        <w:tabs>
          <w:tab w:leader="none" w:pos="733"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the respective times the Original Registration Statement and each amendment thereto became effective, (B) at each deemed effective date with respect to the Underwriters and the Designated Securities pursuant to Rule 430B(f)(2) under the Act and (C) at the Time of Delivery, the Registration Statement complied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50" w:lineRule="exact"/>
        <w:rPr>
          <w:sz w:val="20"/>
          <w:szCs w:val="20"/>
          <w:color w:val="auto"/>
        </w:rPr>
      </w:pPr>
    </w:p>
    <w:p>
      <w:pPr>
        <w:ind w:right="160" w:firstLine="438"/>
        <w:spacing w:after="0" w:line="276" w:lineRule="auto"/>
        <w:rPr>
          <w:sz w:val="20"/>
          <w:szCs w:val="20"/>
          <w:color w:val="auto"/>
        </w:rPr>
      </w:pPr>
      <w:r>
        <w:rPr>
          <w:rFonts w:ascii="Arial" w:cs="Arial" w:eastAsia="Arial" w:hAnsi="Arial"/>
          <w:sz w:val="17"/>
          <w:szCs w:val="17"/>
          <w:color w:val="auto"/>
        </w:rPr>
        <w:t>The Prospectus and each amendment or supplement thereto, if any, at the time the Prospectus or any such amendment or supplement was issued and at the Time of Delivery, complied and will comply, in all material respects with the requirements of the Act and neither the Prospectus nor any amendments or supplements thereto, at the time of the Prospectus or any such amendment or supplement was issued, or at the time of Delivery included or will include an untrue statement of a material fact or omitted or will omit to state a material fact necessary in order to make the statements therein, in the light of the circumstances under which they were made, not misleading.</w:t>
      </w:r>
    </w:p>
    <w:p>
      <w:pPr>
        <w:spacing w:after="0" w:line="64" w:lineRule="exact"/>
        <w:rPr>
          <w:sz w:val="20"/>
          <w:szCs w:val="20"/>
          <w:color w:val="auto"/>
        </w:rPr>
      </w:pPr>
    </w:p>
    <w:p>
      <w:pPr>
        <w:ind w:right="400" w:firstLine="438"/>
        <w:spacing w:after="0" w:line="264" w:lineRule="auto"/>
        <w:rPr>
          <w:sz w:val="20"/>
          <w:szCs w:val="20"/>
          <w:color w:val="auto"/>
        </w:rPr>
      </w:pPr>
      <w:r>
        <w:rPr>
          <w:rFonts w:ascii="Arial" w:cs="Arial" w:eastAsia="Arial" w:hAnsi="Arial"/>
          <w:sz w:val="18"/>
          <w:szCs w:val="18"/>
          <w:color w:val="auto"/>
        </w:rPr>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7" w:name="page8"/>
    <w:bookmarkEnd w:id="7"/>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Statutory Prospectus and the Prospectus delivered to the Underwriters for use in connection with each offering of Designated Securities will be identical to the electronically transmitted copies thereof filed with the Commission pursuant to EDGAR, except to the extent permitted by Regulation S-T.</w:t>
      </w:r>
    </w:p>
    <w:p>
      <w:pPr>
        <w:spacing w:after="0" w:line="73" w:lineRule="exact"/>
        <w:rPr>
          <w:sz w:val="20"/>
          <w:szCs w:val="20"/>
          <w:color w:val="auto"/>
        </w:rPr>
      </w:pPr>
    </w:p>
    <w:p>
      <w:pPr>
        <w:ind w:firstLine="438"/>
        <w:spacing w:after="0" w:line="302" w:lineRule="auto"/>
        <w:rPr>
          <w:sz w:val="20"/>
          <w:szCs w:val="20"/>
          <w:color w:val="auto"/>
        </w:rPr>
      </w:pPr>
      <w:r>
        <w:rPr>
          <w:rFonts w:ascii="Arial" w:cs="Arial" w:eastAsia="Arial" w:hAnsi="Arial"/>
          <w:sz w:val="16"/>
          <w:szCs w:val="16"/>
          <w:color w:val="auto"/>
        </w:rPr>
        <w:t>As of the Applicable Time (as defined below), the Statutory Prospectus, when considered together with the Issuer Free Writing Prospectus(es) (as defined below) issued at or prior to the Applicable Time, will not include any untrue 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46" w:lineRule="exact"/>
        <w:rPr>
          <w:sz w:val="20"/>
          <w:szCs w:val="20"/>
          <w:color w:val="auto"/>
        </w:rPr>
      </w:pPr>
    </w:p>
    <w:p>
      <w:pPr>
        <w:ind w:firstLine="438"/>
        <w:spacing w:after="0" w:line="302" w:lineRule="auto"/>
        <w:rPr>
          <w:sz w:val="20"/>
          <w:szCs w:val="20"/>
          <w:color w:val="auto"/>
        </w:rPr>
      </w:pPr>
      <w:r>
        <w:rPr>
          <w:rFonts w:ascii="Arial" w:cs="Arial" w:eastAsia="Arial" w:hAnsi="Arial"/>
          <w:sz w:val="16"/>
          <w:szCs w:val="16"/>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117" w:lineRule="exact"/>
        <w:rPr>
          <w:sz w:val="20"/>
          <w:szCs w:val="20"/>
          <w:color w:val="auto"/>
        </w:rPr>
      </w:pPr>
    </w:p>
    <w:p>
      <w:pPr>
        <w:ind w:right="180" w:firstLine="438"/>
        <w:spacing w:after="0" w:line="277" w:lineRule="auto"/>
        <w:rPr>
          <w:sz w:val="20"/>
          <w:szCs w:val="20"/>
          <w:color w:val="auto"/>
        </w:rPr>
      </w:pPr>
      <w:r>
        <w:rPr>
          <w:rFonts w:ascii="Arial" w:cs="Arial" w:eastAsia="Arial" w:hAnsi="Arial"/>
          <w:sz w:val="18"/>
          <w:szCs w:val="18"/>
          <w:color w:val="auto"/>
        </w:rPr>
        <w:t>“Applicable Time” shall have the meaning set forth in Schedule II of the Pricing Agreement with respect to the Designated Securities specified therein.</w:t>
      </w:r>
    </w:p>
    <w:p>
      <w:pPr>
        <w:spacing w:after="0" w:line="62" w:lineRule="exact"/>
        <w:rPr>
          <w:sz w:val="20"/>
          <w:szCs w:val="20"/>
          <w:color w:val="auto"/>
        </w:rPr>
      </w:pPr>
    </w:p>
    <w:p>
      <w:pPr>
        <w:ind w:right="120" w:firstLine="438"/>
        <w:spacing w:after="0" w:line="273" w:lineRule="auto"/>
        <w:rPr>
          <w:sz w:val="20"/>
          <w:szCs w:val="20"/>
          <w:color w:val="auto"/>
        </w:rPr>
      </w:pPr>
      <w:r>
        <w:rPr>
          <w:rFonts w:ascii="Arial" w:cs="Arial" w:eastAsia="Arial" w:hAnsi="Arial"/>
          <w:sz w:val="17"/>
          <w:szCs w:val="17"/>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70" w:lineRule="exact"/>
        <w:rPr>
          <w:sz w:val="20"/>
          <w:szCs w:val="20"/>
          <w:color w:val="auto"/>
        </w:rPr>
      </w:pPr>
    </w:p>
    <w:p>
      <w:pPr>
        <w:ind w:right="120" w:firstLine="438"/>
        <w:spacing w:after="0" w:line="286" w:lineRule="auto"/>
        <w:rPr>
          <w:sz w:val="20"/>
          <w:szCs w:val="20"/>
          <w:color w:val="auto"/>
        </w:rPr>
      </w:pPr>
      <w:r>
        <w:rPr>
          <w:rFonts w:ascii="Arial" w:cs="Arial" w:eastAsia="Arial" w:hAnsi="Arial"/>
          <w:sz w:val="17"/>
          <w:szCs w:val="17"/>
          <w:color w:val="auto"/>
        </w:rPr>
        <w:t>“Statutory Prospectus” as of any time means the prospectus that is included in the Registration Statement immediately prior to that time and the preliminary prospectus supplement relating to a particular issuance of Designated Securities set forth in the Pricing Agreement, including the documents incorporated by reference therein and any other preliminary or other prospectus deemed to be a part thereof.</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74" w:right="279" w:bottom="1440" w:gutter="0" w:footer="0" w:header="0"/>
        </w:sectPr>
      </w:pPr>
    </w:p>
    <w:bookmarkStart w:id="8" w:name="page9"/>
    <w:bookmarkEnd w:id="8"/>
    <w:p>
      <w:pPr>
        <w:ind w:right="360" w:firstLine="443"/>
        <w:spacing w:after="0" w:line="312" w:lineRule="auto"/>
        <w:tabs>
          <w:tab w:leader="none" w:pos="693"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38" w:lineRule="exact"/>
        <w:rPr>
          <w:rFonts w:ascii="Arial" w:cs="Arial" w:eastAsia="Arial" w:hAnsi="Arial"/>
          <w:sz w:val="16"/>
          <w:szCs w:val="16"/>
          <w:color w:val="auto"/>
        </w:rPr>
      </w:pPr>
    </w:p>
    <w:p>
      <w:pPr>
        <w:ind w:right="160" w:firstLine="443"/>
        <w:spacing w:after="0" w:line="255" w:lineRule="auto"/>
        <w:tabs>
          <w:tab w:leader="none" w:pos="683"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81" w:lineRule="exact"/>
        <w:rPr>
          <w:rFonts w:ascii="Arial" w:cs="Arial" w:eastAsia="Arial" w:hAnsi="Arial"/>
          <w:sz w:val="18"/>
          <w:szCs w:val="18"/>
          <w:color w:val="auto"/>
        </w:rPr>
      </w:pPr>
    </w:p>
    <w:p>
      <w:pPr>
        <w:ind w:firstLine="443"/>
        <w:spacing w:after="0" w:line="268" w:lineRule="auto"/>
        <w:tabs>
          <w:tab w:leader="none" w:pos="66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the General Disclosure Package and the Prospectus; each “significant subsidiary” of the Company (as such term is defined in Rule 1-02 of Regulation S-X)(each, a “Subsidiary” and collectively, the “Subsidiaries”) has been duly organized and is validly existing as a corporation, partnership, limited liability company, trust or joint venture, as the case may be, in good standing under the laws of the jurisdiction of their organization (except for joint ventures, which have no good standing certificate requirements), with full power and authority to own, lease and operate its properties and conduct its business as described in the Registration Statement, the General Disclosure Package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of the applicable Pricing Agreement by the current and former holders of partnership or other interests in certain of the “DownREIT” and other subsidiaries, which may result in the issuance of common shares of beneficial interest of the Company (“Common Shares”); and the Company and the Subsidiaries are duly qualified to transact</w:t>
      </w:r>
    </w:p>
    <w:p>
      <w:pPr>
        <w:spacing w:after="0" w:line="1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9" w:name="page10"/>
    <w:bookmarkEnd w:id="9"/>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57" w:lineRule="exact"/>
        <w:rPr>
          <w:sz w:val="20"/>
          <w:szCs w:val="20"/>
          <w:color w:val="auto"/>
        </w:rPr>
      </w:pPr>
    </w:p>
    <w:p>
      <w:pPr>
        <w:ind w:right="20" w:firstLine="443"/>
        <w:spacing w:after="0" w:line="284" w:lineRule="auto"/>
        <w:tabs>
          <w:tab w:leader="none" w:pos="693"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Company and its subsidiaries, considered as one enterprise, have not sustained since the date of the latest audited financial statements included or incorporated by reference in the Registration Statement, the General Disclosure Package and the Prospectus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w:t>
      </w:r>
    </w:p>
    <w:p>
      <w:pPr>
        <w:spacing w:after="0" w:line="4" w:lineRule="exact"/>
        <w:rPr>
          <w:rFonts w:ascii="Arial" w:cs="Arial" w:eastAsia="Arial" w:hAnsi="Arial"/>
          <w:sz w:val="16"/>
          <w:szCs w:val="16"/>
          <w:color w:val="auto"/>
        </w:rPr>
      </w:pPr>
    </w:p>
    <w:p>
      <w:pPr>
        <w:ind w:firstLine="4"/>
        <w:spacing w:after="0" w:line="286" w:lineRule="auto"/>
        <w:tabs>
          <w:tab w:leader="none" w:pos="2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conversion of any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result in the issuance of Common Shares of the Company, (v) the terms of that certain Equity Distribution Agreement dated May 8, 2012 between the Company and Wells Fargo Securities, LLC, as the same may be amended from time to time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General Disclosure Package and the Prospectus.</w:t>
      </w:r>
    </w:p>
    <w:p>
      <w:pPr>
        <w:spacing w:after="0" w:line="62" w:lineRule="exact"/>
        <w:rPr>
          <w:rFonts w:ascii="Arial" w:cs="Arial" w:eastAsia="Arial" w:hAnsi="Arial"/>
          <w:sz w:val="16"/>
          <w:szCs w:val="16"/>
          <w:color w:val="auto"/>
        </w:rPr>
      </w:pPr>
    </w:p>
    <w:p>
      <w:pPr>
        <w:ind w:right="60" w:firstLine="443"/>
        <w:spacing w:after="0" w:line="257" w:lineRule="auto"/>
        <w:tabs>
          <w:tab w:leader="none" w:pos="6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Company’s consolidated balance sheet as of the latest financial statements, audited or unaudited, as applicable, included or incorporated by reference in the Registration Statement, the General Disclosure Package and the Prospectus,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0" w:name="page11"/>
    <w:bookmarkEnd w:id="10"/>
    <w:p>
      <w:pPr>
        <w:ind w:right="20" w:firstLine="443"/>
        <w:spacing w:after="0" w:line="277" w:lineRule="auto"/>
        <w:tabs>
          <w:tab w:leader="none" w:pos="653"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full right, power and authority under its organizational documents to enter into this Agreement and this Agreement has been duly and validly authorized, executed and delivered by the Company.</w:t>
      </w:r>
    </w:p>
    <w:p>
      <w:pPr>
        <w:spacing w:after="0" w:line="62" w:lineRule="exact"/>
        <w:rPr>
          <w:rFonts w:ascii="Arial" w:cs="Arial" w:eastAsia="Arial" w:hAnsi="Arial"/>
          <w:sz w:val="18"/>
          <w:szCs w:val="18"/>
          <w:color w:val="auto"/>
        </w:rPr>
      </w:pPr>
    </w:p>
    <w:p>
      <w:pPr>
        <w:ind w:right="100" w:firstLine="443"/>
        <w:spacing w:after="0" w:line="270" w:lineRule="auto"/>
        <w:tabs>
          <w:tab w:leader="none" w:pos="6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Designated Securities have been duly and validly authorized, and, when such Designated Securities are issued and delivered pursuant to this Underwriting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Registration Statement, the General Disclosure Package and the Prospectus, as amended or supplemented, with respect to such Designated Securities.</w:t>
      </w:r>
    </w:p>
    <w:p>
      <w:pPr>
        <w:spacing w:after="0" w:line="73" w:lineRule="exact"/>
        <w:rPr>
          <w:rFonts w:ascii="Arial" w:cs="Arial" w:eastAsia="Arial" w:hAnsi="Arial"/>
          <w:sz w:val="17"/>
          <w:szCs w:val="17"/>
          <w:color w:val="auto"/>
        </w:rPr>
      </w:pPr>
    </w:p>
    <w:p>
      <w:pPr>
        <w:ind w:firstLine="443"/>
        <w:spacing w:after="0" w:line="253" w:lineRule="auto"/>
        <w:tabs>
          <w:tab w:leader="none" w:pos="6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 in violation of its charter or by-laws or similar organizational documents; (ii) no subsidiary of the Company not referred to in clause (i)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86" w:lineRule="exact"/>
        <w:rPr>
          <w:rFonts w:ascii="Arial" w:cs="Arial" w:eastAsia="Arial" w:hAnsi="Arial"/>
          <w:sz w:val="18"/>
          <w:szCs w:val="18"/>
          <w:color w:val="auto"/>
        </w:rPr>
      </w:pPr>
    </w:p>
    <w:p>
      <w:pPr>
        <w:ind w:right="140" w:firstLine="443"/>
        <w:spacing w:after="0" w:line="279" w:lineRule="auto"/>
        <w:tabs>
          <w:tab w:leader="none" w:pos="6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issue and sale of the Designated Securities and the compliance by the Company with all of the provisions of the Designated Securities, this Underwriting Agreement and the Pricing Agreement with respect to such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11" w:name="page12"/>
    <w:bookmarkEnd w:id="11"/>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Underwriting Agreement or any Pricing Agreement or the Indenture, except such as have been, or will have been prior to the Time of Delivery, obtained under the Act, the Exchange Act and the Trust Indenture Act and except for the rules of the New York Stock Exchange, Inc. (the “NYSE”) and such consents, approvals, authorizations, registrations or qualifications as may be required under state securities or “Blue Sky” laws in connection with the purchase and distribution of the Designated Securities by the Underwriters.</w:t>
      </w:r>
    </w:p>
    <w:p>
      <w:pPr>
        <w:spacing w:after="0" w:line="59" w:lineRule="exact"/>
        <w:rPr>
          <w:sz w:val="20"/>
          <w:szCs w:val="20"/>
          <w:color w:val="auto"/>
        </w:rPr>
      </w:pPr>
    </w:p>
    <w:p>
      <w:pPr>
        <w:ind w:firstLine="443"/>
        <w:spacing w:after="0" w:line="255" w:lineRule="auto"/>
        <w:tabs>
          <w:tab w:leader="none" w:pos="7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than as set forth in the Registration Statement, the General Disclosure Package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85" w:lineRule="exact"/>
        <w:rPr>
          <w:rFonts w:ascii="Arial" w:cs="Arial" w:eastAsia="Arial" w:hAnsi="Arial"/>
          <w:sz w:val="18"/>
          <w:szCs w:val="18"/>
          <w:color w:val="auto"/>
        </w:rPr>
      </w:pPr>
    </w:p>
    <w:p>
      <w:pPr>
        <w:ind w:right="20" w:firstLine="443"/>
        <w:spacing w:after="0" w:line="255" w:lineRule="auto"/>
        <w:tabs>
          <w:tab w:leader="none" w:pos="6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consolidated financial statements of the Company and its subsidiaries, together with related notes and schedules as set forth or incorporated by reference in the Registration Statement, the General Disclosure Package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(“GAAP”),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81" w:lineRule="exact"/>
        <w:rPr>
          <w:rFonts w:ascii="Arial" w:cs="Arial" w:eastAsia="Arial" w:hAnsi="Arial"/>
          <w:sz w:val="18"/>
          <w:szCs w:val="18"/>
          <w:color w:val="auto"/>
        </w:rPr>
      </w:pPr>
    </w:p>
    <w:p>
      <w:pPr>
        <w:ind w:right="60" w:firstLine="443"/>
        <w:spacing w:after="0" w:line="259" w:lineRule="auto"/>
        <w:tabs>
          <w:tab w:leader="none" w:pos="6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and its subsidiaries have good and marketable title to, or valid and enforceable leasehold estates in, all items of real and personal property referred to in the Registration Statement, the General Disclosure Package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12" w:name="page13"/>
    <w:bookmarkEnd w:id="12"/>
    <w:p>
      <w:pPr>
        <w:ind w:firstLine="443"/>
        <w:spacing w:after="0" w:line="257" w:lineRule="auto"/>
        <w:tabs>
          <w:tab w:leader="none" w:pos="693"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80" w:lineRule="exact"/>
        <w:rPr>
          <w:rFonts w:ascii="Arial" w:cs="Arial" w:eastAsia="Arial" w:hAnsi="Arial"/>
          <w:sz w:val="18"/>
          <w:szCs w:val="18"/>
          <w:color w:val="auto"/>
        </w:rPr>
      </w:pPr>
    </w:p>
    <w:p>
      <w:pPr>
        <w:ind w:right="300" w:firstLine="443"/>
        <w:spacing w:after="0" w:line="264" w:lineRule="auto"/>
        <w:tabs>
          <w:tab w:leader="none" w:pos="6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73" w:lineRule="exact"/>
        <w:rPr>
          <w:rFonts w:ascii="Arial" w:cs="Arial" w:eastAsia="Arial" w:hAnsi="Arial"/>
          <w:sz w:val="18"/>
          <w:szCs w:val="18"/>
          <w:color w:val="auto"/>
        </w:rPr>
      </w:pPr>
    </w:p>
    <w:p>
      <w:pPr>
        <w:ind w:right="260" w:firstLine="443"/>
        <w:spacing w:after="0" w:line="257" w:lineRule="auto"/>
        <w:tabs>
          <w:tab w:leader="none" w:pos="6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sheets of the Company and subsidiaries as of December 31, 2012 and the consolidated statements of operations, consolidated statements of shareholders’ equity and consolidated statements of cash flows for the year ended December 31, 2012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80" w:lineRule="exact"/>
        <w:rPr>
          <w:rFonts w:ascii="Arial" w:cs="Arial" w:eastAsia="Arial" w:hAnsi="Arial"/>
          <w:sz w:val="18"/>
          <w:szCs w:val="18"/>
          <w:color w:val="auto"/>
        </w:rPr>
      </w:pPr>
    </w:p>
    <w:p>
      <w:pPr>
        <w:ind w:firstLine="443"/>
        <w:spacing w:after="0" w:line="253" w:lineRule="auto"/>
        <w:tabs>
          <w:tab w:leader="none" w:pos="6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700" w:top="274" w:right="299" w:bottom="1440" w:gutter="0" w:footer="0" w:header="0"/>
        </w:sectPr>
      </w:pPr>
    </w:p>
    <w:bookmarkStart w:id="13" w:name="page14"/>
    <w:bookmarkEnd w:id="13"/>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64" w:lineRule="exact"/>
        <w:rPr>
          <w:sz w:val="20"/>
          <w:szCs w:val="20"/>
          <w:color w:val="auto"/>
        </w:rPr>
      </w:pPr>
    </w:p>
    <w:p>
      <w:pPr>
        <w:ind w:right="320" w:firstLine="443"/>
        <w:spacing w:after="0" w:line="308" w:lineRule="auto"/>
        <w:tabs>
          <w:tab w:leader="none" w:pos="65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38" w:lineRule="exact"/>
        <w:rPr>
          <w:rFonts w:ascii="Arial" w:cs="Arial" w:eastAsia="Arial" w:hAnsi="Arial"/>
          <w:sz w:val="17"/>
          <w:szCs w:val="17"/>
          <w:color w:val="auto"/>
        </w:rPr>
      </w:pPr>
    </w:p>
    <w:p>
      <w:pPr>
        <w:ind w:right="20" w:firstLine="443"/>
        <w:spacing w:after="0" w:line="291" w:lineRule="auto"/>
        <w:tabs>
          <w:tab w:leader="none" w:pos="693"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of this Underwriting Agreement,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59" w:lineRule="exact"/>
        <w:rPr>
          <w:rFonts w:ascii="Arial" w:cs="Arial" w:eastAsia="Arial" w:hAnsi="Arial"/>
          <w:sz w:val="16"/>
          <w:szCs w:val="16"/>
          <w:color w:val="auto"/>
        </w:rPr>
      </w:pPr>
    </w:p>
    <w:p>
      <w:pPr>
        <w:ind w:right="120" w:firstLine="443"/>
        <w:spacing w:after="0" w:line="257" w:lineRule="auto"/>
        <w:tabs>
          <w:tab w:leader="none" w:pos="6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respect to all tax periods regarding which the Internal Revenue Service is or will be entitled to assert any claim, the Company has met the requirements for qualification as a REIT under Sections 856 through 860 of the Internal Revenue Code of 1986, as amended (the “Code”),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w:t>
      </w:r>
    </w:p>
    <w:p>
      <w:pPr>
        <w:spacing w:after="0" w:line="80" w:lineRule="exact"/>
        <w:rPr>
          <w:rFonts w:ascii="Arial" w:cs="Arial" w:eastAsia="Arial" w:hAnsi="Arial"/>
          <w:sz w:val="18"/>
          <w:szCs w:val="18"/>
          <w:color w:val="auto"/>
        </w:rPr>
      </w:pPr>
    </w:p>
    <w:p>
      <w:pPr>
        <w:ind w:firstLine="443"/>
        <w:spacing w:after="0" w:line="293" w:lineRule="auto"/>
        <w:tabs>
          <w:tab w:leader="none" w:pos="73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14" w:name="page15"/>
    <w:bookmarkEnd w:id="14"/>
    <w:p>
      <w:pPr>
        <w:ind w:left="440" w:firstLine="443"/>
        <w:spacing w:after="0" w:line="286" w:lineRule="auto"/>
        <w:tabs>
          <w:tab w:leader="none" w:pos="1133" w:val="left"/>
        </w:tabs>
        <w:numPr>
          <w:ilvl w:val="1"/>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of its subsidiaries nor, to the best knowledge of the Company, any trustee, officer, 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or</w:t>
      </w:r>
    </w:p>
    <w:p>
      <w:pPr>
        <w:spacing w:after="0" w:line="1" w:lineRule="exact"/>
        <w:rPr>
          <w:rFonts w:ascii="Arial" w:cs="Arial" w:eastAsia="Arial" w:hAnsi="Arial"/>
          <w:sz w:val="16"/>
          <w:szCs w:val="16"/>
          <w:color w:val="auto"/>
        </w:rPr>
      </w:pPr>
    </w:p>
    <w:p>
      <w:pPr>
        <w:ind w:left="740" w:hanging="29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made any bribe, rebate, payoff, influence payment, kickback or other unlawful payment.</w:t>
      </w:r>
    </w:p>
    <w:p>
      <w:pPr>
        <w:spacing w:after="0" w:line="103" w:lineRule="exact"/>
        <w:rPr>
          <w:sz w:val="20"/>
          <w:szCs w:val="20"/>
          <w:color w:val="auto"/>
        </w:rPr>
      </w:pPr>
    </w:p>
    <w:p>
      <w:pPr>
        <w:ind w:left="1140" w:hanging="257"/>
        <w:spacing w:after="0"/>
        <w:tabs>
          <w:tab w:leader="none" w:pos="11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w:t>
      </w:r>
    </w:p>
    <w:p>
      <w:pPr>
        <w:spacing w:after="0" w:line="34" w:lineRule="exact"/>
        <w:rPr>
          <w:rFonts w:ascii="Arial" w:cs="Arial" w:eastAsia="Arial" w:hAnsi="Arial"/>
          <w:sz w:val="17"/>
          <w:szCs w:val="17"/>
          <w:color w:val="auto"/>
        </w:rPr>
      </w:pPr>
    </w:p>
    <w:p>
      <w:pPr>
        <w:ind w:left="440" w:right="20"/>
        <w:spacing w:after="0" w:line="253" w:lineRule="auto"/>
        <w:rPr>
          <w:rFonts w:ascii="Arial" w:cs="Arial" w:eastAsia="Arial" w:hAnsi="Arial"/>
          <w:sz w:val="17"/>
          <w:szCs w:val="17"/>
          <w:color w:val="auto"/>
        </w:rPr>
      </w:pPr>
      <w:r>
        <w:rPr>
          <w:rFonts w:ascii="Arial" w:cs="Arial" w:eastAsia="Arial" w:hAnsi="Arial"/>
          <w:sz w:val="18"/>
          <w:szCs w:val="18"/>
          <w:color w:val="auto"/>
        </w:rPr>
        <w:t>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83" w:lineRule="exact"/>
        <w:rPr>
          <w:rFonts w:ascii="Arial" w:cs="Arial" w:eastAsia="Arial" w:hAnsi="Arial"/>
          <w:sz w:val="17"/>
          <w:szCs w:val="17"/>
          <w:color w:val="auto"/>
        </w:rPr>
      </w:pPr>
    </w:p>
    <w:p>
      <w:pPr>
        <w:ind w:left="440" w:right="200" w:firstLine="443"/>
        <w:spacing w:after="0" w:line="257" w:lineRule="auto"/>
        <w:tabs>
          <w:tab w:leader="none" w:pos="1123"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trustee, officer, agent, employee or affiliate of the Company or any of its subsidiaries is currently subject to any U.S. sanctions administered by the Office of Foreign Assets Control of the U.S. Department of the Treasury (“OFAC”); and the Company will not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88" w:lineRule="exact"/>
        <w:rPr>
          <w:rFonts w:ascii="Arial" w:cs="Arial" w:eastAsia="Arial" w:hAnsi="Arial"/>
          <w:sz w:val="18"/>
          <w:szCs w:val="18"/>
          <w:color w:val="auto"/>
        </w:rPr>
      </w:pPr>
    </w:p>
    <w:p>
      <w:pPr>
        <w:jc w:val="both"/>
        <w:ind w:left="-20" w:right="40" w:firstLine="464"/>
        <w:spacing w:after="0" w:line="264" w:lineRule="auto"/>
        <w:tabs>
          <w:tab w:leader="none" w:pos="6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81" w:lineRule="exact"/>
        <w:rPr>
          <w:rFonts w:ascii="Arial" w:cs="Arial" w:eastAsia="Arial" w:hAnsi="Arial"/>
          <w:sz w:val="18"/>
          <w:szCs w:val="18"/>
          <w:color w:val="auto"/>
        </w:rPr>
      </w:pPr>
    </w:p>
    <w:p>
      <w:pPr>
        <w:ind w:left="-20" w:firstLine="464"/>
        <w:spacing w:after="0" w:line="286"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Designated Securities to be purchased by each Underwriter shall be delivered to the Representatives for the account of such Underwriter in the form of one or more global certificates in aggregate denomination equal to the aggregate principal amount of the Designated Securities upon original issuance and registered in the name of Cede &amp; Co., as nominee for The Depository Trust Company, against payment by such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74" w:right="259" w:bottom="1440" w:gutter="0" w:footer="0" w:header="0"/>
        </w:sectPr>
      </w:pPr>
    </w:p>
    <w:bookmarkStart w:id="15" w:name="page16"/>
    <w:bookmarkEnd w:id="15"/>
    <w:p>
      <w:pPr>
        <w:ind w:right="1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54"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Securities that:</w:t>
      </w:r>
    </w:p>
    <w:p>
      <w:pPr>
        <w:spacing w:after="0" w:line="117" w:lineRule="exact"/>
        <w:rPr>
          <w:rFonts w:ascii="Arial" w:cs="Arial" w:eastAsia="Arial" w:hAnsi="Arial"/>
          <w:sz w:val="18"/>
          <w:szCs w:val="18"/>
          <w:color w:val="auto"/>
        </w:rPr>
      </w:pPr>
    </w:p>
    <w:p>
      <w:pPr>
        <w:ind w:left="460" w:firstLine="443"/>
        <w:spacing w:after="0" w:line="285" w:lineRule="auto"/>
        <w:tabs>
          <w:tab w:leader="none" w:pos="1143"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Securities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Securities.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6" w:name="page17"/>
    <w:bookmarkEnd w:id="16"/>
    <w:p>
      <w:pPr>
        <w:ind w:right="40" w:firstLine="443"/>
        <w:spacing w:after="0" w:line="269" w:lineRule="auto"/>
        <w:tabs>
          <w:tab w:leader="none" w:pos="693" w:val="left"/>
        </w:tabs>
        <w:numPr>
          <w:ilvl w:val="0"/>
          <w:numId w:val="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the Applicable Time to the Time of Delivery,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71" w:lineRule="exact"/>
        <w:rPr>
          <w:rFonts w:ascii="Arial" w:cs="Arial" w:eastAsia="Arial" w:hAnsi="Arial"/>
          <w:sz w:val="17"/>
          <w:szCs w:val="17"/>
          <w:color w:val="auto"/>
        </w:rPr>
      </w:pPr>
    </w:p>
    <w:p>
      <w:pPr>
        <w:ind w:firstLine="443"/>
        <w:spacing w:after="0" w:line="270" w:lineRule="auto"/>
        <w:tabs>
          <w:tab w:leader="none" w:pos="68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Securities that would constitute an “issuer free writing prospectus,” as defined in Rule 433, or that would otherwise constitute a “free writing prospectus,” as defined in Rule 405, in each case required to be filed with the Commission; provided, however, that prior to the preparation of the Final Term Sheet in accordance with Section 5(b) hereof, the Underwriters are authorized to use the information with respect to the final terms of the Designated Securities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69" w:lineRule="exact"/>
        <w:rPr>
          <w:rFonts w:ascii="Arial" w:cs="Arial" w:eastAsia="Arial" w:hAnsi="Arial"/>
          <w:sz w:val="17"/>
          <w:szCs w:val="17"/>
          <w:color w:val="auto"/>
        </w:rPr>
      </w:pPr>
    </w:p>
    <w:p>
      <w:pPr>
        <w:ind w:right="60" w:firstLine="443"/>
        <w:spacing w:after="0" w:line="257" w:lineRule="auto"/>
        <w:tabs>
          <w:tab w:leader="none" w:pos="6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promptly from time to time will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74" w:right="259" w:bottom="1440" w:gutter="0" w:footer="0" w:header="0"/>
        </w:sectPr>
      </w:pPr>
    </w:p>
    <w:bookmarkStart w:id="17" w:name="page18"/>
    <w:bookmarkEnd w:id="17"/>
    <w:p>
      <w:pPr>
        <w:ind w:firstLine="443"/>
        <w:spacing w:after="0" w:line="255" w:lineRule="auto"/>
        <w:tabs>
          <w:tab w:leader="none" w:pos="683"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81" w:lineRule="exact"/>
        <w:rPr>
          <w:rFonts w:ascii="Arial" w:cs="Arial" w:eastAsia="Arial" w:hAnsi="Arial"/>
          <w:sz w:val="18"/>
          <w:szCs w:val="18"/>
          <w:color w:val="auto"/>
        </w:rPr>
      </w:pPr>
    </w:p>
    <w:p>
      <w:pPr>
        <w:ind w:firstLine="443"/>
        <w:spacing w:after="0" w:line="270" w:lineRule="auto"/>
        <w:tabs>
          <w:tab w:leader="none" w:pos="663"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has delivered to each Underwriter, without charge, as many copies of each preliminary prospectus as such Underwriter reasonably requested, and the Company has delivered to each Underwriter, without charge, as many copies of each Issuer Free Writing Prospectus, if any, as such Underwriter reasonably requested, and the Company hereby consents to the use of such copies of each preliminary prospectus and each Issuer Free Writing Prospectus, if any, for purposes permitted by the Act. The Company will furnish to each Underwriter, without charge, during the period when the Prospectus is required to be delivered under the Act in connection with sales of the Designated Securities,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69" w:lineRule="exact"/>
        <w:rPr>
          <w:rFonts w:ascii="Arial" w:cs="Arial" w:eastAsia="Arial" w:hAnsi="Arial"/>
          <w:sz w:val="17"/>
          <w:szCs w:val="17"/>
          <w:color w:val="auto"/>
        </w:rPr>
      </w:pPr>
    </w:p>
    <w:p>
      <w:pPr>
        <w:ind w:firstLine="443"/>
        <w:spacing w:after="0" w:line="255" w:lineRule="auto"/>
        <w:tabs>
          <w:tab w:leader="none" w:pos="6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Securities as contemplated in this Underwriting Agreement, a related Pricing Agreement and in the Prospectus. If at any time when a prospectus is required by the Act to be delivered in connection with sales of the Designated Securities, any event shall occur or condition shall exist as a result of which it is necessary, in the opinion of counsel for the Underwriters or for the Company, to amend the Registration Statement or amend</w:t>
      </w:r>
    </w:p>
    <w:p>
      <w:pPr>
        <w:spacing w:after="0" w:line="12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74" w:right="239" w:bottom="1440" w:gutter="0" w:footer="0" w:header="0"/>
        </w:sectPr>
      </w:pPr>
    </w:p>
    <w:bookmarkStart w:id="18" w:name="page19"/>
    <w:bookmarkEnd w:id="1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Securities)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75" w:lineRule="exact"/>
        <w:rPr>
          <w:sz w:val="20"/>
          <w:szCs w:val="20"/>
          <w:color w:val="auto"/>
        </w:rPr>
      </w:pPr>
    </w:p>
    <w:p>
      <w:pPr>
        <w:ind w:right="220" w:firstLine="443"/>
        <w:spacing w:after="0" w:line="264" w:lineRule="auto"/>
        <w:tabs>
          <w:tab w:leader="none" w:pos="693"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73" w:lineRule="exact"/>
        <w:rPr>
          <w:rFonts w:ascii="Arial" w:cs="Arial" w:eastAsia="Arial" w:hAnsi="Arial"/>
          <w:sz w:val="18"/>
          <w:szCs w:val="18"/>
          <w:color w:val="auto"/>
        </w:rPr>
      </w:pPr>
    </w:p>
    <w:p>
      <w:pPr>
        <w:ind w:right="60" w:firstLine="443"/>
        <w:spacing w:after="0" w:line="291" w:lineRule="auto"/>
        <w:tabs>
          <w:tab w:leader="none" w:pos="653" w:val="left"/>
        </w:tabs>
        <w:numPr>
          <w:ilvl w:val="1"/>
          <w:numId w:val="24"/>
        </w:numPr>
        <w:rPr>
          <w:rFonts w:ascii="Arial" w:cs="Arial" w:eastAsia="Arial" w:hAnsi="Arial"/>
          <w:sz w:val="16"/>
          <w:szCs w:val="16"/>
          <w:color w:val="auto"/>
        </w:rPr>
      </w:pPr>
      <w:r>
        <w:rPr>
          <w:rFonts w:ascii="Arial" w:cs="Arial" w:eastAsia="Arial" w:hAnsi="Arial"/>
          <w:sz w:val="16"/>
          <w:szCs w:val="16"/>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w:t>
      </w:r>
    </w:p>
    <w:p>
      <w:pPr>
        <w:ind w:right="160" w:firstLine="4"/>
        <w:spacing w:after="0" w:line="302" w:lineRule="auto"/>
        <w:tabs>
          <w:tab w:leader="none" w:pos="2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Time of Delivery for such Designated Securities, but in no event later than 90 days from the date of the Pricing Agreement, the Company will not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8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00" w:top="274" w:right="279" w:bottom="1440" w:gutter="0" w:footer="0" w:header="0"/>
        </w:sectPr>
      </w:pPr>
    </w:p>
    <w:bookmarkStart w:id="19" w:name="page20"/>
    <w:bookmarkEnd w:id="19"/>
    <w:p>
      <w:pPr>
        <w:ind w:left="452" w:right="300" w:firstLine="443"/>
        <w:spacing w:after="0" w:line="277" w:lineRule="auto"/>
        <w:tabs>
          <w:tab w:leader="none" w:pos="1105" w:val="left"/>
        </w:tabs>
        <w:numPr>
          <w:ilvl w:val="2"/>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use the net proceeds received by it from the sale of the Designated Securities in the manner specified in the Prospectus under the caption “Use of Proceeds”;</w:t>
      </w:r>
    </w:p>
    <w:p>
      <w:pPr>
        <w:spacing w:after="0" w:line="62" w:lineRule="exact"/>
        <w:rPr>
          <w:rFonts w:ascii="Arial" w:cs="Arial" w:eastAsia="Arial" w:hAnsi="Arial"/>
          <w:sz w:val="18"/>
          <w:szCs w:val="18"/>
          <w:color w:val="auto"/>
        </w:rPr>
      </w:pPr>
    </w:p>
    <w:p>
      <w:pPr>
        <w:ind w:left="452" w:right="440" w:firstLine="443"/>
        <w:spacing w:after="0" w:line="277" w:lineRule="auto"/>
        <w:tabs>
          <w:tab w:leader="none" w:pos="1145"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Company will qualify as a “REIT” under the Code, and will use its best efforts to continue to meet the requirements to qualify as a “REIT”; and</w:t>
      </w:r>
    </w:p>
    <w:p>
      <w:pPr>
        <w:spacing w:after="0" w:line="62" w:lineRule="exact"/>
        <w:rPr>
          <w:rFonts w:ascii="Arial" w:cs="Arial" w:eastAsia="Arial" w:hAnsi="Arial"/>
          <w:sz w:val="18"/>
          <w:szCs w:val="18"/>
          <w:color w:val="auto"/>
        </w:rPr>
      </w:pPr>
    </w:p>
    <w:p>
      <w:pPr>
        <w:ind w:left="452" w:right="60" w:firstLine="443"/>
        <w:spacing w:after="0" w:line="288" w:lineRule="auto"/>
        <w:tabs>
          <w:tab w:leader="none" w:pos="1105" w:val="left"/>
        </w:tabs>
        <w:numPr>
          <w:ilvl w:val="2"/>
          <w:numId w:val="26"/>
        </w:numPr>
        <w:rPr>
          <w:rFonts w:ascii="Arial" w:cs="Arial" w:eastAsia="Arial" w:hAnsi="Arial"/>
          <w:sz w:val="16"/>
          <w:szCs w:val="16"/>
          <w:color w:val="auto"/>
        </w:rPr>
      </w:pPr>
      <w:r>
        <w:rPr>
          <w:rFonts w:ascii="Arial" w:cs="Arial" w:eastAsia="Arial" w:hAnsi="Arial"/>
          <w:sz w:val="16"/>
          <w:szCs w:val="16"/>
          <w:color w:val="auto"/>
        </w:rPr>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The Company agrees that it will not claim that the Underwriters, or any of them, has rendered advisory services of any nature or respect, or owes a fiduciary or similar duty to the Company, in connection with such transaction or the process leading thereto.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69" w:lineRule="exact"/>
        <w:rPr>
          <w:rFonts w:ascii="Arial" w:cs="Arial" w:eastAsia="Arial" w:hAnsi="Arial"/>
          <w:sz w:val="16"/>
          <w:szCs w:val="16"/>
          <w:color w:val="auto"/>
        </w:rPr>
      </w:pPr>
    </w:p>
    <w:p>
      <w:pPr>
        <w:ind w:left="-8" w:firstLine="464"/>
        <w:spacing w:after="0" w:line="284" w:lineRule="auto"/>
        <w:tabs>
          <w:tab w:leader="none" w:pos="628"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5(d) hereof, including the fees and disbursements of counsel for the Underwriters in connection with such qualification and in connection with the Blue Sky and legal investment surveys;</w:t>
      </w:r>
    </w:p>
    <w:p>
      <w:pPr>
        <w:spacing w:after="0" w:line="1" w:lineRule="exact"/>
        <w:rPr>
          <w:rFonts w:ascii="Arial" w:cs="Arial" w:eastAsia="Arial" w:hAnsi="Arial"/>
          <w:sz w:val="16"/>
          <w:szCs w:val="16"/>
          <w:color w:val="auto"/>
        </w:rPr>
      </w:pPr>
    </w:p>
    <w:p>
      <w:pPr>
        <w:jc w:val="both"/>
        <w:ind w:left="-8" w:right="520" w:firstLine="8"/>
        <w:spacing w:after="0" w:line="277" w:lineRule="auto"/>
        <w:tabs>
          <w:tab w:leader="none" w:pos="297"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fees charged by securities rating services for rating the Securities; (v) any filing fees incident to any required review by the Financial Industry Regulatory Authority of the terms of the sale of the Securities; (vi) the fees and expenses of any Trustee and any agent of any Trustee and the fees and disbursements of counsel for any Trustee in connection with any Indenture and the Securities; (vii) all other costs</w:t>
      </w:r>
    </w:p>
    <w:p>
      <w:pPr>
        <w:spacing w:after="0" w:line="10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32"/>
          </w:cols>
          <w:pgMar w:left="248" w:top="274" w:right="319" w:bottom="1440" w:gutter="0" w:footer="0" w:header="0"/>
        </w:sectPr>
      </w:pPr>
    </w:p>
    <w:bookmarkStart w:id="20" w:name="page21"/>
    <w:bookmarkEnd w:id="20"/>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expenses incident to the performance of its obligations hereunder which are not otherwise specifically provided for in this Section 6; and (viii)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6,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93" w:lineRule="exact"/>
        <w:rPr>
          <w:sz w:val="20"/>
          <w:szCs w:val="20"/>
          <w:color w:val="auto"/>
        </w:rPr>
      </w:pPr>
    </w:p>
    <w:p>
      <w:pPr>
        <w:ind w:right="120" w:firstLine="464"/>
        <w:spacing w:after="0" w:line="257"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80" w:lineRule="exact"/>
        <w:rPr>
          <w:rFonts w:ascii="Arial" w:cs="Arial" w:eastAsia="Arial" w:hAnsi="Arial"/>
          <w:sz w:val="18"/>
          <w:szCs w:val="18"/>
          <w:color w:val="auto"/>
        </w:rPr>
      </w:pPr>
    </w:p>
    <w:p>
      <w:pPr>
        <w:ind w:left="460" w:firstLine="443"/>
        <w:spacing w:after="0" w:line="270" w:lineRule="auto"/>
        <w:tabs>
          <w:tab w:leader="none" w:pos="1143"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Prospectus containing the 430B Information, as amended or supplemented, in relation to the applicable Designated Securities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73" w:lineRule="exact"/>
        <w:rPr>
          <w:rFonts w:ascii="Arial" w:cs="Arial" w:eastAsia="Arial" w:hAnsi="Arial"/>
          <w:sz w:val="17"/>
          <w:szCs w:val="17"/>
          <w:color w:val="auto"/>
        </w:rPr>
      </w:pPr>
    </w:p>
    <w:p>
      <w:pPr>
        <w:ind w:left="460" w:right="40" w:firstLine="443"/>
        <w:spacing w:after="0" w:line="276" w:lineRule="auto"/>
        <w:tabs>
          <w:tab w:leader="none" w:pos="1153" w:val="left"/>
        </w:tabs>
        <w:numPr>
          <w:ilvl w:val="1"/>
          <w:numId w:val="29"/>
        </w:numPr>
        <w:rPr>
          <w:rFonts w:ascii="Arial" w:cs="Arial" w:eastAsia="Arial" w:hAnsi="Arial"/>
          <w:sz w:val="17"/>
          <w:szCs w:val="17"/>
          <w:color w:val="auto"/>
        </w:rPr>
      </w:pPr>
      <w:r>
        <w:rPr>
          <w:rFonts w:ascii="Arial" w:cs="Arial" w:eastAsia="Arial" w:hAnsi="Arial"/>
          <w:sz w:val="17"/>
          <w:szCs w:val="17"/>
          <w:color w:val="auto"/>
        </w:rPr>
        <w:t xml:space="preserve">Sidley Austin </w:t>
      </w:r>
      <w:r>
        <w:rPr>
          <w:rFonts w:ascii="Arial" w:cs="Arial" w:eastAsia="Arial" w:hAnsi="Arial"/>
          <w:sz w:val="14"/>
          <w:szCs w:val="14"/>
          <w:color w:val="auto"/>
        </w:rPr>
        <w:t>LLP</w:t>
      </w:r>
      <w:r>
        <w:rPr>
          <w:rFonts w:ascii="Arial" w:cs="Arial" w:eastAsia="Arial" w:hAnsi="Arial"/>
          <w:sz w:val="17"/>
          <w:szCs w:val="17"/>
          <w:color w:val="auto"/>
        </w:rPr>
        <w:t xml:space="preserve">, counsel for the Underwriters, shall have furnished to the Representatives such opinion or opinions, dated the Time of Delivery for such Designated Securities, with respect to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4"/>
          <w:szCs w:val="14"/>
          <w:color w:val="auto"/>
        </w:rPr>
        <w:t>LLP</w:t>
      </w:r>
      <w:r>
        <w:rPr>
          <w:rFonts w:ascii="Arial" w:cs="Arial" w:eastAsia="Arial" w:hAnsi="Arial"/>
          <w:sz w:val="17"/>
          <w:szCs w:val="17"/>
          <w:color w:val="auto"/>
        </w:rPr>
        <w:t xml:space="preserve"> may rely, as to all matters arising under or governed by the laws of the State of Maryland, on the opinion of Pillsbury Winthrop Shaw Pittman LLP);</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1" w:name="page22"/>
    <w:bookmarkEnd w:id="21"/>
    <w:p>
      <w:pPr>
        <w:ind w:firstLine="443"/>
        <w:spacing w:after="0" w:line="312" w:lineRule="auto"/>
        <w:tabs>
          <w:tab w:leader="none" w:pos="683"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Pillsbury Winthrop Shaw Pittman LLP, counsel for the Company, shall have furnished to the Representatives their written opinion, dated the Time of Delivery for such Designated Securities, in form and substance satisfactory to the Representatives, substantially similar to the forms set forth in Exhibit C and Exhibit D hereto, subject to such assumptions, exceptions, and qualifications reasonably acceptable to the Representatives;</w:t>
      </w:r>
    </w:p>
    <w:p>
      <w:pPr>
        <w:spacing w:after="0" w:line="38" w:lineRule="exact"/>
        <w:rPr>
          <w:rFonts w:ascii="Arial" w:cs="Arial" w:eastAsia="Arial" w:hAnsi="Arial"/>
          <w:sz w:val="16"/>
          <w:szCs w:val="16"/>
          <w:color w:val="auto"/>
        </w:rPr>
      </w:pPr>
    </w:p>
    <w:p>
      <w:pPr>
        <w:jc w:val="both"/>
        <w:ind w:right="500" w:firstLine="443"/>
        <w:spacing w:after="0" w:line="264" w:lineRule="auto"/>
        <w:tabs>
          <w:tab w:leader="none" w:pos="6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Grant Thornton LLP, the independent accountants of the Company, shall have furnished to the Representatives a “comfort letter” in form and substance satisfactory to the Representatives;</w:t>
      </w:r>
    </w:p>
    <w:p>
      <w:pPr>
        <w:spacing w:after="0" w:line="73" w:lineRule="exact"/>
        <w:rPr>
          <w:rFonts w:ascii="Arial" w:cs="Arial" w:eastAsia="Arial" w:hAnsi="Arial"/>
          <w:sz w:val="18"/>
          <w:szCs w:val="18"/>
          <w:color w:val="auto"/>
        </w:rPr>
      </w:pPr>
    </w:p>
    <w:p>
      <w:pPr>
        <w:ind w:right="80" w:firstLine="443"/>
        <w:spacing w:after="0" w:line="259" w:lineRule="auto"/>
        <w:tabs>
          <w:tab w:leader="none" w:pos="68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the Time of Delivery for such Designated Securities, the Designated Securities shall be rated at least [RESERVED] by Moody’s Investor’s Service Inc. and [RESERVED] by Standard &amp; Poor’s Ratings Services, and the Company shall have delivered to the Representatives a letter dated the Time of Delivery, from each such rating agency, or other evidence satisfactory to the Representatives, confirming that the Designated Securities have such ratings;</w:t>
      </w:r>
    </w:p>
    <w:p>
      <w:pPr>
        <w:spacing w:after="0" w:line="78" w:lineRule="exact"/>
        <w:rPr>
          <w:rFonts w:ascii="Arial" w:cs="Arial" w:eastAsia="Arial" w:hAnsi="Arial"/>
          <w:sz w:val="18"/>
          <w:szCs w:val="18"/>
          <w:color w:val="auto"/>
        </w:rPr>
      </w:pPr>
    </w:p>
    <w:p>
      <w:pPr>
        <w:ind w:right="40" w:firstLine="443"/>
        <w:spacing w:after="0" w:line="286" w:lineRule="auto"/>
        <w:tabs>
          <w:tab w:leader="none" w:pos="663"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Neither the Company nor any of its subsidiaries, considered as one enterprise, since the date of the last audited financial statements included or incorporated by reference in the Registration Statement, Disclosure Package and the Prospectus, shall have sustained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(B) 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(i) Conversion of the Company’s Preferred Shares outstanding as of the date of the applicable Pricing Agreement, (ii) the Company’s Dividend Reinvestment and Share Purchase Plan as in effect on the date of the applicable Pricing Agreement, (iii) any of the Company’s employee or trustee benefits plans, including upon exercise of share options granted pursuant thereto, as such plans are in effect on the date of the applicable Pricing Agreement or consistent with part practice, (iv) the exercise of contractual rights existing on the date of the applicable Pricing Agreement by the current and former holders of partnership or other interests in certain of the “DownREIT” and other Subsidiaries which may require or permit (in lieu of a payment in cash) the issuance of Common Shares of the Company, (v) the terms of that certain Equity Distribution Agreement dated May 8, 2012 between the Company and Wells Fargo Securities, LLC, as the same may be amended from time to time or (vi) any non-material acquisition, merger or purchase of assets) or any material increase in the consolidated long-term debt of the Company or any of its subsidiaries or any change, or any development involving a prospective change, in or affecting the general affairs, management,</w:t>
      </w:r>
    </w:p>
    <w:p>
      <w:pPr>
        <w:spacing w:after="0" w:line="10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4" w:right="239" w:bottom="1440" w:gutter="0" w:footer="0" w:header="0"/>
        </w:sectPr>
      </w:pPr>
    </w:p>
    <w:bookmarkStart w:id="22" w:name="page23"/>
    <w:bookmarkEnd w:id="22"/>
    <w:p>
      <w:pPr>
        <w:ind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position, shareholders’ equity or results of operations of the Company and its subsidiaries, otherwise than as set forth or contemplated in the Prospectus and the General Disclosure Package, the effect of which, in any such case described in clause (A) or (B), is in the judgment of the Representatives so material and adverse as to make it impracticable or inadvisable to proceed with the public offering, sale or the delivery of the Designated Securities on the terms and in the manner contemplated in the Prospectus, as amended or supplemented;</w:t>
      </w:r>
    </w:p>
    <w:p>
      <w:pPr>
        <w:spacing w:after="0" w:line="63" w:lineRule="exact"/>
        <w:rPr>
          <w:sz w:val="20"/>
          <w:szCs w:val="20"/>
          <w:color w:val="auto"/>
        </w:rPr>
      </w:pPr>
    </w:p>
    <w:p>
      <w:pPr>
        <w:ind w:right="120" w:firstLine="443"/>
        <w:spacing w:after="0" w:line="279" w:lineRule="auto"/>
        <w:tabs>
          <w:tab w:leader="none" w:pos="693"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Section 3(a)(62) under the Exchange Act and (ii) no such organization shall have publicly announced that it has under surveillance or review, with possible negative implications, its rating of any of the Company’s debt securities or preferred shares;</w:t>
      </w:r>
    </w:p>
    <w:p>
      <w:pPr>
        <w:spacing w:after="0" w:line="63" w:lineRule="exact"/>
        <w:rPr>
          <w:rFonts w:ascii="Arial" w:cs="Arial" w:eastAsia="Arial" w:hAnsi="Arial"/>
          <w:sz w:val="17"/>
          <w:szCs w:val="17"/>
          <w:color w:val="auto"/>
        </w:rPr>
      </w:pPr>
    </w:p>
    <w:p>
      <w:pPr>
        <w:ind w:firstLine="443"/>
        <w:spacing w:after="0" w:line="254" w:lineRule="auto"/>
        <w:tabs>
          <w:tab w:leader="none" w:pos="6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or after the date of the Pricing Agreement relating to the Designated Securities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sale or the delivery of the Designated Securities on the terms and in the manner contemplated in the Prospectus, as amended or supplemented;</w:t>
      </w:r>
    </w:p>
    <w:p>
      <w:pPr>
        <w:spacing w:after="0" w:line="84" w:lineRule="exact"/>
        <w:rPr>
          <w:rFonts w:ascii="Arial" w:cs="Arial" w:eastAsia="Arial" w:hAnsi="Arial"/>
          <w:sz w:val="18"/>
          <w:szCs w:val="18"/>
          <w:color w:val="auto"/>
        </w:rPr>
      </w:pPr>
    </w:p>
    <w:p>
      <w:pPr>
        <w:ind w:right="320" w:firstLine="443"/>
        <w:spacing w:after="0" w:line="277" w:lineRule="auto"/>
        <w:tabs>
          <w:tab w:leader="none" w:pos="6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 and</w:t>
      </w:r>
    </w:p>
    <w:p>
      <w:pPr>
        <w:spacing w:after="0" w:line="62" w:lineRule="exact"/>
        <w:rPr>
          <w:rFonts w:ascii="Arial" w:cs="Arial" w:eastAsia="Arial" w:hAnsi="Arial"/>
          <w:sz w:val="18"/>
          <w:szCs w:val="18"/>
          <w:color w:val="auto"/>
        </w:rPr>
      </w:pPr>
    </w:p>
    <w:p>
      <w:pPr>
        <w:ind w:firstLine="443"/>
        <w:spacing w:after="0" w:line="257" w:lineRule="auto"/>
        <w:tabs>
          <w:tab w:leader="none" w:pos="6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(g) of this Section 7 and as to such other matters as the Representatives may reasonably request.</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74" w:right="239" w:bottom="1440" w:gutter="0" w:footer="0" w:header="0"/>
        </w:sectPr>
      </w:pPr>
    </w:p>
    <w:bookmarkStart w:id="23" w:name="page24"/>
    <w:bookmarkEnd w:id="23"/>
    <w:p>
      <w:pPr>
        <w:ind w:left="-20" w:right="20" w:firstLine="464"/>
        <w:spacing w:after="0" w:line="268"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The Company will indemnify and hold harmless each Underwriter, its affiliates, its directors, its officers and each person, if any, who controls such Underwriter within the meaning of Section 15 of the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any Underwriter of Designated Securities through the Representatives expressly for use therein.</w:t>
      </w:r>
    </w:p>
    <w:p>
      <w:pPr>
        <w:spacing w:after="0" w:line="185" w:lineRule="exact"/>
        <w:rPr>
          <w:sz w:val="20"/>
          <w:szCs w:val="20"/>
          <w:color w:val="auto"/>
        </w:rPr>
      </w:pPr>
    </w:p>
    <w:p>
      <w:pPr>
        <w:ind w:left="-20" w:firstLine="464"/>
        <w:spacing w:after="0" w:line="286" w:lineRule="auto"/>
        <w:tabs>
          <w:tab w:leader="none" w:pos="691"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its trustees, its officers who signed the Registration Statement and each person, if any, who controls the Company within the meaning of Section 15 of the Act or Section 20 of the Exchange Act to the same extent as the indemnity set forth in paragraph (a) above, but only with respect to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274" w:right="239" w:bottom="1440" w:gutter="0" w:footer="0" w:header="0"/>
        </w:sectPr>
      </w:pPr>
    </w:p>
    <w:bookmarkStart w:id="24" w:name="page25"/>
    <w:bookmarkEnd w:id="24"/>
    <w:p>
      <w:pPr>
        <w:ind w:left="-8" w:firstLine="464"/>
        <w:spacing w:after="0" w:line="286" w:lineRule="auto"/>
        <w:tabs>
          <w:tab w:leader="none" w:pos="693" w:val="left"/>
        </w:tabs>
        <w:numPr>
          <w:ilvl w:val="1"/>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71" w:lineRule="exact"/>
        <w:rPr>
          <w:rFonts w:ascii="Arial" w:cs="Arial" w:eastAsia="Arial" w:hAnsi="Arial"/>
          <w:sz w:val="16"/>
          <w:szCs w:val="16"/>
          <w:color w:val="auto"/>
        </w:rPr>
      </w:pPr>
    </w:p>
    <w:p>
      <w:pPr>
        <w:ind w:left="712" w:hanging="256"/>
        <w:spacing w:after="0"/>
        <w:tabs>
          <w:tab w:leader="none" w:pos="712" w:val="left"/>
        </w:tabs>
        <w:numPr>
          <w:ilvl w:val="1"/>
          <w:numId w:val="34"/>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 (a) or</w:t>
      </w:r>
    </w:p>
    <w:p>
      <w:pPr>
        <w:spacing w:after="0" w:line="46" w:lineRule="exact"/>
        <w:rPr>
          <w:rFonts w:ascii="Arial" w:cs="Arial" w:eastAsia="Arial" w:hAnsi="Arial"/>
          <w:sz w:val="16"/>
          <w:szCs w:val="16"/>
          <w:color w:val="auto"/>
        </w:rPr>
      </w:pPr>
    </w:p>
    <w:p>
      <w:pPr>
        <w:ind w:left="-8" w:right="20" w:firstLine="8"/>
        <w:spacing w:after="0" w:line="268" w:lineRule="auto"/>
        <w:tabs>
          <w:tab w:leader="none" w:pos="247" w:val="left"/>
        </w:tabs>
        <w:numPr>
          <w:ilvl w:val="0"/>
          <w:numId w:val="35"/>
        </w:numPr>
        <w:rPr>
          <w:rFonts w:ascii="Arial" w:cs="Arial" w:eastAsia="Arial" w:hAnsi="Arial"/>
          <w:sz w:val="17"/>
          <w:szCs w:val="17"/>
          <w:color w:val="auto"/>
        </w:rPr>
      </w:pPr>
      <w:r>
        <w:rPr>
          <w:rFonts w:ascii="Arial" w:cs="Arial" w:eastAsia="Arial" w:hAnsi="Arial"/>
          <w:sz w:val="17"/>
          <w:szCs w:val="17"/>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72"/>
          </w:cols>
          <w:pgMar w:left="248" w:top="274" w:right="279" w:bottom="1440" w:gutter="0" w:footer="0" w:header="0"/>
        </w:sectPr>
      </w:pPr>
    </w:p>
    <w:bookmarkStart w:id="25" w:name="page26"/>
    <w:bookmarkEnd w:id="2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81" w:lineRule="exact"/>
        <w:rPr>
          <w:sz w:val="20"/>
          <w:szCs w:val="20"/>
          <w:color w:val="auto"/>
        </w:rPr>
      </w:pPr>
    </w:p>
    <w:p>
      <w:pPr>
        <w:ind w:right="60" w:firstLine="464"/>
        <w:spacing w:after="0" w:line="257" w:lineRule="auto"/>
        <w:tabs>
          <w:tab w:leader="none" w:pos="7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trustee of the Company and to each person, if any, who controls the Company within the meaning of the Act.</w:t>
      </w:r>
    </w:p>
    <w:p>
      <w:pPr>
        <w:spacing w:after="0" w:line="188" w:lineRule="exact"/>
        <w:rPr>
          <w:sz w:val="20"/>
          <w:szCs w:val="20"/>
          <w:color w:val="auto"/>
        </w:rPr>
      </w:pPr>
    </w:p>
    <w:p>
      <w:pPr>
        <w:ind w:firstLine="464"/>
        <w:spacing w:after="0" w:line="297" w:lineRule="auto"/>
        <w:tabs>
          <w:tab w:leader="none" w:pos="636"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6" w:name="page27"/>
    <w:bookmarkEnd w:id="26"/>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9 with like effect as if such person had originally been a party to the Pricing Agreement with respect to such Designated Securities.</w:t>
      </w:r>
    </w:p>
    <w:p>
      <w:pPr>
        <w:spacing w:after="0" w:line="167" w:lineRule="exact"/>
        <w:rPr>
          <w:sz w:val="20"/>
          <w:szCs w:val="20"/>
          <w:color w:val="auto"/>
        </w:rPr>
      </w:pPr>
    </w:p>
    <w:p>
      <w:pPr>
        <w:ind w:firstLine="464"/>
        <w:spacing w:after="0" w:line="271" w:lineRule="auto"/>
        <w:tabs>
          <w:tab w:leader="none" w:pos="711" w:val="left"/>
        </w:tabs>
        <w:numPr>
          <w:ilvl w:val="1"/>
          <w:numId w:val="38"/>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78" w:lineRule="exact"/>
        <w:rPr>
          <w:rFonts w:ascii="Arial" w:cs="Arial" w:eastAsia="Arial" w:hAnsi="Arial"/>
          <w:sz w:val="17"/>
          <w:szCs w:val="17"/>
          <w:color w:val="auto"/>
        </w:rPr>
      </w:pPr>
    </w:p>
    <w:p>
      <w:pPr>
        <w:ind w:right="180" w:firstLine="464"/>
        <w:spacing w:after="0" w:line="288" w:lineRule="auto"/>
        <w:tabs>
          <w:tab w:leader="none" w:pos="701"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w:t>
      </w:r>
    </w:p>
    <w:p>
      <w:pPr>
        <w:jc w:val="both"/>
        <w:ind w:right="140" w:firstLine="8"/>
        <w:spacing w:after="0" w:line="271" w:lineRule="auto"/>
        <w:tabs>
          <w:tab w:leader="none" w:pos="2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 w:name="page28"/>
    <w:bookmarkEnd w:id="27"/>
    <w:p>
      <w:pPr>
        <w:ind w:right="40" w:firstLine="464"/>
        <w:spacing w:after="0" w:line="302" w:lineRule="auto"/>
        <w:tabs>
          <w:tab w:leader="none" w:pos="726"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respective indemnities, agreements, representations, warranties and other statements of the Company and the several Underwriters, as set forth in this Underwriting Agreement or made by or on behalf of them, respectively, pursuant to this 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154" w:lineRule="exact"/>
        <w:rPr>
          <w:rFonts w:ascii="Arial" w:cs="Arial" w:eastAsia="Arial" w:hAnsi="Arial"/>
          <w:sz w:val="16"/>
          <w:szCs w:val="16"/>
          <w:color w:val="auto"/>
        </w:rPr>
      </w:pPr>
    </w:p>
    <w:p>
      <w:pPr>
        <w:ind w:firstLine="464"/>
        <w:spacing w:after="0" w:line="255"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any Pricing Agreement shall be terminated pursuant to Section 9 hereof, the Company shall not then have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 Section 7(h))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have no further liability to any Underwriter with respect to such Designated Securities except as provided in Section 6 and Section 8 hereof.</w:t>
      </w:r>
    </w:p>
    <w:p>
      <w:pPr>
        <w:spacing w:after="0" w:line="189" w:lineRule="exact"/>
        <w:rPr>
          <w:rFonts w:ascii="Arial" w:cs="Arial" w:eastAsia="Arial" w:hAnsi="Arial"/>
          <w:sz w:val="18"/>
          <w:szCs w:val="18"/>
          <w:color w:val="auto"/>
        </w:rPr>
      </w:pPr>
    </w:p>
    <w:p>
      <w:pPr>
        <w:ind w:right="20" w:firstLine="464"/>
        <w:spacing w:after="0" w:line="286" w:lineRule="auto"/>
        <w:tabs>
          <w:tab w:leader="none" w:pos="726"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66"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78" w:lineRule="exact"/>
        <w:rPr>
          <w:sz w:val="20"/>
          <w:szCs w:val="20"/>
          <w:color w:val="auto"/>
        </w:rPr>
      </w:pPr>
    </w:p>
    <w:p>
      <w:pPr>
        <w:ind w:right="120" w:firstLine="464"/>
        <w:spacing w:after="0" w:line="277" w:lineRule="auto"/>
        <w:tabs>
          <w:tab w:leader="none" w:pos="7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right="20" w:firstLine="464"/>
        <w:spacing w:after="0" w:line="264" w:lineRule="auto"/>
        <w:tabs>
          <w:tab w:leader="none" w:pos="7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if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8" w:name="page29"/>
    <w:bookmarkEnd w:id="28"/>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controls the Company or any Underwriter, and their respective heirs, executors, administrators, successors and assigns, and no other person shall acquire or have any right under or by virtue of this Underwriting Agreement or any such Pricing Agreement. No purchaser of any of the Securities from any Underwriter shall be deemed a successor or assign by reason merely of such purchase.</w:t>
      </w:r>
    </w:p>
    <w:p>
      <w:pPr>
        <w:spacing w:after="0" w:line="181" w:lineRule="exact"/>
        <w:rPr>
          <w:sz w:val="20"/>
          <w:szCs w:val="20"/>
          <w:color w:val="auto"/>
        </w:rPr>
      </w:pPr>
    </w:p>
    <w:p>
      <w:pPr>
        <w:ind w:right="440" w:firstLine="464"/>
        <w:spacing w:after="0" w:line="277" w:lineRule="auto"/>
        <w:tabs>
          <w:tab w:leader="none" w:pos="7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left="740" w:hanging="276"/>
        <w:spacing w:after="0"/>
        <w:tabs>
          <w:tab w:leader="none" w:pos="7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 New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York.</w:t>
      </w:r>
    </w:p>
    <w:p>
      <w:pPr>
        <w:spacing w:after="0" w:line="210" w:lineRule="exact"/>
        <w:rPr>
          <w:rFonts w:ascii="Arial" w:cs="Arial" w:eastAsia="Arial" w:hAnsi="Arial"/>
          <w:sz w:val="16"/>
          <w:szCs w:val="16"/>
          <w:color w:val="auto"/>
        </w:rPr>
      </w:pPr>
    </w:p>
    <w:p>
      <w:pPr>
        <w:ind w:right="60" w:firstLine="464"/>
        <w:spacing w:after="0" w:line="342" w:lineRule="auto"/>
        <w:tabs>
          <w:tab w:leader="none" w:pos="72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74"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Underwriting Agreement to us.</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James M. Taylor, Jr.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Title:  Executive Vice President-Chief</w:t>
      </w:r>
    </w:p>
    <w:p>
      <w:pPr>
        <w:spacing w:after="0" w:line="9"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Financial Officer and Treasurer</w:t>
      </w:r>
    </w:p>
    <w:p>
      <w:pPr>
        <w:sectPr>
          <w:pgSz w:w="11900" w:h="16838" w:orient="portrait"/>
          <w:cols w:equalWidth="0" w:num="1">
            <w:col w:w="9759"/>
          </w:cols>
          <w:pgMar w:left="700" w:top="274"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w:t>
      </w:r>
      <w:r>
        <w:rPr>
          <w:rFonts w:ascii="Arial" w:cs="Arial" w:eastAsia="Arial" w:hAnsi="Arial"/>
          <w:sz w:val="15"/>
          <w:szCs w:val="15"/>
          <w:color w:val="auto"/>
        </w:rPr>
        <w:t>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ITIGROUP</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Carolyn Hurley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Salvatore G. Takoushian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Salvatore G. Takoushian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Robert Bottamedi</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the Pricing Agreement dated the date hereof.</w:t>
      </w:r>
    </w:p>
    <w:p>
      <w:pPr>
        <w:sectPr>
          <w:pgSz w:w="11900" w:h="16838" w:orient="portrait"/>
          <w:cols w:equalWidth="0" w:num="1">
            <w:col w:w="10219"/>
          </w:cols>
          <w:pgMar w:left="240" w:top="274"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4,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ITIGROUP</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Federal Realty Investment Trust, a Maryland real estate investment trust (the “Company”), proposes, subject to the terms and conditions stated herein and in the Underwriting Agreement, dated December 4, 2013 (the “Underwriting Agreement”), between the Company on the one hand and Wells Fargo Securities, LLC, Citigroup Global Markets Inc. and J.P. Morgan Securities LLC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2" w:name="page33"/>
    <w:bookmarkEnd w:id="32"/>
    <w:p>
      <w:pPr>
        <w:ind w:right="3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obligations of the Underwriters under this Pricing Agreement and the Underwriting Agreement incorporated herein are several and not joint.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4" w:right="379" w:bottom="1440" w:gutter="0" w:footer="0" w:header="0"/>
        </w:sectPr>
      </w:pPr>
    </w:p>
    <w:bookmarkStart w:id="33" w:name="page34"/>
    <w:bookmarkEnd w:id="33"/>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M. Taylor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James M.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 and Treasurer</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340"/>
          </w:cols>
          <w:pgMar w:left="240" w:top="274"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ITIGROUP</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Carolyn Hurley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Salvatore G. Takoushian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Salvatore G. Takoushian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Bottamedi</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this Pricing Agreement.</w:t>
      </w:r>
    </w:p>
    <w:p>
      <w:pPr>
        <w:spacing w:after="0" w:line="248"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219"/>
          </w:cols>
          <w:pgMar w:left="240" w:top="274"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6420" w:type="dxa"/>
            <w:vAlign w:val="bottom"/>
            <w:gridSpan w:val="2"/>
          </w:tcPr>
          <w:p>
            <w:pPr>
              <w:ind w:left="1320"/>
              <w:spacing w:after="0"/>
              <w:rPr>
                <w:sz w:val="20"/>
                <w:szCs w:val="20"/>
                <w:color w:val="auto"/>
              </w:rPr>
            </w:pPr>
            <w:r>
              <w:rPr>
                <w:rFonts w:ascii="Arial" w:cs="Arial" w:eastAsia="Arial" w:hAnsi="Arial"/>
                <w:sz w:val="18"/>
                <w:szCs w:val="18"/>
                <w:color w:val="auto"/>
              </w:rPr>
              <w:t>SCHEDULE I</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618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Principal Amount of</w:t>
            </w:r>
          </w:p>
        </w:tc>
        <w:tc>
          <w:tcPr>
            <w:tcW w:w="0" w:type="dxa"/>
            <w:vAlign w:val="bottom"/>
          </w:tcPr>
          <w:p>
            <w:pPr>
              <w:spacing w:after="0"/>
              <w:rPr>
                <w:sz w:val="1"/>
                <w:szCs w:val="1"/>
                <w:color w:val="auto"/>
              </w:rPr>
            </w:pPr>
          </w:p>
        </w:tc>
      </w:tr>
      <w:tr>
        <w:trPr>
          <w:trHeight w:val="158"/>
        </w:trPr>
        <w:tc>
          <w:tcPr>
            <w:tcW w:w="3880" w:type="dxa"/>
            <w:vAlign w:val="bottom"/>
            <w:gridSpan w:val="2"/>
            <w:vMerge w:val="continue"/>
          </w:tcPr>
          <w:p>
            <w:pPr>
              <w:spacing w:after="0"/>
              <w:rPr>
                <w:sz w:val="13"/>
                <w:szCs w:val="13"/>
                <w:color w:val="auto"/>
              </w:rPr>
            </w:pPr>
          </w:p>
        </w:tc>
        <w:tc>
          <w:tcPr>
            <w:tcW w:w="6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Wells Fargo Securities, LLC</w:t>
            </w:r>
          </w:p>
        </w:tc>
        <w:tc>
          <w:tcPr>
            <w:tcW w:w="6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6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72,000,000</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6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72,000,000</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6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6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6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6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Capital One Securities, Inc.</w:t>
            </w:r>
          </w:p>
        </w:tc>
        <w:tc>
          <w:tcPr>
            <w:tcW w:w="6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6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6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6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6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420" w:type="dxa"/>
            <w:vAlign w:val="bottom"/>
            <w:gridSpan w:val="2"/>
            <w:shd w:val="clear" w:color="auto" w:fill="CCEEFF"/>
          </w:tcPr>
          <w:p>
            <w:pPr>
              <w:ind w:left="6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 I</w:t>
      </w:r>
    </w:p>
    <w:p>
      <w:pPr>
        <w:sectPr>
          <w:pgSz w:w="11900" w:h="16838" w:orient="portrait"/>
          <w:cols w:equalWidth="0" w:num="1">
            <w:col w:w="11420"/>
          </w:cols>
          <w:pgMar w:left="240" w:top="274" w:right="239" w:bottom="1440" w:gutter="0" w:footer="0" w:header="0"/>
        </w:sectPr>
      </w:pPr>
    </w:p>
    <w:bookmarkStart w:id="36" w:name="page37"/>
    <w:bookmarkEnd w:id="36"/>
    <w:p>
      <w:pPr>
        <w:jc w:val="center"/>
        <w:ind w:right="-3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3.95% Notes due 2024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$300,000,000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99.018% of the principal amount of the Designated Securities, plus accrued interest from December 9,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98.368% of the principal amount of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15, 2024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3.95% per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15 and July 15, beginning on July 15,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Sch. II-1</w:t>
      </w:r>
    </w:p>
    <w:p>
      <w:pPr>
        <w:sectPr>
          <w:pgSz w:w="11900" w:h="16838" w:orient="portrait"/>
          <w:cols w:equalWidth="0" w:num="1">
            <w:col w:w="11040"/>
          </w:cols>
          <w:pgMar w:left="240" w:top="274" w:right="6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Sinking Fund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2:55 p.m. (Eastern time) on December 4, 2013 or such other time as agreed by the Company and the Representatives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9,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5"/>
          <w:szCs w:val="15"/>
          <w:color w:val="auto"/>
        </w:rPr>
        <w:t>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NC 28202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(704) 410-0326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 New York, New York 10013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816-7912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10179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Investment Grade Syndicate Desk – 3rd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834-6081</w:t>
      </w:r>
    </w:p>
    <w:p>
      <w:pPr>
        <w:spacing w:after="0" w:line="14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Sch. II-2</w:t>
      </w:r>
    </w:p>
    <w:p>
      <w:pPr>
        <w:sectPr>
          <w:pgSz w:w="11900" w:h="16838" w:orient="portrait"/>
          <w:cols w:equalWidth="0" w:num="1">
            <w:col w:w="10219"/>
          </w:cols>
          <w:pgMar w:left="240" w:top="270"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3.95% Note due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CUSIP No. 313747 AU1</w:t>
            </w:r>
          </w:p>
        </w:tc>
        <w:tc>
          <w:tcPr>
            <w:tcW w:w="5300" w:type="dxa"/>
            <w:vAlign w:val="bottom"/>
          </w:tcPr>
          <w:p>
            <w:pPr>
              <w:jc w:val="right"/>
              <w:spacing w:after="0"/>
              <w:rPr>
                <w:sz w:val="20"/>
                <w:szCs w:val="20"/>
                <w:color w:val="auto"/>
              </w:rPr>
            </w:pPr>
            <w:r>
              <w:rPr>
                <w:rFonts w:ascii="Arial" w:cs="Arial" w:eastAsia="Arial" w:hAnsi="Arial"/>
                <w:sz w:val="18"/>
                <w:szCs w:val="18"/>
                <w:color w:val="auto"/>
              </w:rPr>
              <w:t>$300,000,000</w:t>
            </w:r>
          </w:p>
        </w:tc>
      </w:tr>
    </w:tbl>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(THE “DEPOSITORY”)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8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80"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$1,000 AND INTEGRAL MULTIPLES OF $1,000 IN EXCESS THEREOF.</w:t>
      </w:r>
    </w:p>
    <w:p>
      <w:pPr>
        <w:spacing w:after="0" w:line="166" w:lineRule="exact"/>
        <w:rPr>
          <w:sz w:val="20"/>
          <w:szCs w:val="20"/>
          <w:color w:val="auto"/>
        </w:rPr>
      </w:pPr>
    </w:p>
    <w:p>
      <w:pPr>
        <w:ind w:right="20" w:firstLine="913"/>
        <w:spacing w:after="0" w:line="284"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Three Hundred Million Dollars ($300,000,000) on January 15, 2024 (the “Stated Maturity Date”) or the date fixed for earlier redemption (the “Redemption Date,” and together with the Stated Maturity Date with respect to principal repayable on such date, the “Maturity Date”), and to pay interest on the outstanding principal amount thereof from December 9, 2013 or from the most recent interest payment date to which interest has been paid or duly provided for, semi-annually on January 15 and July 15 in each year (each, an “Interest Payment Date”), commencing July 15, 2014, at the rate of</w:t>
      </w:r>
    </w:p>
    <w:p>
      <w:pPr>
        <w:spacing w:after="0" w:line="5"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3.95%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January 1 or July 1 (whether or not a Business Day, as defined below), as the case may be, next preceding such Interest Payment Date at the office or agency of the Company maintained for such purpose; provided, however, that such interest may be paid, at the Company’s option, by mailing a check to such Holder at its registered address or by transfer of funds to an account</w:t>
      </w:r>
    </w:p>
    <w:p>
      <w:pPr>
        <w:sectPr>
          <w:pgSz w:w="11900" w:h="16838" w:orient="portrait"/>
          <w:cols w:equalWidth="0" w:num="1">
            <w:col w:w="11420"/>
          </w:cols>
          <w:pgMar w:left="240" w:top="121" w:right="239" w:bottom="1440" w:gutter="0" w:footer="0" w:header="0"/>
        </w:sectPr>
      </w:pPr>
    </w:p>
    <w:bookmarkStart w:id="39" w:name="page40"/>
    <w:bookmarkEnd w:id="39"/>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6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8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December 9, 2013, if no interest has been paid on this Note) to but excluding such Interest Payment Date or the Maturity Date, as the case may be. If any Interest Payment Date or the Maturity Date falls on a day that is not a Business Day,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All payments of principal, premium, if any, and interest in respect of this Note will be made by the Company in immediately available funds.</w:t>
      </w:r>
    </w:p>
    <w:p>
      <w:pPr>
        <w:spacing w:after="0" w:line="23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0" w:name="page41"/>
    <w:bookmarkEnd w:id="4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2013</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FEDERAL REALTY INVESTMENT TRUST</w:t>
      </w:r>
    </w:p>
    <w:p>
      <w:pPr>
        <w:spacing w:after="0" w:line="22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Trustee</w:t>
      </w:r>
    </w:p>
    <w:p>
      <w:pPr>
        <w:spacing w:after="0" w:line="22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Executive Vice President-Chief Financial</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Officer and Treasurer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President-General Counsel and 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2013</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U.S. BANK NATIONAL ASSOCIATION, as</w:t>
      </w:r>
    </w:p>
    <w:p>
      <w:pPr>
        <w:spacing w:after="0" w:line="3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Trustee</w:t>
      </w:r>
    </w:p>
    <w:p>
      <w:pPr>
        <w:spacing w:after="0" w:line="22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4" w:right="1440" w:bottom="1440" w:gutter="0" w:footer="0" w:header="0"/>
        </w:sectPr>
      </w:pPr>
    </w:p>
    <w:bookmarkStart w:id="41" w:name="page42"/>
    <w:bookmarkEnd w:id="4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FEDERAL REALTY INVESTMENT TRUST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3.95% Note due 2024</w:t>
      </w:r>
    </w:p>
    <w:p>
      <w:pPr>
        <w:spacing w:after="0" w:line="225"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“3.95% Notes due 2024” (collectively, the “Notes”), and the aggregate principal amount of the Notes to be issued under such series is initially limited to $300,000,000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8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If an Event of Default, as defined herein,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73" w:lineRule="exact"/>
        <w:rPr>
          <w:sz w:val="20"/>
          <w:szCs w:val="20"/>
          <w:color w:val="auto"/>
        </w:rPr>
      </w:pPr>
    </w:p>
    <w:p>
      <w:pPr>
        <w:ind w:left="460" w:right="440" w:firstLine="443"/>
        <w:spacing w:after="0" w:line="277" w:lineRule="auto"/>
        <w:tabs>
          <w:tab w:leader="none" w:pos="11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 the payment of any interest upon or any Additional Amounts payable in respect of the Notes when such interest or Additional Amounts becomes due and payable, and continuance of such default for a period of 30 days;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the Notes when it becomes due and payable at its Maturity;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the Notes;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42" w:name="page43"/>
    <w:bookmarkEnd w:id="42"/>
    <w:p>
      <w:pPr>
        <w:ind w:right="80" w:firstLine="443"/>
        <w:spacing w:after="0" w:line="276" w:lineRule="auto"/>
        <w:tabs>
          <w:tab w:leader="none" w:pos="693" w:val="left"/>
        </w:tabs>
        <w:numPr>
          <w:ilvl w:val="0"/>
          <w:numId w:val="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 in the performance, or a breach, of any covenant or agreement by the Company under the Indenture (other than a covenant or agreement a default in whose performance or whose breach is elsewhere in this definition of Event of Default specifically dealt with), and continuance of such default or breach for a period of 60 days after there has been given, by registered or certified mail, to the Company by the Trustee or to the Company and the Trustee by the Holders of at least 25% in aggregate principal amount of the outstanding Notes a written notice specifying such default or breach and requiring it to be remedied and stating that such notice is a “Notice of Default” under the Indenture;</w:t>
      </w:r>
    </w:p>
    <w:p>
      <w:pPr>
        <w:spacing w:after="0" w:line="64" w:lineRule="exact"/>
        <w:rPr>
          <w:rFonts w:ascii="Arial" w:cs="Arial" w:eastAsia="Arial" w:hAnsi="Arial"/>
          <w:sz w:val="17"/>
          <w:szCs w:val="17"/>
          <w:color w:val="auto"/>
        </w:rPr>
      </w:pPr>
    </w:p>
    <w:p>
      <w:pPr>
        <w:ind w:firstLine="443"/>
        <w:spacing w:after="0" w:line="290" w:lineRule="auto"/>
        <w:tabs>
          <w:tab w:leader="none" w:pos="693"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default under any bond, debenture, note or other evidence of indebtedness for money borrowed by the Company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the Company (including such leases but not including such indebtedness or obligations for which recourse is limited to property purchased) in an aggregate principal amount in excess of $25,000,000 by the Company,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w:t>
      </w:r>
    </w:p>
    <w:p>
      <w:pPr>
        <w:spacing w:after="0" w:line="58" w:lineRule="exact"/>
        <w:rPr>
          <w:rFonts w:ascii="Arial" w:cs="Arial" w:eastAsia="Arial" w:hAnsi="Arial"/>
          <w:sz w:val="16"/>
          <w:szCs w:val="16"/>
          <w:color w:val="auto"/>
        </w:rPr>
      </w:pPr>
    </w:p>
    <w:p>
      <w:pPr>
        <w:ind w:left="700" w:hanging="25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for all or substantially all of either of its property, or</w:t>
      </w:r>
    </w:p>
    <w:p>
      <w:pPr>
        <w:spacing w:after="0" w:line="117" w:lineRule="exact"/>
        <w:rPr>
          <w:rFonts w:ascii="Arial" w:cs="Arial" w:eastAsia="Arial" w:hAnsi="Arial"/>
          <w:sz w:val="18"/>
          <w:szCs w:val="18"/>
          <w:color w:val="auto"/>
        </w:rPr>
      </w:pPr>
    </w:p>
    <w:p>
      <w:pPr>
        <w:ind w:left="1040" w:right="320" w:hanging="8"/>
        <w:spacing w:after="0" w:line="277" w:lineRule="auto"/>
        <w:tabs>
          <w:tab w:leader="none" w:pos="1285" w:val="left"/>
        </w:tabs>
        <w:numPr>
          <w:ilvl w:val="1"/>
          <w:numId w:val="44"/>
        </w:numPr>
        <w:rPr>
          <w:rFonts w:ascii="Arial" w:cs="Arial" w:eastAsia="Arial" w:hAnsi="Arial"/>
          <w:sz w:val="18"/>
          <w:szCs w:val="18"/>
          <w:color w:val="auto"/>
        </w:rPr>
      </w:pPr>
      <w:r>
        <w:rPr>
          <w:rFonts w:ascii="Arial" w:cs="Arial" w:eastAsia="Arial" w:hAnsi="Arial"/>
          <w:sz w:val="18"/>
          <w:szCs w:val="18"/>
          <w:color w:val="auto"/>
        </w:rPr>
        <w:t>orders the liquidation of the Company or any Significant Subsidiary, and the order or decree remains unstayed and in effect for 90 days; or</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43" w:name="page44"/>
    <w:bookmarkEnd w:id="43"/>
    <w:p>
      <w:pPr>
        <w:ind w:right="4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defeasance and covenant defeasance provisions of the Indenture apply to the Notes. The Notes will not be entitled to the benefits of any sinking fund.</w:t>
      </w:r>
    </w:p>
    <w:p>
      <w:pPr>
        <w:spacing w:after="0" w:line="170"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The Notes are subject to redemption at any time, in whole or in part, at the election of the Company, at a redemption price equal to (x) if the Notes are redeemed before 90 days prior to the Stated Maturity Date,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20 basis points (twenty one-hundredths of one percent) plus, in each case, accrued interest thereon to, but excluding, the Redemption Date or (y) if the Notes are redeemed on or after 90 days prior to the Stated Maturity Date, 100% of the principal amount of the Notes to be redeemed plus accrued and unpaid interest to, but excluding,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2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right="10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73" w:lineRule="exact"/>
        <w:rPr>
          <w:sz w:val="20"/>
          <w:szCs w:val="20"/>
          <w:color w:val="auto"/>
        </w:rPr>
      </w:pPr>
    </w:p>
    <w:p>
      <w:pPr>
        <w:ind w:left="460" w:right="80" w:firstLine="43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Issue</w:t>
      </w:r>
      <w:r>
        <w:rPr>
          <w:rFonts w:ascii="Arial" w:cs="Arial" w:eastAsia="Arial" w:hAnsi="Arial"/>
          <w:sz w:val="17"/>
          <w:szCs w:val="17"/>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57" w:lineRule="exact"/>
        <w:rPr>
          <w:sz w:val="20"/>
          <w:szCs w:val="20"/>
          <w:color w:val="auto"/>
        </w:rPr>
      </w:pPr>
    </w:p>
    <w:p>
      <w:pPr>
        <w:ind w:left="460" w:right="240" w:firstLine="438"/>
        <w:spacing w:after="0" w:line="264"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Redemption Date, after excluding the highest and lowest of such Reference Treasury Dealer Quotations, or (2) if the Trustee obtains fewer than five such Reference Treasury Dealer quotations, the average of all such Quotations.</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117"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a Primary Treasury Dealer (as defined below) selected by Wells Fargo Securities, LLC, Citigroup Global Markets Inc. and J.P. Morgan Securities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of the Reference Treasury Dealers ceases to be a primary U.S. Government securities dealer (a “Primary Treasury Dealer”), the Company will substitute therefor another Primary Treasury Dealer, and (2) any two other Primary Treasury Dealers selected by the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4" w:name="page45"/>
    <w:bookmarkEnd w:id="44"/>
    <w:p>
      <w:pPr>
        <w:ind w:left="460" w:right="2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Notice of any redemption will be given by mail to Holders of Securities, not less than 30 nor more than 60 days prior to the Redemption Date, all as provided in the Indenture.</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7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6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81"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 Securities and Exchange Commission (or, if such filing is not permitted under the Securities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45" w:name="page46"/>
    <w:bookmarkEnd w:id="4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8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In addition to the foregoing limitation on the incurrence of Debt, the Company will not, and will not permit any Subsidiary to, incur any Debt secured by any mortgage, lien, charge, pledge, encumbrance or security interest of any kind upon any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Total Assets.</w:t>
      </w:r>
    </w:p>
    <w:p>
      <w:pPr>
        <w:spacing w:after="0" w:line="18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46" w:name="page47"/>
    <w:bookmarkEnd w:id="46"/>
    <w:p>
      <w:pPr>
        <w:ind w:right="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79" w:lineRule="exact"/>
        <w:rPr>
          <w:sz w:val="20"/>
          <w:szCs w:val="20"/>
          <w:color w:val="auto"/>
        </w:rPr>
      </w:pPr>
    </w:p>
    <w:p>
      <w:pPr>
        <w:ind w:left="460" w:right="1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73" w:lineRule="exact"/>
        <w:rPr>
          <w:sz w:val="20"/>
          <w:szCs w:val="20"/>
          <w:color w:val="auto"/>
        </w:rPr>
      </w:pPr>
    </w:p>
    <w:p>
      <w:pPr>
        <w:ind w:left="460" w:right="4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73" w:lineRule="exact"/>
        <w:rPr>
          <w:sz w:val="20"/>
          <w:szCs w:val="20"/>
          <w:color w:val="auto"/>
        </w:rPr>
      </w:pPr>
    </w:p>
    <w:p>
      <w:pPr>
        <w:ind w:left="460" w:right="4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Funds from Operations (as defined below) of the Company and its Subsidiaries plus amounts which have been deducted for interest on Debt of the Company and its Subsidiaries.</w:t>
      </w:r>
    </w:p>
    <w:p>
      <w:pPr>
        <w:spacing w:after="0" w:line="62" w:lineRule="exact"/>
        <w:rPr>
          <w:sz w:val="20"/>
          <w:szCs w:val="20"/>
          <w:color w:val="auto"/>
        </w:rPr>
      </w:pPr>
    </w:p>
    <w:p>
      <w:pPr>
        <w:ind w:left="460" w:right="120" w:firstLine="43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Debt</w:t>
      </w:r>
      <w:r>
        <w:rPr>
          <w:rFonts w:ascii="Arial" w:cs="Arial" w:eastAsia="Arial" w:hAnsi="Arial"/>
          <w:sz w:val="17"/>
          <w:szCs w:val="17"/>
          <w:color w:val="auto"/>
        </w:rPr>
        <w: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capitalized lease in accordance with generally accepted accounting principles to the extent, in the case of items of indebtedness under (i)</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47" w:name="page48"/>
    <w:bookmarkEnd w:id="47"/>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through (iii) 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59" w:lineRule="exact"/>
        <w:rPr>
          <w:sz w:val="20"/>
          <w:szCs w:val="20"/>
          <w:color w:val="auto"/>
        </w:rPr>
      </w:pPr>
    </w:p>
    <w:p>
      <w:pPr>
        <w:ind w:right="28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w:t>
      </w:r>
    </w:p>
    <w:p>
      <w:pPr>
        <w:jc w:val="both"/>
        <w:ind w:right="140" w:firstLine="4"/>
        <w:spacing w:after="0" w:line="255" w:lineRule="auto"/>
        <w:tabs>
          <w:tab w:leader="none" w:pos="2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82" w:lineRule="exact"/>
        <w:rPr>
          <w:sz w:val="20"/>
          <w:szCs w:val="20"/>
          <w:color w:val="auto"/>
        </w:rPr>
      </w:pPr>
    </w:p>
    <w:p>
      <w:pPr>
        <w:ind w:right="34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62" w:lineRule="exact"/>
        <w:rPr>
          <w:sz w:val="20"/>
          <w:szCs w:val="20"/>
          <w:color w:val="auto"/>
        </w:rPr>
      </w:pPr>
    </w:p>
    <w:p>
      <w:pPr>
        <w:ind w:right="140" w:firstLine="43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Assets</w:t>
      </w:r>
      <w:r>
        <w:rPr>
          <w:rFonts w:ascii="Arial" w:cs="Arial" w:eastAsia="Arial" w:hAnsi="Arial"/>
          <w:sz w:val="17"/>
          <w:szCs w:val="17"/>
          <w:color w:val="auto"/>
        </w:rPr>
        <w:t>”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38" w:lineRule="exact"/>
        <w:rPr>
          <w:sz w:val="20"/>
          <w:szCs w:val="20"/>
          <w:color w:val="auto"/>
        </w:rPr>
      </w:pPr>
    </w:p>
    <w:p>
      <w:pPr>
        <w:ind w:right="1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73" w:lineRule="exact"/>
        <w:rPr>
          <w:sz w:val="20"/>
          <w:szCs w:val="20"/>
          <w:color w:val="auto"/>
        </w:rPr>
      </w:pPr>
    </w:p>
    <w:p>
      <w:pPr>
        <w:ind w:firstLine="43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Unencumbered Total Asset Value</w:t>
      </w:r>
      <w:r>
        <w:rPr>
          <w:rFonts w:ascii="Arial" w:cs="Arial" w:eastAsia="Arial" w:hAnsi="Arial"/>
          <w:sz w:val="17"/>
          <w:szCs w:val="17"/>
          <w:color w:val="auto"/>
        </w:rPr>
        <w:t>”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 provided, however, that in determining Unencumbered Total Asset Value for purposes of the covenant relating to the maintenance of Unencumbered Total Asset Value, all investments by the Company and any of the Company’s subsidiaries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48" w:name="page49"/>
    <w:bookmarkEnd w:id="48"/>
    <w:p>
      <w:pPr>
        <w:ind w:right="2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Administrative Agent (as such term is defined in the Credit Agreement, dated as of July 7, 2011, between the Company and the various financial institutions named therein,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93"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58"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Securities of this series are issuable only in registered form without coupons in denominations of $1,000 and any integral multiple thereof.</w:t>
      </w:r>
    </w:p>
    <w:p>
      <w:pPr>
        <w:spacing w:after="0" w:line="248"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2300 N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9,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issuance and sale of $300,000,000 aggregate principal amount of 3.95% Notes due 2024 (the “Notes”) of the Company, pursuant to the Underwriting Agreement and related Pricing Agreement, each dated December 4, 2013, between the several underwriters listed in Schedule I to the Pricing Agreement (the “Underwriters”) and the Company (collectively, the “Agreement”). The Notes are being issued under the Indenture dated as of September 1, 1998 between the Company and U.S. Bank National Association (successor trustee to Wachovia Bank, National Association (successor trustee to First Union National Bank)), as Trustee (together with the officers’ certificate dated December 9, 2013 setting forth the terms of the Notes, the “Indenture”).</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reviewed (a) the Agreement, (b) the Indenture, (c) the Registration Statement on Form S-3 (File No. 333-181236) (the “Registration Statement”) filed by the Company to register the offer and sale of the Notes with the Securities and Exchange Commission (the “Commission”) under the Securities Act of 1933 (the “Securities Act”), (d) the Prospectus dated May 8, 2012, as supplemented by the Prospectus Supplement dated December 4, 2013, relating to the offer and sale of the Notes (the “Prospectus”), filed by the Company with the Commission pursuant to Rule 424(b)(5) under the Securities Act. We have also reviewed such other agreements, documents, records, certificates and other materials, and have satisfied ourselves as to such other matters, as we have considered relevant or necessary as a basis for this opinion.</w:t>
      </w:r>
    </w:p>
    <w:p>
      <w:pPr>
        <w:spacing w:after="0" w:line="19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 In delivering this opinion, we have relied, without independent verification, as to factual matters, on certificates and other written or oral statements of governmental and other public officials and of officers and representatives of the Company, the Underwriters and the Trustee.</w:t>
      </w:r>
    </w:p>
    <w:p>
      <w:pPr>
        <w:spacing w:after="0" w:line="173"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On the basis of the assumptions and subject to the qualifications and limitations set forth herein, we are of the opinion that the Notes constitute the valid and legally binding obligations of the Company enforceable against the Company in accordance with their terms, except as may be subject to and limited by the effect of (a) applicable bankruptcy, insolvency, reorganization, fraudulent conveyance and other similar laws affecting creditors’ rights generally, (b) general equitable principles (whether considered in a proceeding in equity or at law) and (c) requirements of reasonableness, good faith, materiality and fair dealing and the discretion of the court before which any matter may be brought.</w:t>
      </w:r>
    </w:p>
    <w:p>
      <w:pPr>
        <w:sectPr>
          <w:pgSz w:w="11900" w:h="16838" w:orient="portrait"/>
          <w:cols w:equalWidth="0" w:num="1">
            <w:col w:w="11420"/>
          </w:cols>
          <w:pgMar w:left="240" w:top="12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opinion is limited to the law of the States of New York and Maryland, in each case as in effect on the date hereof.</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filing of this opinion as Exhibit 5.1 to the Company’s Current Report on Form 8-K filed by the Company with the Commission on the date hereof and the incorporation thereof in the Registration Statement and to the use of our name under the captions “Legal Matters” in the Prospectus Supplement. In giving this consent, we do not thereby admit that we are within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240"/>
          </w:cols>
          <w:pgMar w:left="240" w:top="274" w:right="4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2300 N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4,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December 4, 2013 (the “Prospectus Supplement”) to a prospectus (the “Base Prospectus”) filed as part of a registration statement on Form S-3 (File No. 333-181236, the “Registration Statement,” which term includes the Base Prospectus, Prospectus Supplement, and all documents incorporated and deemed to be incorporated by reference therein) with the Securities and Exchange Commission.</w:t>
      </w:r>
    </w:p>
    <w:p>
      <w:pPr>
        <w:spacing w:after="0" w:line="188"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6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420"/>
          </w:cols>
          <w:pgMar w:left="240" w:top="121" w:right="239" w:bottom="1440" w:gutter="0" w:footer="0" w:header="0"/>
        </w:sectPr>
      </w:pPr>
    </w:p>
    <w:bookmarkStart w:id="52" w:name="page53"/>
    <w:bookmarkEnd w:id="52"/>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2013;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(2013) taxable year and for future taxable years, and (iii) the discussions in (x) the Prospectus under the caption “Material Federal Income Tax Considerations,” (y) the Prospectus Supplement under the caption “Additional Material Federal Income Tax Considerations,” and (z) the Company’s Annual Report on Form 10-K for the year ended December 31, 2012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the caption “Material Federal Income Tax Considerations” are hereby confirmed.</w:t>
      </w:r>
    </w:p>
    <w:p>
      <w:pPr>
        <w:spacing w:after="0" w:line="16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00"/>
          </w:cols>
          <w:pgMar w:left="240" w:top="274" w:right="259" w:bottom="1440" w:gutter="0" w:footer="0" w:header="0"/>
        </w:sectPr>
      </w:pPr>
    </w:p>
    <w:bookmarkStart w:id="53" w:name="page54"/>
    <w:bookmarkEnd w:id="53"/>
    <w:p>
      <w:pPr>
        <w:ind w:right="4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240"/>
          </w:cols>
          <w:pgMar w:left="240" w:top="274" w:right="419" w:bottom="1440" w:gutter="0" w:footer="0" w:header="0"/>
        </w:sectPr>
      </w:pPr>
    </w:p>
    <w:bookmarkStart w:id="54" w:name="page55"/>
    <w:bookmarkEnd w:id="54"/>
    <w:p>
      <w:pPr>
        <w:ind w:left="10480"/>
        <w:spacing w:after="0"/>
        <w:rPr>
          <w:sz w:val="20"/>
          <w:szCs w:val="20"/>
          <w:color w:val="auto"/>
        </w:rPr>
      </w:pPr>
      <w:r>
        <w:rPr>
          <w:rFonts w:ascii="Arial" w:cs="Arial" w:eastAsia="Arial" w:hAnsi="Arial"/>
          <w:sz w:val="16"/>
          <w:szCs w:val="16"/>
          <w:b w:val="1"/>
          <w:bCs w:val="1"/>
          <w:color w:val="auto"/>
        </w:rPr>
        <w:t>Exhibit 12.1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right="4760"/>
        <w:spacing w:after="0" w:line="261" w:lineRule="auto"/>
        <w:rPr>
          <w:sz w:val="20"/>
          <w:szCs w:val="20"/>
          <w:color w:val="auto"/>
        </w:rPr>
      </w:pPr>
      <w:r>
        <w:rPr>
          <w:rFonts w:ascii="Arial" w:cs="Arial" w:eastAsia="Arial" w:hAnsi="Arial"/>
          <w:sz w:val="18"/>
          <w:szCs w:val="18"/>
          <w:color w:val="auto"/>
        </w:rPr>
        <w:t>Computation of Ratio of Earnings to Combined Fixed Charges &amp; Preferred Stock Dividends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Nine Months Ended</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w w:val="91"/>
              </w:rPr>
              <w:t>September 30,</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9"/>
          </w:tcPr>
          <w:p>
            <w:pPr>
              <w:jc w:val="right"/>
              <w:ind w:right="700"/>
              <w:spacing w:after="0"/>
              <w:rPr>
                <w:sz w:val="20"/>
                <w:szCs w:val="20"/>
                <w:color w:val="auto"/>
              </w:rPr>
            </w:pPr>
            <w:r>
              <w:rPr>
                <w:rFonts w:ascii="Arial" w:cs="Arial" w:eastAsia="Arial" w:hAnsi="Arial"/>
                <w:sz w:val="14"/>
                <w:szCs w:val="14"/>
                <w:color w:val="auto"/>
              </w:rPr>
              <w:t>Year Ended December 31,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color w:val="auto"/>
              </w:rPr>
              <w:t>2013</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2012</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2011</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2010</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tcPr>
          <w:p>
            <w:pPr>
              <w:ind w:left="340"/>
              <w:spacing w:after="0" w:line="201" w:lineRule="exact"/>
              <w:rPr>
                <w:sz w:val="20"/>
                <w:szCs w:val="20"/>
                <w:color w:val="auto"/>
              </w:rPr>
            </w:pPr>
            <w:r>
              <w:rPr>
                <w:rFonts w:ascii="Arial" w:cs="Arial" w:eastAsia="Arial" w:hAnsi="Arial"/>
                <w:sz w:val="18"/>
                <w:szCs w:val="18"/>
                <w:color w:val="auto"/>
                <w:w w:val="93"/>
              </w:rPr>
              <w:t>Income from continuing operations before income or loss from equity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520"/>
              <w:spacing w:after="0"/>
              <w:rPr>
                <w:sz w:val="20"/>
                <w:szCs w:val="20"/>
                <w:color w:val="auto"/>
              </w:rPr>
            </w:pPr>
            <w:r>
              <w:rPr>
                <w:rFonts w:ascii="Arial" w:cs="Arial" w:eastAsia="Arial" w:hAnsi="Arial"/>
                <w:sz w:val="18"/>
                <w:szCs w:val="18"/>
                <w:color w:val="auto"/>
              </w:rPr>
              <w:t>investees</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105,775</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$139,380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126,715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8"/>
              </w:rPr>
              <w:t>$122,436</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97,793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116,822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Distributed income of equity investees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Fixed charges (excluding capitalized 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84,190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114,066</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98,851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105,700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112,906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101,143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Noncontrolling interests in income of subsidiaries with no fixed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charges</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(3,698)</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(3,519)</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(3,361)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(3,633)</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Total earnings (A)</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189,248</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253,540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225,664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227,253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209,778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83,713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$ 113,336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98,169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8"/>
              </w:rPr>
              <w:t>$104,683</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111,420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99,163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interest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10,894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10,105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Portion of rents representing 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682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(B)</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95,084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124,171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106,948</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2"/>
              </w:rPr>
              <w:t>$ 111,985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118,455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340"/>
              <w:spacing w:after="0"/>
              <w:rPr>
                <w:sz w:val="20"/>
                <w:szCs w:val="20"/>
                <w:color w:val="auto"/>
              </w:rPr>
            </w:pPr>
            <w:r>
              <w:rPr>
                <w:rFonts w:ascii="Arial" w:cs="Arial" w:eastAsia="Arial" w:hAnsi="Arial"/>
                <w:sz w:val="18"/>
                <w:szCs w:val="18"/>
                <w:color w:val="auto"/>
              </w:rPr>
              <w:t>Preferred stock dividends</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and preferred stock dividends (C)</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95,490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124,712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107,489</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112,526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118,996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106,985</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 (A divided by B)</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Ratio of earning to combined fixed charges and preferred stock dividends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 divided by C)</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550"/>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lowerLetter"/>
      <w:start w:val="1"/>
    </w:lvl>
    <w:lvl w:ilvl="1">
      <w:lvlJc w:val="left"/>
      <w:lvlText w:val="(%2)"/>
      <w:numFmt w:val="lowerLetter"/>
      <w:start w:val="1"/>
    </w:lvl>
  </w:abstractNum>
  <w:abstractNum w:abstractNumId="4">
    <w:nsid w:val="4353D0CD"/>
    <w:multiLevelType w:val="hybridMultilevel"/>
    <w:lvl w:ilvl="0">
      <w:lvlJc w:val="left"/>
      <w:lvlText w:val="(%1)"/>
      <w:numFmt w:val="lowerLetter"/>
      <w:start w:val="2"/>
    </w:lvl>
    <w:lvl w:ilvl="1">
      <w:lvlJc w:val="left"/>
      <w:lvlText w:val="%2"/>
      <w:numFmt w:val="lowerLetter"/>
      <w:start w:val="1"/>
    </w:lvl>
  </w:abstractNum>
  <w:abstractNum w:abstractNumId="5">
    <w:nsid w:val="B03E0C6"/>
    <w:multiLevelType w:val="hybridMultilevel"/>
    <w:lvl w:ilvl="0">
      <w:lvlJc w:val="left"/>
      <w:lvlText w:val="%1"/>
      <w:numFmt w:val="decimal"/>
      <w:start w:val="1"/>
    </w:lvl>
    <w:lvl w:ilvl="1">
      <w:lvlJc w:val="left"/>
      <w:lvlText w:val="(%2)"/>
      <w:numFmt w:val="lowerLetter"/>
      <w:start w:val="2"/>
    </w:lvl>
  </w:abstractNum>
  <w:abstractNum w:abstractNumId="6">
    <w:nsid w:val="189A769B"/>
    <w:multiLevelType w:val="hybridMultilevel"/>
    <w:lvl w:ilvl="0">
      <w:lvlJc w:val="left"/>
      <w:lvlText w:val="(%1)"/>
      <w:numFmt w:val="decimal"/>
      <w:start w:val="2"/>
    </w:lvl>
    <w:lvl w:ilvl="1">
      <w:lvlJc w:val="left"/>
      <w:lvlText w:val="%2"/>
      <w:numFmt w:val="lowerLetter"/>
      <w:start w:val="1"/>
    </w:lvl>
  </w:abstractNum>
  <w:abstractNum w:abstractNumId="7">
    <w:nsid w:val="54E49EB4"/>
    <w:multiLevelType w:val="hybridMultilevel"/>
    <w:lvl w:ilvl="0">
      <w:lvlJc w:val="left"/>
      <w:lvlText w:val="(%1)"/>
      <w:numFmt w:val="lowerLetter"/>
      <w:start w:val="3"/>
    </w:lvl>
  </w:abstractNum>
  <w:abstractNum w:abstractNumId="8">
    <w:nsid w:val="71F32454"/>
    <w:multiLevelType w:val="hybridMultilevel"/>
    <w:lvl w:ilvl="0">
      <w:lvlJc w:val="left"/>
      <w:lvlText w:val="(%1)"/>
      <w:numFmt w:val="upperLetter"/>
      <w:start w:val="1"/>
    </w:lvl>
  </w:abstractNum>
  <w:abstractNum w:abstractNumId="9">
    <w:nsid w:val="2CA88611"/>
    <w:multiLevelType w:val="hybridMultilevel"/>
    <w:lvl w:ilvl="0">
      <w:lvlJc w:val="left"/>
      <w:lvlText w:val="(%1)"/>
      <w:numFmt w:val="lowerLetter"/>
      <w:start w:val="4"/>
    </w:lvl>
  </w:abstractNum>
  <w:abstractNum w:abstractNumId="10">
    <w:nsid w:val="836C40E"/>
    <w:multiLevelType w:val="hybridMultilevel"/>
    <w:lvl w:ilvl="0">
      <w:lvlJc w:val="left"/>
      <w:lvlText w:val="%1"/>
      <w:numFmt w:val="lowerLetter"/>
      <w:start w:val="1"/>
    </w:lvl>
    <w:lvl w:ilvl="1">
      <w:lvlJc w:val="left"/>
      <w:lvlText w:val="(%2)"/>
      <w:numFmt w:val="lowerLetter"/>
      <w:start w:val="7"/>
    </w:lvl>
  </w:abstractNum>
  <w:abstractNum w:abstractNumId="11">
    <w:nsid w:val="2901D82"/>
    <w:multiLevelType w:val="hybridMultilevel"/>
    <w:lvl w:ilvl="0">
      <w:lvlJc w:val="left"/>
      <w:lvlText w:val="(%1)"/>
      <w:numFmt w:val="lowerLetter"/>
      <w:start w:val="9"/>
    </w:lvl>
    <w:lvl w:ilvl="1">
      <w:lvlJc w:val="left"/>
      <w:lvlText w:val="(%2)"/>
      <w:numFmt w:val="lowerLetter"/>
      <w:start w:val="8"/>
    </w:lvl>
  </w:abstractNum>
  <w:abstractNum w:abstractNumId="12">
    <w:nsid w:val="3A95F874"/>
    <w:multiLevelType w:val="hybridMultilevel"/>
    <w:lvl w:ilvl="0">
      <w:lvlJc w:val="left"/>
      <w:lvlText w:val="(%1)"/>
      <w:numFmt w:val="lowerLetter"/>
      <w:start w:val="9"/>
    </w:lvl>
  </w:abstractNum>
  <w:abstractNum w:abstractNumId="13">
    <w:nsid w:val="8138641"/>
    <w:multiLevelType w:val="hybridMultilevel"/>
    <w:lvl w:ilvl="0">
      <w:lvlJc w:val="left"/>
      <w:lvlText w:val="(%1)"/>
      <w:numFmt w:val="lowerLetter"/>
      <w:start w:val="13"/>
    </w:lvl>
  </w:abstractNum>
  <w:abstractNum w:abstractNumId="14">
    <w:nsid w:val="1E7FF521"/>
    <w:multiLevelType w:val="hybridMultilevel"/>
    <w:lvl w:ilvl="0">
      <w:lvlJc w:val="left"/>
      <w:lvlText w:val="(%1)"/>
      <w:numFmt w:val="lowerLetter"/>
      <w:start w:val="16"/>
    </w:lvl>
  </w:abstractNum>
  <w:abstractNum w:abstractNumId="15">
    <w:nsid w:val="7C3DBD3D"/>
    <w:multiLevelType w:val="hybridMultilevel"/>
    <w:lvl w:ilvl="0">
      <w:lvlJc w:val="left"/>
      <w:lvlText w:val="(%1)"/>
      <w:numFmt w:val="lowerLetter"/>
      <w:start w:val="20"/>
    </w:lvl>
  </w:abstractNum>
  <w:abstractNum w:abstractNumId="16">
    <w:nsid w:val="737B8DDC"/>
    <w:multiLevelType w:val="hybridMultilevel"/>
    <w:lvl w:ilvl="0">
      <w:lvlJc w:val="left"/>
      <w:lvlText w:val="%1"/>
      <w:numFmt w:val="lowerRoman"/>
      <w:start w:val="1"/>
    </w:lvl>
    <w:lvl w:ilvl="1">
      <w:lvlJc w:val="left"/>
      <w:lvlText w:val="(%2)"/>
      <w:numFmt w:val="lowerRoman"/>
      <w:start w:val="10"/>
    </w:lvl>
  </w:abstractNum>
  <w:abstractNum w:abstractNumId="17">
    <w:nsid w:val="6CEAF087"/>
    <w:multiLevelType w:val="hybridMultilevel"/>
    <w:lvl w:ilvl="0">
      <w:lvlJc w:val="left"/>
      <w:lvlText w:val="(%1)"/>
      <w:numFmt w:val="lowerRoman"/>
      <w:start w:val="4"/>
    </w:lvl>
    <w:lvl w:ilvl="1">
      <w:lvlJc w:val="left"/>
      <w:lvlText w:val="%2"/>
      <w:numFmt w:val="lowerRoman"/>
      <w:start w:val="1"/>
    </w:lvl>
  </w:abstractNum>
  <w:abstractNum w:abstractNumId="18">
    <w:nsid w:val="22221A70"/>
    <w:multiLevelType w:val="hybridMultilevel"/>
    <w:lvl w:ilvl="0">
      <w:lvlJc w:val="left"/>
      <w:lvlText w:val="%1"/>
      <w:numFmt w:val="decimal"/>
      <w:start w:val="1"/>
    </w:lvl>
    <w:lvl w:ilvl="1">
      <w:lvlJc w:val="left"/>
      <w:lvlText w:val="(%2)"/>
      <w:numFmt w:val="lowerLetter"/>
      <w:start w:val="25"/>
    </w:lvl>
  </w:abstractNum>
  <w:abstractNum w:abstractNumId="19">
    <w:nsid w:val="4516DDE9"/>
    <w:multiLevelType w:val="hybridMultilevel"/>
    <w:lvl w:ilvl="0">
      <w:lvlJc w:val="left"/>
      <w:lvlText w:val="%1."/>
      <w:numFmt w:val="decimal"/>
      <w:start w:val="3"/>
    </w:lvl>
    <w:lvl w:ilvl="1">
      <w:lvlJc w:val="left"/>
      <w:lvlText w:val="%2"/>
      <w:numFmt w:val="lowerLetter"/>
      <w:start w:val="1"/>
    </w:lvl>
  </w:abstractNum>
  <w:abstractNum w:abstractNumId="20">
    <w:nsid w:val="3006C83E"/>
    <w:multiLevelType w:val="hybridMultilevel"/>
    <w:lvl w:ilvl="0">
      <w:lvlJc w:val="left"/>
      <w:lvlText w:val="%1."/>
      <w:numFmt w:val="decimal"/>
      <w:start w:val="5"/>
    </w:lvl>
    <w:lvl w:ilvl="1">
      <w:lvlJc w:val="left"/>
      <w:lvlText w:val="(%2)"/>
      <w:numFmt w:val="lowerLetter"/>
      <w:start w:val="1"/>
    </w:lvl>
  </w:abstractNum>
  <w:abstractNum w:abstractNumId="21">
    <w:nsid w:val="614FD4A1"/>
    <w:multiLevelType w:val="hybridMultilevel"/>
    <w:lvl w:ilvl="0">
      <w:lvlJc w:val="left"/>
      <w:lvlText w:val="(%1)"/>
      <w:numFmt w:val="lowerLetter"/>
      <w:start w:val="2"/>
    </w:lvl>
  </w:abstractNum>
  <w:abstractNum w:abstractNumId="22">
    <w:nsid w:val="419AC241"/>
    <w:multiLevelType w:val="hybridMultilevel"/>
    <w:lvl w:ilvl="0">
      <w:lvlJc w:val="left"/>
      <w:lvlText w:val="(%1)"/>
      <w:numFmt w:val="lowerLetter"/>
      <w:start w:val="5"/>
    </w:lvl>
  </w:abstractNum>
  <w:abstractNum w:abstractNumId="23">
    <w:nsid w:val="5577F8E1"/>
    <w:multiLevelType w:val="hybridMultilevel"/>
    <w:lvl w:ilvl="0">
      <w:lvlJc w:val="left"/>
      <w:lvlText w:val="%1"/>
      <w:numFmt w:val="lowerLetter"/>
      <w:start w:val="1"/>
    </w:lvl>
    <w:lvl w:ilvl="1">
      <w:lvlJc w:val="left"/>
      <w:lvlText w:val="(%2)"/>
      <w:numFmt w:val="lowerLetter"/>
      <w:start w:val="8"/>
    </w:lvl>
  </w:abstractNum>
  <w:abstractNum w:abstractNumId="24">
    <w:nsid w:val="440BADFC"/>
    <w:multiLevelType w:val="hybridMultilevel"/>
    <w:lvl w:ilvl="0">
      <w:lvlJc w:val="left"/>
      <w:lvlText w:val="(%1)"/>
      <w:numFmt w:val="lowerLetter"/>
      <w:start w:val="35"/>
    </w:lvl>
    <w:lvl w:ilvl="1">
      <w:lvlJc w:val="left"/>
      <w:lvlText w:val="%2"/>
      <w:numFmt w:val="lowerLetter"/>
      <w:start w:val="1"/>
    </w:lvl>
  </w:abstractNum>
  <w:abstractNum w:abstractNumId="25">
    <w:nsid w:val="5072367"/>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0"/>
    </w:lvl>
  </w:abstractNum>
  <w:abstractNum w:abstractNumId="26">
    <w:nsid w:val="3804823E"/>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27">
    <w:nsid w:val="77465F01"/>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28">
    <w:nsid w:val="7724C67E"/>
    <w:multiLevelType w:val="hybridMultilevel"/>
    <w:lvl w:ilvl="0">
      <w:lvlJc w:val="left"/>
      <w:lvlText w:val="%1."/>
      <w:numFmt w:val="decimal"/>
      <w:start w:val="7"/>
    </w:lvl>
    <w:lvl w:ilvl="1">
      <w:lvlJc w:val="left"/>
      <w:lvlText w:val="(%2)"/>
      <w:numFmt w:val="lowerLetter"/>
      <w:start w:val="1"/>
    </w:lvl>
  </w:abstractNum>
  <w:abstractNum w:abstractNumId="29">
    <w:nsid w:val="5C482A97"/>
    <w:multiLevelType w:val="hybridMultilevel"/>
    <w:lvl w:ilvl="0">
      <w:lvlJc w:val="left"/>
      <w:lvlText w:val="(%1)"/>
      <w:numFmt w:val="lowerLetter"/>
      <w:start w:val="3"/>
    </w:lvl>
  </w:abstractNum>
  <w:abstractNum w:abstractNumId="30">
    <w:nsid w:val="2463B9EA"/>
    <w:multiLevelType w:val="hybridMultilevel"/>
    <w:lvl w:ilvl="0">
      <w:lvlJc w:val="left"/>
      <w:lvlText w:val="(%1)"/>
      <w:numFmt w:val="lowerLetter"/>
      <w:start w:val="7"/>
    </w:lvl>
  </w:abstractNum>
  <w:abstractNum w:abstractNumId="31">
    <w:nsid w:val="5E884ADC"/>
    <w:multiLevelType w:val="hybridMultilevel"/>
    <w:lvl w:ilvl="0">
      <w:lvlJc w:val="left"/>
      <w:lvlText w:val="%1."/>
      <w:numFmt w:val="decimal"/>
      <w:start w:val="8"/>
    </w:lvl>
  </w:abstractNum>
  <w:abstractNum w:abstractNumId="32">
    <w:nsid w:val="51EAD36B"/>
    <w:multiLevelType w:val="hybridMultilevel"/>
    <w:lvl w:ilvl="0">
      <w:lvlJc w:val="left"/>
      <w:lvlText w:val="(%1)"/>
      <w:numFmt w:val="lowerLetter"/>
      <w:start w:val="2"/>
    </w:lvl>
  </w:abstractNum>
  <w:abstractNum w:abstractNumId="33">
    <w:nsid w:val="2D517796"/>
    <w:multiLevelType w:val="hybridMultilevel"/>
    <w:lvl w:ilvl="0">
      <w:lvlJc w:val="left"/>
      <w:lvlText w:val="%1"/>
      <w:numFmt w:val="lowerLetter"/>
      <w:start w:val="1"/>
    </w:lvl>
    <w:lvl w:ilvl="1">
      <w:lvlJc w:val="left"/>
      <w:lvlText w:val="(%2)"/>
      <w:numFmt w:val="lowerLetter"/>
      <w:start w:val="3"/>
    </w:lvl>
  </w:abstractNum>
  <w:abstractNum w:abstractNumId="34">
    <w:nsid w:val="580BD78F"/>
    <w:multiLevelType w:val="hybridMultilevel"/>
    <w:lvl w:ilvl="0">
      <w:lvlJc w:val="left"/>
      <w:lvlText w:val="(%1)"/>
      <w:numFmt w:val="lowerLetter"/>
      <w:start w:val="2"/>
    </w:lvl>
    <w:lvl w:ilvl="1">
      <w:lvlJc w:val="left"/>
      <w:lvlText w:val="%2"/>
      <w:numFmt w:val="lowerLetter"/>
      <w:start w:val="1"/>
    </w:lvl>
  </w:abstractNum>
  <w:abstractNum w:abstractNumId="35">
    <w:nsid w:val="153EA438"/>
    <w:multiLevelType w:val="hybridMultilevel"/>
    <w:lvl w:ilvl="0">
      <w:lvlJc w:val="left"/>
      <w:lvlText w:val="(%1)"/>
      <w:numFmt w:val="lowerLetter"/>
      <w:start w:val="5"/>
    </w:lvl>
  </w:abstractNum>
  <w:abstractNum w:abstractNumId="36">
    <w:nsid w:val="3855585C"/>
    <w:multiLevelType w:val="hybridMultilevel"/>
    <w:lvl w:ilvl="0">
      <w:lvlJc w:val="left"/>
      <w:lvlText w:val="%1."/>
      <w:numFmt w:val="decimal"/>
      <w:start w:val="9"/>
    </w:lvl>
  </w:abstractNum>
  <w:abstractNum w:abstractNumId="37">
    <w:nsid w:val="70A64E2A"/>
    <w:multiLevelType w:val="hybridMultilevel"/>
    <w:lvl w:ilvl="0">
      <w:lvlJc w:val="left"/>
      <w:lvlText w:val="%1"/>
      <w:numFmt w:val="lowerLetter"/>
      <w:start w:val="1"/>
    </w:lvl>
    <w:lvl w:ilvl="1">
      <w:lvlJc w:val="left"/>
      <w:lvlText w:val="(%2)"/>
      <w:numFmt w:val="lowerLetter"/>
      <w:start w:val="2"/>
    </w:lvl>
  </w:abstractNum>
  <w:abstractNum w:abstractNumId="38">
    <w:nsid w:val="6A2342EC"/>
    <w:multiLevelType w:val="hybridMultilevel"/>
    <w:lvl w:ilvl="0">
      <w:lvlJc w:val="left"/>
      <w:lvlText w:val="(%1)"/>
      <w:numFmt w:val="lowerLetter"/>
      <w:start w:val="2"/>
    </w:lvl>
    <w:lvl w:ilvl="1">
      <w:lvlJc w:val="left"/>
      <w:lvlText w:val="%2"/>
      <w:numFmt w:val="lowerLetter"/>
      <w:start w:val="1"/>
    </w:lvl>
  </w:abstractNum>
  <w:abstractNum w:abstractNumId="39">
    <w:nsid w:val="2A487CB0"/>
    <w:multiLevelType w:val="hybridMultilevel"/>
    <w:lvl w:ilvl="0">
      <w:lvlJc w:val="left"/>
      <w:lvlText w:val="%1."/>
      <w:numFmt w:val="decimal"/>
      <w:start w:val="10"/>
    </w:lvl>
  </w:abstractNum>
  <w:abstractNum w:abstractNumId="40">
    <w:nsid w:val="1D4ED43B"/>
    <w:multiLevelType w:val="hybridMultilevel"/>
    <w:lvl w:ilvl="0">
      <w:lvlJc w:val="left"/>
      <w:lvlText w:val="%1."/>
      <w:numFmt w:val="decimal"/>
      <w:start w:val="13"/>
    </w:lvl>
  </w:abstractNum>
  <w:abstractNum w:abstractNumId="41">
    <w:nsid w:val="725A06FB"/>
    <w:multiLevelType w:val="hybridMultilevel"/>
    <w:lvl w:ilvl="0">
      <w:lvlJc w:val="left"/>
      <w:lvlText w:val="%1."/>
      <w:numFmt w:val="decimal"/>
      <w:start w:val="15"/>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4"/>
    </w:lvl>
    <w:lvl w:ilvl="1">
      <w:lvlJc w:val="left"/>
      <w:lvlText w:val="(%2)"/>
      <w:numFmt w:val="lowerLetter"/>
      <w:start w:val="1"/>
    </w:lvl>
  </w:abstractNum>
  <w:abstractNum w:abstractNumId="44">
    <w:nsid w:val="7A6D8D3C"/>
    <w:multiLevelType w:val="hybridMultilevel"/>
    <w:lvl w:ilvl="0">
      <w:lvlJc w:val="left"/>
      <w:lvlText w:val="(%1)"/>
      <w:numFmt w:val="lowerRoman"/>
      <w:start w:val="1"/>
    </w:lvl>
  </w:abstractNum>
  <w:abstractNum w:abstractNumId="45">
    <w:nsid w:val="4B588F5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2019-12-05T10:05:16Z</dcterms:created>
  <dcterms:modified xsi:type="dcterms:W3CDTF">2019-12-05T10:05:16Z</dcterms:modified>
</cp:coreProperties>
</file>