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353695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396875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0"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UNITED STATES</w:t>
      </w:r>
    </w:p>
    <w:p>
      <w:pPr>
        <w:spacing w:after="0" w:line="44"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SECURITIES AND EXCHANGE COMMISSION</w:t>
      </w:r>
    </w:p>
    <w:p>
      <w:pPr>
        <w:ind w:left="44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220980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SCHEDULE 14A</w:t>
      </w:r>
    </w:p>
    <w:p>
      <w:pPr>
        <w:spacing w:after="0" w:line="24" w:lineRule="exact"/>
        <w:rPr>
          <w:sz w:val="24"/>
          <w:szCs w:val="24"/>
          <w:color w:val="auto"/>
        </w:rPr>
      </w:pPr>
    </w:p>
    <w:p>
      <w:pPr>
        <w:jc w:val="center"/>
        <w:ind w:right="-1120"/>
        <w:spacing w:after="0"/>
        <w:rPr>
          <w:sz w:val="20"/>
          <w:szCs w:val="20"/>
          <w:color w:val="auto"/>
        </w:rPr>
      </w:pPr>
      <w:r>
        <w:rPr>
          <w:rFonts w:ascii="Arial" w:cs="Arial" w:eastAsia="Arial" w:hAnsi="Arial"/>
          <w:sz w:val="22"/>
          <w:szCs w:val="22"/>
          <w:b w:val="1"/>
          <w:bCs w:val="1"/>
          <w:color w:val="auto"/>
        </w:rPr>
        <w:t>(Rule 14a-101)</w:t>
      </w:r>
    </w:p>
    <w:p>
      <w:pPr>
        <w:jc w:val="center"/>
        <w:ind w:right="-1120"/>
        <w:spacing w:after="0" w:line="230" w:lineRule="auto"/>
        <w:rPr>
          <w:sz w:val="20"/>
          <w:szCs w:val="20"/>
          <w:color w:val="auto"/>
        </w:rPr>
      </w:pPr>
      <w:r>
        <w:rPr>
          <w:rFonts w:ascii="Arial" w:cs="Arial" w:eastAsia="Arial" w:hAnsi="Arial"/>
          <w:sz w:val="22"/>
          <w:szCs w:val="22"/>
          <w:b w:val="1"/>
          <w:bCs w:val="1"/>
          <w:color w:val="auto"/>
        </w:rPr>
        <w:t>INFORMATION REQUIRED IN PROXY STATEMENT</w:t>
      </w:r>
    </w:p>
    <w:p>
      <w:pPr>
        <w:spacing w:after="0" w:line="1" w:lineRule="exact"/>
        <w:rPr>
          <w:sz w:val="24"/>
          <w:szCs w:val="24"/>
          <w:color w:val="auto"/>
        </w:rPr>
      </w:pPr>
    </w:p>
    <w:p>
      <w:pPr>
        <w:jc w:val="center"/>
        <w:ind w:right="-1120"/>
        <w:spacing w:after="0"/>
        <w:rPr>
          <w:sz w:val="20"/>
          <w:szCs w:val="20"/>
          <w:color w:val="auto"/>
        </w:rPr>
      </w:pPr>
      <w:r>
        <w:rPr>
          <w:rFonts w:ascii="Arial" w:cs="Arial" w:eastAsia="Arial" w:hAnsi="Arial"/>
          <w:sz w:val="22"/>
          <w:szCs w:val="22"/>
          <w:b w:val="1"/>
          <w:bCs w:val="1"/>
          <w:color w:val="auto"/>
        </w:rPr>
        <w:t>SCHEDULE 14A INFORMATION</w:t>
      </w:r>
    </w:p>
    <w:p>
      <w:pPr>
        <w:spacing w:after="0" w:line="76" w:lineRule="exact"/>
        <w:rPr>
          <w:sz w:val="24"/>
          <w:szCs w:val="24"/>
          <w:color w:val="auto"/>
        </w:rPr>
      </w:pPr>
    </w:p>
    <w:p>
      <w:pPr>
        <w:jc w:val="center"/>
        <w:ind w:right="-1120"/>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2" w:lineRule="exact"/>
        <w:rPr>
          <w:sz w:val="24"/>
          <w:szCs w:val="24"/>
          <w:color w:val="auto"/>
        </w:rPr>
      </w:pPr>
    </w:p>
    <w:p>
      <w:pPr>
        <w:jc w:val="center"/>
        <w:ind w:right="-1120"/>
        <w:spacing w:after="0"/>
        <w:rPr>
          <w:sz w:val="20"/>
          <w:szCs w:val="20"/>
          <w:color w:val="auto"/>
        </w:rPr>
      </w:pPr>
      <w:r>
        <w:rPr>
          <w:rFonts w:ascii="Arial" w:cs="Arial" w:eastAsia="Arial" w:hAnsi="Arial"/>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220980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ind w:left="120"/>
        <w:spacing w:after="0" w:line="161" w:lineRule="exact"/>
        <w:rPr>
          <w:sz w:val="20"/>
          <w:szCs w:val="20"/>
          <w:color w:val="auto"/>
        </w:rPr>
      </w:pPr>
      <w:r>
        <w:rPr>
          <w:rFonts w:ascii="Arial" w:cs="Arial" w:eastAsia="Arial" w:hAnsi="Arial"/>
          <w:sz w:val="14"/>
          <w:szCs w:val="14"/>
          <w:color w:val="auto"/>
        </w:rPr>
        <w:t xml:space="preserve">Filed by the Registrant  </w:t>
      </w:r>
      <w:r>
        <w:rPr>
          <w:rFonts w:ascii="MS PGothic" w:cs="MS PGothic" w:eastAsia="MS PGothic" w:hAnsi="MS PGothic"/>
          <w:sz w:val="14"/>
          <w:szCs w:val="14"/>
          <w:color w:val="auto"/>
        </w:rPr>
        <w:t>☒</w:t>
      </w:r>
      <w:r>
        <w:rPr>
          <w:rFonts w:ascii="Arial" w:cs="Arial" w:eastAsia="Arial" w:hAnsi="Arial"/>
          <w:sz w:val="14"/>
          <w:szCs w:val="14"/>
          <w:color w:val="auto"/>
        </w:rPr>
        <w:t xml:space="preserve">                     Filed by a party other than the Registrant  </w:t>
      </w:r>
      <w:r>
        <w:rPr>
          <w:rFonts w:ascii="MS PGothic" w:cs="MS PGothic" w:eastAsia="MS PGothic" w:hAnsi="MS PGothic"/>
          <w:sz w:val="14"/>
          <w:szCs w:val="14"/>
          <w:color w:val="auto"/>
        </w:rPr>
        <w:t>☐</w:t>
      </w:r>
    </w:p>
    <w:p>
      <w:pPr>
        <w:spacing w:after="0" w:line="194" w:lineRule="exact"/>
        <w:rPr>
          <w:sz w:val="24"/>
          <w:szCs w:val="24"/>
          <w:color w:val="auto"/>
        </w:rPr>
      </w:pPr>
    </w:p>
    <w:p>
      <w:pPr>
        <w:ind w:left="120"/>
        <w:spacing w:after="0"/>
        <w:rPr>
          <w:sz w:val="20"/>
          <w:szCs w:val="20"/>
          <w:color w:val="auto"/>
        </w:rPr>
      </w:pPr>
      <w:r>
        <w:rPr>
          <w:rFonts w:ascii="Arial" w:cs="Arial" w:eastAsia="Arial" w:hAnsi="Arial"/>
          <w:sz w:val="14"/>
          <w:szCs w:val="14"/>
          <w:color w:val="auto"/>
        </w:rPr>
        <w:t>Check the appropriate box:</w:t>
      </w:r>
    </w:p>
    <w:p>
      <w:pPr>
        <w:spacing w:after="0" w:line="150" w:lineRule="exact"/>
        <w:rPr>
          <w:sz w:val="24"/>
          <w:szCs w:val="24"/>
          <w:color w:val="auto"/>
        </w:rPr>
      </w:pPr>
    </w:p>
    <w:p>
      <w:pPr>
        <w:ind w:left="540" w:hanging="424"/>
        <w:spacing w:after="0"/>
        <w:tabs>
          <w:tab w:leader="none" w:pos="54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Preliminary Proxy Statement</w:t>
      </w:r>
    </w:p>
    <w:p>
      <w:pPr>
        <w:spacing w:after="0" w:line="163" w:lineRule="exact"/>
        <w:rPr>
          <w:rFonts w:ascii="MS PGothic" w:cs="MS PGothic" w:eastAsia="MS PGothic" w:hAnsi="MS PGothic"/>
          <w:sz w:val="14"/>
          <w:szCs w:val="14"/>
          <w:color w:val="auto"/>
        </w:rPr>
      </w:pPr>
    </w:p>
    <w:p>
      <w:pPr>
        <w:ind w:left="540" w:hanging="424"/>
        <w:spacing w:after="0"/>
        <w:tabs>
          <w:tab w:leader="none" w:pos="540"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Confidential, for Use of the Commission Only (as permitted by Rule 14a-6(e)(2))</w:t>
      </w:r>
    </w:p>
    <w:p>
      <w:pPr>
        <w:spacing w:after="0" w:line="163" w:lineRule="exact"/>
        <w:rPr>
          <w:sz w:val="24"/>
          <w:szCs w:val="24"/>
          <w:color w:val="auto"/>
        </w:rPr>
      </w:pPr>
    </w:p>
    <w:p>
      <w:pPr>
        <w:ind w:left="540" w:hanging="424"/>
        <w:spacing w:after="0"/>
        <w:tabs>
          <w:tab w:leader="none" w:pos="540" w:val="left"/>
        </w:tabs>
        <w:numPr>
          <w:ilvl w:val="0"/>
          <w:numId w:val="2"/>
        </w:numPr>
        <w:rPr>
          <w:rFonts w:ascii="MS PGothic" w:cs="MS PGothic" w:eastAsia="MS PGothic" w:hAnsi="MS PGothic"/>
          <w:sz w:val="14"/>
          <w:szCs w:val="14"/>
          <w:color w:val="auto"/>
        </w:rPr>
      </w:pPr>
      <w:r>
        <w:rPr>
          <w:rFonts w:ascii="Arial" w:cs="Arial" w:eastAsia="Arial" w:hAnsi="Arial"/>
          <w:sz w:val="14"/>
          <w:szCs w:val="14"/>
          <w:color w:val="auto"/>
        </w:rPr>
        <w:t>Definitive Proxy Statement</w:t>
      </w:r>
    </w:p>
    <w:p>
      <w:pPr>
        <w:spacing w:after="0" w:line="163" w:lineRule="exact"/>
        <w:rPr>
          <w:sz w:val="24"/>
          <w:szCs w:val="24"/>
          <w:color w:val="auto"/>
        </w:rPr>
      </w:pPr>
    </w:p>
    <w:p>
      <w:pPr>
        <w:ind w:left="540" w:hanging="424"/>
        <w:spacing w:after="0"/>
        <w:tabs>
          <w:tab w:leader="none" w:pos="540" w:val="left"/>
        </w:tabs>
        <w:numPr>
          <w:ilvl w:val="0"/>
          <w:numId w:val="3"/>
        </w:numPr>
        <w:rPr>
          <w:rFonts w:ascii="MS PGothic" w:cs="MS PGothic" w:eastAsia="MS PGothic" w:hAnsi="MS PGothic"/>
          <w:sz w:val="14"/>
          <w:szCs w:val="14"/>
          <w:color w:val="auto"/>
        </w:rPr>
      </w:pPr>
      <w:r>
        <w:rPr>
          <w:rFonts w:ascii="Arial" w:cs="Arial" w:eastAsia="Arial" w:hAnsi="Arial"/>
          <w:sz w:val="14"/>
          <w:szCs w:val="14"/>
          <w:color w:val="auto"/>
        </w:rPr>
        <w:t>Definitive Additional Materials</w:t>
      </w:r>
    </w:p>
    <w:p>
      <w:pPr>
        <w:spacing w:after="0" w:line="163" w:lineRule="exact"/>
        <w:rPr>
          <w:rFonts w:ascii="MS PGothic" w:cs="MS PGothic" w:eastAsia="MS PGothic" w:hAnsi="MS PGothic"/>
          <w:sz w:val="14"/>
          <w:szCs w:val="14"/>
          <w:color w:val="auto"/>
        </w:rPr>
      </w:pPr>
    </w:p>
    <w:p>
      <w:pPr>
        <w:ind w:left="540" w:hanging="424"/>
        <w:spacing w:after="0"/>
        <w:tabs>
          <w:tab w:leader="none" w:pos="540" w:val="left"/>
        </w:tabs>
        <w:numPr>
          <w:ilvl w:val="0"/>
          <w:numId w:val="3"/>
        </w:numPr>
        <w:rPr>
          <w:rFonts w:ascii="MS PGothic" w:cs="MS PGothic" w:eastAsia="MS PGothic" w:hAnsi="MS PGothic"/>
          <w:sz w:val="14"/>
          <w:szCs w:val="14"/>
          <w:color w:val="auto"/>
        </w:rPr>
      </w:pPr>
      <w:r>
        <w:rPr>
          <w:rFonts w:ascii="Arial" w:cs="Arial" w:eastAsia="Arial" w:hAnsi="Arial"/>
          <w:sz w:val="14"/>
          <w:szCs w:val="14"/>
          <w:color w:val="auto"/>
        </w:rPr>
        <w:t>Soliciting Material Pursuant to §240.14a-12</w:t>
      </w:r>
    </w:p>
    <w:p>
      <w:pPr>
        <w:spacing w:after="0" w:line="200" w:lineRule="exact"/>
        <w:rPr>
          <w:sz w:val="24"/>
          <w:szCs w:val="24"/>
          <w:color w:val="auto"/>
        </w:rPr>
      </w:pPr>
    </w:p>
    <w:p>
      <w:pPr>
        <w:spacing w:after="0" w:line="222" w:lineRule="exact"/>
        <w:rPr>
          <w:sz w:val="24"/>
          <w:szCs w:val="24"/>
          <w:color w:val="auto"/>
        </w:rPr>
      </w:pPr>
    </w:p>
    <w:p>
      <w:pPr>
        <w:jc w:val="center"/>
        <w:ind w:right="-1120"/>
        <w:spacing w:after="0"/>
        <w:rPr>
          <w:sz w:val="20"/>
          <w:szCs w:val="20"/>
          <w:color w:val="auto"/>
        </w:rPr>
      </w:pPr>
      <w:r>
        <w:rPr>
          <w:rFonts w:ascii="Arial" w:cs="Arial" w:eastAsia="Arial" w:hAnsi="Arial"/>
          <w:sz w:val="39"/>
          <w:szCs w:val="39"/>
          <w:b w:val="1"/>
          <w:bCs w:val="1"/>
          <w:color w:val="auto"/>
        </w:rPr>
        <w:t>FEDERAL REALTY INVESTMENT TRUST</w:t>
      </w:r>
    </w:p>
    <w:p>
      <w:pPr>
        <w:spacing w:after="0" w:line="44"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86"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Not applicable.</w:t>
      </w:r>
    </w:p>
    <w:p>
      <w:pPr>
        <w:spacing w:after="0" w:line="19" w:lineRule="exact"/>
        <w:rPr>
          <w:sz w:val="24"/>
          <w:szCs w:val="24"/>
          <w:color w:val="auto"/>
        </w:rPr>
      </w:pPr>
    </w:p>
    <w:p>
      <w:pPr>
        <w:ind w:left="318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95" w:lineRule="exact"/>
        <w:rPr>
          <w:sz w:val="24"/>
          <w:szCs w:val="24"/>
          <w:color w:val="auto"/>
        </w:rPr>
      </w:pPr>
    </w:p>
    <w:p>
      <w:pPr>
        <w:ind w:left="120"/>
        <w:spacing w:after="0"/>
        <w:rPr>
          <w:sz w:val="20"/>
          <w:szCs w:val="20"/>
          <w:color w:val="auto"/>
        </w:rPr>
      </w:pPr>
      <w:r>
        <w:rPr>
          <w:rFonts w:ascii="Arial" w:cs="Arial" w:eastAsia="Arial" w:hAnsi="Arial"/>
          <w:sz w:val="14"/>
          <w:szCs w:val="14"/>
          <w:color w:val="auto"/>
        </w:rPr>
        <w:t>Payment of Filing Fee (Check all boxes that apply):</w:t>
      </w:r>
    </w:p>
    <w:p>
      <w:pPr>
        <w:spacing w:after="0" w:line="109" w:lineRule="exact"/>
        <w:rPr>
          <w:sz w:val="24"/>
          <w:szCs w:val="24"/>
          <w:color w:val="auto"/>
        </w:rPr>
      </w:pPr>
    </w:p>
    <w:p>
      <w:pPr>
        <w:ind w:left="680" w:hanging="564"/>
        <w:spacing w:after="0"/>
        <w:tabs>
          <w:tab w:leader="none" w:pos="680" w:val="left"/>
        </w:tabs>
        <w:numPr>
          <w:ilvl w:val="0"/>
          <w:numId w:val="4"/>
        </w:numPr>
        <w:rPr>
          <w:rFonts w:ascii="MS PGothic" w:cs="MS PGothic" w:eastAsia="MS PGothic" w:hAnsi="MS PGothic"/>
          <w:sz w:val="14"/>
          <w:szCs w:val="14"/>
          <w:color w:val="auto"/>
        </w:rPr>
      </w:pPr>
      <w:r>
        <w:rPr>
          <w:rFonts w:ascii="Arial" w:cs="Arial" w:eastAsia="Arial" w:hAnsi="Arial"/>
          <w:sz w:val="14"/>
          <w:szCs w:val="14"/>
          <w:color w:val="auto"/>
        </w:rPr>
        <w:t>No fee required.</w:t>
      </w:r>
    </w:p>
    <w:p>
      <w:pPr>
        <w:spacing w:after="0" w:line="123" w:lineRule="exact"/>
        <w:rPr>
          <w:sz w:val="24"/>
          <w:szCs w:val="24"/>
          <w:color w:val="auto"/>
        </w:rPr>
      </w:pPr>
    </w:p>
    <w:p>
      <w:pPr>
        <w:ind w:left="680" w:hanging="564"/>
        <w:spacing w:after="0"/>
        <w:tabs>
          <w:tab w:leader="none" w:pos="680" w:val="left"/>
        </w:tabs>
        <w:numPr>
          <w:ilvl w:val="0"/>
          <w:numId w:val="5"/>
        </w:numPr>
        <w:rPr>
          <w:rFonts w:ascii="MS PGothic" w:cs="MS PGothic" w:eastAsia="MS PGothic" w:hAnsi="MS PGothic"/>
          <w:sz w:val="14"/>
          <w:szCs w:val="14"/>
          <w:color w:val="auto"/>
        </w:rPr>
      </w:pPr>
      <w:r>
        <w:rPr>
          <w:rFonts w:ascii="Arial" w:cs="Arial" w:eastAsia="Arial" w:hAnsi="Arial"/>
          <w:sz w:val="14"/>
          <w:szCs w:val="14"/>
          <w:color w:val="auto"/>
        </w:rPr>
        <w:t>Fee paid previously with preliminary materials.</w:t>
      </w:r>
    </w:p>
    <w:p>
      <w:pPr>
        <w:spacing w:after="0" w:line="122" w:lineRule="exact"/>
        <w:rPr>
          <w:rFonts w:ascii="MS PGothic" w:cs="MS PGothic" w:eastAsia="MS PGothic" w:hAnsi="MS PGothic"/>
          <w:sz w:val="14"/>
          <w:szCs w:val="14"/>
          <w:color w:val="auto"/>
        </w:rPr>
      </w:pPr>
    </w:p>
    <w:p>
      <w:pPr>
        <w:ind w:left="680" w:hanging="564"/>
        <w:spacing w:after="0"/>
        <w:tabs>
          <w:tab w:leader="none" w:pos="680" w:val="left"/>
        </w:tabs>
        <w:numPr>
          <w:ilvl w:val="0"/>
          <w:numId w:val="5"/>
        </w:numPr>
        <w:rPr>
          <w:rFonts w:ascii="MS PGothic" w:cs="MS PGothic" w:eastAsia="MS PGothic" w:hAnsi="MS PGothic"/>
          <w:sz w:val="14"/>
          <w:szCs w:val="14"/>
          <w:color w:val="auto"/>
        </w:rPr>
      </w:pPr>
      <w:r>
        <w:rPr>
          <w:rFonts w:ascii="Arial" w:cs="Arial" w:eastAsia="Arial" w:hAnsi="Arial"/>
          <w:sz w:val="14"/>
          <w:szCs w:val="14"/>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452120</wp:posOffset>
            </wp:positionV>
            <wp:extent cx="69951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495300</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139"/>
          </w:cols>
          <w:pgMar w:left="320" w:top="226"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215265</wp:posOffset>
            </wp:positionV>
            <wp:extent cx="6995160" cy="90525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9052560"/>
                    </a:xfrm>
                    <a:prstGeom prst="rect">
                      <a:avLst/>
                    </a:prstGeom>
                    <a:noFill/>
                  </pic:spPr>
                </pic:pic>
              </a:graphicData>
            </a:graphic>
          </wp:anchor>
        </w:drawing>
      </w:r>
    </w:p>
    <w:p>
      <w:pPr>
        <w:sectPr>
          <w:pgSz w:w="11900" w:h="16838" w:orient="portrait"/>
          <w:cols w:equalWidth="0" w:num="1">
            <w:col w:w="10139"/>
          </w:cols>
          <w:pgMar w:left="320" w:top="482"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1879600</wp:posOffset>
            </wp:positionV>
            <wp:extent cx="699516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20"/>
        <w:spacing w:after="0"/>
        <w:rPr>
          <w:sz w:val="20"/>
          <w:szCs w:val="20"/>
          <w:color w:val="auto"/>
        </w:rPr>
      </w:pPr>
      <w:r>
        <w:rPr>
          <w:rFonts w:ascii="Arial" w:cs="Arial" w:eastAsia="Arial" w:hAnsi="Arial"/>
          <w:sz w:val="32"/>
          <w:szCs w:val="32"/>
          <w:b w:val="1"/>
          <w:bCs w:val="1"/>
          <w:color w:val="auto"/>
        </w:rPr>
        <w:t>Letter to Our Shareholders</w:t>
      </w:r>
    </w:p>
    <w:p>
      <w:pPr>
        <w:spacing w:after="0" w:line="23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March 22, 2024</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our Shareholders:</w:t>
      </w:r>
    </w:p>
    <w:p>
      <w:pPr>
        <w:spacing w:after="0" w:line="212" w:lineRule="exact"/>
        <w:rPr>
          <w:sz w:val="20"/>
          <w:szCs w:val="20"/>
          <w:color w:val="auto"/>
        </w:rPr>
      </w:pPr>
    </w:p>
    <w:p>
      <w:pPr>
        <w:jc w:val="both"/>
        <w:ind w:left="120" w:right="20"/>
        <w:spacing w:after="0" w:line="253" w:lineRule="auto"/>
        <w:rPr>
          <w:sz w:val="20"/>
          <w:szCs w:val="20"/>
          <w:color w:val="auto"/>
        </w:rPr>
      </w:pPr>
      <w:r>
        <w:rPr>
          <w:rFonts w:ascii="Arial" w:cs="Arial" w:eastAsia="Arial" w:hAnsi="Arial"/>
          <w:sz w:val="18"/>
          <w:szCs w:val="18"/>
          <w:color w:val="auto"/>
        </w:rPr>
        <w:t>On behalf of the Board of Trustees and the entire Federal team, you are invited to join us at our 2024 Annual Meeting of Shareholders to be held virtually beginning at 9:00 a.m. eastern time on May 1, 2024. This proxy statement includes important information about how you can join and ask questions at the meeting and about the matters that will be voted on at the meeting.</w:t>
      </w:r>
    </w:p>
    <w:p>
      <w:pPr>
        <w:spacing w:after="0" w:line="169" w:lineRule="exact"/>
        <w:rPr>
          <w:sz w:val="20"/>
          <w:szCs w:val="20"/>
          <w:color w:val="auto"/>
        </w:rPr>
      </w:pPr>
    </w:p>
    <w:p>
      <w:pPr>
        <w:jc w:val="both"/>
        <w:ind w:left="120"/>
        <w:spacing w:after="0" w:line="242" w:lineRule="auto"/>
        <w:rPr>
          <w:sz w:val="20"/>
          <w:szCs w:val="20"/>
          <w:color w:val="auto"/>
        </w:rPr>
      </w:pPr>
      <w:r>
        <w:rPr>
          <w:rFonts w:ascii="Arial" w:cs="Arial" w:eastAsia="Arial" w:hAnsi="Arial"/>
          <w:sz w:val="18"/>
          <w:szCs w:val="18"/>
          <w:color w:val="auto"/>
        </w:rPr>
        <w:t>Federal’s operating performance in 2023 showed continued strong demand for our real estate assets as evidenced by high levels of new and renewal leases for comparable spaces and significant occupancy improvements. That strong demand allowed us to deliver a record level of total revenue and other strong financial results despite the higher cost of capital. We also made progress during 2023 in our efforts to reduce our Scope 1 and Scope 2 greenhouse gas emissions and to improve the resilience of our assets to the physical and transition risks associated with climate change. All parts of our business are working together to position us to be able to deliver strong results for years to come.</w:t>
      </w:r>
    </w:p>
    <w:p>
      <w:pPr>
        <w:spacing w:after="0" w:line="179" w:lineRule="exact"/>
        <w:rPr>
          <w:sz w:val="20"/>
          <w:szCs w:val="20"/>
          <w:color w:val="auto"/>
        </w:rPr>
      </w:pPr>
    </w:p>
    <w:p>
      <w:pPr>
        <w:jc w:val="both"/>
        <w:ind w:left="120" w:right="20"/>
        <w:spacing w:after="0" w:line="271" w:lineRule="auto"/>
        <w:rPr>
          <w:sz w:val="20"/>
          <w:szCs w:val="20"/>
          <w:color w:val="auto"/>
        </w:rPr>
      </w:pPr>
      <w:r>
        <w:rPr>
          <w:rFonts w:ascii="Arial" w:cs="Arial" w:eastAsia="Arial" w:hAnsi="Arial"/>
          <w:sz w:val="18"/>
          <w:szCs w:val="18"/>
          <w:color w:val="auto"/>
        </w:rPr>
        <w:t>Our strong performance would not have been possible without the extraordinary efforts of our Board and each and every one of our employees. We are extremely proud of the work this team has accomplished.</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Thank you for your continued support of Federal and we look forward to your participation in this year’s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172085</wp:posOffset>
            </wp:positionV>
            <wp:extent cx="668655" cy="4629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8655" cy="46291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163195</wp:posOffset>
            </wp:positionV>
            <wp:extent cx="1045845" cy="5575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045845" cy="55753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David W. Faeder</w:t>
      </w:r>
    </w:p>
    <w:p>
      <w:pPr>
        <w:spacing w:after="0" w:line="14"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Non-Executive Chairman of the Board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Donald C. Wood</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Chief Executive Officer</w:t>
      </w:r>
    </w:p>
    <w:p>
      <w:pPr>
        <w:sectPr>
          <w:pgSz w:w="11900" w:h="16838" w:orient="portrait"/>
          <w:cols w:equalWidth="0" w:num="2">
            <w:col w:w="5140" w:space="720"/>
            <w:col w:w="5280"/>
          </w:cols>
          <w:pgMar w:left="320" w:top="482" w:right="43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242570</wp:posOffset>
            </wp:positionV>
            <wp:extent cx="6995160"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3429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220"/>
        <w:spacing w:after="0"/>
        <w:rPr>
          <w:sz w:val="20"/>
          <w:szCs w:val="20"/>
          <w:color w:val="auto"/>
        </w:rPr>
      </w:pPr>
      <w:r>
        <w:rPr>
          <w:rFonts w:ascii="Arial" w:cs="Arial" w:eastAsia="Arial" w:hAnsi="Arial"/>
          <w:sz w:val="32"/>
          <w:szCs w:val="32"/>
          <w:b w:val="1"/>
          <w:bCs w:val="1"/>
          <w:color w:val="auto"/>
        </w:rPr>
        <w:t>Notice of Annual Meeting of Shareholders</w:t>
      </w:r>
    </w:p>
    <w:p>
      <w:pPr>
        <w:spacing w:after="0" w:line="200" w:lineRule="exact"/>
        <w:rPr>
          <w:sz w:val="20"/>
          <w:szCs w:val="20"/>
          <w:color w:val="auto"/>
        </w:rPr>
      </w:pPr>
    </w:p>
    <w:p>
      <w:pPr>
        <w:spacing w:after="0" w:line="253"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ANNUAL MEETING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34925</wp:posOffset>
            </wp:positionV>
            <wp:extent cx="6995160" cy="2743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27432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ind w:left="120"/>
        <w:spacing w:after="0"/>
        <w:tabs>
          <w:tab w:leader="none" w:pos="1520" w:val="left"/>
        </w:tabs>
        <w:rPr>
          <w:sz w:val="20"/>
          <w:szCs w:val="20"/>
          <w:color w:val="auto"/>
        </w:rPr>
      </w:pPr>
      <w:r>
        <w:rPr>
          <w:rFonts w:ascii="Arial" w:cs="Arial" w:eastAsia="Arial" w:hAnsi="Arial"/>
          <w:sz w:val="18"/>
          <w:szCs w:val="18"/>
          <w:color w:val="auto"/>
        </w:rPr>
        <w:t>Proposal 1</w:t>
      </w:r>
      <w:r>
        <w:rPr>
          <w:sz w:val="20"/>
          <w:szCs w:val="20"/>
          <w:color w:val="auto"/>
        </w:rPr>
        <w:tab/>
      </w:r>
      <w:r>
        <w:rPr>
          <w:rFonts w:ascii="Arial" w:cs="Arial" w:eastAsia="Arial" w:hAnsi="Arial"/>
          <w:sz w:val="18"/>
          <w:szCs w:val="18"/>
          <w:color w:val="auto"/>
        </w:rPr>
        <w:t>Election of 7 trustees for 1 year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-358775</wp:posOffset>
            </wp:positionV>
            <wp:extent cx="6223635" cy="2400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23635" cy="24003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120"/>
        <w:spacing w:after="0"/>
        <w:tabs>
          <w:tab w:leader="none" w:pos="1520" w:val="left"/>
        </w:tabs>
        <w:rPr>
          <w:sz w:val="20"/>
          <w:szCs w:val="20"/>
          <w:color w:val="auto"/>
        </w:rPr>
      </w:pPr>
      <w:r>
        <w:rPr>
          <w:rFonts w:ascii="Arial" w:cs="Arial" w:eastAsia="Arial" w:hAnsi="Arial"/>
          <w:sz w:val="18"/>
          <w:szCs w:val="18"/>
          <w:color w:val="auto"/>
        </w:rPr>
        <w:t>Proposal 2</w:t>
      </w:r>
      <w:r>
        <w:rPr>
          <w:sz w:val="20"/>
          <w:szCs w:val="20"/>
          <w:color w:val="auto"/>
        </w:rPr>
        <w:tab/>
      </w:r>
      <w:r>
        <w:rPr>
          <w:rFonts w:ascii="Arial" w:cs="Arial" w:eastAsia="Arial" w:hAnsi="Arial"/>
          <w:sz w:val="17"/>
          <w:szCs w:val="17"/>
          <w:color w:val="auto"/>
        </w:rPr>
        <w:t>Non-binding advisory vote on 2023 executive compensation</w:t>
      </w:r>
    </w:p>
    <w:p>
      <w:pPr>
        <w:spacing w:after="0" w:line="200" w:lineRule="exact"/>
        <w:rPr>
          <w:sz w:val="20"/>
          <w:szCs w:val="20"/>
          <w:color w:val="auto"/>
        </w:rPr>
      </w:pPr>
    </w:p>
    <w:p>
      <w:pPr>
        <w:spacing w:after="0" w:line="228" w:lineRule="exact"/>
        <w:rPr>
          <w:sz w:val="20"/>
          <w:szCs w:val="20"/>
          <w:color w:val="auto"/>
        </w:rPr>
      </w:pPr>
    </w:p>
    <w:p>
      <w:pPr>
        <w:ind w:left="1540" w:right="800" w:hanging="1430"/>
        <w:spacing w:after="0" w:line="271" w:lineRule="auto"/>
        <w:tabs>
          <w:tab w:leader="none" w:pos="1520" w:val="left"/>
        </w:tabs>
        <w:rPr>
          <w:sz w:val="20"/>
          <w:szCs w:val="20"/>
          <w:color w:val="auto"/>
        </w:rPr>
      </w:pPr>
      <w:r>
        <w:rPr>
          <w:rFonts w:ascii="Arial" w:cs="Arial" w:eastAsia="Arial" w:hAnsi="Arial"/>
          <w:sz w:val="18"/>
          <w:szCs w:val="18"/>
          <w:color w:val="auto"/>
        </w:rPr>
        <w:t>Proposal 3</w:t>
      </w:r>
      <w:r>
        <w:rPr>
          <w:sz w:val="20"/>
          <w:szCs w:val="20"/>
          <w:color w:val="auto"/>
        </w:rPr>
        <w:tab/>
      </w:r>
      <w:r>
        <w:rPr>
          <w:rFonts w:ascii="Arial" w:cs="Arial" w:eastAsia="Arial" w:hAnsi="Arial"/>
          <w:sz w:val="18"/>
          <w:szCs w:val="18"/>
          <w:color w:val="auto"/>
        </w:rPr>
        <w:t>Ratification of Grant Thornton, LLC as our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152400</wp:posOffset>
            </wp:positionV>
            <wp:extent cx="6995160" cy="342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342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1860" w:type="dxa"/>
            <w:vAlign w:val="bottom"/>
          </w:tcPr>
          <w:p>
            <w:pPr>
              <w:jc w:val="center"/>
              <w:spacing w:after="0"/>
              <w:rPr>
                <w:sz w:val="20"/>
                <w:szCs w:val="20"/>
                <w:color w:val="auto"/>
              </w:rPr>
            </w:pPr>
            <w:r>
              <w:rPr>
                <w:rFonts w:ascii="Arial" w:cs="Arial" w:eastAsia="Arial" w:hAnsi="Arial"/>
                <w:sz w:val="16"/>
                <w:szCs w:val="16"/>
                <w:color w:val="FFFFFF"/>
                <w:w w:val="99"/>
              </w:rPr>
              <w:t>Board Voting</w:t>
            </w:r>
          </w:p>
        </w:tc>
        <w:tc>
          <w:tcPr>
            <w:tcW w:w="1680" w:type="dxa"/>
            <w:vAlign w:val="bottom"/>
          </w:tcPr>
          <w:p>
            <w:pPr>
              <w:jc w:val="center"/>
              <w:ind w:left="214"/>
              <w:spacing w:after="0"/>
              <w:rPr>
                <w:sz w:val="20"/>
                <w:szCs w:val="20"/>
                <w:color w:val="auto"/>
              </w:rPr>
            </w:pPr>
            <w:r>
              <w:rPr>
                <w:rFonts w:ascii="Arial" w:cs="Arial" w:eastAsia="Arial" w:hAnsi="Arial"/>
                <w:sz w:val="16"/>
                <w:szCs w:val="16"/>
                <w:color w:val="FFFFFF"/>
              </w:rPr>
              <w:t>Where to find more</w:t>
            </w:r>
          </w:p>
        </w:tc>
      </w:tr>
      <w:tr>
        <w:trPr>
          <w:trHeight w:val="215"/>
        </w:trPr>
        <w:tc>
          <w:tcPr>
            <w:tcW w:w="1860" w:type="dxa"/>
            <w:vAlign w:val="bottom"/>
          </w:tcPr>
          <w:p>
            <w:pPr>
              <w:jc w:val="center"/>
              <w:spacing w:after="0"/>
              <w:rPr>
                <w:sz w:val="20"/>
                <w:szCs w:val="20"/>
                <w:color w:val="auto"/>
              </w:rPr>
            </w:pPr>
            <w:r>
              <w:rPr>
                <w:rFonts w:ascii="Arial" w:cs="Arial" w:eastAsia="Arial" w:hAnsi="Arial"/>
                <w:sz w:val="16"/>
                <w:szCs w:val="16"/>
                <w:color w:val="FFFFFF"/>
              </w:rPr>
              <w:t>Recommendation</w:t>
            </w:r>
          </w:p>
        </w:tc>
        <w:tc>
          <w:tcPr>
            <w:tcW w:w="1680" w:type="dxa"/>
            <w:vAlign w:val="bottom"/>
          </w:tcPr>
          <w:p>
            <w:pPr>
              <w:jc w:val="center"/>
              <w:ind w:left="194"/>
              <w:spacing w:after="0"/>
              <w:rPr>
                <w:sz w:val="20"/>
                <w:szCs w:val="20"/>
                <w:color w:val="auto"/>
              </w:rPr>
            </w:pPr>
            <w:r>
              <w:rPr>
                <w:rFonts w:ascii="Arial" w:cs="Arial" w:eastAsia="Arial" w:hAnsi="Arial"/>
                <w:sz w:val="16"/>
                <w:szCs w:val="16"/>
                <w:color w:val="FFFFFF"/>
              </w:rPr>
              <w:t>information</w:t>
            </w:r>
          </w:p>
        </w:tc>
      </w:tr>
      <w:tr>
        <w:trPr>
          <w:trHeight w:val="303"/>
        </w:trPr>
        <w:tc>
          <w:tcPr>
            <w:tcW w:w="1860" w:type="dxa"/>
            <w:vAlign w:val="bottom"/>
          </w:tcPr>
          <w:p>
            <w:pPr>
              <w:spacing w:after="0"/>
              <w:rPr>
                <w:sz w:val="20"/>
                <w:szCs w:val="20"/>
                <w:color w:val="auto"/>
              </w:rPr>
            </w:pPr>
            <w:r>
              <w:rPr>
                <w:rFonts w:ascii="Arial" w:cs="Arial" w:eastAsia="Arial" w:hAnsi="Arial"/>
                <w:sz w:val="18"/>
                <w:szCs w:val="18"/>
                <w:color w:val="FF160F"/>
              </w:rPr>
              <w:t xml:space="preserve">FOR </w:t>
            </w:r>
            <w:r>
              <w:rPr>
                <w:rFonts w:ascii="Arial" w:cs="Arial" w:eastAsia="Arial" w:hAnsi="Arial"/>
                <w:sz w:val="18"/>
                <w:szCs w:val="18"/>
                <w:color w:val="000000"/>
              </w:rPr>
              <w:t>each nominee</w:t>
            </w:r>
          </w:p>
        </w:tc>
        <w:tc>
          <w:tcPr>
            <w:tcW w:w="1680" w:type="dxa"/>
            <w:vAlign w:val="bottom"/>
          </w:tcPr>
          <w:p>
            <w:pPr>
              <w:jc w:val="center"/>
              <w:ind w:left="214"/>
              <w:spacing w:after="0"/>
              <w:rPr>
                <w:sz w:val="20"/>
                <w:szCs w:val="20"/>
                <w:color w:val="auto"/>
              </w:rPr>
            </w:pPr>
            <w:r>
              <w:rPr>
                <w:rFonts w:ascii="Arial" w:cs="Arial" w:eastAsia="Arial" w:hAnsi="Arial"/>
                <w:sz w:val="18"/>
                <w:szCs w:val="18"/>
                <w:color w:val="auto"/>
                <w:w w:val="98"/>
              </w:rPr>
              <w:t>Page 10</w:t>
            </w:r>
          </w:p>
        </w:tc>
      </w:tr>
      <w:tr>
        <w:trPr>
          <w:trHeight w:val="634"/>
        </w:trPr>
        <w:tc>
          <w:tcPr>
            <w:tcW w:w="1860" w:type="dxa"/>
            <w:vAlign w:val="bottom"/>
          </w:tcPr>
          <w:p>
            <w:pPr>
              <w:spacing w:after="0"/>
              <w:rPr>
                <w:sz w:val="20"/>
                <w:szCs w:val="20"/>
                <w:color w:val="auto"/>
              </w:rPr>
            </w:pPr>
            <w:r>
              <w:rPr>
                <w:rFonts w:ascii="Arial" w:cs="Arial" w:eastAsia="Arial" w:hAnsi="Arial"/>
                <w:sz w:val="18"/>
                <w:szCs w:val="18"/>
                <w:color w:val="FF160F"/>
              </w:rPr>
              <w:t>FOR</w:t>
            </w:r>
          </w:p>
        </w:tc>
        <w:tc>
          <w:tcPr>
            <w:tcW w:w="1680" w:type="dxa"/>
            <w:vAlign w:val="bottom"/>
          </w:tcPr>
          <w:p>
            <w:pPr>
              <w:jc w:val="center"/>
              <w:ind w:left="214"/>
              <w:spacing w:after="0"/>
              <w:rPr>
                <w:sz w:val="20"/>
                <w:szCs w:val="20"/>
                <w:color w:val="auto"/>
              </w:rPr>
            </w:pPr>
            <w:r>
              <w:rPr>
                <w:rFonts w:ascii="Arial" w:cs="Arial" w:eastAsia="Arial" w:hAnsi="Arial"/>
                <w:sz w:val="18"/>
                <w:szCs w:val="18"/>
                <w:color w:val="auto"/>
                <w:w w:val="98"/>
              </w:rPr>
              <w:t>Page 18</w:t>
            </w:r>
          </w:p>
        </w:tc>
      </w:tr>
      <w:tr>
        <w:trPr>
          <w:trHeight w:val="635"/>
        </w:trPr>
        <w:tc>
          <w:tcPr>
            <w:tcW w:w="1860" w:type="dxa"/>
            <w:vAlign w:val="bottom"/>
          </w:tcPr>
          <w:p>
            <w:pPr>
              <w:spacing w:after="0"/>
              <w:rPr>
                <w:sz w:val="20"/>
                <w:szCs w:val="20"/>
                <w:color w:val="auto"/>
              </w:rPr>
            </w:pPr>
            <w:r>
              <w:rPr>
                <w:rFonts w:ascii="Arial" w:cs="Arial" w:eastAsia="Arial" w:hAnsi="Arial"/>
                <w:sz w:val="18"/>
                <w:szCs w:val="18"/>
                <w:color w:val="FF160F"/>
              </w:rPr>
              <w:t>FOR</w:t>
            </w:r>
          </w:p>
        </w:tc>
        <w:tc>
          <w:tcPr>
            <w:tcW w:w="1680" w:type="dxa"/>
            <w:vAlign w:val="bottom"/>
          </w:tcPr>
          <w:p>
            <w:pPr>
              <w:jc w:val="center"/>
              <w:ind w:left="214"/>
              <w:spacing w:after="0"/>
              <w:rPr>
                <w:sz w:val="20"/>
                <w:szCs w:val="20"/>
                <w:color w:val="auto"/>
              </w:rPr>
            </w:pPr>
            <w:r>
              <w:rPr>
                <w:rFonts w:ascii="Arial" w:cs="Arial" w:eastAsia="Arial" w:hAnsi="Arial"/>
                <w:sz w:val="18"/>
                <w:szCs w:val="18"/>
                <w:color w:val="auto"/>
                <w:w w:val="98"/>
              </w:rPr>
              <w:t>Page 40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-346710</wp:posOffset>
            </wp:positionH>
            <wp:positionV relativeFrom="paragraph">
              <wp:posOffset>-944880</wp:posOffset>
            </wp:positionV>
            <wp:extent cx="196850" cy="1968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96850" cy="196850"/>
                    </a:xfrm>
                    <a:prstGeom prst="rect">
                      <a:avLst/>
                    </a:prstGeom>
                    <a:noFill/>
                  </pic:spPr>
                </pic:pic>
              </a:graphicData>
            </a:graphic>
          </wp:anchor>
        </w:drawing>
        <w:drawing>
          <wp:anchor simplePos="0" relativeHeight="251657728" behindDoc="1" locked="0" layoutInCell="0" allowOverlap="1">
            <wp:simplePos x="0" y="0"/>
            <wp:positionH relativeFrom="column">
              <wp:posOffset>-346710</wp:posOffset>
            </wp:positionH>
            <wp:positionV relativeFrom="paragraph">
              <wp:posOffset>-542290</wp:posOffset>
            </wp:positionV>
            <wp:extent cx="196850" cy="1974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96850" cy="197485"/>
                    </a:xfrm>
                    <a:prstGeom prst="rect">
                      <a:avLst/>
                    </a:prstGeom>
                    <a:noFill/>
                  </pic:spPr>
                </pic:pic>
              </a:graphicData>
            </a:graphic>
          </wp:anchor>
        </w:drawing>
        <w:drawing>
          <wp:anchor simplePos="0" relativeHeight="251657728" behindDoc="1" locked="0" layoutInCell="0" allowOverlap="1">
            <wp:simplePos x="0" y="0"/>
            <wp:positionH relativeFrom="column">
              <wp:posOffset>-346710</wp:posOffset>
            </wp:positionH>
            <wp:positionV relativeFrom="paragraph">
              <wp:posOffset>-139065</wp:posOffset>
            </wp:positionV>
            <wp:extent cx="196850" cy="1968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96850" cy="196850"/>
                    </a:xfrm>
                    <a:prstGeom prst="rect">
                      <a:avLst/>
                    </a:prstGeom>
                    <a:noFill/>
                  </pic:spPr>
                </pic:pic>
              </a:graphicData>
            </a:graphic>
          </wp:anchor>
        </w:drawing>
      </w:r>
    </w:p>
    <w:p>
      <w:pPr>
        <w:spacing w:after="0" w:line="334" w:lineRule="exact"/>
        <w:rPr>
          <w:sz w:val="20"/>
          <w:szCs w:val="20"/>
          <w:color w:val="auto"/>
        </w:rPr>
      </w:pPr>
    </w:p>
    <w:p>
      <w:pPr>
        <w:sectPr>
          <w:pgSz w:w="11900" w:h="16838" w:orient="portrait"/>
          <w:cols w:equalWidth="0" w:num="2">
            <w:col w:w="6720" w:space="720"/>
            <w:col w:w="3700"/>
          </w:cols>
          <w:pgMar w:left="320" w:top="482" w:right="439" w:bottom="1440" w:gutter="0" w:footer="0" w:header="0"/>
          <w:type w:val="continuous"/>
        </w:sectPr>
      </w:pP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Other business will be transacted as may properly come before the 2024 annual meeting of shareholders (“Annual Meeting”).</w:t>
      </w:r>
    </w:p>
    <w:p>
      <w:pPr>
        <w:spacing w:after="0" w:line="212"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2024 ANNUAL MEETING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1170940</wp:posOffset>
            </wp:positionH>
            <wp:positionV relativeFrom="paragraph">
              <wp:posOffset>180340</wp:posOffset>
            </wp:positionV>
            <wp:extent cx="265430" cy="2654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65430" cy="265430"/>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163195</wp:posOffset>
            </wp:positionV>
            <wp:extent cx="196850" cy="2832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96850" cy="283210"/>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197485</wp:posOffset>
            </wp:positionV>
            <wp:extent cx="257175" cy="2489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57175" cy="248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120" w:type="dxa"/>
        <w:tblCellMar>
          <w:top w:w="0" w:type="dxa"/>
          <w:left w:w="0" w:type="dxa"/>
          <w:bottom w:w="0" w:type="dxa"/>
          <w:right w:w="0" w:type="dxa"/>
        </w:tblCellMar>
      </w:tblPr>
      <w:tr>
        <w:trPr>
          <w:trHeight w:val="239"/>
        </w:trPr>
        <w:tc>
          <w:tcPr>
            <w:tcW w:w="3600" w:type="dxa"/>
            <w:vAlign w:val="bottom"/>
          </w:tcPr>
          <w:p>
            <w:pPr>
              <w:jc w:val="center"/>
              <w:ind w:left="170"/>
              <w:spacing w:after="0"/>
              <w:rPr>
                <w:sz w:val="20"/>
                <w:szCs w:val="20"/>
                <w:color w:val="auto"/>
              </w:rPr>
            </w:pPr>
            <w:r>
              <w:rPr>
                <w:rFonts w:ascii="Arial" w:cs="Arial" w:eastAsia="Arial" w:hAnsi="Arial"/>
                <w:sz w:val="18"/>
                <w:szCs w:val="18"/>
                <w:color w:val="FF160F"/>
                <w:w w:val="99"/>
              </w:rPr>
              <w:t>Date and Time</w:t>
            </w:r>
          </w:p>
        </w:tc>
        <w:tc>
          <w:tcPr>
            <w:tcW w:w="4340" w:type="dxa"/>
            <w:vAlign w:val="bottom"/>
          </w:tcPr>
          <w:p>
            <w:pPr>
              <w:jc w:val="center"/>
              <w:spacing w:after="0"/>
              <w:rPr>
                <w:sz w:val="20"/>
                <w:szCs w:val="20"/>
                <w:color w:val="auto"/>
              </w:rPr>
            </w:pPr>
            <w:r>
              <w:rPr>
                <w:rFonts w:ascii="Arial" w:cs="Arial" w:eastAsia="Arial" w:hAnsi="Arial"/>
                <w:sz w:val="18"/>
                <w:szCs w:val="18"/>
                <w:color w:val="FF160F"/>
                <w:w w:val="99"/>
              </w:rPr>
              <w:t>Location</w:t>
            </w:r>
          </w:p>
        </w:tc>
        <w:tc>
          <w:tcPr>
            <w:tcW w:w="3080" w:type="dxa"/>
            <w:vAlign w:val="bottom"/>
          </w:tcPr>
          <w:p>
            <w:pPr>
              <w:jc w:val="center"/>
              <w:ind w:right="250"/>
              <w:spacing w:after="0"/>
              <w:rPr>
                <w:sz w:val="20"/>
                <w:szCs w:val="20"/>
                <w:color w:val="auto"/>
              </w:rPr>
            </w:pPr>
            <w:r>
              <w:rPr>
                <w:rFonts w:ascii="Arial" w:cs="Arial" w:eastAsia="Arial" w:hAnsi="Arial"/>
                <w:sz w:val="18"/>
                <w:szCs w:val="18"/>
                <w:color w:val="FF160F"/>
              </w:rPr>
              <w:t>Record Date</w:t>
            </w:r>
          </w:p>
        </w:tc>
      </w:tr>
      <w:tr>
        <w:trPr>
          <w:trHeight w:val="77"/>
        </w:trPr>
        <w:tc>
          <w:tcPr>
            <w:tcW w:w="3600" w:type="dxa"/>
            <w:vAlign w:val="bottom"/>
            <w:tcBorders>
              <w:bottom w:val="single" w:sz="8" w:color="auto"/>
            </w:tcBorders>
          </w:tcPr>
          <w:p>
            <w:pPr>
              <w:spacing w:after="0"/>
              <w:rPr>
                <w:sz w:val="6"/>
                <w:szCs w:val="6"/>
                <w:color w:val="auto"/>
              </w:rPr>
            </w:pPr>
          </w:p>
        </w:tc>
        <w:tc>
          <w:tcPr>
            <w:tcW w:w="4340" w:type="dxa"/>
            <w:vAlign w:val="bottom"/>
            <w:tcBorders>
              <w:bottom w:val="single" w:sz="8" w:color="auto"/>
            </w:tcBorders>
          </w:tcPr>
          <w:p>
            <w:pPr>
              <w:spacing w:after="0"/>
              <w:rPr>
                <w:sz w:val="6"/>
                <w:szCs w:val="6"/>
                <w:color w:val="auto"/>
              </w:rPr>
            </w:pPr>
          </w:p>
        </w:tc>
        <w:tc>
          <w:tcPr>
            <w:tcW w:w="3080" w:type="dxa"/>
            <w:vAlign w:val="bottom"/>
            <w:tcBorders>
              <w:bottom w:val="single" w:sz="8" w:color="auto"/>
            </w:tcBorders>
          </w:tcPr>
          <w:p>
            <w:pPr>
              <w:spacing w:after="0"/>
              <w:rPr>
                <w:sz w:val="6"/>
                <w:szCs w:val="6"/>
                <w:color w:val="auto"/>
              </w:rPr>
            </w:pPr>
          </w:p>
        </w:tc>
      </w:tr>
      <w:tr>
        <w:trPr>
          <w:trHeight w:val="339"/>
        </w:trPr>
        <w:tc>
          <w:tcPr>
            <w:tcW w:w="3600" w:type="dxa"/>
            <w:vAlign w:val="bottom"/>
          </w:tcPr>
          <w:p>
            <w:pPr>
              <w:jc w:val="center"/>
              <w:ind w:left="170"/>
              <w:spacing w:after="0"/>
              <w:rPr>
                <w:sz w:val="20"/>
                <w:szCs w:val="20"/>
                <w:color w:val="auto"/>
              </w:rPr>
            </w:pPr>
            <w:r>
              <w:rPr>
                <w:rFonts w:ascii="Arial" w:cs="Arial" w:eastAsia="Arial" w:hAnsi="Arial"/>
                <w:sz w:val="18"/>
                <w:szCs w:val="18"/>
                <w:color w:val="auto"/>
                <w:w w:val="98"/>
              </w:rPr>
              <w:t>Wednesday, May 1, 2024</w:t>
            </w:r>
          </w:p>
        </w:tc>
        <w:tc>
          <w:tcPr>
            <w:tcW w:w="4340" w:type="dxa"/>
            <w:vAlign w:val="bottom"/>
          </w:tcPr>
          <w:p>
            <w:pPr>
              <w:jc w:val="center"/>
              <w:spacing w:after="0"/>
              <w:rPr>
                <w:sz w:val="20"/>
                <w:szCs w:val="20"/>
                <w:color w:val="auto"/>
              </w:rPr>
            </w:pPr>
            <w:r>
              <w:rPr>
                <w:rFonts w:ascii="Arial" w:cs="Arial" w:eastAsia="Arial" w:hAnsi="Arial"/>
                <w:sz w:val="18"/>
                <w:szCs w:val="18"/>
                <w:color w:val="auto"/>
                <w:w w:val="99"/>
              </w:rPr>
              <w:t>Virtual Meeting</w:t>
            </w:r>
          </w:p>
        </w:tc>
        <w:tc>
          <w:tcPr>
            <w:tcW w:w="3080" w:type="dxa"/>
            <w:vAlign w:val="bottom"/>
          </w:tcPr>
          <w:p>
            <w:pPr>
              <w:jc w:val="center"/>
              <w:ind w:right="250"/>
              <w:spacing w:after="0"/>
              <w:rPr>
                <w:sz w:val="20"/>
                <w:szCs w:val="20"/>
                <w:color w:val="auto"/>
              </w:rPr>
            </w:pPr>
            <w:r>
              <w:rPr>
                <w:rFonts w:ascii="Arial" w:cs="Arial" w:eastAsia="Arial" w:hAnsi="Arial"/>
                <w:sz w:val="18"/>
                <w:szCs w:val="18"/>
                <w:color w:val="auto"/>
              </w:rPr>
              <w:t>March 13, 2024</w:t>
            </w:r>
          </w:p>
        </w:tc>
      </w:tr>
      <w:tr>
        <w:trPr>
          <w:trHeight w:val="239"/>
        </w:trPr>
        <w:tc>
          <w:tcPr>
            <w:tcW w:w="3600" w:type="dxa"/>
            <w:vAlign w:val="bottom"/>
          </w:tcPr>
          <w:p>
            <w:pPr>
              <w:jc w:val="center"/>
              <w:ind w:left="150"/>
              <w:spacing w:after="0"/>
              <w:rPr>
                <w:sz w:val="20"/>
                <w:szCs w:val="20"/>
                <w:color w:val="auto"/>
              </w:rPr>
            </w:pPr>
            <w:r>
              <w:rPr>
                <w:rFonts w:ascii="Arial" w:cs="Arial" w:eastAsia="Arial" w:hAnsi="Arial"/>
                <w:sz w:val="18"/>
                <w:szCs w:val="18"/>
                <w:color w:val="auto"/>
                <w:w w:val="99"/>
              </w:rPr>
              <w:t>9:00 a.m., Eastern Time</w:t>
            </w:r>
          </w:p>
        </w:tc>
        <w:tc>
          <w:tcPr>
            <w:tcW w:w="4340" w:type="dxa"/>
            <w:vAlign w:val="bottom"/>
          </w:tcPr>
          <w:p>
            <w:pPr>
              <w:jc w:val="center"/>
              <w:spacing w:after="0"/>
              <w:rPr>
                <w:sz w:val="20"/>
                <w:szCs w:val="20"/>
                <w:color w:val="auto"/>
              </w:rPr>
            </w:pPr>
            <w:r>
              <w:rPr>
                <w:rFonts w:ascii="Arial" w:cs="Arial" w:eastAsia="Arial" w:hAnsi="Arial"/>
                <w:sz w:val="18"/>
                <w:szCs w:val="18"/>
                <w:color w:val="auto"/>
                <w:w w:val="99"/>
              </w:rPr>
              <w:t>https://web.lumiagm.com/202329683</w:t>
            </w:r>
          </w:p>
        </w:tc>
        <w:tc>
          <w:tcPr>
            <w:tcW w:w="30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168910</wp:posOffset>
            </wp:positionV>
            <wp:extent cx="6995160" cy="342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5160" cy="34290"/>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jc w:val="both"/>
        <w:ind w:left="120" w:right="20"/>
        <w:spacing w:after="0" w:line="253" w:lineRule="auto"/>
        <w:rPr>
          <w:sz w:val="20"/>
          <w:szCs w:val="20"/>
          <w:color w:val="auto"/>
        </w:rPr>
      </w:pPr>
      <w:r>
        <w:rPr>
          <w:rFonts w:ascii="Arial" w:cs="Arial" w:eastAsia="Arial" w:hAnsi="Arial"/>
          <w:sz w:val="18"/>
          <w:szCs w:val="18"/>
          <w:color w:val="auto"/>
        </w:rPr>
        <w:t>Only holders of record of our common shares of beneficial interest, $.01 par value per share, at the close of business on the record date are entitled to receive notice of, and to vote at, the Annual Meeting. References to “Common Shares”, “Shares”, “common shares” and “shares” in this proxy statement refer to our common shares of beneficial interest, $.01 par value per share.</w:t>
      </w:r>
    </w:p>
    <w:p>
      <w:pPr>
        <w:spacing w:after="0" w:line="1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Proxy Voting:</w:t>
      </w:r>
    </w:p>
    <w:p>
      <w:pPr>
        <w:spacing w:after="0" w:line="212" w:lineRule="exact"/>
        <w:rPr>
          <w:sz w:val="20"/>
          <w:szCs w:val="20"/>
          <w:color w:val="auto"/>
        </w:rPr>
      </w:pPr>
    </w:p>
    <w:p>
      <w:pPr>
        <w:jc w:val="both"/>
        <w:ind w:left="120"/>
        <w:spacing w:after="0" w:line="244" w:lineRule="auto"/>
        <w:rPr>
          <w:sz w:val="20"/>
          <w:szCs w:val="20"/>
          <w:color w:val="auto"/>
        </w:rPr>
      </w:pPr>
      <w:r>
        <w:rPr>
          <w:rFonts w:ascii="Arial" w:cs="Arial" w:eastAsia="Arial" w:hAnsi="Arial"/>
          <w:sz w:val="18"/>
          <w:szCs w:val="18"/>
          <w:color w:val="auto"/>
        </w:rPr>
        <w:t>Whether or not you plan to attend the Annual Meeting and vote your Shares at the Annual Meeting, we urge you to vote your Shares as instructed in the proxy statement. If you received a copy of the proxy card by mail, you may sign, date and mail the proxy card in the postage-paid envelope provided. If your Shares are held by a broker, bank or other nominee, please follow the instructions you receive from your broker, bank or other nominee to have your Shares voted. Any proxy may be revoked at any time prior to its exercise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140970</wp:posOffset>
            </wp:positionV>
            <wp:extent cx="4037330" cy="9601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037330" cy="96012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type w:val="continuous"/>
        </w:sectPr>
      </w:pPr>
    </w:p>
    <w:p>
      <w:pPr>
        <w:spacing w:after="0" w:line="230" w:lineRule="exact"/>
        <w:rPr>
          <w:sz w:val="20"/>
          <w:szCs w:val="20"/>
          <w:color w:val="auto"/>
        </w:rPr>
      </w:pPr>
    </w:p>
    <w:p>
      <w:pPr>
        <w:ind w:left="180"/>
        <w:spacing w:after="0"/>
        <w:rPr>
          <w:sz w:val="20"/>
          <w:szCs w:val="20"/>
          <w:color w:val="auto"/>
        </w:rPr>
      </w:pPr>
      <w:r>
        <w:rPr>
          <w:rFonts w:ascii="Arial" w:cs="Arial" w:eastAsia="Arial" w:hAnsi="Arial"/>
          <w:sz w:val="17"/>
          <w:szCs w:val="17"/>
          <w:color w:val="auto"/>
        </w:rPr>
        <w:t>By Order of the Board of Trustees,</w:t>
      </w:r>
    </w:p>
    <w:p>
      <w:pPr>
        <w:spacing w:after="0" w:line="385" w:lineRule="exact"/>
        <w:rPr>
          <w:sz w:val="20"/>
          <w:szCs w:val="20"/>
          <w:color w:val="auto"/>
        </w:rPr>
      </w:pPr>
    </w:p>
    <w:p>
      <w:pPr>
        <w:ind w:left="180" w:right="1400"/>
        <w:spacing w:after="0" w:line="247" w:lineRule="auto"/>
        <w:rPr>
          <w:sz w:val="20"/>
          <w:szCs w:val="20"/>
          <w:color w:val="auto"/>
        </w:rPr>
      </w:pPr>
      <w:r>
        <w:rPr>
          <w:rFonts w:ascii="Arial" w:cs="Arial" w:eastAsia="Arial" w:hAnsi="Arial"/>
          <w:sz w:val="18"/>
          <w:szCs w:val="18"/>
          <w:b w:val="1"/>
          <w:bCs w:val="1"/>
          <w:color w:val="auto"/>
        </w:rPr>
        <w:t xml:space="preserve">Dawn M. Becker </w:t>
      </w:r>
      <w:r>
        <w:rPr>
          <w:rFonts w:ascii="Arial" w:cs="Arial" w:eastAsia="Arial" w:hAnsi="Arial"/>
          <w:sz w:val="18"/>
          <w:szCs w:val="18"/>
          <w:color w:val="auto"/>
        </w:rPr>
        <w:t>Executive Vice President General Counsel And Secretary March 22, 2024</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FF160F"/>
        </w:rPr>
        <w:t>Important Notice Regarding Internet Availability of Proxy Materials</w:t>
      </w:r>
    </w:p>
    <w:p>
      <w:pPr>
        <w:spacing w:after="0" w:line="208" w:lineRule="exact"/>
        <w:rPr>
          <w:sz w:val="20"/>
          <w:szCs w:val="20"/>
          <w:color w:val="auto"/>
        </w:rPr>
      </w:pPr>
    </w:p>
    <w:p>
      <w:pPr>
        <w:jc w:val="both"/>
        <w:ind w:right="100"/>
        <w:spacing w:after="0" w:line="259" w:lineRule="auto"/>
        <w:rPr>
          <w:sz w:val="20"/>
          <w:szCs w:val="20"/>
          <w:color w:val="auto"/>
        </w:rPr>
      </w:pPr>
      <w:r>
        <w:rPr>
          <w:rFonts w:ascii="Arial" w:cs="Arial" w:eastAsia="Arial" w:hAnsi="Arial"/>
          <w:sz w:val="16"/>
          <w:szCs w:val="16"/>
          <w:b w:val="1"/>
          <w:bCs w:val="1"/>
          <w:color w:val="auto"/>
        </w:rPr>
        <w:t xml:space="preserve">The proxy statement and annual report to shareholders, including our annual report on Form 10-K for the year ended December 31, 2023, are available at </w:t>
      </w:r>
      <w:r>
        <w:rPr>
          <w:rFonts w:ascii="Arial" w:cs="Arial" w:eastAsia="Arial" w:hAnsi="Arial"/>
          <w:sz w:val="16"/>
          <w:szCs w:val="16"/>
          <w:b w:val="1"/>
          <w:bCs w:val="1"/>
          <w:i w:val="1"/>
          <w:iCs w:val="1"/>
          <w:color w:val="auto"/>
        </w:rPr>
        <w:t>www.federalrealty.com</w:t>
      </w:r>
      <w:r>
        <w:rPr>
          <w:rFonts w:ascii="Arial" w:cs="Arial" w:eastAsia="Arial" w:hAnsi="Arial"/>
          <w:sz w:val="16"/>
          <w:szCs w:val="16"/>
          <w:b w:val="1"/>
          <w:bCs w:val="1"/>
          <w:color w:val="auto"/>
        </w:rPr>
        <w:t>. References in this proxy statement to our website are</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provided for your convenience only and the content on our website does not constitute part of this proxy statement.</w:t>
      </w:r>
    </w:p>
    <w:p>
      <w:pPr>
        <w:sectPr>
          <w:pgSz w:w="11900" w:h="16838" w:orient="portrait"/>
          <w:cols w:equalWidth="0" w:num="2">
            <w:col w:w="4120" w:space="720"/>
            <w:col w:w="6300"/>
          </w:cols>
          <w:pgMar w:left="320" w:top="482" w:right="43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249555</wp:posOffset>
            </wp:positionV>
            <wp:extent cx="6995160" cy="342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5160" cy="3429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p>
      <w:pPr>
        <w:spacing w:after="0" w:line="200" w:lineRule="exact"/>
        <w:rPr>
          <w:sz w:val="20"/>
          <w:szCs w:val="20"/>
          <w:color w:val="auto"/>
        </w:rPr>
      </w:pPr>
    </w:p>
    <w:p>
      <w:pPr>
        <w:spacing w:after="0" w:line="263"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auto"/>
        </w:rPr>
        <w:t>Table of Contents</w:t>
      </w:r>
    </w:p>
    <w:p>
      <w:pPr>
        <w:spacing w:after="0" w:line="200" w:lineRule="exact"/>
        <w:rPr>
          <w:sz w:val="20"/>
          <w:szCs w:val="20"/>
          <w:color w:val="auto"/>
        </w:rPr>
      </w:pPr>
    </w:p>
    <w:p>
      <w:pPr>
        <w:spacing w:after="0" w:line="216" w:lineRule="exact"/>
        <w:rPr>
          <w:sz w:val="20"/>
          <w:szCs w:val="20"/>
          <w:color w:val="auto"/>
        </w:rPr>
      </w:pPr>
    </w:p>
    <w:tbl>
      <w:tblPr>
        <w:tblLayout w:type="fixed"/>
        <w:tblInd w:w="120" w:type="dxa"/>
        <w:tblCellMar>
          <w:top w:w="0" w:type="dxa"/>
          <w:left w:w="0" w:type="dxa"/>
          <w:bottom w:w="0" w:type="dxa"/>
          <w:right w:w="0" w:type="dxa"/>
        </w:tblCellMar>
      </w:tblPr>
      <w:tr>
        <w:trPr>
          <w:trHeight w:val="253"/>
        </w:trPr>
        <w:tc>
          <w:tcPr>
            <w:tcW w:w="100" w:type="dxa"/>
            <w:vAlign w:val="bottom"/>
          </w:tcPr>
          <w:p>
            <w:pPr>
              <w:spacing w:after="0"/>
              <w:rPr>
                <w:sz w:val="21"/>
                <w:szCs w:val="21"/>
                <w:color w:val="auto"/>
              </w:rPr>
            </w:pPr>
          </w:p>
        </w:tc>
        <w:tc>
          <w:tcPr>
            <w:tcW w:w="3940" w:type="dxa"/>
            <w:vAlign w:val="bottom"/>
            <w:gridSpan w:val="7"/>
          </w:tcPr>
          <w:p>
            <w:pPr>
              <w:spacing w:after="0"/>
              <w:rPr>
                <w:sz w:val="20"/>
                <w:szCs w:val="20"/>
                <w:color w:val="auto"/>
              </w:rPr>
            </w:pPr>
            <w:r>
              <w:rPr>
                <w:rFonts w:ascii="Arial" w:cs="Arial" w:eastAsia="Arial" w:hAnsi="Arial"/>
                <w:sz w:val="22"/>
                <w:szCs w:val="22"/>
                <w:b w:val="1"/>
                <w:bCs w:val="1"/>
                <w:color w:val="0000EE"/>
              </w:rPr>
              <w:t>C</w:t>
            </w:r>
            <w:r>
              <w:rPr>
                <w:rFonts w:ascii="Arial" w:cs="Arial" w:eastAsia="Arial" w:hAnsi="Arial"/>
                <w:sz w:val="17"/>
                <w:szCs w:val="17"/>
                <w:b w:val="1"/>
                <w:bCs w:val="1"/>
                <w:color w:val="0000EE"/>
              </w:rPr>
              <w:t>OMPANY</w:t>
            </w:r>
            <w:r>
              <w:rPr>
                <w:rFonts w:ascii="Arial" w:cs="Arial" w:eastAsia="Arial" w:hAnsi="Arial"/>
                <w:sz w:val="22"/>
                <w:szCs w:val="22"/>
                <w:b w:val="1"/>
                <w:bCs w:val="1"/>
                <w:color w:val="0000EE"/>
              </w:rPr>
              <w:t xml:space="preserve"> I</w:t>
            </w:r>
            <w:r>
              <w:rPr>
                <w:rFonts w:ascii="Arial" w:cs="Arial" w:eastAsia="Arial" w:hAnsi="Arial"/>
                <w:sz w:val="17"/>
                <w:szCs w:val="17"/>
                <w:b w:val="1"/>
                <w:bCs w:val="1"/>
                <w:color w:val="0000EE"/>
              </w:rPr>
              <w:t>NFORMATION</w:t>
            </w:r>
          </w:p>
        </w:tc>
        <w:tc>
          <w:tcPr>
            <w:tcW w:w="1240" w:type="dxa"/>
            <w:vAlign w:val="bottom"/>
          </w:tcPr>
          <w:p>
            <w:pPr>
              <w:jc w:val="right"/>
              <w:ind w:right="23"/>
              <w:spacing w:after="0"/>
              <w:rPr>
                <w:sz w:val="20"/>
                <w:szCs w:val="20"/>
                <w:color w:val="auto"/>
              </w:rPr>
            </w:pPr>
            <w:r>
              <w:rPr>
                <w:rFonts w:ascii="Arial" w:cs="Arial" w:eastAsia="Arial" w:hAnsi="Arial"/>
                <w:sz w:val="22"/>
                <w:szCs w:val="22"/>
                <w:b w:val="1"/>
                <w:bCs w:val="1"/>
                <w:color w:val="FF160F"/>
              </w:rPr>
              <w:t>1</w:t>
            </w:r>
          </w:p>
        </w:tc>
      </w:tr>
      <w:tr>
        <w:trPr>
          <w:trHeight w:val="28"/>
        </w:trPr>
        <w:tc>
          <w:tcPr>
            <w:tcW w:w="100" w:type="dxa"/>
            <w:vAlign w:val="bottom"/>
            <w:tcBorders>
              <w:bottom w:val="single" w:sz="8" w:color="auto"/>
            </w:tcBorders>
          </w:tcPr>
          <w:p>
            <w:pPr>
              <w:spacing w:after="0"/>
              <w:rPr>
                <w:sz w:val="2"/>
                <w:szCs w:val="2"/>
                <w:color w:val="auto"/>
              </w:rPr>
            </w:pPr>
          </w:p>
        </w:tc>
        <w:tc>
          <w:tcPr>
            <w:tcW w:w="240" w:type="dxa"/>
            <w:vAlign w:val="bottom"/>
            <w:tcBorders>
              <w:top w:val="single" w:sz="8" w:color="0000EE"/>
              <w:bottom w:val="single" w:sz="8" w:color="auto"/>
            </w:tcBorders>
          </w:tcPr>
          <w:p>
            <w:pPr>
              <w:spacing w:after="0"/>
              <w:rPr>
                <w:sz w:val="2"/>
                <w:szCs w:val="2"/>
                <w:color w:val="auto"/>
              </w:rPr>
            </w:pPr>
          </w:p>
        </w:tc>
        <w:tc>
          <w:tcPr>
            <w:tcW w:w="660" w:type="dxa"/>
            <w:vAlign w:val="bottom"/>
            <w:tcBorders>
              <w:top w:val="single" w:sz="8" w:color="0000EE"/>
              <w:bottom w:val="single" w:sz="8" w:color="auto"/>
            </w:tcBorders>
          </w:tcPr>
          <w:p>
            <w:pPr>
              <w:spacing w:after="0"/>
              <w:rPr>
                <w:sz w:val="2"/>
                <w:szCs w:val="2"/>
                <w:color w:val="auto"/>
              </w:rPr>
            </w:pPr>
          </w:p>
        </w:tc>
        <w:tc>
          <w:tcPr>
            <w:tcW w:w="460" w:type="dxa"/>
            <w:vAlign w:val="bottom"/>
            <w:tcBorders>
              <w:top w:val="single" w:sz="8" w:color="0000EE"/>
              <w:bottom w:val="single" w:sz="8" w:color="auto"/>
            </w:tcBorders>
          </w:tcPr>
          <w:p>
            <w:pPr>
              <w:spacing w:after="0"/>
              <w:rPr>
                <w:sz w:val="2"/>
                <w:szCs w:val="2"/>
                <w:color w:val="auto"/>
              </w:rPr>
            </w:pPr>
          </w:p>
        </w:tc>
        <w:tc>
          <w:tcPr>
            <w:tcW w:w="380" w:type="dxa"/>
            <w:vAlign w:val="bottom"/>
            <w:tcBorders>
              <w:top w:val="single" w:sz="8" w:color="0000EE"/>
              <w:bottom w:val="single" w:sz="8" w:color="auto"/>
            </w:tcBorders>
          </w:tcPr>
          <w:p>
            <w:pPr>
              <w:spacing w:after="0"/>
              <w:rPr>
                <w:sz w:val="2"/>
                <w:szCs w:val="2"/>
                <w:color w:val="auto"/>
              </w:rPr>
            </w:pPr>
          </w:p>
        </w:tc>
        <w:tc>
          <w:tcPr>
            <w:tcW w:w="500" w:type="dxa"/>
            <w:vAlign w:val="bottom"/>
            <w:tcBorders>
              <w:top w:val="single" w:sz="8" w:color="0000EE"/>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48"/>
        </w:trPr>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80" w:type="dxa"/>
            <w:vAlign w:val="bottom"/>
            <w:tcBorders>
              <w:bottom w:val="single" w:sz="8" w:color="0000EE"/>
            </w:tcBorders>
            <w:gridSpan w:val="5"/>
          </w:tcPr>
          <w:p>
            <w:pPr>
              <w:spacing w:after="0" w:line="149" w:lineRule="exact"/>
              <w:rPr>
                <w:sz w:val="20"/>
                <w:szCs w:val="20"/>
                <w:color w:val="auto"/>
              </w:rPr>
            </w:pPr>
            <w:r>
              <w:rPr>
                <w:rFonts w:ascii="Arial" w:cs="Arial" w:eastAsia="Arial" w:hAnsi="Arial"/>
                <w:sz w:val="14"/>
                <w:szCs w:val="14"/>
                <w:color w:val="0000EE"/>
              </w:rPr>
              <w:t>Highlights of 2023 Company Performance</w:t>
            </w:r>
          </w:p>
        </w:tc>
        <w:tc>
          <w:tcPr>
            <w:tcW w:w="1020" w:type="dxa"/>
            <w:vAlign w:val="bottom"/>
          </w:tcPr>
          <w:p>
            <w:pPr>
              <w:spacing w:after="0"/>
              <w:rPr>
                <w:sz w:val="12"/>
                <w:szCs w:val="12"/>
                <w:color w:val="auto"/>
              </w:rPr>
            </w:pPr>
          </w:p>
        </w:tc>
        <w:tc>
          <w:tcPr>
            <w:tcW w:w="1240" w:type="dxa"/>
            <w:vAlign w:val="bottom"/>
          </w:tcPr>
          <w:p>
            <w:pPr>
              <w:jc w:val="right"/>
              <w:ind w:right="23"/>
              <w:spacing w:after="0"/>
              <w:rPr>
                <w:sz w:val="20"/>
                <w:szCs w:val="20"/>
                <w:color w:val="auto"/>
              </w:rPr>
            </w:pPr>
            <w:r>
              <w:rPr>
                <w:rFonts w:ascii="Arial" w:cs="Arial" w:eastAsia="Arial" w:hAnsi="Arial"/>
                <w:sz w:val="13"/>
                <w:szCs w:val="13"/>
                <w:color w:val="auto"/>
              </w:rPr>
              <w:t>1</w:t>
            </w:r>
          </w:p>
        </w:tc>
      </w:tr>
      <w:tr>
        <w:trPr>
          <w:trHeight w:val="169"/>
        </w:trPr>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Borders>
              <w:bottom w:val="single" w:sz="8" w:color="0000EE"/>
            </w:tcBorders>
            <w:gridSpan w:val="2"/>
          </w:tcPr>
          <w:p>
            <w:pPr>
              <w:spacing w:after="0"/>
              <w:rPr>
                <w:sz w:val="20"/>
                <w:szCs w:val="20"/>
                <w:color w:val="auto"/>
              </w:rPr>
            </w:pPr>
            <w:r>
              <w:rPr>
                <w:rFonts w:ascii="Arial" w:cs="Arial" w:eastAsia="Arial" w:hAnsi="Arial"/>
                <w:sz w:val="14"/>
                <w:szCs w:val="14"/>
                <w:color w:val="0000EE"/>
              </w:rPr>
              <w:t>Corporate Values</w:t>
            </w:r>
          </w:p>
        </w:tc>
        <w:tc>
          <w:tcPr>
            <w:tcW w:w="2580" w:type="dxa"/>
            <w:vAlign w:val="bottom"/>
            <w:gridSpan w:val="4"/>
          </w:tcPr>
          <w:p>
            <w:pPr>
              <w:spacing w:after="0"/>
              <w:rPr>
                <w:sz w:val="14"/>
                <w:szCs w:val="14"/>
                <w:color w:val="auto"/>
              </w:rPr>
            </w:pPr>
          </w:p>
        </w:tc>
        <w:tc>
          <w:tcPr>
            <w:tcW w:w="1240" w:type="dxa"/>
            <w:vAlign w:val="bottom"/>
          </w:tcPr>
          <w:p>
            <w:pPr>
              <w:jc w:val="right"/>
              <w:ind w:right="23"/>
              <w:spacing w:after="0"/>
              <w:rPr>
                <w:sz w:val="20"/>
                <w:szCs w:val="20"/>
                <w:color w:val="auto"/>
              </w:rPr>
            </w:pPr>
            <w:r>
              <w:rPr>
                <w:rFonts w:ascii="Arial" w:cs="Arial" w:eastAsia="Arial" w:hAnsi="Arial"/>
                <w:sz w:val="14"/>
                <w:szCs w:val="14"/>
                <w:color w:val="auto"/>
              </w:rPr>
              <w:t>2</w:t>
            </w:r>
          </w:p>
        </w:tc>
      </w:tr>
      <w:tr>
        <w:trPr>
          <w:trHeight w:val="169"/>
        </w:trPr>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700" w:type="dxa"/>
            <w:vAlign w:val="bottom"/>
            <w:gridSpan w:val="6"/>
          </w:tcPr>
          <w:p>
            <w:pPr>
              <w:spacing w:after="0"/>
              <w:rPr>
                <w:sz w:val="20"/>
                <w:szCs w:val="20"/>
                <w:color w:val="auto"/>
              </w:rPr>
            </w:pPr>
            <w:r>
              <w:rPr>
                <w:rFonts w:ascii="Arial" w:cs="Arial" w:eastAsia="Arial" w:hAnsi="Arial"/>
                <w:sz w:val="14"/>
                <w:szCs w:val="14"/>
                <w:color w:val="0000EE"/>
              </w:rPr>
              <w:t>Our Board</w:t>
            </w:r>
          </w:p>
        </w:tc>
        <w:tc>
          <w:tcPr>
            <w:tcW w:w="1240" w:type="dxa"/>
            <w:vAlign w:val="bottom"/>
          </w:tcPr>
          <w:p>
            <w:pPr>
              <w:jc w:val="right"/>
              <w:ind w:right="23"/>
              <w:spacing w:after="0"/>
              <w:rPr>
                <w:sz w:val="20"/>
                <w:szCs w:val="20"/>
                <w:color w:val="auto"/>
              </w:rPr>
            </w:pPr>
            <w:r>
              <w:rPr>
                <w:rFonts w:ascii="Arial" w:cs="Arial" w:eastAsia="Arial" w:hAnsi="Arial"/>
                <w:sz w:val="14"/>
                <w:szCs w:val="14"/>
                <w:color w:val="auto"/>
              </w:rPr>
              <w:t>2</w:t>
            </w:r>
          </w:p>
        </w:tc>
      </w:tr>
      <w:tr>
        <w:trPr>
          <w:trHeight w:val="20"/>
        </w:trPr>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200" w:type="dxa"/>
            <w:vAlign w:val="bottom"/>
            <w:gridSpan w:val="3"/>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69"/>
        </w:trPr>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tcBorders>
              <w:bottom w:val="single" w:sz="8" w:color="0000EE"/>
            </w:tcBorders>
            <w:gridSpan w:val="3"/>
          </w:tcPr>
          <w:p>
            <w:pPr>
              <w:spacing w:after="0"/>
              <w:rPr>
                <w:sz w:val="20"/>
                <w:szCs w:val="20"/>
                <w:color w:val="auto"/>
              </w:rPr>
            </w:pPr>
            <w:r>
              <w:rPr>
                <w:rFonts w:ascii="Arial" w:cs="Arial" w:eastAsia="Arial" w:hAnsi="Arial"/>
                <w:sz w:val="14"/>
                <w:szCs w:val="14"/>
                <w:color w:val="0000EE"/>
              </w:rPr>
              <w:t>Sustainability Snapshot</w:t>
            </w:r>
          </w:p>
        </w:tc>
        <w:tc>
          <w:tcPr>
            <w:tcW w:w="2200" w:type="dxa"/>
            <w:vAlign w:val="bottom"/>
            <w:gridSpan w:val="3"/>
          </w:tcPr>
          <w:p>
            <w:pPr>
              <w:spacing w:after="0"/>
              <w:rPr>
                <w:sz w:val="14"/>
                <w:szCs w:val="14"/>
                <w:color w:val="auto"/>
              </w:rPr>
            </w:pPr>
          </w:p>
        </w:tc>
        <w:tc>
          <w:tcPr>
            <w:tcW w:w="1240" w:type="dxa"/>
            <w:vAlign w:val="bottom"/>
          </w:tcPr>
          <w:p>
            <w:pPr>
              <w:jc w:val="right"/>
              <w:ind w:right="23"/>
              <w:spacing w:after="0"/>
              <w:rPr>
                <w:sz w:val="20"/>
                <w:szCs w:val="20"/>
                <w:color w:val="auto"/>
              </w:rPr>
            </w:pPr>
            <w:r>
              <w:rPr>
                <w:rFonts w:ascii="Arial" w:cs="Arial" w:eastAsia="Arial" w:hAnsi="Arial"/>
                <w:sz w:val="14"/>
                <w:szCs w:val="14"/>
                <w:color w:val="auto"/>
              </w:rPr>
              <w:t>3</w:t>
            </w:r>
          </w:p>
        </w:tc>
      </w:tr>
    </w:tbl>
    <w:p>
      <w:pPr>
        <w:spacing w:after="0" w:line="85" w:lineRule="exact"/>
        <w:rPr>
          <w:sz w:val="20"/>
          <w:szCs w:val="20"/>
          <w:color w:val="auto"/>
        </w:rPr>
      </w:pPr>
    </w:p>
    <w:tbl>
      <w:tblPr>
        <w:tblLayout w:type="fixed"/>
        <w:tblInd w:w="120" w:type="dxa"/>
        <w:tblCellMar>
          <w:top w:w="0" w:type="dxa"/>
          <w:left w:w="0" w:type="dxa"/>
          <w:bottom w:w="0" w:type="dxa"/>
          <w:right w:w="0" w:type="dxa"/>
        </w:tblCellMar>
      </w:tblPr>
      <w:tr>
        <w:trPr>
          <w:trHeight w:val="253"/>
        </w:trPr>
        <w:tc>
          <w:tcPr>
            <w:tcW w:w="100" w:type="dxa"/>
            <w:vAlign w:val="bottom"/>
          </w:tcPr>
          <w:p>
            <w:pPr>
              <w:spacing w:after="0"/>
              <w:rPr>
                <w:sz w:val="21"/>
                <w:szCs w:val="21"/>
                <w:color w:val="auto"/>
              </w:rPr>
            </w:pPr>
          </w:p>
        </w:tc>
        <w:tc>
          <w:tcPr>
            <w:tcW w:w="4540" w:type="dxa"/>
            <w:vAlign w:val="bottom"/>
            <w:gridSpan w:val="15"/>
          </w:tcPr>
          <w:p>
            <w:pPr>
              <w:spacing w:after="0"/>
              <w:rPr>
                <w:sz w:val="20"/>
                <w:szCs w:val="20"/>
                <w:color w:val="auto"/>
              </w:rPr>
            </w:pPr>
            <w:r>
              <w:rPr>
                <w:rFonts w:ascii="Arial" w:cs="Arial" w:eastAsia="Arial" w:hAnsi="Arial"/>
                <w:sz w:val="22"/>
                <w:szCs w:val="22"/>
                <w:b w:val="1"/>
                <w:bCs w:val="1"/>
                <w:color w:val="0000EE"/>
              </w:rPr>
              <w:t>G</w:t>
            </w:r>
            <w:r>
              <w:rPr>
                <w:rFonts w:ascii="Arial" w:cs="Arial" w:eastAsia="Arial" w:hAnsi="Arial"/>
                <w:sz w:val="17"/>
                <w:szCs w:val="17"/>
                <w:b w:val="1"/>
                <w:bCs w:val="1"/>
                <w:color w:val="0000EE"/>
              </w:rPr>
              <w:t>OVERNING THE</w:t>
            </w:r>
            <w:r>
              <w:rPr>
                <w:rFonts w:ascii="Arial" w:cs="Arial" w:eastAsia="Arial" w:hAnsi="Arial"/>
                <w:sz w:val="22"/>
                <w:szCs w:val="22"/>
                <w:b w:val="1"/>
                <w:bCs w:val="1"/>
                <w:color w:val="0000EE"/>
              </w:rPr>
              <w:t xml:space="preserve"> C</w:t>
            </w:r>
            <w:r>
              <w:rPr>
                <w:rFonts w:ascii="Arial" w:cs="Arial" w:eastAsia="Arial" w:hAnsi="Arial"/>
                <w:sz w:val="17"/>
                <w:szCs w:val="17"/>
                <w:b w:val="1"/>
                <w:bCs w:val="1"/>
                <w:color w:val="0000EE"/>
              </w:rPr>
              <w:t>OMPANY</w:t>
            </w:r>
          </w:p>
        </w:tc>
        <w:tc>
          <w:tcPr>
            <w:tcW w:w="640" w:type="dxa"/>
            <w:vAlign w:val="bottom"/>
          </w:tcPr>
          <w:p>
            <w:pPr>
              <w:jc w:val="right"/>
              <w:ind w:right="25"/>
              <w:spacing w:after="0"/>
              <w:rPr>
                <w:sz w:val="20"/>
                <w:szCs w:val="20"/>
                <w:color w:val="auto"/>
              </w:rPr>
            </w:pPr>
            <w:r>
              <w:rPr>
                <w:rFonts w:ascii="Arial" w:cs="Arial" w:eastAsia="Arial" w:hAnsi="Arial"/>
                <w:sz w:val="22"/>
                <w:szCs w:val="22"/>
                <w:b w:val="1"/>
                <w:bCs w:val="1"/>
                <w:color w:val="FF160F"/>
              </w:rPr>
              <w:t>4</w:t>
            </w:r>
          </w:p>
        </w:tc>
      </w:tr>
      <w:tr>
        <w:trPr>
          <w:trHeight w:val="28"/>
        </w:trPr>
        <w:tc>
          <w:tcPr>
            <w:tcW w:w="100" w:type="dxa"/>
            <w:vAlign w:val="bottom"/>
            <w:tcBorders>
              <w:bottom w:val="single" w:sz="8" w:color="auto"/>
            </w:tcBorders>
          </w:tcPr>
          <w:p>
            <w:pPr>
              <w:spacing w:after="0"/>
              <w:rPr>
                <w:sz w:val="2"/>
                <w:szCs w:val="2"/>
                <w:color w:val="auto"/>
              </w:rPr>
            </w:pPr>
          </w:p>
        </w:tc>
        <w:tc>
          <w:tcPr>
            <w:tcW w:w="240" w:type="dxa"/>
            <w:vAlign w:val="bottom"/>
            <w:tcBorders>
              <w:top w:val="single" w:sz="8" w:color="0000EE"/>
              <w:bottom w:val="single" w:sz="8" w:color="auto"/>
            </w:tcBorders>
          </w:tcPr>
          <w:p>
            <w:pPr>
              <w:spacing w:after="0"/>
              <w:rPr>
                <w:sz w:val="2"/>
                <w:szCs w:val="2"/>
                <w:color w:val="auto"/>
              </w:rPr>
            </w:pPr>
          </w:p>
        </w:tc>
        <w:tc>
          <w:tcPr>
            <w:tcW w:w="114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120" w:type="dxa"/>
            <w:vAlign w:val="bottom"/>
            <w:tcBorders>
              <w:top w:val="single" w:sz="8" w:color="0000EE"/>
              <w:bottom w:val="single" w:sz="8" w:color="auto"/>
            </w:tcBorders>
          </w:tcPr>
          <w:p>
            <w:pPr>
              <w:spacing w:after="0"/>
              <w:rPr>
                <w:sz w:val="2"/>
                <w:szCs w:val="2"/>
                <w:color w:val="auto"/>
              </w:rPr>
            </w:pPr>
          </w:p>
        </w:tc>
        <w:tc>
          <w:tcPr>
            <w:tcW w:w="180" w:type="dxa"/>
            <w:vAlign w:val="bottom"/>
            <w:tcBorders>
              <w:top w:val="single" w:sz="8" w:color="0000EE"/>
              <w:bottom w:val="single" w:sz="8" w:color="auto"/>
            </w:tcBorders>
          </w:tcPr>
          <w:p>
            <w:pPr>
              <w:spacing w:after="0"/>
              <w:rPr>
                <w:sz w:val="2"/>
                <w:szCs w:val="2"/>
                <w:color w:val="auto"/>
              </w:rPr>
            </w:pPr>
          </w:p>
        </w:tc>
        <w:tc>
          <w:tcPr>
            <w:tcW w:w="22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60" w:type="dxa"/>
            <w:vAlign w:val="bottom"/>
            <w:tcBorders>
              <w:top w:val="single" w:sz="8" w:color="0000EE"/>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148"/>
        </w:trPr>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60" w:type="dxa"/>
            <w:vAlign w:val="bottom"/>
            <w:tcBorders>
              <w:bottom w:val="single" w:sz="8" w:color="0000EE"/>
            </w:tcBorders>
            <w:gridSpan w:val="5"/>
          </w:tcPr>
          <w:p>
            <w:pPr>
              <w:spacing w:after="0" w:line="149" w:lineRule="exact"/>
              <w:rPr>
                <w:sz w:val="20"/>
                <w:szCs w:val="20"/>
                <w:color w:val="auto"/>
              </w:rPr>
            </w:pPr>
            <w:r>
              <w:rPr>
                <w:rFonts w:ascii="Arial" w:cs="Arial" w:eastAsia="Arial" w:hAnsi="Arial"/>
                <w:sz w:val="14"/>
                <w:szCs w:val="14"/>
                <w:color w:val="0000EE"/>
              </w:rPr>
              <w:t>Governance Documents</w:t>
            </w:r>
          </w:p>
        </w:tc>
        <w:tc>
          <w:tcPr>
            <w:tcW w:w="2740" w:type="dxa"/>
            <w:vAlign w:val="bottom"/>
            <w:gridSpan w:val="9"/>
          </w:tcPr>
          <w:p>
            <w:pPr>
              <w:spacing w:after="0"/>
              <w:rPr>
                <w:sz w:val="12"/>
                <w:szCs w:val="12"/>
                <w:color w:val="auto"/>
              </w:rPr>
            </w:pPr>
          </w:p>
        </w:tc>
        <w:tc>
          <w:tcPr>
            <w:tcW w:w="640" w:type="dxa"/>
            <w:vAlign w:val="bottom"/>
          </w:tcPr>
          <w:p>
            <w:pPr>
              <w:jc w:val="right"/>
              <w:ind w:right="25"/>
              <w:spacing w:after="0" w:line="149" w:lineRule="exact"/>
              <w:rPr>
                <w:sz w:val="20"/>
                <w:szCs w:val="20"/>
                <w:color w:val="auto"/>
              </w:rPr>
            </w:pPr>
            <w:r>
              <w:rPr>
                <w:rFonts w:ascii="Arial" w:cs="Arial" w:eastAsia="Arial" w:hAnsi="Arial"/>
                <w:sz w:val="14"/>
                <w:szCs w:val="14"/>
                <w:color w:val="auto"/>
              </w:rPr>
              <w:t>4</w:t>
            </w:r>
          </w:p>
        </w:tc>
      </w:tr>
      <w:tr>
        <w:trPr>
          <w:trHeight w:val="169"/>
        </w:trPr>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80" w:type="dxa"/>
            <w:vAlign w:val="bottom"/>
            <w:tcBorders>
              <w:bottom w:val="single" w:sz="8" w:color="0000EE"/>
            </w:tcBorders>
            <w:gridSpan w:val="11"/>
          </w:tcPr>
          <w:p>
            <w:pPr>
              <w:spacing w:after="0"/>
              <w:rPr>
                <w:sz w:val="20"/>
                <w:szCs w:val="20"/>
                <w:color w:val="auto"/>
              </w:rPr>
            </w:pPr>
            <w:r>
              <w:rPr>
                <w:rFonts w:ascii="Arial" w:cs="Arial" w:eastAsia="Arial" w:hAnsi="Arial"/>
                <w:sz w:val="14"/>
                <w:szCs w:val="14"/>
                <w:color w:val="0000EE"/>
              </w:rPr>
              <w:t>Governance Policies and Procedures</w:t>
            </w:r>
          </w:p>
        </w:tc>
        <w:tc>
          <w:tcPr>
            <w:tcW w:w="1920" w:type="dxa"/>
            <w:vAlign w:val="bottom"/>
            <w:gridSpan w:val="3"/>
          </w:tcPr>
          <w:p>
            <w:pPr>
              <w:spacing w:after="0"/>
              <w:rPr>
                <w:sz w:val="14"/>
                <w:szCs w:val="14"/>
                <w:color w:val="auto"/>
              </w:rPr>
            </w:pPr>
          </w:p>
        </w:tc>
        <w:tc>
          <w:tcPr>
            <w:tcW w:w="640" w:type="dxa"/>
            <w:vAlign w:val="bottom"/>
          </w:tcPr>
          <w:p>
            <w:pPr>
              <w:jc w:val="right"/>
              <w:ind w:right="25"/>
              <w:spacing w:after="0"/>
              <w:rPr>
                <w:sz w:val="20"/>
                <w:szCs w:val="20"/>
                <w:color w:val="auto"/>
              </w:rPr>
            </w:pPr>
            <w:r>
              <w:rPr>
                <w:rFonts w:ascii="Arial" w:cs="Arial" w:eastAsia="Arial" w:hAnsi="Arial"/>
                <w:sz w:val="14"/>
                <w:szCs w:val="14"/>
                <w:color w:val="auto"/>
              </w:rPr>
              <w:t>5</w:t>
            </w:r>
          </w:p>
        </w:tc>
      </w:tr>
      <w:tr>
        <w:trPr>
          <w:trHeight w:val="169"/>
        </w:trPr>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Borders>
              <w:bottom w:val="single" w:sz="8" w:color="0000EE"/>
            </w:tcBorders>
          </w:tcPr>
          <w:p>
            <w:pPr>
              <w:spacing w:after="0"/>
              <w:rPr>
                <w:sz w:val="20"/>
                <w:szCs w:val="20"/>
                <w:color w:val="auto"/>
              </w:rPr>
            </w:pPr>
            <w:r>
              <w:rPr>
                <w:rFonts w:ascii="Arial" w:cs="Arial" w:eastAsia="Arial" w:hAnsi="Arial"/>
                <w:sz w:val="14"/>
                <w:szCs w:val="14"/>
                <w:color w:val="0000EE"/>
              </w:rPr>
              <w:t>Board Leadership</w:t>
            </w:r>
          </w:p>
        </w:tc>
        <w:tc>
          <w:tcPr>
            <w:tcW w:w="3160" w:type="dxa"/>
            <w:vAlign w:val="bottom"/>
            <w:gridSpan w:val="13"/>
          </w:tcPr>
          <w:p>
            <w:pPr>
              <w:spacing w:after="0"/>
              <w:rPr>
                <w:sz w:val="14"/>
                <w:szCs w:val="14"/>
                <w:color w:val="auto"/>
              </w:rPr>
            </w:pPr>
          </w:p>
        </w:tc>
        <w:tc>
          <w:tcPr>
            <w:tcW w:w="640" w:type="dxa"/>
            <w:vAlign w:val="bottom"/>
          </w:tcPr>
          <w:p>
            <w:pPr>
              <w:jc w:val="right"/>
              <w:ind w:right="25"/>
              <w:spacing w:after="0"/>
              <w:rPr>
                <w:sz w:val="20"/>
                <w:szCs w:val="20"/>
                <w:color w:val="auto"/>
              </w:rPr>
            </w:pPr>
            <w:r>
              <w:rPr>
                <w:rFonts w:ascii="Arial" w:cs="Arial" w:eastAsia="Arial" w:hAnsi="Arial"/>
                <w:sz w:val="14"/>
                <w:szCs w:val="14"/>
                <w:color w:val="auto"/>
              </w:rPr>
              <w:t>5</w:t>
            </w:r>
          </w:p>
        </w:tc>
      </w:tr>
      <w:tr>
        <w:trPr>
          <w:trHeight w:val="169"/>
        </w:trPr>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300" w:type="dxa"/>
            <w:vAlign w:val="bottom"/>
            <w:gridSpan w:val="14"/>
          </w:tcPr>
          <w:p>
            <w:pPr>
              <w:spacing w:after="0"/>
              <w:rPr>
                <w:sz w:val="20"/>
                <w:szCs w:val="20"/>
                <w:color w:val="auto"/>
              </w:rPr>
            </w:pPr>
            <w:r>
              <w:rPr>
                <w:rFonts w:ascii="Arial" w:cs="Arial" w:eastAsia="Arial" w:hAnsi="Arial"/>
                <w:sz w:val="14"/>
                <w:szCs w:val="14"/>
                <w:color w:val="0000EE"/>
              </w:rPr>
              <w:t>Board and Committee Meetings</w:t>
            </w:r>
          </w:p>
        </w:tc>
        <w:tc>
          <w:tcPr>
            <w:tcW w:w="640" w:type="dxa"/>
            <w:vAlign w:val="bottom"/>
          </w:tcPr>
          <w:p>
            <w:pPr>
              <w:jc w:val="right"/>
              <w:ind w:right="25"/>
              <w:spacing w:after="0"/>
              <w:rPr>
                <w:sz w:val="20"/>
                <w:szCs w:val="20"/>
                <w:color w:val="auto"/>
              </w:rPr>
            </w:pPr>
            <w:r>
              <w:rPr>
                <w:rFonts w:ascii="Arial" w:cs="Arial" w:eastAsia="Arial" w:hAnsi="Arial"/>
                <w:sz w:val="14"/>
                <w:szCs w:val="14"/>
                <w:color w:val="auto"/>
              </w:rPr>
              <w:t>5</w:t>
            </w:r>
          </w:p>
        </w:tc>
      </w:tr>
      <w:tr>
        <w:trPr>
          <w:trHeight w:val="169"/>
        </w:trPr>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Borders>
              <w:top w:val="single" w:sz="8" w:color="0000EE"/>
              <w:bottom w:val="single" w:sz="8" w:color="0000EE"/>
            </w:tcBorders>
            <w:gridSpan w:val="2"/>
          </w:tcPr>
          <w:p>
            <w:pPr>
              <w:spacing w:after="0"/>
              <w:rPr>
                <w:sz w:val="20"/>
                <w:szCs w:val="20"/>
                <w:color w:val="auto"/>
              </w:rPr>
            </w:pPr>
            <w:r>
              <w:rPr>
                <w:rFonts w:ascii="Arial" w:cs="Arial" w:eastAsia="Arial" w:hAnsi="Arial"/>
                <w:sz w:val="14"/>
                <w:szCs w:val="14"/>
                <w:color w:val="0000EE"/>
              </w:rPr>
              <w:t>Board Committees</w:t>
            </w:r>
          </w:p>
        </w:tc>
        <w:tc>
          <w:tcPr>
            <w:tcW w:w="820" w:type="dxa"/>
            <w:vAlign w:val="bottom"/>
            <w:tcBorders>
              <w:top w:val="single" w:sz="8" w:color="0000EE"/>
            </w:tcBorders>
            <w:gridSpan w:val="6"/>
          </w:tcPr>
          <w:p>
            <w:pPr>
              <w:spacing w:after="0"/>
              <w:rPr>
                <w:sz w:val="14"/>
                <w:szCs w:val="14"/>
                <w:color w:val="auto"/>
              </w:rPr>
            </w:pPr>
          </w:p>
        </w:tc>
        <w:tc>
          <w:tcPr>
            <w:tcW w:w="2280" w:type="dxa"/>
            <w:vAlign w:val="bottom"/>
            <w:gridSpan w:val="6"/>
          </w:tcPr>
          <w:p>
            <w:pPr>
              <w:spacing w:after="0"/>
              <w:rPr>
                <w:sz w:val="14"/>
                <w:szCs w:val="14"/>
                <w:color w:val="auto"/>
              </w:rPr>
            </w:pPr>
          </w:p>
        </w:tc>
        <w:tc>
          <w:tcPr>
            <w:tcW w:w="640" w:type="dxa"/>
            <w:vAlign w:val="bottom"/>
          </w:tcPr>
          <w:p>
            <w:pPr>
              <w:jc w:val="right"/>
              <w:ind w:right="25"/>
              <w:spacing w:after="0"/>
              <w:rPr>
                <w:sz w:val="20"/>
                <w:szCs w:val="20"/>
                <w:color w:val="auto"/>
              </w:rPr>
            </w:pPr>
            <w:r>
              <w:rPr>
                <w:rFonts w:ascii="Arial" w:cs="Arial" w:eastAsia="Arial" w:hAnsi="Arial"/>
                <w:sz w:val="14"/>
                <w:szCs w:val="14"/>
                <w:color w:val="auto"/>
              </w:rPr>
              <w:t>5</w:t>
            </w:r>
          </w:p>
        </w:tc>
      </w:tr>
      <w:tr>
        <w:trPr>
          <w:trHeight w:val="169"/>
        </w:trPr>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60" w:type="dxa"/>
            <w:vAlign w:val="bottom"/>
            <w:tcBorders>
              <w:bottom w:val="single" w:sz="8" w:color="0000EE"/>
            </w:tcBorders>
            <w:gridSpan w:val="7"/>
          </w:tcPr>
          <w:p>
            <w:pPr>
              <w:spacing w:after="0"/>
              <w:rPr>
                <w:sz w:val="20"/>
                <w:szCs w:val="20"/>
                <w:color w:val="auto"/>
              </w:rPr>
            </w:pPr>
            <w:r>
              <w:rPr>
                <w:rFonts w:ascii="Arial" w:cs="Arial" w:eastAsia="Arial" w:hAnsi="Arial"/>
                <w:sz w:val="14"/>
                <w:szCs w:val="14"/>
                <w:color w:val="0000EE"/>
              </w:rPr>
              <w:t>Board’s Role in Risk Oversight</w:t>
            </w:r>
          </w:p>
        </w:tc>
        <w:tc>
          <w:tcPr>
            <w:tcW w:w="2340" w:type="dxa"/>
            <w:vAlign w:val="bottom"/>
            <w:gridSpan w:val="7"/>
          </w:tcPr>
          <w:p>
            <w:pPr>
              <w:spacing w:after="0"/>
              <w:rPr>
                <w:sz w:val="14"/>
                <w:szCs w:val="14"/>
                <w:color w:val="auto"/>
              </w:rPr>
            </w:pPr>
          </w:p>
        </w:tc>
        <w:tc>
          <w:tcPr>
            <w:tcW w:w="640" w:type="dxa"/>
            <w:vAlign w:val="bottom"/>
          </w:tcPr>
          <w:p>
            <w:pPr>
              <w:jc w:val="right"/>
              <w:ind w:right="25"/>
              <w:spacing w:after="0"/>
              <w:rPr>
                <w:sz w:val="20"/>
                <w:szCs w:val="20"/>
                <w:color w:val="auto"/>
              </w:rPr>
            </w:pPr>
            <w:r>
              <w:rPr>
                <w:rFonts w:ascii="Arial" w:cs="Arial" w:eastAsia="Arial" w:hAnsi="Arial"/>
                <w:sz w:val="14"/>
                <w:szCs w:val="14"/>
                <w:color w:val="auto"/>
              </w:rPr>
              <w:t>7</w:t>
            </w:r>
          </w:p>
        </w:tc>
      </w:tr>
      <w:tr>
        <w:trPr>
          <w:trHeight w:val="169"/>
        </w:trPr>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80" w:type="dxa"/>
            <w:vAlign w:val="bottom"/>
            <w:tcBorders>
              <w:bottom w:val="single" w:sz="8" w:color="0000EE"/>
            </w:tcBorders>
            <w:gridSpan w:val="12"/>
          </w:tcPr>
          <w:p>
            <w:pPr>
              <w:spacing w:after="0"/>
              <w:rPr>
                <w:sz w:val="20"/>
                <w:szCs w:val="20"/>
                <w:color w:val="auto"/>
              </w:rPr>
            </w:pPr>
            <w:r>
              <w:rPr>
                <w:rFonts w:ascii="Arial" w:cs="Arial" w:eastAsia="Arial" w:hAnsi="Arial"/>
                <w:sz w:val="14"/>
                <w:szCs w:val="14"/>
                <w:color w:val="0000EE"/>
              </w:rPr>
              <w:t>Board and Committee Evaluation Process</w:t>
            </w:r>
          </w:p>
        </w:tc>
        <w:tc>
          <w:tcPr>
            <w:tcW w:w="1620" w:type="dxa"/>
            <w:vAlign w:val="bottom"/>
            <w:gridSpan w:val="2"/>
          </w:tcPr>
          <w:p>
            <w:pPr>
              <w:spacing w:after="0"/>
              <w:rPr>
                <w:sz w:val="14"/>
                <w:szCs w:val="14"/>
                <w:color w:val="auto"/>
              </w:rPr>
            </w:pPr>
          </w:p>
        </w:tc>
        <w:tc>
          <w:tcPr>
            <w:tcW w:w="640" w:type="dxa"/>
            <w:vAlign w:val="bottom"/>
          </w:tcPr>
          <w:p>
            <w:pPr>
              <w:jc w:val="right"/>
              <w:ind w:right="25"/>
              <w:spacing w:after="0"/>
              <w:rPr>
                <w:sz w:val="20"/>
                <w:szCs w:val="20"/>
                <w:color w:val="auto"/>
              </w:rPr>
            </w:pPr>
            <w:r>
              <w:rPr>
                <w:rFonts w:ascii="Arial" w:cs="Arial" w:eastAsia="Arial" w:hAnsi="Arial"/>
                <w:sz w:val="14"/>
                <w:szCs w:val="14"/>
                <w:color w:val="auto"/>
              </w:rPr>
              <w:t>8</w:t>
            </w:r>
          </w:p>
        </w:tc>
      </w:tr>
      <w:tr>
        <w:trPr>
          <w:trHeight w:val="169"/>
        </w:trPr>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Borders>
              <w:bottom w:val="single" w:sz="8" w:color="0000EE"/>
            </w:tcBorders>
            <w:gridSpan w:val="3"/>
          </w:tcPr>
          <w:p>
            <w:pPr>
              <w:spacing w:after="0"/>
              <w:rPr>
                <w:sz w:val="20"/>
                <w:szCs w:val="20"/>
                <w:color w:val="auto"/>
              </w:rPr>
            </w:pPr>
            <w:r>
              <w:rPr>
                <w:rFonts w:ascii="Arial" w:cs="Arial" w:eastAsia="Arial" w:hAnsi="Arial"/>
                <w:sz w:val="14"/>
                <w:szCs w:val="14"/>
                <w:color w:val="0000EE"/>
              </w:rPr>
              <w:t>Succession Planning</w:t>
            </w:r>
          </w:p>
        </w:tc>
        <w:tc>
          <w:tcPr>
            <w:tcW w:w="2960" w:type="dxa"/>
            <w:vAlign w:val="bottom"/>
            <w:gridSpan w:val="11"/>
          </w:tcPr>
          <w:p>
            <w:pPr>
              <w:spacing w:after="0"/>
              <w:rPr>
                <w:sz w:val="14"/>
                <w:szCs w:val="14"/>
                <w:color w:val="auto"/>
              </w:rPr>
            </w:pPr>
          </w:p>
        </w:tc>
        <w:tc>
          <w:tcPr>
            <w:tcW w:w="640" w:type="dxa"/>
            <w:vAlign w:val="bottom"/>
          </w:tcPr>
          <w:p>
            <w:pPr>
              <w:jc w:val="right"/>
              <w:ind w:right="25"/>
              <w:spacing w:after="0"/>
              <w:rPr>
                <w:sz w:val="20"/>
                <w:szCs w:val="20"/>
                <w:color w:val="auto"/>
              </w:rPr>
            </w:pPr>
            <w:r>
              <w:rPr>
                <w:rFonts w:ascii="Arial" w:cs="Arial" w:eastAsia="Arial" w:hAnsi="Arial"/>
                <w:sz w:val="14"/>
                <w:szCs w:val="14"/>
                <w:color w:val="auto"/>
              </w:rPr>
              <w:t>9</w:t>
            </w:r>
          </w:p>
        </w:tc>
      </w:tr>
      <w:tr>
        <w:trPr>
          <w:trHeight w:val="169"/>
        </w:trPr>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40" w:type="dxa"/>
            <w:vAlign w:val="bottom"/>
            <w:tcBorders>
              <w:bottom w:val="single" w:sz="8" w:color="0000EE"/>
            </w:tcBorders>
            <w:gridSpan w:val="9"/>
          </w:tcPr>
          <w:p>
            <w:pPr>
              <w:spacing w:after="0"/>
              <w:rPr>
                <w:sz w:val="20"/>
                <w:szCs w:val="20"/>
                <w:color w:val="auto"/>
              </w:rPr>
            </w:pPr>
            <w:r>
              <w:rPr>
                <w:rFonts w:ascii="Arial" w:cs="Arial" w:eastAsia="Arial" w:hAnsi="Arial"/>
                <w:sz w:val="14"/>
                <w:szCs w:val="14"/>
                <w:color w:val="0000EE"/>
              </w:rPr>
              <w:t>Communications with the Board</w:t>
            </w:r>
          </w:p>
        </w:tc>
        <w:tc>
          <w:tcPr>
            <w:tcW w:w="2260" w:type="dxa"/>
            <w:vAlign w:val="bottom"/>
            <w:gridSpan w:val="5"/>
          </w:tcPr>
          <w:p>
            <w:pPr>
              <w:spacing w:after="0"/>
              <w:rPr>
                <w:sz w:val="14"/>
                <w:szCs w:val="14"/>
                <w:color w:val="auto"/>
              </w:rPr>
            </w:pPr>
          </w:p>
        </w:tc>
        <w:tc>
          <w:tcPr>
            <w:tcW w:w="640" w:type="dxa"/>
            <w:vAlign w:val="bottom"/>
          </w:tcPr>
          <w:p>
            <w:pPr>
              <w:jc w:val="right"/>
              <w:ind w:right="25"/>
              <w:spacing w:after="0"/>
              <w:rPr>
                <w:sz w:val="20"/>
                <w:szCs w:val="20"/>
                <w:color w:val="auto"/>
              </w:rPr>
            </w:pPr>
            <w:r>
              <w:rPr>
                <w:rFonts w:ascii="Arial" w:cs="Arial" w:eastAsia="Arial" w:hAnsi="Arial"/>
                <w:sz w:val="14"/>
                <w:szCs w:val="14"/>
                <w:color w:val="auto"/>
              </w:rPr>
              <w:t>9</w:t>
            </w:r>
          </w:p>
        </w:tc>
      </w:tr>
      <w:tr>
        <w:trPr>
          <w:trHeight w:val="169"/>
        </w:trPr>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300" w:type="dxa"/>
            <w:vAlign w:val="bottom"/>
            <w:gridSpan w:val="14"/>
          </w:tcPr>
          <w:p>
            <w:pPr>
              <w:spacing w:after="0"/>
              <w:rPr>
                <w:sz w:val="20"/>
                <w:szCs w:val="20"/>
                <w:color w:val="auto"/>
              </w:rPr>
            </w:pPr>
            <w:r>
              <w:rPr>
                <w:rFonts w:ascii="Arial" w:cs="Arial" w:eastAsia="Arial" w:hAnsi="Arial"/>
                <w:sz w:val="14"/>
                <w:szCs w:val="14"/>
                <w:color w:val="0000EE"/>
              </w:rPr>
              <w:t>Compensation Committee Interlocks and Insider Participation</w:t>
            </w:r>
          </w:p>
        </w:tc>
        <w:tc>
          <w:tcPr>
            <w:tcW w:w="640" w:type="dxa"/>
            <w:vAlign w:val="bottom"/>
          </w:tcPr>
          <w:p>
            <w:pPr>
              <w:jc w:val="right"/>
              <w:ind w:right="25"/>
              <w:spacing w:after="0"/>
              <w:rPr>
                <w:sz w:val="20"/>
                <w:szCs w:val="20"/>
                <w:color w:val="auto"/>
              </w:rPr>
            </w:pPr>
            <w:r>
              <w:rPr>
                <w:rFonts w:ascii="Arial" w:cs="Arial" w:eastAsia="Arial" w:hAnsi="Arial"/>
                <w:sz w:val="14"/>
                <w:szCs w:val="14"/>
                <w:color w:val="auto"/>
              </w:rPr>
              <w:t>9</w:t>
            </w:r>
          </w:p>
        </w:tc>
      </w:tr>
      <w:tr>
        <w:trPr>
          <w:trHeight w:val="169"/>
        </w:trPr>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40" w:type="dxa"/>
            <w:vAlign w:val="bottom"/>
            <w:tcBorders>
              <w:top w:val="single" w:sz="8" w:color="0000EE"/>
              <w:bottom w:val="single" w:sz="8" w:color="0000EE"/>
            </w:tcBorders>
            <w:gridSpan w:val="6"/>
          </w:tcPr>
          <w:p>
            <w:pPr>
              <w:spacing w:after="0"/>
              <w:rPr>
                <w:sz w:val="20"/>
                <w:szCs w:val="20"/>
                <w:color w:val="auto"/>
              </w:rPr>
            </w:pPr>
            <w:r>
              <w:rPr>
                <w:rFonts w:ascii="Arial" w:cs="Arial" w:eastAsia="Arial" w:hAnsi="Arial"/>
                <w:sz w:val="14"/>
                <w:szCs w:val="14"/>
                <w:color w:val="0000EE"/>
              </w:rPr>
              <w:t>Related Party Transactions</w:t>
            </w:r>
          </w:p>
        </w:tc>
        <w:tc>
          <w:tcPr>
            <w:tcW w:w="2160" w:type="dxa"/>
            <w:vAlign w:val="bottom"/>
            <w:tcBorders>
              <w:top w:val="single" w:sz="8" w:color="0000EE"/>
            </w:tcBorders>
            <w:gridSpan w:val="7"/>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jc w:val="right"/>
              <w:ind w:right="25"/>
              <w:spacing w:after="0"/>
              <w:rPr>
                <w:sz w:val="20"/>
                <w:szCs w:val="20"/>
                <w:color w:val="auto"/>
              </w:rPr>
            </w:pPr>
            <w:r>
              <w:rPr>
                <w:rFonts w:ascii="Arial" w:cs="Arial" w:eastAsia="Arial" w:hAnsi="Arial"/>
                <w:sz w:val="14"/>
                <w:szCs w:val="14"/>
                <w:color w:val="auto"/>
              </w:rPr>
              <w:t>10</w:t>
            </w:r>
          </w:p>
        </w:tc>
      </w:tr>
      <w:tr>
        <w:trPr>
          <w:trHeight w:val="169"/>
        </w:trPr>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tcBorders>
              <w:bottom w:val="single" w:sz="8" w:color="0000EE"/>
            </w:tcBorders>
            <w:gridSpan w:val="4"/>
          </w:tcPr>
          <w:p>
            <w:pPr>
              <w:spacing w:after="0"/>
              <w:rPr>
                <w:sz w:val="20"/>
                <w:szCs w:val="20"/>
                <w:color w:val="auto"/>
              </w:rPr>
            </w:pPr>
            <w:r>
              <w:rPr>
                <w:rFonts w:ascii="Arial" w:cs="Arial" w:eastAsia="Arial" w:hAnsi="Arial"/>
                <w:sz w:val="14"/>
                <w:szCs w:val="14"/>
                <w:color w:val="0000EE"/>
              </w:rPr>
              <w:t>Trustee Independence</w:t>
            </w:r>
          </w:p>
        </w:tc>
        <w:tc>
          <w:tcPr>
            <w:tcW w:w="2860" w:type="dxa"/>
            <w:vAlign w:val="bottom"/>
            <w:gridSpan w:val="10"/>
          </w:tcPr>
          <w:p>
            <w:pPr>
              <w:spacing w:after="0"/>
              <w:rPr>
                <w:sz w:val="14"/>
                <w:szCs w:val="14"/>
                <w:color w:val="auto"/>
              </w:rPr>
            </w:pPr>
          </w:p>
        </w:tc>
        <w:tc>
          <w:tcPr>
            <w:tcW w:w="640" w:type="dxa"/>
            <w:vAlign w:val="bottom"/>
          </w:tcPr>
          <w:p>
            <w:pPr>
              <w:jc w:val="right"/>
              <w:ind w:right="25"/>
              <w:spacing w:after="0"/>
              <w:rPr>
                <w:sz w:val="20"/>
                <w:szCs w:val="20"/>
                <w:color w:val="auto"/>
              </w:rPr>
            </w:pPr>
            <w:r>
              <w:rPr>
                <w:rFonts w:ascii="Arial" w:cs="Arial" w:eastAsia="Arial" w:hAnsi="Arial"/>
                <w:sz w:val="14"/>
                <w:szCs w:val="14"/>
                <w:color w:val="auto"/>
              </w:rPr>
              <w:t>10</w:t>
            </w:r>
          </w:p>
        </w:tc>
      </w:tr>
    </w:tbl>
    <w:p>
      <w:pPr>
        <w:spacing w:after="0" w:line="85" w:lineRule="exact"/>
        <w:rPr>
          <w:sz w:val="20"/>
          <w:szCs w:val="20"/>
          <w:color w:val="auto"/>
        </w:rPr>
      </w:pPr>
    </w:p>
    <w:tbl>
      <w:tblPr>
        <w:tblLayout w:type="fixed"/>
        <w:tblInd w:w="120" w:type="dxa"/>
        <w:tblCellMar>
          <w:top w:w="0" w:type="dxa"/>
          <w:left w:w="0" w:type="dxa"/>
          <w:bottom w:w="0" w:type="dxa"/>
          <w:right w:w="0" w:type="dxa"/>
        </w:tblCellMar>
      </w:tblPr>
      <w:tr>
        <w:trPr>
          <w:trHeight w:val="253"/>
        </w:trPr>
        <w:tc>
          <w:tcPr>
            <w:tcW w:w="100" w:type="dxa"/>
            <w:vAlign w:val="bottom"/>
          </w:tcPr>
          <w:p>
            <w:pPr>
              <w:spacing w:after="0"/>
              <w:rPr>
                <w:sz w:val="21"/>
                <w:szCs w:val="21"/>
                <w:color w:val="auto"/>
              </w:rPr>
            </w:pPr>
          </w:p>
        </w:tc>
        <w:tc>
          <w:tcPr>
            <w:tcW w:w="4700" w:type="dxa"/>
            <w:vAlign w:val="bottom"/>
            <w:gridSpan w:val="26"/>
          </w:tcPr>
          <w:p>
            <w:pPr>
              <w:spacing w:after="0"/>
              <w:rPr>
                <w:sz w:val="20"/>
                <w:szCs w:val="20"/>
                <w:color w:val="auto"/>
              </w:rPr>
            </w:pPr>
            <w:r>
              <w:rPr>
                <w:rFonts w:ascii="Arial" w:cs="Arial" w:eastAsia="Arial" w:hAnsi="Arial"/>
                <w:sz w:val="22"/>
                <w:szCs w:val="22"/>
                <w:b w:val="1"/>
                <w:bCs w:val="1"/>
                <w:color w:val="0000EE"/>
              </w:rPr>
              <w:t>P</w:t>
            </w:r>
            <w:r>
              <w:rPr>
                <w:rFonts w:ascii="Arial" w:cs="Arial" w:eastAsia="Arial" w:hAnsi="Arial"/>
                <w:sz w:val="17"/>
                <w:szCs w:val="17"/>
                <w:b w:val="1"/>
                <w:bCs w:val="1"/>
                <w:color w:val="0000EE"/>
              </w:rPr>
              <w:t>ROPOSAL</w:t>
            </w:r>
            <w:r>
              <w:rPr>
                <w:rFonts w:ascii="Arial" w:cs="Arial" w:eastAsia="Arial" w:hAnsi="Arial"/>
                <w:sz w:val="22"/>
                <w:szCs w:val="22"/>
                <w:b w:val="1"/>
                <w:bCs w:val="1"/>
                <w:color w:val="0000EE"/>
              </w:rPr>
              <w:t xml:space="preserve"> 1: E</w:t>
            </w:r>
            <w:r>
              <w:rPr>
                <w:rFonts w:ascii="Arial" w:cs="Arial" w:eastAsia="Arial" w:hAnsi="Arial"/>
                <w:sz w:val="17"/>
                <w:szCs w:val="17"/>
                <w:b w:val="1"/>
                <w:bCs w:val="1"/>
                <w:color w:val="0000EE"/>
              </w:rPr>
              <w:t>LECTION OF</w:t>
            </w:r>
            <w:r>
              <w:rPr>
                <w:rFonts w:ascii="Arial" w:cs="Arial" w:eastAsia="Arial" w:hAnsi="Arial"/>
                <w:sz w:val="22"/>
                <w:szCs w:val="22"/>
                <w:b w:val="1"/>
                <w:bCs w:val="1"/>
                <w:color w:val="0000EE"/>
              </w:rPr>
              <w:t xml:space="preserve"> T</w:t>
            </w:r>
            <w:r>
              <w:rPr>
                <w:rFonts w:ascii="Arial" w:cs="Arial" w:eastAsia="Arial" w:hAnsi="Arial"/>
                <w:sz w:val="17"/>
                <w:szCs w:val="17"/>
                <w:b w:val="1"/>
                <w:bCs w:val="1"/>
                <w:color w:val="0000EE"/>
              </w:rPr>
              <w:t>RUSTEES</w:t>
            </w:r>
          </w:p>
        </w:tc>
        <w:tc>
          <w:tcPr>
            <w:tcW w:w="480" w:type="dxa"/>
            <w:vAlign w:val="bottom"/>
          </w:tcPr>
          <w:p>
            <w:pPr>
              <w:jc w:val="right"/>
              <w:ind w:right="23"/>
              <w:spacing w:after="0"/>
              <w:rPr>
                <w:sz w:val="20"/>
                <w:szCs w:val="20"/>
                <w:color w:val="auto"/>
              </w:rPr>
            </w:pPr>
            <w:r>
              <w:rPr>
                <w:rFonts w:ascii="Arial" w:cs="Arial" w:eastAsia="Arial" w:hAnsi="Arial"/>
                <w:sz w:val="22"/>
                <w:szCs w:val="22"/>
                <w:b w:val="1"/>
                <w:bCs w:val="1"/>
                <w:color w:val="FF160F"/>
              </w:rPr>
              <w:t>10</w:t>
            </w:r>
          </w:p>
        </w:tc>
        <w:tc>
          <w:tcPr>
            <w:tcW w:w="0" w:type="dxa"/>
            <w:vAlign w:val="bottom"/>
          </w:tcPr>
          <w:p>
            <w:pPr>
              <w:spacing w:after="0"/>
              <w:rPr>
                <w:sz w:val="1"/>
                <w:szCs w:val="1"/>
                <w:color w:val="auto"/>
              </w:rPr>
            </w:pPr>
          </w:p>
        </w:tc>
      </w:tr>
      <w:tr>
        <w:trPr>
          <w:trHeight w:val="28"/>
        </w:trPr>
        <w:tc>
          <w:tcPr>
            <w:tcW w:w="100" w:type="dxa"/>
            <w:vAlign w:val="bottom"/>
            <w:tcBorders>
              <w:bottom w:val="single" w:sz="8" w:color="auto"/>
            </w:tcBorders>
          </w:tcPr>
          <w:p>
            <w:pPr>
              <w:spacing w:after="0"/>
              <w:rPr>
                <w:sz w:val="2"/>
                <w:szCs w:val="2"/>
                <w:color w:val="auto"/>
              </w:rPr>
            </w:pPr>
          </w:p>
        </w:tc>
        <w:tc>
          <w:tcPr>
            <w:tcW w:w="240" w:type="dxa"/>
            <w:vAlign w:val="bottom"/>
            <w:tcBorders>
              <w:top w:val="single" w:sz="8" w:color="0000EE"/>
              <w:bottom w:val="single" w:sz="8" w:color="auto"/>
            </w:tcBorders>
          </w:tcPr>
          <w:p>
            <w:pPr>
              <w:spacing w:after="0"/>
              <w:rPr>
                <w:sz w:val="2"/>
                <w:szCs w:val="2"/>
                <w:color w:val="auto"/>
              </w:rPr>
            </w:pPr>
          </w:p>
        </w:tc>
        <w:tc>
          <w:tcPr>
            <w:tcW w:w="360" w:type="dxa"/>
            <w:vAlign w:val="bottom"/>
            <w:tcBorders>
              <w:top w:val="single" w:sz="8" w:color="0000EE"/>
              <w:bottom w:val="single" w:sz="8" w:color="auto"/>
            </w:tcBorders>
          </w:tcPr>
          <w:p>
            <w:pPr>
              <w:spacing w:after="0"/>
              <w:rPr>
                <w:sz w:val="2"/>
                <w:szCs w:val="2"/>
                <w:color w:val="auto"/>
              </w:rPr>
            </w:pPr>
          </w:p>
        </w:tc>
        <w:tc>
          <w:tcPr>
            <w:tcW w:w="400" w:type="dxa"/>
            <w:vAlign w:val="bottom"/>
            <w:tcBorders>
              <w:top w:val="single" w:sz="8" w:color="0000EE"/>
              <w:bottom w:val="single" w:sz="8" w:color="auto"/>
            </w:tcBorders>
          </w:tcPr>
          <w:p>
            <w:pPr>
              <w:spacing w:after="0"/>
              <w:rPr>
                <w:sz w:val="2"/>
                <w:szCs w:val="2"/>
                <w:color w:val="auto"/>
              </w:rPr>
            </w:pPr>
          </w:p>
        </w:tc>
        <w:tc>
          <w:tcPr>
            <w:tcW w:w="160" w:type="dxa"/>
            <w:vAlign w:val="bottom"/>
            <w:tcBorders>
              <w:top w:val="single" w:sz="8" w:color="0000EE"/>
              <w:bottom w:val="single" w:sz="8" w:color="auto"/>
            </w:tcBorders>
          </w:tcPr>
          <w:p>
            <w:pPr>
              <w:spacing w:after="0"/>
              <w:rPr>
                <w:sz w:val="2"/>
                <w:szCs w:val="2"/>
                <w:color w:val="auto"/>
              </w:rPr>
            </w:pPr>
          </w:p>
        </w:tc>
        <w:tc>
          <w:tcPr>
            <w:tcW w:w="320" w:type="dxa"/>
            <w:vAlign w:val="bottom"/>
            <w:tcBorders>
              <w:top w:val="single" w:sz="8" w:color="0000EE"/>
              <w:bottom w:val="single" w:sz="8" w:color="auto"/>
            </w:tcBorders>
          </w:tcPr>
          <w:p>
            <w:pPr>
              <w:spacing w:after="0"/>
              <w:rPr>
                <w:sz w:val="2"/>
                <w:szCs w:val="2"/>
                <w:color w:val="auto"/>
              </w:rPr>
            </w:pPr>
          </w:p>
        </w:tc>
        <w:tc>
          <w:tcPr>
            <w:tcW w:w="220" w:type="dxa"/>
            <w:vAlign w:val="bottom"/>
            <w:tcBorders>
              <w:top w:val="single" w:sz="8" w:color="0000EE"/>
              <w:bottom w:val="single" w:sz="8" w:color="auto"/>
            </w:tcBorders>
          </w:tcPr>
          <w:p>
            <w:pPr>
              <w:spacing w:after="0"/>
              <w:rPr>
                <w:sz w:val="2"/>
                <w:szCs w:val="2"/>
                <w:color w:val="auto"/>
              </w:rPr>
            </w:pPr>
          </w:p>
        </w:tc>
        <w:tc>
          <w:tcPr>
            <w:tcW w:w="220" w:type="dxa"/>
            <w:vAlign w:val="bottom"/>
            <w:tcBorders>
              <w:top w:val="single" w:sz="8" w:color="0000EE"/>
              <w:bottom w:val="single" w:sz="8" w:color="auto"/>
            </w:tcBorders>
          </w:tcPr>
          <w:p>
            <w:pPr>
              <w:spacing w:after="0"/>
              <w:rPr>
                <w:sz w:val="2"/>
                <w:szCs w:val="2"/>
                <w:color w:val="auto"/>
              </w:rPr>
            </w:pPr>
          </w:p>
        </w:tc>
        <w:tc>
          <w:tcPr>
            <w:tcW w:w="24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2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2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48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8"/>
        </w:trPr>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60" w:type="dxa"/>
            <w:vAlign w:val="bottom"/>
            <w:gridSpan w:val="25"/>
          </w:tcPr>
          <w:p>
            <w:pPr>
              <w:spacing w:after="0" w:line="149" w:lineRule="exact"/>
              <w:rPr>
                <w:sz w:val="20"/>
                <w:szCs w:val="20"/>
                <w:color w:val="auto"/>
              </w:rPr>
            </w:pPr>
            <w:r>
              <w:rPr>
                <w:rFonts w:ascii="Arial" w:cs="Arial" w:eastAsia="Arial" w:hAnsi="Arial"/>
                <w:sz w:val="14"/>
                <w:szCs w:val="14"/>
                <w:color w:val="0000EE"/>
              </w:rPr>
              <w:t>Vote Required and Majority Voting Standard</w:t>
            </w:r>
          </w:p>
        </w:tc>
        <w:tc>
          <w:tcPr>
            <w:tcW w:w="480" w:type="dxa"/>
            <w:vAlign w:val="bottom"/>
          </w:tcPr>
          <w:p>
            <w:pPr>
              <w:jc w:val="right"/>
              <w:ind w:right="23"/>
              <w:spacing w:after="0" w:line="149" w:lineRule="exact"/>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0" w:type="dxa"/>
            <w:vAlign w:val="bottom"/>
            <w:tcBorders>
              <w:top w:val="single" w:sz="8" w:color="0000EE"/>
            </w:tcBorders>
            <w:gridSpan w:val="18"/>
          </w:tcPr>
          <w:p>
            <w:pPr>
              <w:spacing w:after="0"/>
              <w:rPr>
                <w:sz w:val="20"/>
                <w:szCs w:val="20"/>
                <w:color w:val="auto"/>
              </w:rPr>
            </w:pPr>
            <w:r>
              <w:rPr>
                <w:rFonts w:ascii="Arial" w:cs="Arial" w:eastAsia="Arial" w:hAnsi="Arial"/>
                <w:sz w:val="14"/>
                <w:szCs w:val="14"/>
                <w:color w:val="0000EE"/>
              </w:rPr>
              <w:t>Nominee Characteristics and Selection</w:t>
            </w:r>
          </w:p>
        </w:tc>
        <w:tc>
          <w:tcPr>
            <w:tcW w:w="1660" w:type="dxa"/>
            <w:vAlign w:val="bottom"/>
            <w:gridSpan w:val="7"/>
          </w:tcPr>
          <w:p>
            <w:pPr>
              <w:spacing w:after="0"/>
              <w:rPr>
                <w:sz w:val="14"/>
                <w:szCs w:val="14"/>
                <w:color w:val="auto"/>
              </w:rPr>
            </w:pPr>
          </w:p>
        </w:tc>
        <w:tc>
          <w:tcPr>
            <w:tcW w:w="480" w:type="dxa"/>
            <w:vAlign w:val="bottom"/>
          </w:tcPr>
          <w:p>
            <w:pPr>
              <w:jc w:val="right"/>
              <w:ind w:right="23"/>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80" w:type="dxa"/>
            <w:vAlign w:val="bottom"/>
            <w:tcBorders>
              <w:top w:val="single" w:sz="8" w:color="0000EE"/>
            </w:tcBorders>
            <w:gridSpan w:val="13"/>
          </w:tcPr>
          <w:p>
            <w:pPr>
              <w:spacing w:after="0"/>
              <w:rPr>
                <w:sz w:val="20"/>
                <w:szCs w:val="20"/>
                <w:color w:val="auto"/>
              </w:rPr>
            </w:pPr>
            <w:r>
              <w:rPr>
                <w:rFonts w:ascii="Arial" w:cs="Arial" w:eastAsia="Arial" w:hAnsi="Arial"/>
                <w:sz w:val="14"/>
                <w:szCs w:val="14"/>
                <w:color w:val="0000EE"/>
              </w:rPr>
              <w:t>Nominee Diversity and Tenure</w:t>
            </w:r>
          </w:p>
        </w:tc>
        <w:tc>
          <w:tcPr>
            <w:tcW w:w="1980" w:type="dxa"/>
            <w:vAlign w:val="bottom"/>
            <w:gridSpan w:val="12"/>
          </w:tcPr>
          <w:p>
            <w:pPr>
              <w:spacing w:after="0"/>
              <w:rPr>
                <w:sz w:val="14"/>
                <w:szCs w:val="14"/>
                <w:color w:val="auto"/>
              </w:rPr>
            </w:pPr>
          </w:p>
        </w:tc>
        <w:tc>
          <w:tcPr>
            <w:tcW w:w="480" w:type="dxa"/>
            <w:vAlign w:val="bottom"/>
          </w:tcPr>
          <w:p>
            <w:pPr>
              <w:jc w:val="right"/>
              <w:ind w:right="23"/>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20" w:type="dxa"/>
            <w:vAlign w:val="bottom"/>
            <w:tcBorders>
              <w:top w:val="single" w:sz="8" w:color="0000EE"/>
            </w:tcBorders>
            <w:gridSpan w:val="7"/>
          </w:tcPr>
          <w:p>
            <w:pPr>
              <w:spacing w:after="0"/>
              <w:rPr>
                <w:sz w:val="20"/>
                <w:szCs w:val="20"/>
                <w:color w:val="auto"/>
              </w:rPr>
            </w:pPr>
            <w:r>
              <w:rPr>
                <w:rFonts w:ascii="Arial" w:cs="Arial" w:eastAsia="Arial" w:hAnsi="Arial"/>
                <w:sz w:val="14"/>
                <w:szCs w:val="14"/>
                <w:color w:val="0000EE"/>
              </w:rPr>
              <w:t>Our Nominees</w:t>
            </w:r>
          </w:p>
        </w:tc>
        <w:tc>
          <w:tcPr>
            <w:tcW w:w="2540" w:type="dxa"/>
            <w:vAlign w:val="bottom"/>
            <w:gridSpan w:val="18"/>
          </w:tcPr>
          <w:p>
            <w:pPr>
              <w:spacing w:after="0"/>
              <w:rPr>
                <w:sz w:val="14"/>
                <w:szCs w:val="14"/>
                <w:color w:val="auto"/>
              </w:rPr>
            </w:pPr>
          </w:p>
        </w:tc>
        <w:tc>
          <w:tcPr>
            <w:tcW w:w="480" w:type="dxa"/>
            <w:vAlign w:val="bottom"/>
          </w:tcPr>
          <w:p>
            <w:pPr>
              <w:jc w:val="right"/>
              <w:ind w:right="23"/>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tcBorders>
              <w:bottom w:val="single" w:sz="8" w:color="0000EE"/>
            </w:tcBorders>
            <w:gridSpan w:val="5"/>
          </w:tcPr>
          <w:p>
            <w:pPr>
              <w:spacing w:after="0"/>
              <w:rPr>
                <w:sz w:val="20"/>
                <w:szCs w:val="20"/>
                <w:color w:val="auto"/>
              </w:rPr>
            </w:pPr>
            <w:r>
              <w:rPr>
                <w:rFonts w:ascii="Arial" w:cs="Arial" w:eastAsia="Arial" w:hAnsi="Arial"/>
                <w:sz w:val="14"/>
                <w:szCs w:val="14"/>
                <w:color w:val="0000EE"/>
              </w:rPr>
              <w:t>Trustee Compensation</w:t>
            </w:r>
          </w:p>
        </w:tc>
        <w:tc>
          <w:tcPr>
            <w:tcW w:w="3000" w:type="dxa"/>
            <w:vAlign w:val="bottom"/>
            <w:gridSpan w:val="20"/>
          </w:tcPr>
          <w:p>
            <w:pPr>
              <w:spacing w:after="0"/>
              <w:rPr>
                <w:sz w:val="14"/>
                <w:szCs w:val="14"/>
                <w:color w:val="auto"/>
              </w:rPr>
            </w:pPr>
          </w:p>
        </w:tc>
        <w:tc>
          <w:tcPr>
            <w:tcW w:w="480" w:type="dxa"/>
            <w:vAlign w:val="bottom"/>
          </w:tcPr>
          <w:p>
            <w:pPr>
              <w:jc w:val="right"/>
              <w:ind w:right="23"/>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331"/>
        </w:trPr>
        <w:tc>
          <w:tcPr>
            <w:tcW w:w="100" w:type="dxa"/>
            <w:vAlign w:val="bottom"/>
          </w:tcPr>
          <w:p>
            <w:pPr>
              <w:spacing w:after="0"/>
              <w:rPr>
                <w:sz w:val="24"/>
                <w:szCs w:val="24"/>
                <w:color w:val="auto"/>
              </w:rPr>
            </w:pPr>
          </w:p>
        </w:tc>
        <w:tc>
          <w:tcPr>
            <w:tcW w:w="4700" w:type="dxa"/>
            <w:vAlign w:val="bottom"/>
            <w:gridSpan w:val="26"/>
          </w:tcPr>
          <w:p>
            <w:pPr>
              <w:spacing w:after="0"/>
              <w:rPr>
                <w:sz w:val="20"/>
                <w:szCs w:val="20"/>
                <w:color w:val="auto"/>
              </w:rPr>
            </w:pPr>
            <w:r>
              <w:rPr>
                <w:rFonts w:ascii="Arial" w:cs="Arial" w:eastAsia="Arial" w:hAnsi="Arial"/>
                <w:sz w:val="22"/>
                <w:szCs w:val="22"/>
                <w:b w:val="1"/>
                <w:bCs w:val="1"/>
                <w:color w:val="0000EE"/>
              </w:rPr>
              <w:t>P</w:t>
            </w:r>
            <w:r>
              <w:rPr>
                <w:rFonts w:ascii="Arial" w:cs="Arial" w:eastAsia="Arial" w:hAnsi="Arial"/>
                <w:sz w:val="17"/>
                <w:szCs w:val="17"/>
                <w:b w:val="1"/>
                <w:bCs w:val="1"/>
                <w:color w:val="0000EE"/>
              </w:rPr>
              <w:t>ROPOSAL</w:t>
            </w:r>
            <w:r>
              <w:rPr>
                <w:rFonts w:ascii="Arial" w:cs="Arial" w:eastAsia="Arial" w:hAnsi="Arial"/>
                <w:sz w:val="22"/>
                <w:szCs w:val="22"/>
                <w:b w:val="1"/>
                <w:bCs w:val="1"/>
                <w:color w:val="0000EE"/>
              </w:rPr>
              <w:t xml:space="preserve"> 2: A</w:t>
            </w:r>
            <w:r>
              <w:rPr>
                <w:rFonts w:ascii="Arial" w:cs="Arial" w:eastAsia="Arial" w:hAnsi="Arial"/>
                <w:sz w:val="17"/>
                <w:szCs w:val="17"/>
                <w:b w:val="1"/>
                <w:bCs w:val="1"/>
                <w:color w:val="0000EE"/>
              </w:rPr>
              <w:t>PPROVING OUR</w:t>
            </w:r>
            <w:r>
              <w:rPr>
                <w:rFonts w:ascii="Arial" w:cs="Arial" w:eastAsia="Arial" w:hAnsi="Arial"/>
                <w:sz w:val="22"/>
                <w:szCs w:val="22"/>
                <w:b w:val="1"/>
                <w:bCs w:val="1"/>
                <w:color w:val="0000EE"/>
              </w:rPr>
              <w:t xml:space="preserve"> E</w:t>
            </w:r>
            <w:r>
              <w:rPr>
                <w:rFonts w:ascii="Arial" w:cs="Arial" w:eastAsia="Arial" w:hAnsi="Arial"/>
                <w:sz w:val="17"/>
                <w:szCs w:val="17"/>
                <w:b w:val="1"/>
                <w:bCs w:val="1"/>
                <w:color w:val="0000EE"/>
              </w:rPr>
              <w:t>XECUTIVE</w:t>
            </w:r>
          </w:p>
        </w:tc>
        <w:tc>
          <w:tcPr>
            <w:tcW w:w="480" w:type="dxa"/>
            <w:vAlign w:val="bottom"/>
            <w:vMerge w:val="restart"/>
          </w:tcPr>
          <w:p>
            <w:pPr>
              <w:jc w:val="right"/>
              <w:ind w:right="23"/>
              <w:spacing w:after="0"/>
              <w:rPr>
                <w:sz w:val="20"/>
                <w:szCs w:val="20"/>
                <w:color w:val="auto"/>
              </w:rPr>
            </w:pPr>
            <w:r>
              <w:rPr>
                <w:rFonts w:ascii="Arial" w:cs="Arial" w:eastAsia="Arial" w:hAnsi="Arial"/>
                <w:sz w:val="22"/>
                <w:szCs w:val="22"/>
                <w:b w:val="1"/>
                <w:bCs w:val="1"/>
                <w:color w:val="FF160F"/>
              </w:rPr>
              <w:t>18</w:t>
            </w: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4000" w:type="dxa"/>
            <w:vAlign w:val="bottom"/>
            <w:tcBorders>
              <w:top w:val="single" w:sz="8" w:color="0000EE"/>
            </w:tcBorders>
            <w:gridSpan w:val="23"/>
          </w:tcPr>
          <w:p>
            <w:pPr>
              <w:spacing w:after="0" w:line="223" w:lineRule="exact"/>
              <w:rPr>
                <w:sz w:val="20"/>
                <w:szCs w:val="20"/>
                <w:color w:val="auto"/>
              </w:rPr>
            </w:pPr>
            <w:r>
              <w:rPr>
                <w:rFonts w:ascii="Arial" w:cs="Arial" w:eastAsia="Arial" w:hAnsi="Arial"/>
                <w:sz w:val="22"/>
                <w:szCs w:val="22"/>
                <w:b w:val="1"/>
                <w:bCs w:val="1"/>
                <w:color w:val="0000EE"/>
              </w:rPr>
              <w:t>C</w:t>
            </w:r>
            <w:r>
              <w:rPr>
                <w:rFonts w:ascii="Arial" w:cs="Arial" w:eastAsia="Arial" w:hAnsi="Arial"/>
                <w:sz w:val="17"/>
                <w:szCs w:val="17"/>
                <w:b w:val="1"/>
                <w:bCs w:val="1"/>
                <w:color w:val="0000EE"/>
              </w:rPr>
              <w:t>OMPENSATION</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100" w:type="dxa"/>
            <w:vAlign w:val="bottom"/>
            <w:tcBorders>
              <w:bottom w:val="single" w:sz="8" w:color="auto"/>
            </w:tcBorders>
          </w:tcPr>
          <w:p>
            <w:pPr>
              <w:spacing w:after="0"/>
              <w:rPr>
                <w:sz w:val="2"/>
                <w:szCs w:val="2"/>
                <w:color w:val="auto"/>
              </w:rPr>
            </w:pPr>
          </w:p>
        </w:tc>
        <w:tc>
          <w:tcPr>
            <w:tcW w:w="240" w:type="dxa"/>
            <w:vAlign w:val="bottom"/>
            <w:tcBorders>
              <w:top w:val="single" w:sz="8" w:color="0000EE"/>
              <w:bottom w:val="single" w:sz="8" w:color="auto"/>
            </w:tcBorders>
          </w:tcPr>
          <w:p>
            <w:pPr>
              <w:spacing w:after="0"/>
              <w:rPr>
                <w:sz w:val="2"/>
                <w:szCs w:val="2"/>
                <w:color w:val="auto"/>
              </w:rPr>
            </w:pPr>
          </w:p>
        </w:tc>
        <w:tc>
          <w:tcPr>
            <w:tcW w:w="360" w:type="dxa"/>
            <w:vAlign w:val="bottom"/>
            <w:tcBorders>
              <w:top w:val="single" w:sz="8" w:color="0000EE"/>
              <w:bottom w:val="single" w:sz="8" w:color="auto"/>
            </w:tcBorders>
          </w:tcPr>
          <w:p>
            <w:pPr>
              <w:spacing w:after="0"/>
              <w:rPr>
                <w:sz w:val="2"/>
                <w:szCs w:val="2"/>
                <w:color w:val="auto"/>
              </w:rPr>
            </w:pPr>
          </w:p>
        </w:tc>
        <w:tc>
          <w:tcPr>
            <w:tcW w:w="400" w:type="dxa"/>
            <w:vAlign w:val="bottom"/>
            <w:tcBorders>
              <w:top w:val="single" w:sz="8" w:color="0000EE"/>
              <w:bottom w:val="single" w:sz="8" w:color="auto"/>
            </w:tcBorders>
          </w:tcPr>
          <w:p>
            <w:pPr>
              <w:spacing w:after="0"/>
              <w:rPr>
                <w:sz w:val="2"/>
                <w:szCs w:val="2"/>
                <w:color w:val="auto"/>
              </w:rPr>
            </w:pPr>
          </w:p>
        </w:tc>
        <w:tc>
          <w:tcPr>
            <w:tcW w:w="160" w:type="dxa"/>
            <w:vAlign w:val="bottom"/>
            <w:tcBorders>
              <w:top w:val="single" w:sz="8" w:color="0000EE"/>
              <w:bottom w:val="single" w:sz="8" w:color="auto"/>
            </w:tcBorders>
          </w:tcPr>
          <w:p>
            <w:pPr>
              <w:spacing w:after="0"/>
              <w:rPr>
                <w:sz w:val="2"/>
                <w:szCs w:val="2"/>
                <w:color w:val="auto"/>
              </w:rPr>
            </w:pPr>
          </w:p>
        </w:tc>
        <w:tc>
          <w:tcPr>
            <w:tcW w:w="320" w:type="dxa"/>
            <w:vAlign w:val="bottom"/>
            <w:tcBorders>
              <w:top w:val="single" w:sz="8" w:color="0000EE"/>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24"/>
        </w:trPr>
        <w:tc>
          <w:tcPr>
            <w:tcW w:w="100" w:type="dxa"/>
            <w:vAlign w:val="bottom"/>
          </w:tcPr>
          <w:p>
            <w:pPr>
              <w:spacing w:after="0"/>
              <w:rPr>
                <w:sz w:val="24"/>
                <w:szCs w:val="24"/>
                <w:color w:val="auto"/>
              </w:rPr>
            </w:pPr>
          </w:p>
        </w:tc>
        <w:tc>
          <w:tcPr>
            <w:tcW w:w="4700" w:type="dxa"/>
            <w:vAlign w:val="bottom"/>
            <w:gridSpan w:val="26"/>
          </w:tcPr>
          <w:p>
            <w:pPr>
              <w:spacing w:after="0"/>
              <w:rPr>
                <w:sz w:val="20"/>
                <w:szCs w:val="20"/>
                <w:color w:val="auto"/>
              </w:rPr>
            </w:pPr>
            <w:r>
              <w:rPr>
                <w:rFonts w:ascii="Arial" w:cs="Arial" w:eastAsia="Arial" w:hAnsi="Arial"/>
                <w:sz w:val="22"/>
                <w:szCs w:val="22"/>
                <w:b w:val="1"/>
                <w:bCs w:val="1"/>
                <w:color w:val="0000EE"/>
              </w:rPr>
              <w:t>C</w:t>
            </w:r>
            <w:r>
              <w:rPr>
                <w:rFonts w:ascii="Arial" w:cs="Arial" w:eastAsia="Arial" w:hAnsi="Arial"/>
                <w:sz w:val="17"/>
                <w:szCs w:val="17"/>
                <w:b w:val="1"/>
                <w:bCs w:val="1"/>
                <w:color w:val="0000EE"/>
              </w:rPr>
              <w:t>OMPENSATION</w:t>
            </w:r>
            <w:r>
              <w:rPr>
                <w:rFonts w:ascii="Arial" w:cs="Arial" w:eastAsia="Arial" w:hAnsi="Arial"/>
                <w:sz w:val="22"/>
                <w:szCs w:val="22"/>
                <w:b w:val="1"/>
                <w:bCs w:val="1"/>
                <w:color w:val="0000EE"/>
              </w:rPr>
              <w:t xml:space="preserve"> D</w:t>
            </w:r>
            <w:r>
              <w:rPr>
                <w:rFonts w:ascii="Arial" w:cs="Arial" w:eastAsia="Arial" w:hAnsi="Arial"/>
                <w:sz w:val="17"/>
                <w:szCs w:val="17"/>
                <w:b w:val="1"/>
                <w:bCs w:val="1"/>
                <w:color w:val="0000EE"/>
              </w:rPr>
              <w:t>ISCUSSION AND</w:t>
            </w:r>
            <w:r>
              <w:rPr>
                <w:rFonts w:ascii="Arial" w:cs="Arial" w:eastAsia="Arial" w:hAnsi="Arial"/>
                <w:sz w:val="22"/>
                <w:szCs w:val="22"/>
                <w:b w:val="1"/>
                <w:bCs w:val="1"/>
                <w:color w:val="0000EE"/>
              </w:rPr>
              <w:t xml:space="preserve"> A</w:t>
            </w:r>
            <w:r>
              <w:rPr>
                <w:rFonts w:ascii="Arial" w:cs="Arial" w:eastAsia="Arial" w:hAnsi="Arial"/>
                <w:sz w:val="17"/>
                <w:szCs w:val="17"/>
                <w:b w:val="1"/>
                <w:bCs w:val="1"/>
                <w:color w:val="0000EE"/>
              </w:rPr>
              <w:t>NALYSIS</w:t>
            </w:r>
          </w:p>
        </w:tc>
        <w:tc>
          <w:tcPr>
            <w:tcW w:w="480" w:type="dxa"/>
            <w:vAlign w:val="bottom"/>
          </w:tcPr>
          <w:p>
            <w:pPr>
              <w:jc w:val="right"/>
              <w:ind w:right="23"/>
              <w:spacing w:after="0"/>
              <w:rPr>
                <w:sz w:val="20"/>
                <w:szCs w:val="20"/>
                <w:color w:val="auto"/>
              </w:rPr>
            </w:pPr>
            <w:r>
              <w:rPr>
                <w:rFonts w:ascii="Arial" w:cs="Arial" w:eastAsia="Arial" w:hAnsi="Arial"/>
                <w:sz w:val="22"/>
                <w:szCs w:val="22"/>
                <w:b w:val="1"/>
                <w:bCs w:val="1"/>
                <w:color w:val="FF160F"/>
              </w:rPr>
              <w:t>19</w:t>
            </w:r>
          </w:p>
        </w:tc>
        <w:tc>
          <w:tcPr>
            <w:tcW w:w="0" w:type="dxa"/>
            <w:vAlign w:val="bottom"/>
          </w:tcPr>
          <w:p>
            <w:pPr>
              <w:spacing w:after="0"/>
              <w:rPr>
                <w:sz w:val="1"/>
                <w:szCs w:val="1"/>
                <w:color w:val="auto"/>
              </w:rPr>
            </w:pPr>
          </w:p>
        </w:tc>
      </w:tr>
      <w:tr>
        <w:trPr>
          <w:trHeight w:val="28"/>
        </w:trPr>
        <w:tc>
          <w:tcPr>
            <w:tcW w:w="100" w:type="dxa"/>
            <w:vAlign w:val="bottom"/>
            <w:tcBorders>
              <w:bottom w:val="single" w:sz="8" w:color="auto"/>
            </w:tcBorders>
          </w:tcPr>
          <w:p>
            <w:pPr>
              <w:spacing w:after="0"/>
              <w:rPr>
                <w:sz w:val="2"/>
                <w:szCs w:val="2"/>
                <w:color w:val="auto"/>
              </w:rPr>
            </w:pPr>
          </w:p>
        </w:tc>
        <w:tc>
          <w:tcPr>
            <w:tcW w:w="240" w:type="dxa"/>
            <w:vAlign w:val="bottom"/>
            <w:tcBorders>
              <w:top w:val="single" w:sz="8" w:color="0000EE"/>
              <w:bottom w:val="single" w:sz="8" w:color="auto"/>
            </w:tcBorders>
          </w:tcPr>
          <w:p>
            <w:pPr>
              <w:spacing w:after="0"/>
              <w:rPr>
                <w:sz w:val="2"/>
                <w:szCs w:val="2"/>
                <w:color w:val="auto"/>
              </w:rPr>
            </w:pPr>
          </w:p>
        </w:tc>
        <w:tc>
          <w:tcPr>
            <w:tcW w:w="360" w:type="dxa"/>
            <w:vAlign w:val="bottom"/>
            <w:tcBorders>
              <w:top w:val="single" w:sz="8" w:color="0000EE"/>
              <w:bottom w:val="single" w:sz="8" w:color="auto"/>
            </w:tcBorders>
          </w:tcPr>
          <w:p>
            <w:pPr>
              <w:spacing w:after="0"/>
              <w:rPr>
                <w:sz w:val="2"/>
                <w:szCs w:val="2"/>
                <w:color w:val="auto"/>
              </w:rPr>
            </w:pPr>
          </w:p>
        </w:tc>
        <w:tc>
          <w:tcPr>
            <w:tcW w:w="400" w:type="dxa"/>
            <w:vAlign w:val="bottom"/>
            <w:tcBorders>
              <w:top w:val="single" w:sz="8" w:color="0000EE"/>
              <w:bottom w:val="single" w:sz="8" w:color="auto"/>
            </w:tcBorders>
          </w:tcPr>
          <w:p>
            <w:pPr>
              <w:spacing w:after="0"/>
              <w:rPr>
                <w:sz w:val="2"/>
                <w:szCs w:val="2"/>
                <w:color w:val="auto"/>
              </w:rPr>
            </w:pPr>
          </w:p>
        </w:tc>
        <w:tc>
          <w:tcPr>
            <w:tcW w:w="160" w:type="dxa"/>
            <w:vAlign w:val="bottom"/>
            <w:tcBorders>
              <w:top w:val="single" w:sz="8" w:color="0000EE"/>
              <w:bottom w:val="single" w:sz="8" w:color="auto"/>
            </w:tcBorders>
          </w:tcPr>
          <w:p>
            <w:pPr>
              <w:spacing w:after="0"/>
              <w:rPr>
                <w:sz w:val="2"/>
                <w:szCs w:val="2"/>
                <w:color w:val="auto"/>
              </w:rPr>
            </w:pPr>
          </w:p>
        </w:tc>
        <w:tc>
          <w:tcPr>
            <w:tcW w:w="320" w:type="dxa"/>
            <w:vAlign w:val="bottom"/>
            <w:tcBorders>
              <w:top w:val="single" w:sz="8" w:color="0000EE"/>
              <w:bottom w:val="single" w:sz="8" w:color="auto"/>
            </w:tcBorders>
          </w:tcPr>
          <w:p>
            <w:pPr>
              <w:spacing w:after="0"/>
              <w:rPr>
                <w:sz w:val="2"/>
                <w:szCs w:val="2"/>
                <w:color w:val="auto"/>
              </w:rPr>
            </w:pPr>
          </w:p>
        </w:tc>
        <w:tc>
          <w:tcPr>
            <w:tcW w:w="220" w:type="dxa"/>
            <w:vAlign w:val="bottom"/>
            <w:tcBorders>
              <w:top w:val="single" w:sz="8" w:color="0000EE"/>
              <w:bottom w:val="single" w:sz="8" w:color="auto"/>
            </w:tcBorders>
          </w:tcPr>
          <w:p>
            <w:pPr>
              <w:spacing w:after="0"/>
              <w:rPr>
                <w:sz w:val="2"/>
                <w:szCs w:val="2"/>
                <w:color w:val="auto"/>
              </w:rPr>
            </w:pPr>
          </w:p>
        </w:tc>
        <w:tc>
          <w:tcPr>
            <w:tcW w:w="220" w:type="dxa"/>
            <w:vAlign w:val="bottom"/>
            <w:tcBorders>
              <w:top w:val="single" w:sz="8" w:color="0000EE"/>
              <w:bottom w:val="single" w:sz="8" w:color="auto"/>
            </w:tcBorders>
          </w:tcPr>
          <w:p>
            <w:pPr>
              <w:spacing w:after="0"/>
              <w:rPr>
                <w:sz w:val="2"/>
                <w:szCs w:val="2"/>
                <w:color w:val="auto"/>
              </w:rPr>
            </w:pPr>
          </w:p>
        </w:tc>
        <w:tc>
          <w:tcPr>
            <w:tcW w:w="24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2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2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48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38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9"/>
        </w:trPr>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Borders>
              <w:bottom w:val="single" w:sz="8" w:color="0000EE"/>
            </w:tcBorders>
            <w:gridSpan w:val="2"/>
          </w:tcPr>
          <w:p>
            <w:pPr>
              <w:spacing w:after="0" w:line="149" w:lineRule="exact"/>
              <w:rPr>
                <w:sz w:val="20"/>
                <w:szCs w:val="20"/>
                <w:color w:val="auto"/>
              </w:rPr>
            </w:pPr>
            <w:r>
              <w:rPr>
                <w:rFonts w:ascii="Arial" w:cs="Arial" w:eastAsia="Arial" w:hAnsi="Arial"/>
                <w:sz w:val="14"/>
                <w:szCs w:val="14"/>
                <w:color w:val="0000EE"/>
              </w:rPr>
              <w:t>Introduction</w:t>
            </w:r>
          </w:p>
        </w:tc>
        <w:tc>
          <w:tcPr>
            <w:tcW w:w="3700" w:type="dxa"/>
            <w:vAlign w:val="bottom"/>
            <w:gridSpan w:val="23"/>
          </w:tcPr>
          <w:p>
            <w:pPr>
              <w:spacing w:after="0"/>
              <w:rPr>
                <w:sz w:val="12"/>
                <w:szCs w:val="12"/>
                <w:color w:val="auto"/>
              </w:rPr>
            </w:pPr>
          </w:p>
        </w:tc>
        <w:tc>
          <w:tcPr>
            <w:tcW w:w="480" w:type="dxa"/>
            <w:vAlign w:val="bottom"/>
          </w:tcPr>
          <w:p>
            <w:pPr>
              <w:jc w:val="right"/>
              <w:ind w:right="23"/>
              <w:spacing w:after="0" w:line="149" w:lineRule="exact"/>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100" w:type="dxa"/>
            <w:vAlign w:val="bottom"/>
            <w:gridSpan w:val="24"/>
          </w:tcPr>
          <w:p>
            <w:pPr>
              <w:spacing w:after="0"/>
              <w:rPr>
                <w:sz w:val="20"/>
                <w:szCs w:val="20"/>
                <w:color w:val="auto"/>
              </w:rPr>
            </w:pPr>
            <w:r>
              <w:rPr>
                <w:rFonts w:ascii="Arial" w:cs="Arial" w:eastAsia="Arial" w:hAnsi="Arial"/>
                <w:sz w:val="14"/>
                <w:szCs w:val="14"/>
                <w:color w:val="0000EE"/>
              </w:rPr>
              <w:t>2023 Business Highlights supporting Compensation Decisions</w:t>
            </w:r>
          </w:p>
        </w:tc>
        <w:tc>
          <w:tcPr>
            <w:tcW w:w="480" w:type="dxa"/>
            <w:vAlign w:val="bottom"/>
          </w:tcPr>
          <w:p>
            <w:pPr>
              <w:jc w:val="right"/>
              <w:ind w:right="23"/>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80" w:type="dxa"/>
            <w:vAlign w:val="bottom"/>
            <w:tcBorders>
              <w:top w:val="single" w:sz="8" w:color="0000EE"/>
              <w:bottom w:val="single" w:sz="8" w:color="0000EE"/>
            </w:tcBorders>
            <w:gridSpan w:val="15"/>
          </w:tcPr>
          <w:p>
            <w:pPr>
              <w:spacing w:after="0"/>
              <w:rPr>
                <w:sz w:val="20"/>
                <w:szCs w:val="20"/>
                <w:color w:val="auto"/>
              </w:rPr>
            </w:pPr>
            <w:r>
              <w:rPr>
                <w:rFonts w:ascii="Arial" w:cs="Arial" w:eastAsia="Arial" w:hAnsi="Arial"/>
                <w:sz w:val="14"/>
                <w:szCs w:val="14"/>
                <w:color w:val="0000EE"/>
              </w:rPr>
              <w:t>Program Philosophy and Objectives</w:t>
            </w:r>
          </w:p>
        </w:tc>
        <w:tc>
          <w:tcPr>
            <w:tcW w:w="1660" w:type="dxa"/>
            <w:vAlign w:val="bottom"/>
            <w:tcBorders>
              <w:top w:val="single" w:sz="8" w:color="0000EE"/>
            </w:tcBorders>
            <w:gridSpan w:val="8"/>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jc w:val="right"/>
              <w:ind w:right="23"/>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20" w:type="dxa"/>
            <w:vAlign w:val="bottom"/>
            <w:tcBorders>
              <w:bottom w:val="single" w:sz="8" w:color="0000EE"/>
            </w:tcBorders>
            <w:gridSpan w:val="14"/>
          </w:tcPr>
          <w:p>
            <w:pPr>
              <w:spacing w:after="0"/>
              <w:rPr>
                <w:sz w:val="20"/>
                <w:szCs w:val="20"/>
                <w:color w:val="auto"/>
              </w:rPr>
            </w:pPr>
            <w:r>
              <w:rPr>
                <w:rFonts w:ascii="Arial" w:cs="Arial" w:eastAsia="Arial" w:hAnsi="Arial"/>
                <w:sz w:val="14"/>
                <w:szCs w:val="14"/>
                <w:color w:val="0000EE"/>
              </w:rPr>
              <w:t>Executive Compensation Practices</w:t>
            </w:r>
          </w:p>
        </w:tc>
        <w:tc>
          <w:tcPr>
            <w:tcW w:w="1880" w:type="dxa"/>
            <w:vAlign w:val="bottom"/>
            <w:gridSpan w:val="10"/>
          </w:tcPr>
          <w:p>
            <w:pPr>
              <w:spacing w:after="0"/>
              <w:rPr>
                <w:sz w:val="14"/>
                <w:szCs w:val="14"/>
                <w:color w:val="auto"/>
              </w:rPr>
            </w:pPr>
          </w:p>
        </w:tc>
        <w:tc>
          <w:tcPr>
            <w:tcW w:w="480" w:type="dxa"/>
            <w:vAlign w:val="bottom"/>
          </w:tcPr>
          <w:p>
            <w:pPr>
              <w:jc w:val="right"/>
              <w:ind w:right="23"/>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100" w:type="dxa"/>
            <w:vAlign w:val="bottom"/>
            <w:gridSpan w:val="24"/>
          </w:tcPr>
          <w:p>
            <w:pPr>
              <w:spacing w:after="0"/>
              <w:rPr>
                <w:sz w:val="20"/>
                <w:szCs w:val="20"/>
                <w:color w:val="auto"/>
              </w:rPr>
            </w:pPr>
            <w:r>
              <w:rPr>
                <w:rFonts w:ascii="Arial" w:cs="Arial" w:eastAsia="Arial" w:hAnsi="Arial"/>
                <w:sz w:val="14"/>
                <w:szCs w:val="14"/>
                <w:color w:val="0000EE"/>
              </w:rPr>
              <w:t>Components of Compensation</w:t>
            </w:r>
          </w:p>
        </w:tc>
        <w:tc>
          <w:tcPr>
            <w:tcW w:w="480" w:type="dxa"/>
            <w:vAlign w:val="bottom"/>
          </w:tcPr>
          <w:p>
            <w:pPr>
              <w:jc w:val="right"/>
              <w:ind w:right="23"/>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320" w:type="dxa"/>
            <w:vAlign w:val="bottom"/>
            <w:gridSpan w:val="5"/>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2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80" w:type="dxa"/>
            <w:vAlign w:val="bottom"/>
            <w:tcBorders>
              <w:bottom w:val="single" w:sz="8" w:color="0000EE"/>
            </w:tcBorders>
            <w:gridSpan w:val="9"/>
          </w:tcPr>
          <w:p>
            <w:pPr>
              <w:spacing w:after="0"/>
              <w:rPr>
                <w:sz w:val="20"/>
                <w:szCs w:val="20"/>
                <w:color w:val="auto"/>
              </w:rPr>
            </w:pPr>
            <w:r>
              <w:rPr>
                <w:rFonts w:ascii="Arial" w:cs="Arial" w:eastAsia="Arial" w:hAnsi="Arial"/>
                <w:sz w:val="14"/>
                <w:szCs w:val="14"/>
                <w:color w:val="0000EE"/>
              </w:rPr>
              <w:t>Compensation Setting Process</w:t>
            </w:r>
          </w:p>
        </w:tc>
        <w:tc>
          <w:tcPr>
            <w:tcW w:w="2480" w:type="dxa"/>
            <w:vAlign w:val="bottom"/>
            <w:gridSpan w:val="16"/>
          </w:tcPr>
          <w:p>
            <w:pPr>
              <w:spacing w:after="0"/>
              <w:rPr>
                <w:sz w:val="14"/>
                <w:szCs w:val="14"/>
                <w:color w:val="auto"/>
              </w:rPr>
            </w:pPr>
          </w:p>
        </w:tc>
        <w:tc>
          <w:tcPr>
            <w:tcW w:w="480" w:type="dxa"/>
            <w:vAlign w:val="bottom"/>
          </w:tcPr>
          <w:p>
            <w:pPr>
              <w:jc w:val="right"/>
              <w:ind w:right="23"/>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500" w:type="dxa"/>
            <w:vAlign w:val="bottom"/>
            <w:tcBorders>
              <w:bottom w:val="single" w:sz="8" w:color="0000EE"/>
            </w:tcBorders>
            <w:gridSpan w:val="18"/>
          </w:tcPr>
          <w:p>
            <w:pPr>
              <w:spacing w:after="0"/>
              <w:rPr>
                <w:sz w:val="20"/>
                <w:szCs w:val="20"/>
                <w:color w:val="auto"/>
              </w:rPr>
            </w:pPr>
            <w:r>
              <w:rPr>
                <w:rFonts w:ascii="Arial" w:cs="Arial" w:eastAsia="Arial" w:hAnsi="Arial"/>
                <w:sz w:val="14"/>
                <w:szCs w:val="14"/>
                <w:color w:val="0000EE"/>
              </w:rPr>
              <w:t>Annual Compensation Decision Making</w:t>
            </w:r>
          </w:p>
        </w:tc>
        <w:tc>
          <w:tcPr>
            <w:tcW w:w="1600" w:type="dxa"/>
            <w:vAlign w:val="bottom"/>
            <w:gridSpan w:val="6"/>
          </w:tcPr>
          <w:p>
            <w:pPr>
              <w:spacing w:after="0"/>
              <w:rPr>
                <w:sz w:val="14"/>
                <w:szCs w:val="14"/>
                <w:color w:val="auto"/>
              </w:rPr>
            </w:pPr>
          </w:p>
        </w:tc>
        <w:tc>
          <w:tcPr>
            <w:tcW w:w="480" w:type="dxa"/>
            <w:vAlign w:val="bottom"/>
          </w:tcPr>
          <w:p>
            <w:pPr>
              <w:jc w:val="right"/>
              <w:ind w:right="23"/>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100" w:type="dxa"/>
            <w:vAlign w:val="bottom"/>
            <w:gridSpan w:val="24"/>
          </w:tcPr>
          <w:p>
            <w:pPr>
              <w:spacing w:after="0"/>
              <w:rPr>
                <w:sz w:val="20"/>
                <w:szCs w:val="20"/>
                <w:color w:val="auto"/>
              </w:rPr>
            </w:pPr>
            <w:r>
              <w:rPr>
                <w:rFonts w:ascii="Arial" w:cs="Arial" w:eastAsia="Arial" w:hAnsi="Arial"/>
                <w:sz w:val="14"/>
                <w:szCs w:val="14"/>
                <w:color w:val="0000EE"/>
              </w:rPr>
              <w:t>Role of the Compensation Committee</w:t>
            </w:r>
          </w:p>
        </w:tc>
        <w:tc>
          <w:tcPr>
            <w:tcW w:w="480" w:type="dxa"/>
            <w:vAlign w:val="bottom"/>
          </w:tcPr>
          <w:p>
            <w:pPr>
              <w:jc w:val="right"/>
              <w:ind w:right="23"/>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20" w:type="dxa"/>
            <w:vAlign w:val="bottom"/>
            <w:tcBorders>
              <w:top w:val="single" w:sz="8" w:color="0000EE"/>
              <w:bottom w:val="single" w:sz="8" w:color="0000EE"/>
            </w:tcBorders>
            <w:gridSpan w:val="5"/>
          </w:tcPr>
          <w:p>
            <w:pPr>
              <w:spacing w:after="0"/>
              <w:rPr>
                <w:sz w:val="20"/>
                <w:szCs w:val="20"/>
                <w:color w:val="auto"/>
              </w:rPr>
            </w:pPr>
            <w:r>
              <w:rPr>
                <w:rFonts w:ascii="Arial" w:cs="Arial" w:eastAsia="Arial" w:hAnsi="Arial"/>
                <w:sz w:val="14"/>
                <w:szCs w:val="14"/>
                <w:color w:val="0000EE"/>
              </w:rPr>
              <w:t>Role of Management</w:t>
            </w:r>
          </w:p>
        </w:tc>
        <w:tc>
          <w:tcPr>
            <w:tcW w:w="1060" w:type="dxa"/>
            <w:vAlign w:val="bottom"/>
            <w:tcBorders>
              <w:top w:val="single" w:sz="8" w:color="0000EE"/>
            </w:tcBorders>
            <w:gridSpan w:val="11"/>
          </w:tcPr>
          <w:p>
            <w:pPr>
              <w:spacing w:after="0"/>
              <w:rPr>
                <w:sz w:val="14"/>
                <w:szCs w:val="14"/>
                <w:color w:val="auto"/>
              </w:rPr>
            </w:pPr>
          </w:p>
        </w:tc>
        <w:tc>
          <w:tcPr>
            <w:tcW w:w="1720" w:type="dxa"/>
            <w:vAlign w:val="bottom"/>
            <w:gridSpan w:val="8"/>
          </w:tcPr>
          <w:p>
            <w:pPr>
              <w:spacing w:after="0"/>
              <w:rPr>
                <w:sz w:val="14"/>
                <w:szCs w:val="14"/>
                <w:color w:val="auto"/>
              </w:rPr>
            </w:pPr>
          </w:p>
        </w:tc>
        <w:tc>
          <w:tcPr>
            <w:tcW w:w="480" w:type="dxa"/>
            <w:vAlign w:val="bottom"/>
          </w:tcPr>
          <w:p>
            <w:pPr>
              <w:jc w:val="right"/>
              <w:ind w:right="23"/>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100" w:type="dxa"/>
            <w:vAlign w:val="bottom"/>
            <w:gridSpan w:val="24"/>
          </w:tcPr>
          <w:p>
            <w:pPr>
              <w:spacing w:after="0"/>
              <w:rPr>
                <w:sz w:val="20"/>
                <w:szCs w:val="20"/>
                <w:color w:val="auto"/>
              </w:rPr>
            </w:pPr>
            <w:r>
              <w:rPr>
                <w:rFonts w:ascii="Arial" w:cs="Arial" w:eastAsia="Arial" w:hAnsi="Arial"/>
                <w:sz w:val="14"/>
                <w:szCs w:val="14"/>
                <w:color w:val="0000EE"/>
              </w:rPr>
              <w:t>Role of Independent Compensation Consultant</w:t>
            </w:r>
          </w:p>
        </w:tc>
        <w:tc>
          <w:tcPr>
            <w:tcW w:w="480" w:type="dxa"/>
            <w:vAlign w:val="bottom"/>
          </w:tcPr>
          <w:p>
            <w:pPr>
              <w:jc w:val="right"/>
              <w:ind w:right="23"/>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0" w:type="dxa"/>
            <w:vAlign w:val="bottom"/>
            <w:gridSpan w:val="7"/>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780" w:type="dxa"/>
            <w:vAlign w:val="bottom"/>
            <w:gridSpan w:val="6"/>
            <w:shd w:val="clear" w:color="auto" w:fill="0000EE"/>
          </w:tcPr>
          <w:p>
            <w:pPr>
              <w:spacing w:after="0" w:line="20" w:lineRule="exact"/>
              <w:rPr>
                <w:sz w:val="1"/>
                <w:szCs w:val="1"/>
                <w:color w:val="auto"/>
              </w:rPr>
            </w:pPr>
          </w:p>
        </w:tc>
        <w:tc>
          <w:tcPr>
            <w:tcW w:w="112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60" w:type="dxa"/>
            <w:vAlign w:val="bottom"/>
            <w:tcBorders>
              <w:bottom w:val="single" w:sz="8" w:color="0000EE"/>
            </w:tcBorders>
            <w:gridSpan w:val="8"/>
          </w:tcPr>
          <w:p>
            <w:pPr>
              <w:spacing w:after="0"/>
              <w:rPr>
                <w:sz w:val="20"/>
                <w:szCs w:val="20"/>
                <w:color w:val="auto"/>
              </w:rPr>
            </w:pPr>
            <w:r>
              <w:rPr>
                <w:rFonts w:ascii="Arial" w:cs="Arial" w:eastAsia="Arial" w:hAnsi="Arial"/>
                <w:sz w:val="14"/>
                <w:szCs w:val="14"/>
                <w:color w:val="0000EE"/>
              </w:rPr>
              <w:t>2023 Compensation Decisions</w:t>
            </w:r>
          </w:p>
        </w:tc>
        <w:tc>
          <w:tcPr>
            <w:tcW w:w="2500" w:type="dxa"/>
            <w:vAlign w:val="bottom"/>
            <w:gridSpan w:val="17"/>
          </w:tcPr>
          <w:p>
            <w:pPr>
              <w:spacing w:after="0"/>
              <w:rPr>
                <w:sz w:val="14"/>
                <w:szCs w:val="14"/>
                <w:color w:val="auto"/>
              </w:rPr>
            </w:pPr>
          </w:p>
        </w:tc>
        <w:tc>
          <w:tcPr>
            <w:tcW w:w="480" w:type="dxa"/>
            <w:vAlign w:val="bottom"/>
          </w:tcPr>
          <w:p>
            <w:pPr>
              <w:jc w:val="right"/>
              <w:ind w:right="23"/>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0" w:type="dxa"/>
            <w:vAlign w:val="bottom"/>
            <w:tcBorders>
              <w:bottom w:val="single" w:sz="8" w:color="0000EE"/>
            </w:tcBorders>
            <w:gridSpan w:val="13"/>
          </w:tcPr>
          <w:p>
            <w:pPr>
              <w:spacing w:after="0"/>
              <w:rPr>
                <w:sz w:val="20"/>
                <w:szCs w:val="20"/>
                <w:color w:val="auto"/>
              </w:rPr>
            </w:pPr>
            <w:r>
              <w:rPr>
                <w:rFonts w:ascii="Arial" w:cs="Arial" w:eastAsia="Arial" w:hAnsi="Arial"/>
                <w:sz w:val="14"/>
                <w:szCs w:val="14"/>
                <w:color w:val="0000EE"/>
              </w:rPr>
              <w:t>Setting 2023 Target Compensation</w:t>
            </w:r>
          </w:p>
        </w:tc>
        <w:tc>
          <w:tcPr>
            <w:tcW w:w="1900" w:type="dxa"/>
            <w:vAlign w:val="bottom"/>
            <w:gridSpan w:val="11"/>
          </w:tcPr>
          <w:p>
            <w:pPr>
              <w:spacing w:after="0"/>
              <w:rPr>
                <w:sz w:val="14"/>
                <w:szCs w:val="14"/>
                <w:color w:val="auto"/>
              </w:rPr>
            </w:pPr>
          </w:p>
        </w:tc>
        <w:tc>
          <w:tcPr>
            <w:tcW w:w="480" w:type="dxa"/>
            <w:vAlign w:val="bottom"/>
          </w:tcPr>
          <w:p>
            <w:pPr>
              <w:jc w:val="right"/>
              <w:ind w:right="23"/>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100" w:type="dxa"/>
            <w:vAlign w:val="bottom"/>
            <w:gridSpan w:val="24"/>
          </w:tcPr>
          <w:p>
            <w:pPr>
              <w:spacing w:after="0"/>
              <w:rPr>
                <w:sz w:val="20"/>
                <w:szCs w:val="20"/>
                <w:color w:val="auto"/>
              </w:rPr>
            </w:pPr>
            <w:r>
              <w:rPr>
                <w:rFonts w:ascii="Arial" w:cs="Arial" w:eastAsia="Arial" w:hAnsi="Arial"/>
                <w:sz w:val="14"/>
                <w:szCs w:val="14"/>
                <w:color w:val="0000EE"/>
              </w:rPr>
              <w:t>Individual Elements of 2023 Pay</w:t>
            </w:r>
          </w:p>
        </w:tc>
        <w:tc>
          <w:tcPr>
            <w:tcW w:w="480" w:type="dxa"/>
            <w:vAlign w:val="bottom"/>
          </w:tcPr>
          <w:p>
            <w:pPr>
              <w:jc w:val="right"/>
              <w:ind w:right="23"/>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40" w:type="dxa"/>
            <w:vAlign w:val="bottom"/>
            <w:gridSpan w:val="9"/>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60" w:type="dxa"/>
            <w:vAlign w:val="bottom"/>
            <w:gridSpan w:val="1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0" w:type="dxa"/>
            <w:vAlign w:val="bottom"/>
            <w:tcBorders>
              <w:bottom w:val="single" w:sz="8" w:color="0000EE"/>
            </w:tcBorders>
            <w:gridSpan w:val="10"/>
          </w:tcPr>
          <w:p>
            <w:pPr>
              <w:spacing w:after="0"/>
              <w:rPr>
                <w:sz w:val="20"/>
                <w:szCs w:val="20"/>
                <w:color w:val="auto"/>
              </w:rPr>
            </w:pPr>
            <w:r>
              <w:rPr>
                <w:rFonts w:ascii="Arial" w:cs="Arial" w:eastAsia="Arial" w:hAnsi="Arial"/>
                <w:sz w:val="14"/>
                <w:szCs w:val="14"/>
                <w:color w:val="0000EE"/>
              </w:rPr>
              <w:t>2023 NEO Performance Summary</w:t>
            </w:r>
          </w:p>
        </w:tc>
        <w:tc>
          <w:tcPr>
            <w:tcW w:w="2260" w:type="dxa"/>
            <w:vAlign w:val="bottom"/>
            <w:gridSpan w:val="15"/>
          </w:tcPr>
          <w:p>
            <w:pPr>
              <w:spacing w:after="0"/>
              <w:rPr>
                <w:sz w:val="14"/>
                <w:szCs w:val="14"/>
                <w:color w:val="auto"/>
              </w:rPr>
            </w:pPr>
          </w:p>
        </w:tc>
        <w:tc>
          <w:tcPr>
            <w:tcW w:w="480" w:type="dxa"/>
            <w:vAlign w:val="bottom"/>
          </w:tcPr>
          <w:p>
            <w:pPr>
              <w:jc w:val="right"/>
              <w:ind w:right="23"/>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line="1" w:lineRule="exact"/>
        <w:rPr>
          <w:sz w:val="1"/>
          <w:szCs w:val="1"/>
          <w:color w:val="auto"/>
        </w:rPr>
      </w:pPr>
    </w:p>
    <w:tbl>
      <w:tblPr>
        <w:tblLayout w:type="fixed"/>
        <w:tblInd w:w="340" w:type="dxa"/>
        <w:tblCellMar>
          <w:top w:w="0" w:type="dxa"/>
          <w:left w:w="0" w:type="dxa"/>
          <w:bottom w:w="0" w:type="dxa"/>
          <w:right w:w="0" w:type="dxa"/>
        </w:tblCellMar>
      </w:tblPr>
      <w:tr>
        <w:trPr>
          <w:trHeight w:val="161"/>
        </w:trPr>
        <w:tc>
          <w:tcPr>
            <w:tcW w:w="2800" w:type="dxa"/>
            <w:vAlign w:val="bottom"/>
            <w:tcBorders>
              <w:bottom w:val="single" w:sz="8" w:color="0000EE"/>
            </w:tcBorders>
            <w:gridSpan w:val="8"/>
          </w:tcPr>
          <w:p>
            <w:pPr>
              <w:spacing w:after="0"/>
              <w:rPr>
                <w:sz w:val="20"/>
                <w:szCs w:val="20"/>
                <w:color w:val="auto"/>
              </w:rPr>
            </w:pPr>
            <w:r>
              <w:rPr>
                <w:rFonts w:ascii="Arial" w:cs="Arial" w:eastAsia="Arial" w:hAnsi="Arial"/>
                <w:sz w:val="14"/>
                <w:szCs w:val="14"/>
                <w:color w:val="0000EE"/>
              </w:rPr>
              <w:t>Other Compensation Practices and Policies</w:t>
            </w:r>
          </w:p>
        </w:tc>
        <w:tc>
          <w:tcPr>
            <w:tcW w:w="1340" w:type="dxa"/>
            <w:vAlign w:val="bottom"/>
            <w:gridSpan w:val="4"/>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28</w:t>
            </w:r>
          </w:p>
        </w:tc>
      </w:tr>
      <w:tr>
        <w:trPr>
          <w:trHeight w:val="169"/>
        </w:trPr>
        <w:tc>
          <w:tcPr>
            <w:tcW w:w="340" w:type="dxa"/>
            <w:vAlign w:val="bottom"/>
          </w:tcPr>
          <w:p>
            <w:pPr>
              <w:spacing w:after="0"/>
              <w:rPr>
                <w:sz w:val="14"/>
                <w:szCs w:val="14"/>
                <w:color w:val="auto"/>
              </w:rPr>
            </w:pPr>
          </w:p>
        </w:tc>
        <w:tc>
          <w:tcPr>
            <w:tcW w:w="2160" w:type="dxa"/>
            <w:vAlign w:val="bottom"/>
            <w:tcBorders>
              <w:bottom w:val="single" w:sz="8" w:color="0000EE"/>
            </w:tcBorders>
            <w:gridSpan w:val="5"/>
          </w:tcPr>
          <w:p>
            <w:pPr>
              <w:spacing w:after="0"/>
              <w:rPr>
                <w:sz w:val="20"/>
                <w:szCs w:val="20"/>
                <w:color w:val="auto"/>
              </w:rPr>
            </w:pPr>
            <w:r>
              <w:rPr>
                <w:rFonts w:ascii="Arial" w:cs="Arial" w:eastAsia="Arial" w:hAnsi="Arial"/>
                <w:sz w:val="14"/>
                <w:szCs w:val="14"/>
                <w:color w:val="0000EE"/>
              </w:rPr>
              <w:t>Consideration of Say on Pay Vote</w:t>
            </w:r>
          </w:p>
        </w:tc>
        <w:tc>
          <w:tcPr>
            <w:tcW w:w="1640" w:type="dxa"/>
            <w:vAlign w:val="bottom"/>
            <w:gridSpan w:val="6"/>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28</w:t>
            </w:r>
          </w:p>
        </w:tc>
      </w:tr>
      <w:tr>
        <w:trPr>
          <w:trHeight w:val="169"/>
        </w:trPr>
        <w:tc>
          <w:tcPr>
            <w:tcW w:w="340" w:type="dxa"/>
            <w:vAlign w:val="bottom"/>
          </w:tcPr>
          <w:p>
            <w:pPr>
              <w:spacing w:after="0"/>
              <w:rPr>
                <w:sz w:val="14"/>
                <w:szCs w:val="14"/>
                <w:color w:val="auto"/>
              </w:rPr>
            </w:pPr>
          </w:p>
        </w:tc>
        <w:tc>
          <w:tcPr>
            <w:tcW w:w="2440" w:type="dxa"/>
            <w:vAlign w:val="bottom"/>
            <w:tcBorders>
              <w:bottom w:val="single" w:sz="8" w:color="0000EE"/>
            </w:tcBorders>
            <w:gridSpan w:val="6"/>
          </w:tcPr>
          <w:p>
            <w:pPr>
              <w:spacing w:after="0"/>
              <w:rPr>
                <w:sz w:val="20"/>
                <w:szCs w:val="20"/>
                <w:color w:val="auto"/>
              </w:rPr>
            </w:pPr>
            <w:r>
              <w:rPr>
                <w:rFonts w:ascii="Arial" w:cs="Arial" w:eastAsia="Arial" w:hAnsi="Arial"/>
                <w:sz w:val="14"/>
                <w:szCs w:val="14"/>
                <w:color w:val="0000EE"/>
              </w:rPr>
              <w:t>No Hedging or Pledging of our Shares</w:t>
            </w:r>
          </w:p>
        </w:tc>
        <w:tc>
          <w:tcPr>
            <w:tcW w:w="1360" w:type="dxa"/>
            <w:vAlign w:val="bottom"/>
            <w:gridSpan w:val="5"/>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28</w:t>
            </w:r>
          </w:p>
        </w:tc>
      </w:tr>
      <w:tr>
        <w:trPr>
          <w:trHeight w:val="169"/>
        </w:trPr>
        <w:tc>
          <w:tcPr>
            <w:tcW w:w="340" w:type="dxa"/>
            <w:vAlign w:val="bottom"/>
          </w:tcPr>
          <w:p>
            <w:pPr>
              <w:spacing w:after="0"/>
              <w:rPr>
                <w:sz w:val="14"/>
                <w:szCs w:val="14"/>
                <w:color w:val="auto"/>
              </w:rPr>
            </w:pPr>
          </w:p>
        </w:tc>
        <w:tc>
          <w:tcPr>
            <w:tcW w:w="3800" w:type="dxa"/>
            <w:vAlign w:val="bottom"/>
            <w:gridSpan w:val="11"/>
          </w:tcPr>
          <w:p>
            <w:pPr>
              <w:spacing w:after="0"/>
              <w:rPr>
                <w:sz w:val="20"/>
                <w:szCs w:val="20"/>
                <w:color w:val="auto"/>
              </w:rPr>
            </w:pPr>
            <w:r>
              <w:rPr>
                <w:rFonts w:ascii="Arial" w:cs="Arial" w:eastAsia="Arial" w:hAnsi="Arial"/>
                <w:sz w:val="14"/>
                <w:szCs w:val="14"/>
                <w:color w:val="0000EE"/>
              </w:rPr>
              <w:t>Severance and Change-in-Control Arrangements</w:t>
            </w:r>
          </w:p>
        </w:tc>
        <w:tc>
          <w:tcPr>
            <w:tcW w:w="840" w:type="dxa"/>
            <w:vAlign w:val="bottom"/>
          </w:tcPr>
          <w:p>
            <w:pPr>
              <w:jc w:val="right"/>
              <w:spacing w:after="0"/>
              <w:rPr>
                <w:sz w:val="20"/>
                <w:szCs w:val="20"/>
                <w:color w:val="auto"/>
              </w:rPr>
            </w:pPr>
            <w:r>
              <w:rPr>
                <w:rFonts w:ascii="Arial" w:cs="Arial" w:eastAsia="Arial" w:hAnsi="Arial"/>
                <w:sz w:val="14"/>
                <w:szCs w:val="14"/>
                <w:color w:val="auto"/>
              </w:rPr>
              <w:t>28</w:t>
            </w:r>
          </w:p>
        </w:tc>
      </w:tr>
      <w:tr>
        <w:trPr>
          <w:trHeight w:val="169"/>
        </w:trPr>
        <w:tc>
          <w:tcPr>
            <w:tcW w:w="340" w:type="dxa"/>
            <w:vAlign w:val="bottom"/>
          </w:tcPr>
          <w:p>
            <w:pPr>
              <w:spacing w:after="0"/>
              <w:rPr>
                <w:sz w:val="14"/>
                <w:szCs w:val="14"/>
                <w:color w:val="auto"/>
              </w:rPr>
            </w:pPr>
          </w:p>
        </w:tc>
        <w:tc>
          <w:tcPr>
            <w:tcW w:w="1060" w:type="dxa"/>
            <w:vAlign w:val="bottom"/>
            <w:tcBorders>
              <w:top w:val="single" w:sz="8" w:color="0000EE"/>
              <w:bottom w:val="single" w:sz="8" w:color="0000EE"/>
            </w:tcBorders>
          </w:tcPr>
          <w:p>
            <w:pPr>
              <w:spacing w:after="0"/>
              <w:rPr>
                <w:sz w:val="20"/>
                <w:szCs w:val="20"/>
                <w:color w:val="auto"/>
              </w:rPr>
            </w:pPr>
            <w:r>
              <w:rPr>
                <w:rFonts w:ascii="Arial" w:cs="Arial" w:eastAsia="Arial" w:hAnsi="Arial"/>
                <w:sz w:val="14"/>
                <w:szCs w:val="14"/>
                <w:color w:val="0000EE"/>
              </w:rPr>
              <w:t>Clawback Policy</w:t>
            </w:r>
          </w:p>
        </w:tc>
        <w:tc>
          <w:tcPr>
            <w:tcW w:w="2060" w:type="dxa"/>
            <w:vAlign w:val="bottom"/>
            <w:tcBorders>
              <w:top w:val="single" w:sz="8" w:color="0000EE"/>
            </w:tcBorders>
            <w:gridSpan w:val="9"/>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28</w:t>
            </w:r>
          </w:p>
        </w:tc>
      </w:tr>
      <w:tr>
        <w:trPr>
          <w:trHeight w:val="169"/>
        </w:trPr>
        <w:tc>
          <w:tcPr>
            <w:tcW w:w="340" w:type="dxa"/>
            <w:vAlign w:val="bottom"/>
          </w:tcPr>
          <w:p>
            <w:pPr>
              <w:spacing w:after="0"/>
              <w:rPr>
                <w:sz w:val="14"/>
                <w:szCs w:val="14"/>
                <w:color w:val="auto"/>
              </w:rPr>
            </w:pPr>
          </w:p>
        </w:tc>
        <w:tc>
          <w:tcPr>
            <w:tcW w:w="1840" w:type="dxa"/>
            <w:vAlign w:val="bottom"/>
            <w:tcBorders>
              <w:bottom w:val="single" w:sz="8" w:color="0000EE"/>
            </w:tcBorders>
            <w:gridSpan w:val="4"/>
          </w:tcPr>
          <w:p>
            <w:pPr>
              <w:spacing w:after="0"/>
              <w:rPr>
                <w:sz w:val="20"/>
                <w:szCs w:val="20"/>
                <w:color w:val="auto"/>
              </w:rPr>
            </w:pPr>
            <w:r>
              <w:rPr>
                <w:rFonts w:ascii="Arial" w:cs="Arial" w:eastAsia="Arial" w:hAnsi="Arial"/>
                <w:sz w:val="14"/>
                <w:szCs w:val="14"/>
                <w:color w:val="0000EE"/>
              </w:rPr>
              <w:t>Share Ownership Guidelines</w:t>
            </w:r>
          </w:p>
        </w:tc>
        <w:tc>
          <w:tcPr>
            <w:tcW w:w="1960" w:type="dxa"/>
            <w:vAlign w:val="bottom"/>
            <w:gridSpan w:val="7"/>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28</w:t>
            </w:r>
          </w:p>
        </w:tc>
      </w:tr>
      <w:tr>
        <w:trPr>
          <w:trHeight w:val="169"/>
        </w:trPr>
        <w:tc>
          <w:tcPr>
            <w:tcW w:w="340" w:type="dxa"/>
            <w:vAlign w:val="bottom"/>
          </w:tcPr>
          <w:p>
            <w:pPr>
              <w:spacing w:after="0"/>
              <w:rPr>
                <w:sz w:val="14"/>
                <w:szCs w:val="14"/>
                <w:color w:val="auto"/>
              </w:rPr>
            </w:pPr>
          </w:p>
        </w:tc>
        <w:tc>
          <w:tcPr>
            <w:tcW w:w="2900" w:type="dxa"/>
            <w:vAlign w:val="bottom"/>
            <w:tcBorders>
              <w:bottom w:val="single" w:sz="8" w:color="0000EE"/>
            </w:tcBorders>
            <w:gridSpan w:val="9"/>
          </w:tcPr>
          <w:p>
            <w:pPr>
              <w:spacing w:after="0"/>
              <w:rPr>
                <w:sz w:val="20"/>
                <w:szCs w:val="20"/>
                <w:color w:val="auto"/>
              </w:rPr>
            </w:pPr>
            <w:r>
              <w:rPr>
                <w:rFonts w:ascii="Arial" w:cs="Arial" w:eastAsia="Arial" w:hAnsi="Arial"/>
                <w:sz w:val="14"/>
                <w:szCs w:val="14"/>
                <w:color w:val="0000EE"/>
              </w:rPr>
              <w:t>Risk Assessment of Compensation Programs</w:t>
            </w:r>
          </w:p>
        </w:tc>
        <w:tc>
          <w:tcPr>
            <w:tcW w:w="900" w:type="dxa"/>
            <w:vAlign w:val="bottom"/>
            <w:gridSpan w:val="2"/>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29</w:t>
            </w:r>
          </w:p>
        </w:tc>
      </w:tr>
      <w:tr>
        <w:trPr>
          <w:trHeight w:val="169"/>
        </w:trPr>
        <w:tc>
          <w:tcPr>
            <w:tcW w:w="340" w:type="dxa"/>
            <w:vAlign w:val="bottom"/>
          </w:tcPr>
          <w:p>
            <w:pPr>
              <w:spacing w:after="0"/>
              <w:rPr>
                <w:sz w:val="14"/>
                <w:szCs w:val="14"/>
                <w:color w:val="auto"/>
              </w:rPr>
            </w:pPr>
          </w:p>
        </w:tc>
        <w:tc>
          <w:tcPr>
            <w:tcW w:w="1440" w:type="dxa"/>
            <w:vAlign w:val="bottom"/>
            <w:tcBorders>
              <w:bottom w:val="single" w:sz="8" w:color="0000EE"/>
            </w:tcBorders>
            <w:gridSpan w:val="2"/>
          </w:tcPr>
          <w:p>
            <w:pPr>
              <w:spacing w:after="0"/>
              <w:rPr>
                <w:sz w:val="20"/>
                <w:szCs w:val="20"/>
                <w:color w:val="auto"/>
              </w:rPr>
            </w:pPr>
            <w:r>
              <w:rPr>
                <w:rFonts w:ascii="Arial" w:cs="Arial" w:eastAsia="Arial" w:hAnsi="Arial"/>
                <w:sz w:val="14"/>
                <w:szCs w:val="14"/>
                <w:color w:val="0000EE"/>
              </w:rPr>
              <w:t>Equity Grant Practices</w:t>
            </w:r>
          </w:p>
        </w:tc>
        <w:tc>
          <w:tcPr>
            <w:tcW w:w="2360" w:type="dxa"/>
            <w:vAlign w:val="bottom"/>
            <w:gridSpan w:val="9"/>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29</w:t>
            </w:r>
          </w:p>
        </w:tc>
      </w:tr>
      <w:tr>
        <w:trPr>
          <w:trHeight w:val="169"/>
        </w:trPr>
        <w:tc>
          <w:tcPr>
            <w:tcW w:w="340" w:type="dxa"/>
            <w:vAlign w:val="bottom"/>
          </w:tcPr>
          <w:p>
            <w:pPr>
              <w:spacing w:after="0"/>
              <w:rPr>
                <w:sz w:val="14"/>
                <w:szCs w:val="14"/>
                <w:color w:val="auto"/>
              </w:rPr>
            </w:pPr>
          </w:p>
        </w:tc>
        <w:tc>
          <w:tcPr>
            <w:tcW w:w="2840" w:type="dxa"/>
            <w:vAlign w:val="bottom"/>
            <w:tcBorders>
              <w:bottom w:val="single" w:sz="8" w:color="0000EE"/>
            </w:tcBorders>
            <w:gridSpan w:val="8"/>
          </w:tcPr>
          <w:p>
            <w:pPr>
              <w:spacing w:after="0"/>
              <w:rPr>
                <w:sz w:val="20"/>
                <w:szCs w:val="20"/>
                <w:color w:val="auto"/>
              </w:rPr>
            </w:pPr>
            <w:r>
              <w:rPr>
                <w:rFonts w:ascii="Arial" w:cs="Arial" w:eastAsia="Arial" w:hAnsi="Arial"/>
                <w:sz w:val="14"/>
                <w:szCs w:val="14"/>
                <w:color w:val="0000EE"/>
              </w:rPr>
              <w:t>Tax Deductibility of Executive Compensation</w:t>
            </w:r>
          </w:p>
        </w:tc>
        <w:tc>
          <w:tcPr>
            <w:tcW w:w="960" w:type="dxa"/>
            <w:vAlign w:val="bottom"/>
            <w:gridSpan w:val="3"/>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29</w:t>
            </w:r>
          </w:p>
        </w:tc>
      </w:tr>
      <w:tr>
        <w:trPr>
          <w:trHeight w:val="169"/>
        </w:trPr>
        <w:tc>
          <w:tcPr>
            <w:tcW w:w="340" w:type="dxa"/>
            <w:vAlign w:val="bottom"/>
          </w:tcPr>
          <w:p>
            <w:pPr>
              <w:spacing w:after="0"/>
              <w:rPr>
                <w:sz w:val="14"/>
                <w:szCs w:val="14"/>
                <w:color w:val="auto"/>
              </w:rPr>
            </w:pPr>
          </w:p>
        </w:tc>
        <w:tc>
          <w:tcPr>
            <w:tcW w:w="1800" w:type="dxa"/>
            <w:vAlign w:val="bottom"/>
            <w:tcBorders>
              <w:bottom w:val="single" w:sz="8" w:color="0000EE"/>
            </w:tcBorders>
            <w:gridSpan w:val="3"/>
          </w:tcPr>
          <w:p>
            <w:pPr>
              <w:spacing w:after="0"/>
              <w:rPr>
                <w:sz w:val="20"/>
                <w:szCs w:val="20"/>
                <w:color w:val="auto"/>
              </w:rPr>
            </w:pPr>
            <w:r>
              <w:rPr>
                <w:rFonts w:ascii="Arial" w:cs="Arial" w:eastAsia="Arial" w:hAnsi="Arial"/>
                <w:sz w:val="14"/>
                <w:szCs w:val="14"/>
                <w:color w:val="0000EE"/>
              </w:rPr>
              <w:t>Health and Welfare Benefits</w:t>
            </w:r>
          </w:p>
        </w:tc>
        <w:tc>
          <w:tcPr>
            <w:tcW w:w="2000" w:type="dxa"/>
            <w:vAlign w:val="bottom"/>
            <w:gridSpan w:val="8"/>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30</w:t>
            </w:r>
          </w:p>
        </w:tc>
      </w:tr>
      <w:tr>
        <w:trPr>
          <w:trHeight w:val="169"/>
        </w:trPr>
        <w:tc>
          <w:tcPr>
            <w:tcW w:w="2140" w:type="dxa"/>
            <w:vAlign w:val="bottom"/>
            <w:tcBorders>
              <w:bottom w:val="single" w:sz="8" w:color="0000EE"/>
            </w:tcBorders>
            <w:gridSpan w:val="4"/>
          </w:tcPr>
          <w:p>
            <w:pPr>
              <w:spacing w:after="0"/>
              <w:rPr>
                <w:sz w:val="20"/>
                <w:szCs w:val="20"/>
                <w:color w:val="auto"/>
              </w:rPr>
            </w:pPr>
            <w:r>
              <w:rPr>
                <w:rFonts w:ascii="Arial" w:cs="Arial" w:eastAsia="Arial" w:hAnsi="Arial"/>
                <w:sz w:val="14"/>
                <w:szCs w:val="14"/>
                <w:color w:val="0000EE"/>
              </w:rPr>
              <w:t>Compensation Committee Report</w:t>
            </w:r>
          </w:p>
        </w:tc>
        <w:tc>
          <w:tcPr>
            <w:tcW w:w="2000" w:type="dxa"/>
            <w:vAlign w:val="bottom"/>
            <w:gridSpan w:val="8"/>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30</w:t>
            </w:r>
          </w:p>
        </w:tc>
      </w:tr>
    </w:tbl>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0" w:type="dxa"/>
            <w:vAlign w:val="bottom"/>
          </w:tcPr>
          <w:p>
            <w:pPr>
              <w:spacing w:after="0"/>
              <w:rPr>
                <w:sz w:val="21"/>
                <w:szCs w:val="21"/>
                <w:color w:val="auto"/>
              </w:rPr>
            </w:pPr>
          </w:p>
        </w:tc>
        <w:tc>
          <w:tcPr>
            <w:tcW w:w="4580" w:type="dxa"/>
            <w:vAlign w:val="bottom"/>
            <w:gridSpan w:val="31"/>
          </w:tcPr>
          <w:p>
            <w:pPr>
              <w:spacing w:after="0"/>
              <w:rPr>
                <w:sz w:val="20"/>
                <w:szCs w:val="20"/>
                <w:color w:val="auto"/>
              </w:rPr>
            </w:pPr>
            <w:r>
              <w:rPr>
                <w:rFonts w:ascii="Arial" w:cs="Arial" w:eastAsia="Arial" w:hAnsi="Arial"/>
                <w:sz w:val="22"/>
                <w:szCs w:val="22"/>
                <w:b w:val="1"/>
                <w:bCs w:val="1"/>
                <w:color w:val="0000EE"/>
              </w:rPr>
              <w:t>C</w:t>
            </w:r>
            <w:r>
              <w:rPr>
                <w:rFonts w:ascii="Arial" w:cs="Arial" w:eastAsia="Arial" w:hAnsi="Arial"/>
                <w:sz w:val="17"/>
                <w:szCs w:val="17"/>
                <w:b w:val="1"/>
                <w:bCs w:val="1"/>
                <w:color w:val="0000EE"/>
              </w:rPr>
              <w:t>OMPENSATION</w:t>
            </w:r>
            <w:r>
              <w:rPr>
                <w:rFonts w:ascii="Arial" w:cs="Arial" w:eastAsia="Arial" w:hAnsi="Arial"/>
                <w:sz w:val="22"/>
                <w:szCs w:val="22"/>
                <w:b w:val="1"/>
                <w:bCs w:val="1"/>
                <w:color w:val="0000EE"/>
              </w:rPr>
              <w:t xml:space="preserve"> T</w:t>
            </w:r>
            <w:r>
              <w:rPr>
                <w:rFonts w:ascii="Arial" w:cs="Arial" w:eastAsia="Arial" w:hAnsi="Arial"/>
                <w:sz w:val="17"/>
                <w:szCs w:val="17"/>
                <w:b w:val="1"/>
                <w:bCs w:val="1"/>
                <w:color w:val="0000EE"/>
              </w:rPr>
              <w:t>ABLES AND</w:t>
            </w:r>
            <w:r>
              <w:rPr>
                <w:rFonts w:ascii="Arial" w:cs="Arial" w:eastAsia="Arial" w:hAnsi="Arial"/>
                <w:sz w:val="22"/>
                <w:szCs w:val="22"/>
                <w:b w:val="1"/>
                <w:bCs w:val="1"/>
                <w:color w:val="0000EE"/>
              </w:rPr>
              <w:t xml:space="preserve"> N</w:t>
            </w:r>
            <w:r>
              <w:rPr>
                <w:rFonts w:ascii="Arial" w:cs="Arial" w:eastAsia="Arial" w:hAnsi="Arial"/>
                <w:sz w:val="17"/>
                <w:szCs w:val="17"/>
                <w:b w:val="1"/>
                <w:bCs w:val="1"/>
                <w:color w:val="0000EE"/>
              </w:rPr>
              <w:t>ARRATIVES</w:t>
            </w:r>
          </w:p>
        </w:tc>
        <w:tc>
          <w:tcPr>
            <w:tcW w:w="720" w:type="dxa"/>
            <w:vAlign w:val="bottom"/>
          </w:tcPr>
          <w:p>
            <w:pPr>
              <w:jc w:val="right"/>
              <w:ind w:right="1"/>
              <w:spacing w:after="0"/>
              <w:rPr>
                <w:sz w:val="20"/>
                <w:szCs w:val="20"/>
                <w:color w:val="auto"/>
              </w:rPr>
            </w:pPr>
            <w:r>
              <w:rPr>
                <w:rFonts w:ascii="Arial" w:cs="Arial" w:eastAsia="Arial" w:hAnsi="Arial"/>
                <w:sz w:val="22"/>
                <w:szCs w:val="22"/>
                <w:b w:val="1"/>
                <w:bCs w:val="1"/>
                <w:color w:val="FF160F"/>
              </w:rPr>
              <w:t>31</w:t>
            </w:r>
          </w:p>
        </w:tc>
        <w:tc>
          <w:tcPr>
            <w:tcW w:w="0" w:type="dxa"/>
            <w:vAlign w:val="bottom"/>
          </w:tcPr>
          <w:p>
            <w:pPr>
              <w:spacing w:after="0"/>
              <w:rPr>
                <w:sz w:val="1"/>
                <w:szCs w:val="1"/>
                <w:color w:val="auto"/>
              </w:rPr>
            </w:pPr>
          </w:p>
        </w:tc>
      </w:tr>
      <w:tr>
        <w:trPr>
          <w:trHeight w:val="28"/>
        </w:trPr>
        <w:tc>
          <w:tcPr>
            <w:tcW w:w="100" w:type="dxa"/>
            <w:vAlign w:val="bottom"/>
            <w:tcBorders>
              <w:bottom w:val="single" w:sz="8" w:color="auto"/>
            </w:tcBorders>
          </w:tcPr>
          <w:p>
            <w:pPr>
              <w:spacing w:after="0"/>
              <w:rPr>
                <w:sz w:val="2"/>
                <w:szCs w:val="2"/>
                <w:color w:val="auto"/>
              </w:rPr>
            </w:pPr>
          </w:p>
        </w:tc>
        <w:tc>
          <w:tcPr>
            <w:tcW w:w="24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68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28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160" w:type="dxa"/>
            <w:vAlign w:val="bottom"/>
            <w:tcBorders>
              <w:top w:val="single" w:sz="8" w:color="0000EE"/>
              <w:bottom w:val="single" w:sz="8" w:color="auto"/>
            </w:tcBorders>
          </w:tcPr>
          <w:p>
            <w:pPr>
              <w:spacing w:after="0"/>
              <w:rPr>
                <w:sz w:val="2"/>
                <w:szCs w:val="2"/>
                <w:color w:val="auto"/>
              </w:rPr>
            </w:pPr>
          </w:p>
        </w:tc>
        <w:tc>
          <w:tcPr>
            <w:tcW w:w="42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20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24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220" w:type="dxa"/>
            <w:vAlign w:val="bottom"/>
            <w:tcBorders>
              <w:top w:val="single" w:sz="8" w:color="0000EE"/>
              <w:bottom w:val="single" w:sz="8" w:color="auto"/>
            </w:tcBorders>
          </w:tcPr>
          <w:p>
            <w:pPr>
              <w:spacing w:after="0"/>
              <w:rPr>
                <w:sz w:val="2"/>
                <w:szCs w:val="2"/>
                <w:color w:val="auto"/>
              </w:rPr>
            </w:pPr>
          </w:p>
        </w:tc>
        <w:tc>
          <w:tcPr>
            <w:tcW w:w="18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16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0" w:type="dxa"/>
            <w:vAlign w:val="bottom"/>
            <w:tcBorders>
              <w:top w:val="single" w:sz="8" w:color="0000EE"/>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8"/>
        </w:trPr>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340" w:type="dxa"/>
            <w:vAlign w:val="bottom"/>
            <w:gridSpan w:val="30"/>
          </w:tcPr>
          <w:p>
            <w:pPr>
              <w:spacing w:after="0" w:line="149" w:lineRule="exact"/>
              <w:rPr>
                <w:sz w:val="20"/>
                <w:szCs w:val="20"/>
                <w:color w:val="auto"/>
              </w:rPr>
            </w:pPr>
            <w:r>
              <w:rPr>
                <w:rFonts w:ascii="Arial" w:cs="Arial" w:eastAsia="Arial" w:hAnsi="Arial"/>
                <w:sz w:val="14"/>
                <w:szCs w:val="14"/>
                <w:color w:val="0000EE"/>
              </w:rPr>
              <w:t>Summary Compensation Table</w:t>
            </w:r>
          </w:p>
        </w:tc>
        <w:tc>
          <w:tcPr>
            <w:tcW w:w="720" w:type="dxa"/>
            <w:vAlign w:val="bottom"/>
          </w:tcPr>
          <w:p>
            <w:pPr>
              <w:jc w:val="right"/>
              <w:ind w:right="1"/>
              <w:spacing w:after="0" w:line="149" w:lineRule="exact"/>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340" w:type="dxa"/>
            <w:vAlign w:val="bottom"/>
            <w:gridSpan w:val="30"/>
          </w:tcPr>
          <w:p>
            <w:pPr>
              <w:spacing w:after="0"/>
              <w:rPr>
                <w:sz w:val="20"/>
                <w:szCs w:val="20"/>
                <w:color w:val="auto"/>
              </w:rPr>
            </w:pPr>
            <w:r>
              <w:rPr>
                <w:rFonts w:ascii="Arial" w:cs="Arial" w:eastAsia="Arial" w:hAnsi="Arial"/>
                <w:sz w:val="14"/>
                <w:szCs w:val="14"/>
                <w:color w:val="0000EE"/>
              </w:rPr>
              <w:t>Grants of Plan Based Awards Table</w:t>
            </w:r>
          </w:p>
        </w:tc>
        <w:tc>
          <w:tcPr>
            <w:tcW w:w="720" w:type="dxa"/>
            <w:vAlign w:val="bottom"/>
          </w:tcPr>
          <w:p>
            <w:pPr>
              <w:jc w:val="right"/>
              <w:ind w:right="1"/>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340" w:type="dxa"/>
            <w:vAlign w:val="bottom"/>
            <w:tcBorders>
              <w:bottom w:val="single" w:sz="8" w:color="0000EE"/>
            </w:tcBorders>
            <w:gridSpan w:val="23"/>
          </w:tcPr>
          <w:p>
            <w:pPr>
              <w:spacing w:after="0"/>
              <w:rPr>
                <w:sz w:val="20"/>
                <w:szCs w:val="20"/>
                <w:color w:val="auto"/>
              </w:rPr>
            </w:pPr>
            <w:r>
              <w:rPr>
                <w:rFonts w:ascii="Arial" w:cs="Arial" w:eastAsia="Arial" w:hAnsi="Arial"/>
                <w:sz w:val="14"/>
                <w:szCs w:val="14"/>
                <w:color w:val="0000EE"/>
              </w:rPr>
              <w:t>Outstanding Equity Awards at Fiscal Year End Table</w:t>
            </w:r>
          </w:p>
        </w:tc>
        <w:tc>
          <w:tcPr>
            <w:tcW w:w="1000" w:type="dxa"/>
            <w:vAlign w:val="bottom"/>
            <w:gridSpan w:val="7"/>
          </w:tcPr>
          <w:p>
            <w:pPr>
              <w:spacing w:after="0"/>
              <w:rPr>
                <w:sz w:val="14"/>
                <w:szCs w:val="14"/>
                <w:color w:val="auto"/>
              </w:rPr>
            </w:pPr>
          </w:p>
        </w:tc>
        <w:tc>
          <w:tcPr>
            <w:tcW w:w="720" w:type="dxa"/>
            <w:vAlign w:val="bottom"/>
          </w:tcPr>
          <w:p>
            <w:pPr>
              <w:jc w:val="right"/>
              <w:ind w:right="1"/>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40" w:type="dxa"/>
            <w:vAlign w:val="bottom"/>
            <w:tcBorders>
              <w:bottom w:val="single" w:sz="8" w:color="0000EE"/>
            </w:tcBorders>
            <w:gridSpan w:val="19"/>
          </w:tcPr>
          <w:p>
            <w:pPr>
              <w:spacing w:after="0"/>
              <w:rPr>
                <w:sz w:val="20"/>
                <w:szCs w:val="20"/>
                <w:color w:val="auto"/>
              </w:rPr>
            </w:pPr>
            <w:r>
              <w:rPr>
                <w:rFonts w:ascii="Arial" w:cs="Arial" w:eastAsia="Arial" w:hAnsi="Arial"/>
                <w:sz w:val="14"/>
                <w:szCs w:val="14"/>
                <w:color w:val="0000EE"/>
              </w:rPr>
              <w:t>Options Exercised and Stock Vested in 2023</w:t>
            </w:r>
          </w:p>
        </w:tc>
        <w:tc>
          <w:tcPr>
            <w:tcW w:w="1500" w:type="dxa"/>
            <w:vAlign w:val="bottom"/>
            <w:gridSpan w:val="11"/>
          </w:tcPr>
          <w:p>
            <w:pPr>
              <w:spacing w:after="0"/>
              <w:rPr>
                <w:sz w:val="14"/>
                <w:szCs w:val="14"/>
                <w:color w:val="auto"/>
              </w:rPr>
            </w:pPr>
          </w:p>
        </w:tc>
        <w:tc>
          <w:tcPr>
            <w:tcW w:w="720" w:type="dxa"/>
            <w:vAlign w:val="bottom"/>
          </w:tcPr>
          <w:p>
            <w:pPr>
              <w:jc w:val="right"/>
              <w:ind w:right="1"/>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340" w:type="dxa"/>
            <w:vAlign w:val="bottom"/>
            <w:gridSpan w:val="30"/>
          </w:tcPr>
          <w:p>
            <w:pPr>
              <w:spacing w:after="0"/>
              <w:rPr>
                <w:sz w:val="20"/>
                <w:szCs w:val="20"/>
                <w:color w:val="auto"/>
              </w:rPr>
            </w:pPr>
            <w:r>
              <w:rPr>
                <w:rFonts w:ascii="Arial" w:cs="Arial" w:eastAsia="Arial" w:hAnsi="Arial"/>
                <w:sz w:val="14"/>
                <w:szCs w:val="14"/>
                <w:color w:val="0000EE"/>
              </w:rPr>
              <w:t>Non-Qualified Deferred Compensation</w:t>
            </w:r>
          </w:p>
        </w:tc>
        <w:tc>
          <w:tcPr>
            <w:tcW w:w="720" w:type="dxa"/>
            <w:vAlign w:val="bottom"/>
          </w:tcPr>
          <w:p>
            <w:pPr>
              <w:jc w:val="right"/>
              <w:ind w:right="1"/>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340" w:type="dxa"/>
            <w:vAlign w:val="bottom"/>
            <w:gridSpan w:val="30"/>
          </w:tcPr>
          <w:p>
            <w:pPr>
              <w:spacing w:after="0"/>
              <w:rPr>
                <w:sz w:val="20"/>
                <w:szCs w:val="20"/>
                <w:color w:val="auto"/>
              </w:rPr>
            </w:pPr>
            <w:r>
              <w:rPr>
                <w:rFonts w:ascii="Arial" w:cs="Arial" w:eastAsia="Arial" w:hAnsi="Arial"/>
                <w:sz w:val="14"/>
                <w:szCs w:val="14"/>
                <w:color w:val="0000EE"/>
              </w:rPr>
              <w:t>Potential Payments on Termination of Employment and</w:t>
            </w:r>
          </w:p>
        </w:tc>
        <w:tc>
          <w:tcPr>
            <w:tcW w:w="720" w:type="dxa"/>
            <w:vAlign w:val="bottom"/>
          </w:tcPr>
          <w:p>
            <w:pPr>
              <w:jc w:val="right"/>
              <w:ind w:right="1"/>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42"/>
        </w:trPr>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top w:val="single" w:sz="8" w:color="0000EE"/>
            </w:tcBorders>
          </w:tcPr>
          <w:p>
            <w:pPr>
              <w:spacing w:after="0"/>
              <w:rPr>
                <w:sz w:val="12"/>
                <w:szCs w:val="12"/>
                <w:color w:val="auto"/>
              </w:rPr>
            </w:pPr>
          </w:p>
        </w:tc>
        <w:tc>
          <w:tcPr>
            <w:tcW w:w="3400" w:type="dxa"/>
            <w:vAlign w:val="bottom"/>
            <w:tcBorders>
              <w:top w:val="single" w:sz="8" w:color="0000EE"/>
            </w:tcBorders>
            <w:gridSpan w:val="23"/>
          </w:tcPr>
          <w:p>
            <w:pPr>
              <w:spacing w:after="0" w:line="142" w:lineRule="exact"/>
              <w:rPr>
                <w:sz w:val="20"/>
                <w:szCs w:val="20"/>
                <w:color w:val="auto"/>
              </w:rPr>
            </w:pPr>
            <w:r>
              <w:rPr>
                <w:rFonts w:ascii="Arial" w:cs="Arial" w:eastAsia="Arial" w:hAnsi="Arial"/>
                <w:sz w:val="14"/>
                <w:szCs w:val="14"/>
                <w:color w:val="0000EE"/>
              </w:rPr>
              <w:t>Change-in-Control</w:t>
            </w:r>
          </w:p>
        </w:tc>
        <w:tc>
          <w:tcPr>
            <w:tcW w:w="20" w:type="dxa"/>
            <w:vAlign w:val="bottom"/>
          </w:tcPr>
          <w:p>
            <w:pPr>
              <w:spacing w:after="0"/>
              <w:rPr>
                <w:sz w:val="12"/>
                <w:szCs w:val="12"/>
                <w:color w:val="auto"/>
              </w:rPr>
            </w:pPr>
          </w:p>
        </w:tc>
        <w:tc>
          <w:tcPr>
            <w:tcW w:w="38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Borders>
              <w:bottom w:val="single" w:sz="8" w:color="0000EE"/>
            </w:tcBorders>
            <w:gridSpan w:val="4"/>
          </w:tcPr>
          <w:p>
            <w:pPr>
              <w:spacing w:after="0"/>
              <w:rPr>
                <w:sz w:val="20"/>
                <w:szCs w:val="20"/>
                <w:color w:val="auto"/>
              </w:rPr>
            </w:pPr>
            <w:r>
              <w:rPr>
                <w:rFonts w:ascii="Arial" w:cs="Arial" w:eastAsia="Arial" w:hAnsi="Arial"/>
                <w:sz w:val="14"/>
                <w:szCs w:val="14"/>
                <w:color w:val="0000EE"/>
              </w:rPr>
              <w:t>CEO Pay Ratio</w:t>
            </w:r>
          </w:p>
        </w:tc>
        <w:tc>
          <w:tcPr>
            <w:tcW w:w="3360" w:type="dxa"/>
            <w:vAlign w:val="bottom"/>
            <w:gridSpan w:val="26"/>
          </w:tcPr>
          <w:p>
            <w:pPr>
              <w:spacing w:after="0"/>
              <w:rPr>
                <w:sz w:val="14"/>
                <w:szCs w:val="14"/>
                <w:color w:val="auto"/>
              </w:rPr>
            </w:pPr>
          </w:p>
        </w:tc>
        <w:tc>
          <w:tcPr>
            <w:tcW w:w="720" w:type="dxa"/>
            <w:vAlign w:val="bottom"/>
          </w:tcPr>
          <w:p>
            <w:pPr>
              <w:jc w:val="right"/>
              <w:ind w:right="1"/>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340" w:type="dxa"/>
            <w:vAlign w:val="bottom"/>
            <w:gridSpan w:val="30"/>
          </w:tcPr>
          <w:p>
            <w:pPr>
              <w:spacing w:after="0"/>
              <w:rPr>
                <w:sz w:val="20"/>
                <w:szCs w:val="20"/>
                <w:color w:val="auto"/>
              </w:rPr>
            </w:pPr>
            <w:r>
              <w:rPr>
                <w:rFonts w:ascii="Arial" w:cs="Arial" w:eastAsia="Arial" w:hAnsi="Arial"/>
                <w:sz w:val="14"/>
                <w:szCs w:val="14"/>
                <w:color w:val="0000EE"/>
              </w:rPr>
              <w:t>Pay Versus Performance Disclosure</w:t>
            </w:r>
          </w:p>
        </w:tc>
        <w:tc>
          <w:tcPr>
            <w:tcW w:w="720" w:type="dxa"/>
            <w:vAlign w:val="bottom"/>
          </w:tcPr>
          <w:p>
            <w:pPr>
              <w:jc w:val="right"/>
              <w:ind w:right="1"/>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60" w:type="dxa"/>
            <w:vAlign w:val="bottom"/>
            <w:tcBorders>
              <w:bottom w:val="single" w:sz="8" w:color="0000EE"/>
            </w:tcBorders>
            <w:gridSpan w:val="15"/>
          </w:tcPr>
          <w:p>
            <w:pPr>
              <w:spacing w:after="0"/>
              <w:rPr>
                <w:sz w:val="20"/>
                <w:szCs w:val="20"/>
                <w:color w:val="auto"/>
              </w:rPr>
            </w:pPr>
            <w:r>
              <w:rPr>
                <w:rFonts w:ascii="Arial" w:cs="Arial" w:eastAsia="Arial" w:hAnsi="Arial"/>
                <w:sz w:val="14"/>
                <w:szCs w:val="14"/>
                <w:color w:val="0000EE"/>
              </w:rPr>
              <w:t>Equity Compensation Plan Information</w:t>
            </w:r>
          </w:p>
        </w:tc>
        <w:tc>
          <w:tcPr>
            <w:tcW w:w="1880" w:type="dxa"/>
            <w:vAlign w:val="bottom"/>
            <w:gridSpan w:val="15"/>
          </w:tcPr>
          <w:p>
            <w:pPr>
              <w:spacing w:after="0"/>
              <w:rPr>
                <w:sz w:val="14"/>
                <w:szCs w:val="14"/>
                <w:color w:val="auto"/>
              </w:rPr>
            </w:pPr>
          </w:p>
        </w:tc>
        <w:tc>
          <w:tcPr>
            <w:tcW w:w="720" w:type="dxa"/>
            <w:vAlign w:val="bottom"/>
          </w:tcPr>
          <w:p>
            <w:pPr>
              <w:jc w:val="right"/>
              <w:ind w:right="1"/>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331"/>
        </w:trPr>
        <w:tc>
          <w:tcPr>
            <w:tcW w:w="100" w:type="dxa"/>
            <w:vAlign w:val="bottom"/>
          </w:tcPr>
          <w:p>
            <w:pPr>
              <w:spacing w:after="0"/>
              <w:rPr>
                <w:sz w:val="24"/>
                <w:szCs w:val="24"/>
                <w:color w:val="auto"/>
              </w:rPr>
            </w:pPr>
          </w:p>
        </w:tc>
        <w:tc>
          <w:tcPr>
            <w:tcW w:w="4580" w:type="dxa"/>
            <w:vAlign w:val="bottom"/>
            <w:gridSpan w:val="31"/>
          </w:tcPr>
          <w:p>
            <w:pPr>
              <w:spacing w:after="0"/>
              <w:rPr>
                <w:sz w:val="20"/>
                <w:szCs w:val="20"/>
                <w:color w:val="auto"/>
              </w:rPr>
            </w:pPr>
            <w:r>
              <w:rPr>
                <w:rFonts w:ascii="Arial" w:cs="Arial" w:eastAsia="Arial" w:hAnsi="Arial"/>
                <w:sz w:val="22"/>
                <w:szCs w:val="22"/>
                <w:b w:val="1"/>
                <w:bCs w:val="1"/>
                <w:color w:val="0000EE"/>
              </w:rPr>
              <w:t>P</w:t>
            </w:r>
            <w:r>
              <w:rPr>
                <w:rFonts w:ascii="Arial" w:cs="Arial" w:eastAsia="Arial" w:hAnsi="Arial"/>
                <w:sz w:val="17"/>
                <w:szCs w:val="17"/>
                <w:b w:val="1"/>
                <w:bCs w:val="1"/>
                <w:color w:val="0000EE"/>
              </w:rPr>
              <w:t>ROPOSAL</w:t>
            </w:r>
            <w:r>
              <w:rPr>
                <w:rFonts w:ascii="Arial" w:cs="Arial" w:eastAsia="Arial" w:hAnsi="Arial"/>
                <w:sz w:val="22"/>
                <w:szCs w:val="22"/>
                <w:b w:val="1"/>
                <w:bCs w:val="1"/>
                <w:color w:val="0000EE"/>
              </w:rPr>
              <w:t xml:space="preserve"> 3: R</w:t>
            </w:r>
            <w:r>
              <w:rPr>
                <w:rFonts w:ascii="Arial" w:cs="Arial" w:eastAsia="Arial" w:hAnsi="Arial"/>
                <w:sz w:val="17"/>
                <w:szCs w:val="17"/>
                <w:b w:val="1"/>
                <w:bCs w:val="1"/>
                <w:color w:val="0000EE"/>
              </w:rPr>
              <w:t>ATIFICATION OF</w:t>
            </w:r>
            <w:r>
              <w:rPr>
                <w:rFonts w:ascii="Arial" w:cs="Arial" w:eastAsia="Arial" w:hAnsi="Arial"/>
                <w:sz w:val="22"/>
                <w:szCs w:val="22"/>
                <w:b w:val="1"/>
                <w:bCs w:val="1"/>
                <w:color w:val="0000EE"/>
              </w:rPr>
              <w:t xml:space="preserve"> I</w:t>
            </w:r>
            <w:r>
              <w:rPr>
                <w:rFonts w:ascii="Arial" w:cs="Arial" w:eastAsia="Arial" w:hAnsi="Arial"/>
                <w:sz w:val="17"/>
                <w:szCs w:val="17"/>
                <w:b w:val="1"/>
                <w:bCs w:val="1"/>
                <w:color w:val="0000EE"/>
              </w:rPr>
              <w:t>NDEPENDENT</w:t>
            </w:r>
          </w:p>
        </w:tc>
        <w:tc>
          <w:tcPr>
            <w:tcW w:w="720" w:type="dxa"/>
            <w:vAlign w:val="bottom"/>
            <w:vMerge w:val="restart"/>
          </w:tcPr>
          <w:p>
            <w:pPr>
              <w:jc w:val="right"/>
              <w:ind w:right="1"/>
              <w:spacing w:after="0"/>
              <w:rPr>
                <w:sz w:val="20"/>
                <w:szCs w:val="20"/>
                <w:color w:val="auto"/>
              </w:rPr>
            </w:pPr>
            <w:r>
              <w:rPr>
                <w:rFonts w:ascii="Arial" w:cs="Arial" w:eastAsia="Arial" w:hAnsi="Arial"/>
                <w:sz w:val="22"/>
                <w:szCs w:val="22"/>
                <w:b w:val="1"/>
                <w:bCs w:val="1"/>
                <w:color w:val="FF160F"/>
              </w:rPr>
              <w:t>40</w:t>
            </w: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4280" w:type="dxa"/>
            <w:vAlign w:val="bottom"/>
            <w:tcBorders>
              <w:top w:val="single" w:sz="8" w:color="0000EE"/>
            </w:tcBorders>
            <w:gridSpan w:val="30"/>
          </w:tcPr>
          <w:p>
            <w:pPr>
              <w:spacing w:after="0" w:line="223" w:lineRule="exact"/>
              <w:rPr>
                <w:sz w:val="20"/>
                <w:szCs w:val="20"/>
                <w:color w:val="auto"/>
              </w:rPr>
            </w:pPr>
            <w:r>
              <w:rPr>
                <w:rFonts w:ascii="Arial" w:cs="Arial" w:eastAsia="Arial" w:hAnsi="Arial"/>
                <w:sz w:val="22"/>
                <w:szCs w:val="22"/>
                <w:b w:val="1"/>
                <w:bCs w:val="1"/>
                <w:color w:val="0000EE"/>
              </w:rPr>
              <w:t>R</w:t>
            </w:r>
            <w:r>
              <w:rPr>
                <w:rFonts w:ascii="Arial" w:cs="Arial" w:eastAsia="Arial" w:hAnsi="Arial"/>
                <w:sz w:val="17"/>
                <w:szCs w:val="17"/>
                <w:b w:val="1"/>
                <w:bCs w:val="1"/>
                <w:color w:val="0000EE"/>
              </w:rPr>
              <w:t>EGISTERED</w:t>
            </w:r>
            <w:r>
              <w:rPr>
                <w:rFonts w:ascii="Arial" w:cs="Arial" w:eastAsia="Arial" w:hAnsi="Arial"/>
                <w:sz w:val="22"/>
                <w:szCs w:val="22"/>
                <w:b w:val="1"/>
                <w:bCs w:val="1"/>
                <w:color w:val="0000EE"/>
              </w:rPr>
              <w:t xml:space="preserve"> P</w:t>
            </w:r>
            <w:r>
              <w:rPr>
                <w:rFonts w:ascii="Arial" w:cs="Arial" w:eastAsia="Arial" w:hAnsi="Arial"/>
                <w:sz w:val="17"/>
                <w:szCs w:val="17"/>
                <w:b w:val="1"/>
                <w:bCs w:val="1"/>
                <w:color w:val="0000EE"/>
              </w:rPr>
              <w:t>UBLIC</w:t>
            </w:r>
            <w:r>
              <w:rPr>
                <w:rFonts w:ascii="Arial" w:cs="Arial" w:eastAsia="Arial" w:hAnsi="Arial"/>
                <w:sz w:val="22"/>
                <w:szCs w:val="22"/>
                <w:b w:val="1"/>
                <w:bCs w:val="1"/>
                <w:color w:val="0000EE"/>
              </w:rPr>
              <w:t xml:space="preserve"> A</w:t>
            </w:r>
            <w:r>
              <w:rPr>
                <w:rFonts w:ascii="Arial" w:cs="Arial" w:eastAsia="Arial" w:hAnsi="Arial"/>
                <w:sz w:val="17"/>
                <w:szCs w:val="17"/>
                <w:b w:val="1"/>
                <w:bCs w:val="1"/>
                <w:color w:val="0000EE"/>
              </w:rPr>
              <w:t>CCOUNTING</w:t>
            </w:r>
            <w:r>
              <w:rPr>
                <w:rFonts w:ascii="Arial" w:cs="Arial" w:eastAsia="Arial" w:hAnsi="Arial"/>
                <w:sz w:val="22"/>
                <w:szCs w:val="22"/>
                <w:b w:val="1"/>
                <w:bCs w:val="1"/>
                <w:color w:val="0000EE"/>
              </w:rPr>
              <w:t xml:space="preserve"> F</w:t>
            </w:r>
            <w:r>
              <w:rPr>
                <w:rFonts w:ascii="Arial" w:cs="Arial" w:eastAsia="Arial" w:hAnsi="Arial"/>
                <w:sz w:val="17"/>
                <w:szCs w:val="17"/>
                <w:b w:val="1"/>
                <w:bCs w:val="1"/>
                <w:color w:val="0000EE"/>
              </w:rPr>
              <w:t>IRM</w:t>
            </w:r>
          </w:p>
        </w:tc>
        <w:tc>
          <w:tcPr>
            <w:tcW w:w="30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100" w:type="dxa"/>
            <w:vAlign w:val="bottom"/>
            <w:tcBorders>
              <w:bottom w:val="single" w:sz="8" w:color="auto"/>
            </w:tcBorders>
          </w:tcPr>
          <w:p>
            <w:pPr>
              <w:spacing w:after="0"/>
              <w:rPr>
                <w:sz w:val="2"/>
                <w:szCs w:val="2"/>
                <w:color w:val="auto"/>
              </w:rPr>
            </w:pPr>
          </w:p>
        </w:tc>
        <w:tc>
          <w:tcPr>
            <w:tcW w:w="24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68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28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160" w:type="dxa"/>
            <w:vAlign w:val="bottom"/>
            <w:tcBorders>
              <w:top w:val="single" w:sz="8" w:color="0000EE"/>
              <w:bottom w:val="single" w:sz="8" w:color="auto"/>
            </w:tcBorders>
          </w:tcPr>
          <w:p>
            <w:pPr>
              <w:spacing w:after="0"/>
              <w:rPr>
                <w:sz w:val="2"/>
                <w:szCs w:val="2"/>
                <w:color w:val="auto"/>
              </w:rPr>
            </w:pPr>
          </w:p>
        </w:tc>
        <w:tc>
          <w:tcPr>
            <w:tcW w:w="42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20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24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220" w:type="dxa"/>
            <w:vAlign w:val="bottom"/>
            <w:tcBorders>
              <w:top w:val="single" w:sz="8" w:color="0000EE"/>
              <w:bottom w:val="single" w:sz="8" w:color="auto"/>
            </w:tcBorders>
          </w:tcPr>
          <w:p>
            <w:pPr>
              <w:spacing w:after="0"/>
              <w:rPr>
                <w:sz w:val="2"/>
                <w:szCs w:val="2"/>
                <w:color w:val="auto"/>
              </w:rPr>
            </w:pPr>
          </w:p>
        </w:tc>
        <w:tc>
          <w:tcPr>
            <w:tcW w:w="18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16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40" w:type="dxa"/>
            <w:vAlign w:val="bottom"/>
            <w:tcBorders>
              <w:bottom w:val="single" w:sz="8" w:color="0000EE"/>
            </w:tcBorders>
            <w:gridSpan w:val="8"/>
          </w:tcPr>
          <w:p>
            <w:pPr>
              <w:spacing w:after="0"/>
              <w:rPr>
                <w:sz w:val="20"/>
                <w:szCs w:val="20"/>
                <w:color w:val="auto"/>
              </w:rPr>
            </w:pPr>
            <w:r>
              <w:rPr>
                <w:rFonts w:ascii="Arial" w:cs="Arial" w:eastAsia="Arial" w:hAnsi="Arial"/>
                <w:sz w:val="14"/>
                <w:szCs w:val="14"/>
                <w:color w:val="0000EE"/>
              </w:rPr>
              <w:t>Audit Committee Report</w:t>
            </w:r>
          </w:p>
        </w:tc>
        <w:tc>
          <w:tcPr>
            <w:tcW w:w="2800" w:type="dxa"/>
            <w:vAlign w:val="bottom"/>
            <w:gridSpan w:val="22"/>
          </w:tcPr>
          <w:p>
            <w:pPr>
              <w:spacing w:after="0"/>
              <w:rPr>
                <w:sz w:val="14"/>
                <w:szCs w:val="14"/>
                <w:color w:val="auto"/>
              </w:rPr>
            </w:pPr>
          </w:p>
        </w:tc>
        <w:tc>
          <w:tcPr>
            <w:tcW w:w="720" w:type="dxa"/>
            <w:vAlign w:val="bottom"/>
          </w:tcPr>
          <w:p>
            <w:pPr>
              <w:jc w:val="right"/>
              <w:ind w:right="1"/>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331"/>
        </w:trPr>
        <w:tc>
          <w:tcPr>
            <w:tcW w:w="100" w:type="dxa"/>
            <w:vAlign w:val="bottom"/>
          </w:tcPr>
          <w:p>
            <w:pPr>
              <w:spacing w:after="0"/>
              <w:rPr>
                <w:sz w:val="24"/>
                <w:szCs w:val="24"/>
                <w:color w:val="auto"/>
              </w:rPr>
            </w:pPr>
          </w:p>
        </w:tc>
        <w:tc>
          <w:tcPr>
            <w:tcW w:w="4580" w:type="dxa"/>
            <w:vAlign w:val="bottom"/>
            <w:gridSpan w:val="31"/>
          </w:tcPr>
          <w:p>
            <w:pPr>
              <w:spacing w:after="0"/>
              <w:rPr>
                <w:sz w:val="20"/>
                <w:szCs w:val="20"/>
                <w:color w:val="auto"/>
              </w:rPr>
            </w:pPr>
            <w:r>
              <w:rPr>
                <w:rFonts w:ascii="Arial" w:cs="Arial" w:eastAsia="Arial" w:hAnsi="Arial"/>
                <w:sz w:val="22"/>
                <w:szCs w:val="22"/>
                <w:b w:val="1"/>
                <w:bCs w:val="1"/>
                <w:color w:val="0000EE"/>
              </w:rPr>
              <w:t>B</w:t>
            </w:r>
            <w:r>
              <w:rPr>
                <w:rFonts w:ascii="Arial" w:cs="Arial" w:eastAsia="Arial" w:hAnsi="Arial"/>
                <w:sz w:val="17"/>
                <w:szCs w:val="17"/>
                <w:b w:val="1"/>
                <w:bCs w:val="1"/>
                <w:color w:val="0000EE"/>
              </w:rPr>
              <w:t>ENEFICIAL</w:t>
            </w:r>
            <w:r>
              <w:rPr>
                <w:rFonts w:ascii="Arial" w:cs="Arial" w:eastAsia="Arial" w:hAnsi="Arial"/>
                <w:sz w:val="22"/>
                <w:szCs w:val="22"/>
                <w:b w:val="1"/>
                <w:bCs w:val="1"/>
                <w:color w:val="0000EE"/>
              </w:rPr>
              <w:t xml:space="preserve"> O</w:t>
            </w:r>
            <w:r>
              <w:rPr>
                <w:rFonts w:ascii="Arial" w:cs="Arial" w:eastAsia="Arial" w:hAnsi="Arial"/>
                <w:sz w:val="17"/>
                <w:szCs w:val="17"/>
                <w:b w:val="1"/>
                <w:bCs w:val="1"/>
                <w:color w:val="0000EE"/>
              </w:rPr>
              <w:t>WNERSHIP</w:t>
            </w:r>
          </w:p>
        </w:tc>
        <w:tc>
          <w:tcPr>
            <w:tcW w:w="720" w:type="dxa"/>
            <w:vAlign w:val="bottom"/>
          </w:tcPr>
          <w:p>
            <w:pPr>
              <w:jc w:val="right"/>
              <w:ind w:right="1"/>
              <w:spacing w:after="0"/>
              <w:rPr>
                <w:sz w:val="20"/>
                <w:szCs w:val="20"/>
                <w:color w:val="auto"/>
              </w:rPr>
            </w:pPr>
            <w:r>
              <w:rPr>
                <w:rFonts w:ascii="Arial" w:cs="Arial" w:eastAsia="Arial" w:hAnsi="Arial"/>
                <w:sz w:val="22"/>
                <w:szCs w:val="22"/>
                <w:b w:val="1"/>
                <w:bCs w:val="1"/>
                <w:color w:val="FF160F"/>
              </w:rPr>
              <w:t>42</w:t>
            </w:r>
          </w:p>
        </w:tc>
        <w:tc>
          <w:tcPr>
            <w:tcW w:w="0" w:type="dxa"/>
            <w:vAlign w:val="bottom"/>
          </w:tcPr>
          <w:p>
            <w:pPr>
              <w:spacing w:after="0"/>
              <w:rPr>
                <w:sz w:val="1"/>
                <w:szCs w:val="1"/>
                <w:color w:val="auto"/>
              </w:rPr>
            </w:pPr>
          </w:p>
        </w:tc>
      </w:tr>
      <w:tr>
        <w:trPr>
          <w:trHeight w:val="28"/>
        </w:trPr>
        <w:tc>
          <w:tcPr>
            <w:tcW w:w="100" w:type="dxa"/>
            <w:vAlign w:val="bottom"/>
            <w:tcBorders>
              <w:bottom w:val="single" w:sz="8" w:color="auto"/>
            </w:tcBorders>
          </w:tcPr>
          <w:p>
            <w:pPr>
              <w:spacing w:after="0"/>
              <w:rPr>
                <w:sz w:val="2"/>
                <w:szCs w:val="2"/>
                <w:color w:val="auto"/>
              </w:rPr>
            </w:pPr>
          </w:p>
        </w:tc>
        <w:tc>
          <w:tcPr>
            <w:tcW w:w="24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68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28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160" w:type="dxa"/>
            <w:vAlign w:val="bottom"/>
            <w:tcBorders>
              <w:top w:val="single" w:sz="8" w:color="0000EE"/>
              <w:bottom w:val="single" w:sz="8" w:color="auto"/>
            </w:tcBorders>
          </w:tcPr>
          <w:p>
            <w:pPr>
              <w:spacing w:after="0"/>
              <w:rPr>
                <w:sz w:val="2"/>
                <w:szCs w:val="2"/>
                <w:color w:val="auto"/>
              </w:rPr>
            </w:pPr>
          </w:p>
        </w:tc>
        <w:tc>
          <w:tcPr>
            <w:tcW w:w="42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8"/>
        </w:trPr>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340" w:type="dxa"/>
            <w:vAlign w:val="bottom"/>
            <w:tcBorders>
              <w:bottom w:val="single" w:sz="8" w:color="0000EE"/>
            </w:tcBorders>
            <w:gridSpan w:val="13"/>
          </w:tcPr>
          <w:p>
            <w:pPr>
              <w:spacing w:after="0" w:line="149" w:lineRule="exact"/>
              <w:rPr>
                <w:sz w:val="20"/>
                <w:szCs w:val="20"/>
                <w:color w:val="auto"/>
              </w:rPr>
            </w:pPr>
            <w:r>
              <w:rPr>
                <w:rFonts w:ascii="Arial" w:cs="Arial" w:eastAsia="Arial" w:hAnsi="Arial"/>
                <w:sz w:val="14"/>
                <w:szCs w:val="14"/>
                <w:color w:val="0000EE"/>
              </w:rPr>
              <w:t>Ownership of Principal Shareholders</w:t>
            </w:r>
          </w:p>
        </w:tc>
        <w:tc>
          <w:tcPr>
            <w:tcW w:w="2000" w:type="dxa"/>
            <w:vAlign w:val="bottom"/>
            <w:gridSpan w:val="17"/>
          </w:tcPr>
          <w:p>
            <w:pPr>
              <w:spacing w:after="0"/>
              <w:rPr>
                <w:sz w:val="12"/>
                <w:szCs w:val="12"/>
                <w:color w:val="auto"/>
              </w:rPr>
            </w:pPr>
          </w:p>
        </w:tc>
        <w:tc>
          <w:tcPr>
            <w:tcW w:w="720" w:type="dxa"/>
            <w:vAlign w:val="bottom"/>
          </w:tcPr>
          <w:p>
            <w:pPr>
              <w:jc w:val="right"/>
              <w:ind w:right="1"/>
              <w:spacing w:after="0" w:line="149" w:lineRule="exact"/>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920" w:type="dxa"/>
            <w:vAlign w:val="bottom"/>
            <w:tcBorders>
              <w:bottom w:val="single" w:sz="8" w:color="0000EE"/>
            </w:tcBorders>
            <w:gridSpan w:val="20"/>
          </w:tcPr>
          <w:p>
            <w:pPr>
              <w:spacing w:after="0"/>
              <w:rPr>
                <w:sz w:val="20"/>
                <w:szCs w:val="20"/>
                <w:color w:val="auto"/>
              </w:rPr>
            </w:pPr>
            <w:r>
              <w:rPr>
                <w:rFonts w:ascii="Arial" w:cs="Arial" w:eastAsia="Arial" w:hAnsi="Arial"/>
                <w:sz w:val="14"/>
                <w:szCs w:val="14"/>
                <w:color w:val="0000EE"/>
              </w:rPr>
              <w:t>Ownership of Trustees and Executive Officers</w:t>
            </w:r>
          </w:p>
        </w:tc>
        <w:tc>
          <w:tcPr>
            <w:tcW w:w="1420" w:type="dxa"/>
            <w:vAlign w:val="bottom"/>
            <w:gridSpan w:val="10"/>
          </w:tcPr>
          <w:p>
            <w:pPr>
              <w:spacing w:after="0"/>
              <w:rPr>
                <w:sz w:val="14"/>
                <w:szCs w:val="14"/>
                <w:color w:val="auto"/>
              </w:rPr>
            </w:pPr>
          </w:p>
        </w:tc>
        <w:tc>
          <w:tcPr>
            <w:tcW w:w="720" w:type="dxa"/>
            <w:vAlign w:val="bottom"/>
          </w:tcPr>
          <w:p>
            <w:pPr>
              <w:jc w:val="right"/>
              <w:ind w:right="1"/>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331"/>
        </w:trPr>
        <w:tc>
          <w:tcPr>
            <w:tcW w:w="100" w:type="dxa"/>
            <w:vAlign w:val="bottom"/>
          </w:tcPr>
          <w:p>
            <w:pPr>
              <w:spacing w:after="0"/>
              <w:rPr>
                <w:sz w:val="24"/>
                <w:szCs w:val="24"/>
                <w:color w:val="auto"/>
              </w:rPr>
            </w:pPr>
          </w:p>
        </w:tc>
        <w:tc>
          <w:tcPr>
            <w:tcW w:w="4580" w:type="dxa"/>
            <w:vAlign w:val="bottom"/>
            <w:gridSpan w:val="31"/>
          </w:tcPr>
          <w:p>
            <w:pPr>
              <w:spacing w:after="0"/>
              <w:rPr>
                <w:sz w:val="20"/>
                <w:szCs w:val="20"/>
                <w:color w:val="auto"/>
              </w:rPr>
            </w:pPr>
            <w:r>
              <w:rPr>
                <w:rFonts w:ascii="Arial" w:cs="Arial" w:eastAsia="Arial" w:hAnsi="Arial"/>
                <w:sz w:val="22"/>
                <w:szCs w:val="22"/>
                <w:b w:val="1"/>
                <w:bCs w:val="1"/>
                <w:color w:val="0000EE"/>
              </w:rPr>
              <w:t>I</w:t>
            </w:r>
            <w:r>
              <w:rPr>
                <w:rFonts w:ascii="Arial" w:cs="Arial" w:eastAsia="Arial" w:hAnsi="Arial"/>
                <w:sz w:val="17"/>
                <w:szCs w:val="17"/>
                <w:b w:val="1"/>
                <w:bCs w:val="1"/>
                <w:color w:val="0000EE"/>
              </w:rPr>
              <w:t>NFORMATION ABOUT THE</w:t>
            </w:r>
            <w:r>
              <w:rPr>
                <w:rFonts w:ascii="Arial" w:cs="Arial" w:eastAsia="Arial" w:hAnsi="Arial"/>
                <w:sz w:val="22"/>
                <w:szCs w:val="22"/>
                <w:b w:val="1"/>
                <w:bCs w:val="1"/>
                <w:color w:val="0000EE"/>
              </w:rPr>
              <w:t xml:space="preserve"> A</w:t>
            </w:r>
            <w:r>
              <w:rPr>
                <w:rFonts w:ascii="Arial" w:cs="Arial" w:eastAsia="Arial" w:hAnsi="Arial"/>
                <w:sz w:val="17"/>
                <w:szCs w:val="17"/>
                <w:b w:val="1"/>
                <w:bCs w:val="1"/>
                <w:color w:val="0000EE"/>
              </w:rPr>
              <w:t>NNUAL</w:t>
            </w:r>
            <w:r>
              <w:rPr>
                <w:rFonts w:ascii="Arial" w:cs="Arial" w:eastAsia="Arial" w:hAnsi="Arial"/>
                <w:sz w:val="22"/>
                <w:szCs w:val="22"/>
                <w:b w:val="1"/>
                <w:bCs w:val="1"/>
                <w:color w:val="0000EE"/>
              </w:rPr>
              <w:t xml:space="preserve"> M</w:t>
            </w:r>
            <w:r>
              <w:rPr>
                <w:rFonts w:ascii="Arial" w:cs="Arial" w:eastAsia="Arial" w:hAnsi="Arial"/>
                <w:sz w:val="17"/>
                <w:szCs w:val="17"/>
                <w:b w:val="1"/>
                <w:bCs w:val="1"/>
                <w:color w:val="0000EE"/>
              </w:rPr>
              <w:t>EETING</w:t>
            </w:r>
          </w:p>
        </w:tc>
        <w:tc>
          <w:tcPr>
            <w:tcW w:w="720" w:type="dxa"/>
            <w:vAlign w:val="bottom"/>
          </w:tcPr>
          <w:p>
            <w:pPr>
              <w:jc w:val="right"/>
              <w:ind w:right="1"/>
              <w:spacing w:after="0"/>
              <w:rPr>
                <w:sz w:val="20"/>
                <w:szCs w:val="20"/>
                <w:color w:val="auto"/>
              </w:rPr>
            </w:pPr>
            <w:r>
              <w:rPr>
                <w:rFonts w:ascii="Arial" w:cs="Arial" w:eastAsia="Arial" w:hAnsi="Arial"/>
                <w:sz w:val="22"/>
                <w:szCs w:val="22"/>
                <w:b w:val="1"/>
                <w:bCs w:val="1"/>
                <w:color w:val="FF160F"/>
              </w:rPr>
              <w:t>43</w:t>
            </w:r>
          </w:p>
        </w:tc>
        <w:tc>
          <w:tcPr>
            <w:tcW w:w="0" w:type="dxa"/>
            <w:vAlign w:val="bottom"/>
          </w:tcPr>
          <w:p>
            <w:pPr>
              <w:spacing w:after="0"/>
              <w:rPr>
                <w:sz w:val="1"/>
                <w:szCs w:val="1"/>
                <w:color w:val="auto"/>
              </w:rPr>
            </w:pPr>
          </w:p>
        </w:tc>
      </w:tr>
      <w:tr>
        <w:trPr>
          <w:trHeight w:val="28"/>
        </w:trPr>
        <w:tc>
          <w:tcPr>
            <w:tcW w:w="100" w:type="dxa"/>
            <w:vAlign w:val="bottom"/>
            <w:tcBorders>
              <w:bottom w:val="single" w:sz="8" w:color="auto"/>
            </w:tcBorders>
          </w:tcPr>
          <w:p>
            <w:pPr>
              <w:spacing w:after="0"/>
              <w:rPr>
                <w:sz w:val="2"/>
                <w:szCs w:val="2"/>
                <w:color w:val="auto"/>
              </w:rPr>
            </w:pPr>
          </w:p>
        </w:tc>
        <w:tc>
          <w:tcPr>
            <w:tcW w:w="24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68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28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160" w:type="dxa"/>
            <w:vAlign w:val="bottom"/>
            <w:tcBorders>
              <w:top w:val="single" w:sz="8" w:color="0000EE"/>
              <w:bottom w:val="single" w:sz="8" w:color="auto"/>
            </w:tcBorders>
          </w:tcPr>
          <w:p>
            <w:pPr>
              <w:spacing w:after="0"/>
              <w:rPr>
                <w:sz w:val="2"/>
                <w:szCs w:val="2"/>
                <w:color w:val="auto"/>
              </w:rPr>
            </w:pPr>
          </w:p>
        </w:tc>
        <w:tc>
          <w:tcPr>
            <w:tcW w:w="42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20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24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220" w:type="dxa"/>
            <w:vAlign w:val="bottom"/>
            <w:tcBorders>
              <w:top w:val="single" w:sz="8" w:color="0000EE"/>
              <w:bottom w:val="single" w:sz="8" w:color="auto"/>
            </w:tcBorders>
          </w:tcPr>
          <w:p>
            <w:pPr>
              <w:spacing w:after="0"/>
              <w:rPr>
                <w:sz w:val="2"/>
                <w:szCs w:val="2"/>
                <w:color w:val="auto"/>
              </w:rPr>
            </w:pPr>
          </w:p>
        </w:tc>
        <w:tc>
          <w:tcPr>
            <w:tcW w:w="18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16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0" w:type="dxa"/>
            <w:vAlign w:val="bottom"/>
            <w:tcBorders>
              <w:top w:val="single" w:sz="8" w:color="0000EE"/>
              <w:bottom w:val="single" w:sz="8" w:color="auto"/>
            </w:tcBorders>
          </w:tcPr>
          <w:p>
            <w:pPr>
              <w:spacing w:after="0"/>
              <w:rPr>
                <w:sz w:val="2"/>
                <w:szCs w:val="2"/>
                <w:color w:val="auto"/>
              </w:rPr>
            </w:pPr>
          </w:p>
        </w:tc>
        <w:tc>
          <w:tcPr>
            <w:tcW w:w="180" w:type="dxa"/>
            <w:vAlign w:val="bottom"/>
            <w:tcBorders>
              <w:top w:val="single" w:sz="8" w:color="0000EE"/>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9"/>
        </w:trPr>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340" w:type="dxa"/>
            <w:vAlign w:val="bottom"/>
            <w:gridSpan w:val="30"/>
          </w:tcPr>
          <w:p>
            <w:pPr>
              <w:spacing w:after="0" w:line="149" w:lineRule="exact"/>
              <w:rPr>
                <w:sz w:val="20"/>
                <w:szCs w:val="20"/>
                <w:color w:val="auto"/>
              </w:rPr>
            </w:pPr>
            <w:r>
              <w:rPr>
                <w:rFonts w:ascii="Arial" w:cs="Arial" w:eastAsia="Arial" w:hAnsi="Arial"/>
                <w:sz w:val="14"/>
                <w:szCs w:val="14"/>
                <w:color w:val="0000EE"/>
              </w:rPr>
              <w:t>Notice of Electronic Availability of Proxy Materials</w:t>
            </w:r>
          </w:p>
        </w:tc>
        <w:tc>
          <w:tcPr>
            <w:tcW w:w="720" w:type="dxa"/>
            <w:vAlign w:val="bottom"/>
          </w:tcPr>
          <w:p>
            <w:pPr>
              <w:jc w:val="right"/>
              <w:ind w:right="1"/>
              <w:spacing w:after="0" w:line="149" w:lineRule="exact"/>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60" w:type="dxa"/>
            <w:vAlign w:val="bottom"/>
            <w:tcBorders>
              <w:top w:val="single" w:sz="8" w:color="0000EE"/>
              <w:bottom w:val="single" w:sz="8" w:color="0000EE"/>
            </w:tcBorders>
            <w:gridSpan w:val="17"/>
          </w:tcPr>
          <w:p>
            <w:pPr>
              <w:spacing w:after="0"/>
              <w:rPr>
                <w:sz w:val="20"/>
                <w:szCs w:val="20"/>
                <w:color w:val="auto"/>
              </w:rPr>
            </w:pPr>
            <w:r>
              <w:rPr>
                <w:rFonts w:ascii="Arial" w:cs="Arial" w:eastAsia="Arial" w:hAnsi="Arial"/>
                <w:sz w:val="14"/>
                <w:szCs w:val="14"/>
                <w:color w:val="0000EE"/>
              </w:rPr>
              <w:t>Why You are Receiving These Materials</w:t>
            </w:r>
          </w:p>
        </w:tc>
        <w:tc>
          <w:tcPr>
            <w:tcW w:w="580" w:type="dxa"/>
            <w:vAlign w:val="bottom"/>
            <w:tcBorders>
              <w:top w:val="single" w:sz="8" w:color="0000EE"/>
            </w:tcBorders>
            <w:gridSpan w:val="4"/>
          </w:tcPr>
          <w:p>
            <w:pPr>
              <w:spacing w:after="0"/>
              <w:rPr>
                <w:sz w:val="14"/>
                <w:szCs w:val="14"/>
                <w:color w:val="auto"/>
              </w:rPr>
            </w:pPr>
          </w:p>
        </w:tc>
        <w:tc>
          <w:tcPr>
            <w:tcW w:w="1200" w:type="dxa"/>
            <w:vAlign w:val="bottom"/>
            <w:gridSpan w:val="9"/>
          </w:tcPr>
          <w:p>
            <w:pPr>
              <w:spacing w:after="0"/>
              <w:rPr>
                <w:sz w:val="14"/>
                <w:szCs w:val="14"/>
                <w:color w:val="auto"/>
              </w:rPr>
            </w:pPr>
          </w:p>
        </w:tc>
        <w:tc>
          <w:tcPr>
            <w:tcW w:w="720" w:type="dxa"/>
            <w:vAlign w:val="bottom"/>
          </w:tcPr>
          <w:p>
            <w:pPr>
              <w:jc w:val="right"/>
              <w:ind w:right="1"/>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tcBorders>
              <w:bottom w:val="single" w:sz="8" w:color="0000EE"/>
            </w:tcBorders>
            <w:gridSpan w:val="6"/>
          </w:tcPr>
          <w:p>
            <w:pPr>
              <w:spacing w:after="0"/>
              <w:rPr>
                <w:sz w:val="20"/>
                <w:szCs w:val="20"/>
                <w:color w:val="auto"/>
              </w:rPr>
            </w:pPr>
            <w:r>
              <w:rPr>
                <w:rFonts w:ascii="Arial" w:cs="Arial" w:eastAsia="Arial" w:hAnsi="Arial"/>
                <w:sz w:val="14"/>
                <w:szCs w:val="14"/>
                <w:color w:val="0000EE"/>
              </w:rPr>
              <w:t>Accessing Materials</w:t>
            </w:r>
          </w:p>
        </w:tc>
        <w:tc>
          <w:tcPr>
            <w:tcW w:w="3060" w:type="dxa"/>
            <w:vAlign w:val="bottom"/>
            <w:gridSpan w:val="24"/>
          </w:tcPr>
          <w:p>
            <w:pPr>
              <w:spacing w:after="0"/>
              <w:rPr>
                <w:sz w:val="14"/>
                <w:szCs w:val="14"/>
                <w:color w:val="auto"/>
              </w:rPr>
            </w:pPr>
          </w:p>
        </w:tc>
        <w:tc>
          <w:tcPr>
            <w:tcW w:w="720" w:type="dxa"/>
            <w:vAlign w:val="bottom"/>
          </w:tcPr>
          <w:p>
            <w:pPr>
              <w:jc w:val="right"/>
              <w:ind w:right="1"/>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Borders>
              <w:bottom w:val="single" w:sz="8" w:color="0000EE"/>
            </w:tcBorders>
            <w:gridSpan w:val="2"/>
          </w:tcPr>
          <w:p>
            <w:pPr>
              <w:spacing w:after="0"/>
              <w:rPr>
                <w:sz w:val="20"/>
                <w:szCs w:val="20"/>
                <w:color w:val="auto"/>
              </w:rPr>
            </w:pPr>
            <w:r>
              <w:rPr>
                <w:rFonts w:ascii="Arial" w:cs="Arial" w:eastAsia="Arial" w:hAnsi="Arial"/>
                <w:sz w:val="14"/>
                <w:szCs w:val="14"/>
                <w:color w:val="0000EE"/>
                <w:w w:val="99"/>
              </w:rPr>
              <w:t>How to Vote</w:t>
            </w:r>
          </w:p>
        </w:tc>
        <w:tc>
          <w:tcPr>
            <w:tcW w:w="3560" w:type="dxa"/>
            <w:vAlign w:val="bottom"/>
            <w:gridSpan w:val="28"/>
          </w:tcPr>
          <w:p>
            <w:pPr>
              <w:spacing w:after="0"/>
              <w:rPr>
                <w:sz w:val="14"/>
                <w:szCs w:val="14"/>
                <w:color w:val="auto"/>
              </w:rPr>
            </w:pPr>
          </w:p>
        </w:tc>
        <w:tc>
          <w:tcPr>
            <w:tcW w:w="720" w:type="dxa"/>
            <w:vAlign w:val="bottom"/>
          </w:tcPr>
          <w:p>
            <w:pPr>
              <w:jc w:val="right"/>
              <w:ind w:right="1"/>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0" w:type="dxa"/>
            <w:vAlign w:val="bottom"/>
            <w:tcBorders>
              <w:bottom w:val="single" w:sz="8" w:color="0000EE"/>
            </w:tcBorders>
            <w:gridSpan w:val="18"/>
          </w:tcPr>
          <w:p>
            <w:pPr>
              <w:spacing w:after="0"/>
              <w:rPr>
                <w:sz w:val="20"/>
                <w:szCs w:val="20"/>
                <w:color w:val="auto"/>
              </w:rPr>
            </w:pPr>
            <w:r>
              <w:rPr>
                <w:rFonts w:ascii="Arial" w:cs="Arial" w:eastAsia="Arial" w:hAnsi="Arial"/>
                <w:sz w:val="14"/>
                <w:szCs w:val="14"/>
                <w:color w:val="0000EE"/>
              </w:rPr>
              <w:t>How to Participate in the Annual Meeting</w:t>
            </w:r>
          </w:p>
        </w:tc>
        <w:tc>
          <w:tcPr>
            <w:tcW w:w="1740" w:type="dxa"/>
            <w:vAlign w:val="bottom"/>
            <w:gridSpan w:val="12"/>
          </w:tcPr>
          <w:p>
            <w:pPr>
              <w:spacing w:after="0"/>
              <w:rPr>
                <w:sz w:val="14"/>
                <w:szCs w:val="14"/>
                <w:color w:val="auto"/>
              </w:rPr>
            </w:pPr>
          </w:p>
        </w:tc>
        <w:tc>
          <w:tcPr>
            <w:tcW w:w="720" w:type="dxa"/>
            <w:vAlign w:val="bottom"/>
          </w:tcPr>
          <w:p>
            <w:pPr>
              <w:jc w:val="right"/>
              <w:ind w:right="1"/>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80" w:type="dxa"/>
            <w:vAlign w:val="bottom"/>
            <w:tcBorders>
              <w:bottom w:val="single" w:sz="8" w:color="0000EE"/>
            </w:tcBorders>
            <w:gridSpan w:val="16"/>
          </w:tcPr>
          <w:p>
            <w:pPr>
              <w:spacing w:after="0"/>
              <w:rPr>
                <w:sz w:val="20"/>
                <w:szCs w:val="20"/>
                <w:color w:val="auto"/>
              </w:rPr>
            </w:pPr>
            <w:r>
              <w:rPr>
                <w:rFonts w:ascii="Arial" w:cs="Arial" w:eastAsia="Arial" w:hAnsi="Arial"/>
                <w:sz w:val="14"/>
                <w:szCs w:val="14"/>
                <w:color w:val="0000EE"/>
              </w:rPr>
              <w:t>Eliminating Duplicative Proxy Materials</w:t>
            </w:r>
          </w:p>
        </w:tc>
        <w:tc>
          <w:tcPr>
            <w:tcW w:w="1860" w:type="dxa"/>
            <w:vAlign w:val="bottom"/>
            <w:gridSpan w:val="14"/>
          </w:tcPr>
          <w:p>
            <w:pPr>
              <w:spacing w:after="0"/>
              <w:rPr>
                <w:sz w:val="14"/>
                <w:szCs w:val="14"/>
                <w:color w:val="auto"/>
              </w:rPr>
            </w:pPr>
          </w:p>
        </w:tc>
        <w:tc>
          <w:tcPr>
            <w:tcW w:w="720" w:type="dxa"/>
            <w:vAlign w:val="bottom"/>
          </w:tcPr>
          <w:p>
            <w:pPr>
              <w:jc w:val="right"/>
              <w:ind w:right="1"/>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tcBorders>
              <w:bottom w:val="single" w:sz="8" w:color="0000EE"/>
            </w:tcBorders>
            <w:gridSpan w:val="7"/>
          </w:tcPr>
          <w:p>
            <w:pPr>
              <w:spacing w:after="0"/>
              <w:rPr>
                <w:sz w:val="20"/>
                <w:szCs w:val="20"/>
                <w:color w:val="auto"/>
              </w:rPr>
            </w:pPr>
            <w:r>
              <w:rPr>
                <w:rFonts w:ascii="Arial" w:cs="Arial" w:eastAsia="Arial" w:hAnsi="Arial"/>
                <w:sz w:val="14"/>
                <w:szCs w:val="14"/>
                <w:color w:val="0000EE"/>
              </w:rPr>
              <w:t>Solicitation of Proxies</w:t>
            </w:r>
          </w:p>
        </w:tc>
        <w:tc>
          <w:tcPr>
            <w:tcW w:w="2960" w:type="dxa"/>
            <w:vAlign w:val="bottom"/>
            <w:gridSpan w:val="23"/>
          </w:tcPr>
          <w:p>
            <w:pPr>
              <w:spacing w:after="0"/>
              <w:rPr>
                <w:sz w:val="14"/>
                <w:szCs w:val="14"/>
                <w:color w:val="auto"/>
              </w:rPr>
            </w:pPr>
          </w:p>
        </w:tc>
        <w:tc>
          <w:tcPr>
            <w:tcW w:w="720" w:type="dxa"/>
            <w:vAlign w:val="bottom"/>
          </w:tcPr>
          <w:p>
            <w:pPr>
              <w:jc w:val="right"/>
              <w:ind w:right="1"/>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320" w:type="dxa"/>
            <w:vAlign w:val="bottom"/>
            <w:tcBorders>
              <w:bottom w:val="single" w:sz="8" w:color="0000EE"/>
            </w:tcBorders>
            <w:gridSpan w:val="22"/>
          </w:tcPr>
          <w:p>
            <w:pPr>
              <w:spacing w:after="0"/>
              <w:rPr>
                <w:sz w:val="20"/>
                <w:szCs w:val="20"/>
                <w:color w:val="auto"/>
              </w:rPr>
            </w:pPr>
            <w:r>
              <w:rPr>
                <w:rFonts w:ascii="Arial" w:cs="Arial" w:eastAsia="Arial" w:hAnsi="Arial"/>
                <w:sz w:val="14"/>
                <w:szCs w:val="14"/>
                <w:color w:val="0000EE"/>
              </w:rPr>
              <w:t>Shareholder Proposals for the 2025 Annual Meeting</w:t>
            </w:r>
          </w:p>
        </w:tc>
        <w:tc>
          <w:tcPr>
            <w:tcW w:w="1020" w:type="dxa"/>
            <w:vAlign w:val="bottom"/>
            <w:gridSpan w:val="8"/>
          </w:tcPr>
          <w:p>
            <w:pPr>
              <w:spacing w:after="0"/>
              <w:rPr>
                <w:sz w:val="14"/>
                <w:szCs w:val="14"/>
                <w:color w:val="auto"/>
              </w:rPr>
            </w:pPr>
          </w:p>
        </w:tc>
        <w:tc>
          <w:tcPr>
            <w:tcW w:w="720" w:type="dxa"/>
            <w:vAlign w:val="bottom"/>
          </w:tcPr>
          <w:p>
            <w:pPr>
              <w:jc w:val="right"/>
              <w:ind w:right="1"/>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331"/>
        </w:trPr>
        <w:tc>
          <w:tcPr>
            <w:tcW w:w="100" w:type="dxa"/>
            <w:vAlign w:val="bottom"/>
          </w:tcPr>
          <w:p>
            <w:pPr>
              <w:spacing w:after="0"/>
              <w:rPr>
                <w:sz w:val="24"/>
                <w:szCs w:val="24"/>
                <w:color w:val="auto"/>
              </w:rPr>
            </w:pPr>
          </w:p>
        </w:tc>
        <w:tc>
          <w:tcPr>
            <w:tcW w:w="4580" w:type="dxa"/>
            <w:vAlign w:val="bottom"/>
            <w:gridSpan w:val="31"/>
          </w:tcPr>
          <w:p>
            <w:pPr>
              <w:spacing w:after="0"/>
              <w:rPr>
                <w:sz w:val="20"/>
                <w:szCs w:val="20"/>
                <w:color w:val="auto"/>
              </w:rPr>
            </w:pPr>
            <w:r>
              <w:rPr>
                <w:rFonts w:ascii="Arial" w:cs="Arial" w:eastAsia="Arial" w:hAnsi="Arial"/>
                <w:sz w:val="22"/>
                <w:szCs w:val="22"/>
                <w:b w:val="1"/>
                <w:bCs w:val="1"/>
                <w:color w:val="0000EE"/>
              </w:rPr>
              <w:t>A</w:t>
            </w:r>
            <w:r>
              <w:rPr>
                <w:rFonts w:ascii="Arial" w:cs="Arial" w:eastAsia="Arial" w:hAnsi="Arial"/>
                <w:sz w:val="17"/>
                <w:szCs w:val="17"/>
                <w:b w:val="1"/>
                <w:bCs w:val="1"/>
                <w:color w:val="0000EE"/>
              </w:rPr>
              <w:t>PPENDIX</w:t>
            </w:r>
            <w:r>
              <w:rPr>
                <w:rFonts w:ascii="Arial" w:cs="Arial" w:eastAsia="Arial" w:hAnsi="Arial"/>
                <w:sz w:val="22"/>
                <w:szCs w:val="22"/>
                <w:b w:val="1"/>
                <w:bCs w:val="1"/>
                <w:color w:val="0000EE"/>
              </w:rPr>
              <w:t xml:space="preserve"> A</w:t>
            </w:r>
          </w:p>
        </w:tc>
        <w:tc>
          <w:tcPr>
            <w:tcW w:w="720" w:type="dxa"/>
            <w:vAlign w:val="bottom"/>
          </w:tcPr>
          <w:p>
            <w:pPr>
              <w:jc w:val="right"/>
              <w:ind w:right="1"/>
              <w:spacing w:after="0"/>
              <w:rPr>
                <w:sz w:val="20"/>
                <w:szCs w:val="20"/>
                <w:color w:val="auto"/>
              </w:rPr>
            </w:pPr>
            <w:r>
              <w:rPr>
                <w:rFonts w:ascii="Arial" w:cs="Arial" w:eastAsia="Arial" w:hAnsi="Arial"/>
                <w:sz w:val="22"/>
                <w:szCs w:val="22"/>
                <w:b w:val="1"/>
                <w:bCs w:val="1"/>
                <w:color w:val="FF160F"/>
              </w:rPr>
              <w:t>A-1</w:t>
            </w:r>
          </w:p>
        </w:tc>
        <w:tc>
          <w:tcPr>
            <w:tcW w:w="0" w:type="dxa"/>
            <w:vAlign w:val="bottom"/>
          </w:tcPr>
          <w:p>
            <w:pPr>
              <w:spacing w:after="0"/>
              <w:rPr>
                <w:sz w:val="1"/>
                <w:szCs w:val="1"/>
                <w:color w:val="auto"/>
              </w:rPr>
            </w:pPr>
          </w:p>
        </w:tc>
      </w:tr>
      <w:tr>
        <w:trPr>
          <w:trHeight w:val="28"/>
        </w:trPr>
        <w:tc>
          <w:tcPr>
            <w:tcW w:w="100" w:type="dxa"/>
            <w:vAlign w:val="bottom"/>
            <w:tcBorders>
              <w:bottom w:val="single" w:sz="8" w:color="auto"/>
            </w:tcBorders>
          </w:tcPr>
          <w:p>
            <w:pPr>
              <w:spacing w:after="0"/>
              <w:rPr>
                <w:sz w:val="2"/>
                <w:szCs w:val="2"/>
                <w:color w:val="auto"/>
              </w:rPr>
            </w:pPr>
          </w:p>
        </w:tc>
        <w:tc>
          <w:tcPr>
            <w:tcW w:w="24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68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8"/>
        </w:trPr>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0" w:type="dxa"/>
            <w:vAlign w:val="bottom"/>
            <w:tcBorders>
              <w:bottom w:val="single" w:sz="8" w:color="0000EE"/>
            </w:tcBorders>
            <w:gridSpan w:val="28"/>
          </w:tcPr>
          <w:p>
            <w:pPr>
              <w:spacing w:after="0" w:line="129" w:lineRule="exact"/>
              <w:rPr>
                <w:sz w:val="20"/>
                <w:szCs w:val="20"/>
                <w:color w:val="auto"/>
              </w:rPr>
            </w:pPr>
            <w:r>
              <w:rPr>
                <w:rFonts w:ascii="Arial" w:cs="Arial" w:eastAsia="Arial" w:hAnsi="Arial"/>
                <w:sz w:val="14"/>
                <w:szCs w:val="14"/>
                <w:color w:val="0000EE"/>
              </w:rPr>
              <w:t>Appendix A – Reconciliation of Non-GAAP Financial Measures</w:t>
            </w:r>
          </w:p>
        </w:tc>
        <w:tc>
          <w:tcPr>
            <w:tcW w:w="340" w:type="dxa"/>
            <w:vAlign w:val="bottom"/>
            <w:gridSpan w:val="2"/>
          </w:tcPr>
          <w:p>
            <w:pPr>
              <w:spacing w:after="0"/>
              <w:rPr>
                <w:sz w:val="12"/>
                <w:szCs w:val="12"/>
                <w:color w:val="auto"/>
              </w:rPr>
            </w:pPr>
          </w:p>
        </w:tc>
        <w:tc>
          <w:tcPr>
            <w:tcW w:w="720" w:type="dxa"/>
            <w:vAlign w:val="bottom"/>
          </w:tcPr>
          <w:p>
            <w:pPr>
              <w:jc w:val="right"/>
              <w:ind w:right="1"/>
              <w:spacing w:after="0" w:line="142" w:lineRule="exact"/>
              <w:rPr>
                <w:sz w:val="20"/>
                <w:szCs w:val="20"/>
                <w:color w:val="auto"/>
              </w:rPr>
            </w:pPr>
            <w:r>
              <w:rPr>
                <w:rFonts w:ascii="Arial" w:cs="Arial" w:eastAsia="Arial" w:hAnsi="Arial"/>
                <w:sz w:val="16"/>
                <w:szCs w:val="16"/>
                <w:color w:val="auto"/>
              </w:rPr>
              <w:t>A-1</w:t>
            </w:r>
          </w:p>
        </w:tc>
        <w:tc>
          <w:tcPr>
            <w:tcW w:w="0" w:type="dxa"/>
            <w:vAlign w:val="bottom"/>
          </w:tcPr>
          <w:p>
            <w:pPr>
              <w:spacing w:after="0"/>
              <w:rPr>
                <w:sz w:val="1"/>
                <w:szCs w:val="1"/>
                <w:color w:val="auto"/>
              </w:rPr>
            </w:pPr>
          </w:p>
        </w:tc>
      </w:tr>
    </w:tbl>
    <w:p>
      <w:pPr>
        <w:sectPr>
          <w:pgSz w:w="11900" w:h="16838" w:orient="portrait"/>
          <w:cols w:equalWidth="0" w:num="2">
            <w:col w:w="5400" w:space="340"/>
            <w:col w:w="5400"/>
          </w:cols>
          <w:pgMar w:left="320" w:top="482" w:right="43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242570</wp:posOffset>
            </wp:positionV>
            <wp:extent cx="6995160" cy="342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5160" cy="3429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220"/>
        <w:spacing w:after="0"/>
        <w:rPr>
          <w:sz w:val="20"/>
          <w:szCs w:val="20"/>
          <w:color w:val="auto"/>
        </w:rPr>
      </w:pPr>
      <w:r>
        <w:rPr>
          <w:rFonts w:ascii="Arial" w:cs="Arial" w:eastAsia="Arial" w:hAnsi="Arial"/>
          <w:sz w:val="32"/>
          <w:szCs w:val="32"/>
          <w:b w:val="1"/>
          <w:bCs w:val="1"/>
          <w:color w:val="auto"/>
        </w:rPr>
        <w:t>Company Information</w:t>
      </w:r>
    </w:p>
    <w:p>
      <w:pPr>
        <w:spacing w:after="0" w:line="237" w:lineRule="exact"/>
        <w:rPr>
          <w:sz w:val="20"/>
          <w:szCs w:val="20"/>
          <w:color w:val="auto"/>
        </w:rPr>
      </w:pPr>
    </w:p>
    <w:p>
      <w:pPr>
        <w:jc w:val="both"/>
        <w:ind w:left="120" w:right="20"/>
        <w:spacing w:after="0" w:line="247" w:lineRule="auto"/>
        <w:rPr>
          <w:sz w:val="20"/>
          <w:szCs w:val="20"/>
          <w:color w:val="auto"/>
        </w:rPr>
      </w:pPr>
      <w:r>
        <w:rPr>
          <w:rFonts w:ascii="Arial" w:cs="Arial" w:eastAsia="Arial" w:hAnsi="Arial"/>
          <w:sz w:val="18"/>
          <w:szCs w:val="18"/>
          <w:color w:val="auto"/>
        </w:rPr>
        <w:t>Following is basic information about the Company and summary highlights of information contained elsewhere in the proxy statement. This summary does not contain all of the information that you should consider, and you should read the entire proxy statement carefully before voting. References to “we,” “us,” “our,” “Federal” and the “Company” in this proxy statement refer to Federal Realty Investment Trust and its subsidiaries.</w:t>
      </w:r>
    </w:p>
    <w:p>
      <w:pPr>
        <w:spacing w:after="0" w:line="174" w:lineRule="exact"/>
        <w:rPr>
          <w:sz w:val="20"/>
          <w:szCs w:val="20"/>
          <w:color w:val="auto"/>
        </w:rPr>
      </w:pPr>
    </w:p>
    <w:p>
      <w:pPr>
        <w:jc w:val="both"/>
        <w:ind w:left="120"/>
        <w:spacing w:after="0" w:line="271" w:lineRule="auto"/>
        <w:rPr>
          <w:sz w:val="20"/>
          <w:szCs w:val="20"/>
          <w:color w:val="auto"/>
        </w:rPr>
      </w:pPr>
      <w:r>
        <w:rPr>
          <w:rFonts w:ascii="Arial" w:cs="Arial" w:eastAsia="Arial" w:hAnsi="Arial"/>
          <w:sz w:val="18"/>
          <w:szCs w:val="18"/>
          <w:color w:val="auto"/>
        </w:rPr>
        <w:t>Federal Realty Investment Trust is an S&amp;P 500 company headquartered in North Bethesda, Maryland that owns, operates and redevelops high-quality retail based real estate located primarily in major coastal markets.</w:t>
      </w:r>
    </w:p>
    <w:p>
      <w:pPr>
        <w:spacing w:after="0" w:line="181" w:lineRule="exact"/>
        <w:rPr>
          <w:sz w:val="20"/>
          <w:szCs w:val="20"/>
          <w:color w:val="auto"/>
        </w:rPr>
      </w:pPr>
    </w:p>
    <w:tbl>
      <w:tblPr>
        <w:tblLayout w:type="fixed"/>
        <w:tblInd w:w="120" w:type="dxa"/>
        <w:tblCellMar>
          <w:top w:w="0" w:type="dxa"/>
          <w:left w:w="0" w:type="dxa"/>
          <w:bottom w:w="0" w:type="dxa"/>
          <w:right w:w="0" w:type="dxa"/>
        </w:tblCellMar>
      </w:tblPr>
      <w:tr>
        <w:trPr>
          <w:trHeight w:val="239"/>
        </w:trPr>
        <w:tc>
          <w:tcPr>
            <w:tcW w:w="3660" w:type="dxa"/>
            <w:vAlign w:val="bottom"/>
          </w:tcPr>
          <w:p>
            <w:pPr>
              <w:jc w:val="center"/>
              <w:ind w:left="90"/>
              <w:spacing w:after="0"/>
              <w:rPr>
                <w:sz w:val="20"/>
                <w:szCs w:val="20"/>
                <w:color w:val="auto"/>
              </w:rPr>
            </w:pPr>
            <w:r>
              <w:rPr>
                <w:rFonts w:ascii="Arial" w:cs="Arial" w:eastAsia="Arial" w:hAnsi="Arial"/>
                <w:sz w:val="18"/>
                <w:szCs w:val="18"/>
                <w:color w:val="FF160F"/>
                <w:w w:val="99"/>
              </w:rPr>
              <w:t>Company Information</w:t>
            </w:r>
          </w:p>
        </w:tc>
        <w:tc>
          <w:tcPr>
            <w:tcW w:w="3860" w:type="dxa"/>
            <w:vAlign w:val="bottom"/>
          </w:tcPr>
          <w:p>
            <w:pPr>
              <w:jc w:val="center"/>
              <w:ind w:left="210"/>
              <w:spacing w:after="0"/>
              <w:rPr>
                <w:sz w:val="20"/>
                <w:szCs w:val="20"/>
                <w:color w:val="auto"/>
              </w:rPr>
            </w:pPr>
            <w:r>
              <w:rPr>
                <w:rFonts w:ascii="Arial" w:cs="Arial" w:eastAsia="Arial" w:hAnsi="Arial"/>
                <w:sz w:val="18"/>
                <w:szCs w:val="18"/>
                <w:color w:val="FF160F"/>
                <w:w w:val="99"/>
              </w:rPr>
              <w:t>Our Properties*</w:t>
            </w:r>
          </w:p>
        </w:tc>
        <w:tc>
          <w:tcPr>
            <w:tcW w:w="3500" w:type="dxa"/>
            <w:vAlign w:val="bottom"/>
          </w:tcPr>
          <w:p>
            <w:pPr>
              <w:jc w:val="center"/>
              <w:spacing w:after="0"/>
              <w:rPr>
                <w:sz w:val="20"/>
                <w:szCs w:val="20"/>
                <w:color w:val="auto"/>
              </w:rPr>
            </w:pPr>
            <w:r>
              <w:rPr>
                <w:rFonts w:ascii="Arial" w:cs="Arial" w:eastAsia="Arial" w:hAnsi="Arial"/>
                <w:sz w:val="18"/>
                <w:szCs w:val="18"/>
                <w:color w:val="FF160F"/>
                <w:w w:val="99"/>
              </w:rPr>
              <w:t>Our Employees*</w:t>
            </w:r>
          </w:p>
        </w:tc>
      </w:tr>
      <w:tr>
        <w:trPr>
          <w:trHeight w:val="77"/>
        </w:trPr>
        <w:tc>
          <w:tcPr>
            <w:tcW w:w="3660" w:type="dxa"/>
            <w:vAlign w:val="bottom"/>
            <w:tcBorders>
              <w:bottom w:val="single" w:sz="8" w:color="auto"/>
            </w:tcBorders>
          </w:tcPr>
          <w:p>
            <w:pPr>
              <w:spacing w:after="0"/>
              <w:rPr>
                <w:sz w:val="6"/>
                <w:szCs w:val="6"/>
                <w:color w:val="auto"/>
              </w:rPr>
            </w:pPr>
          </w:p>
        </w:tc>
        <w:tc>
          <w:tcPr>
            <w:tcW w:w="3860" w:type="dxa"/>
            <w:vAlign w:val="bottom"/>
            <w:tcBorders>
              <w:bottom w:val="single" w:sz="8" w:color="auto"/>
            </w:tcBorders>
          </w:tcPr>
          <w:p>
            <w:pPr>
              <w:spacing w:after="0"/>
              <w:rPr>
                <w:sz w:val="6"/>
                <w:szCs w:val="6"/>
                <w:color w:val="auto"/>
              </w:rPr>
            </w:pPr>
          </w:p>
        </w:tc>
        <w:tc>
          <w:tcPr>
            <w:tcW w:w="3500" w:type="dxa"/>
            <w:vAlign w:val="bottom"/>
            <w:tcBorders>
              <w:bottom w:val="single" w:sz="8" w:color="auto"/>
            </w:tcBorders>
          </w:tcPr>
          <w:p>
            <w:pPr>
              <w:spacing w:after="0"/>
              <w:rPr>
                <w:sz w:val="6"/>
                <w:szCs w:val="6"/>
                <w:color w:val="auto"/>
              </w:rPr>
            </w:pPr>
          </w:p>
        </w:tc>
      </w:tr>
      <w:tr>
        <w:trPr>
          <w:trHeight w:val="339"/>
        </w:trPr>
        <w:tc>
          <w:tcPr>
            <w:tcW w:w="3660" w:type="dxa"/>
            <w:vAlign w:val="bottom"/>
          </w:tcPr>
          <w:p>
            <w:pPr>
              <w:jc w:val="center"/>
              <w:ind w:left="110"/>
              <w:spacing w:after="0"/>
              <w:rPr>
                <w:sz w:val="20"/>
                <w:szCs w:val="20"/>
                <w:color w:val="auto"/>
              </w:rPr>
            </w:pPr>
            <w:r>
              <w:rPr>
                <w:rFonts w:ascii="Arial" w:cs="Arial" w:eastAsia="Arial" w:hAnsi="Arial"/>
                <w:sz w:val="18"/>
                <w:szCs w:val="18"/>
                <w:color w:val="auto"/>
              </w:rPr>
              <w:t>Established in 1962</w:t>
            </w:r>
          </w:p>
        </w:tc>
        <w:tc>
          <w:tcPr>
            <w:tcW w:w="3860" w:type="dxa"/>
            <w:vAlign w:val="bottom"/>
          </w:tcPr>
          <w:p>
            <w:pPr>
              <w:jc w:val="center"/>
              <w:ind w:left="210"/>
              <w:spacing w:after="0"/>
              <w:rPr>
                <w:sz w:val="20"/>
                <w:szCs w:val="20"/>
                <w:color w:val="auto"/>
              </w:rPr>
            </w:pPr>
            <w:r>
              <w:rPr>
                <w:rFonts w:ascii="Arial" w:cs="Arial" w:eastAsia="Arial" w:hAnsi="Arial"/>
                <w:sz w:val="18"/>
                <w:szCs w:val="18"/>
                <w:color w:val="auto"/>
                <w:w w:val="99"/>
              </w:rPr>
              <w:t>102 Properties</w:t>
            </w:r>
          </w:p>
        </w:tc>
        <w:tc>
          <w:tcPr>
            <w:tcW w:w="3500" w:type="dxa"/>
            <w:vAlign w:val="bottom"/>
          </w:tcPr>
          <w:p>
            <w:pPr>
              <w:jc w:val="center"/>
              <w:spacing w:after="0"/>
              <w:rPr>
                <w:sz w:val="20"/>
                <w:szCs w:val="20"/>
                <w:color w:val="auto"/>
              </w:rPr>
            </w:pPr>
            <w:r>
              <w:rPr>
                <w:rFonts w:ascii="Arial" w:cs="Arial" w:eastAsia="Arial" w:hAnsi="Arial"/>
                <w:sz w:val="18"/>
                <w:szCs w:val="18"/>
                <w:color w:val="auto"/>
                <w:w w:val="99"/>
              </w:rPr>
              <w:t>304 full-time employees</w:t>
            </w:r>
          </w:p>
        </w:tc>
      </w:tr>
      <w:tr>
        <w:trPr>
          <w:trHeight w:val="203"/>
        </w:trPr>
        <w:tc>
          <w:tcPr>
            <w:tcW w:w="3660" w:type="dxa"/>
            <w:vAlign w:val="bottom"/>
          </w:tcPr>
          <w:p>
            <w:pPr>
              <w:jc w:val="center"/>
              <w:ind w:left="90"/>
              <w:spacing w:after="0" w:line="202" w:lineRule="exact"/>
              <w:rPr>
                <w:sz w:val="20"/>
                <w:szCs w:val="20"/>
                <w:color w:val="auto"/>
              </w:rPr>
            </w:pPr>
            <w:r>
              <w:rPr>
                <w:rFonts w:ascii="Arial" w:cs="Arial" w:eastAsia="Arial" w:hAnsi="Arial"/>
                <w:sz w:val="18"/>
                <w:szCs w:val="18"/>
                <w:color w:val="auto"/>
                <w:w w:val="99"/>
              </w:rPr>
              <w:t>Member of the S&amp;P 500</w:t>
            </w:r>
          </w:p>
        </w:tc>
        <w:tc>
          <w:tcPr>
            <w:tcW w:w="3860" w:type="dxa"/>
            <w:vAlign w:val="bottom"/>
          </w:tcPr>
          <w:p>
            <w:pPr>
              <w:jc w:val="center"/>
              <w:ind w:left="210"/>
              <w:spacing w:after="0" w:line="202" w:lineRule="exact"/>
              <w:rPr>
                <w:sz w:val="20"/>
                <w:szCs w:val="20"/>
                <w:color w:val="auto"/>
              </w:rPr>
            </w:pPr>
            <w:r>
              <w:rPr>
                <w:rFonts w:ascii="Times New Roman" w:cs="Times New Roman" w:eastAsia="Times New Roman" w:hAnsi="Times New Roman"/>
                <w:sz w:val="18"/>
                <w:szCs w:val="18"/>
                <w:color w:val="auto"/>
                <w:w w:val="99"/>
              </w:rPr>
              <w:t>≈</w:t>
            </w:r>
            <w:r>
              <w:rPr>
                <w:rFonts w:ascii="Arial" w:cs="Arial" w:eastAsia="Arial" w:hAnsi="Arial"/>
                <w:sz w:val="18"/>
                <w:szCs w:val="18"/>
                <w:color w:val="auto"/>
                <w:w w:val="99"/>
              </w:rPr>
              <w:t>26.0M SF of commercial space</w:t>
            </w:r>
          </w:p>
        </w:tc>
        <w:tc>
          <w:tcPr>
            <w:tcW w:w="3500" w:type="dxa"/>
            <w:vAlign w:val="bottom"/>
          </w:tcPr>
          <w:p>
            <w:pPr>
              <w:jc w:val="center"/>
              <w:spacing w:after="0" w:line="202" w:lineRule="exact"/>
              <w:rPr>
                <w:sz w:val="20"/>
                <w:szCs w:val="20"/>
                <w:color w:val="auto"/>
              </w:rPr>
            </w:pPr>
            <w:r>
              <w:rPr>
                <w:rFonts w:ascii="Arial" w:cs="Arial" w:eastAsia="Arial" w:hAnsi="Arial"/>
                <w:sz w:val="18"/>
                <w:szCs w:val="18"/>
                <w:color w:val="auto"/>
                <w:w w:val="98"/>
              </w:rPr>
              <w:t>6 primary offices</w:t>
            </w:r>
          </w:p>
        </w:tc>
      </w:tr>
      <w:tr>
        <w:trPr>
          <w:trHeight w:val="252"/>
        </w:trPr>
        <w:tc>
          <w:tcPr>
            <w:tcW w:w="3660" w:type="dxa"/>
            <w:vAlign w:val="bottom"/>
          </w:tcPr>
          <w:p>
            <w:pPr>
              <w:spacing w:after="0"/>
              <w:rPr>
                <w:sz w:val="21"/>
                <w:szCs w:val="21"/>
                <w:color w:val="auto"/>
              </w:rPr>
            </w:pPr>
          </w:p>
        </w:tc>
        <w:tc>
          <w:tcPr>
            <w:tcW w:w="386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w:t>
            </w:r>
            <w:r>
              <w:rPr>
                <w:rFonts w:ascii="Arial" w:cs="Arial" w:eastAsia="Arial" w:hAnsi="Arial"/>
                <w:sz w:val="18"/>
                <w:szCs w:val="18"/>
                <w:color w:val="auto"/>
                <w:w w:val="99"/>
              </w:rPr>
              <w:t>3,100 residential units</w:t>
            </w:r>
          </w:p>
        </w:tc>
        <w:tc>
          <w:tcPr>
            <w:tcW w:w="3500" w:type="dxa"/>
            <w:vAlign w:val="bottom"/>
          </w:tcPr>
          <w:p>
            <w:pPr>
              <w:jc w:val="center"/>
              <w:spacing w:after="0"/>
              <w:rPr>
                <w:sz w:val="20"/>
                <w:szCs w:val="20"/>
                <w:color w:val="auto"/>
              </w:rPr>
            </w:pPr>
            <w:r>
              <w:rPr>
                <w:rFonts w:ascii="Arial" w:cs="Arial" w:eastAsia="Arial" w:hAnsi="Arial"/>
                <w:sz w:val="18"/>
                <w:szCs w:val="18"/>
                <w:color w:val="auto"/>
                <w:w w:val="99"/>
              </w:rPr>
              <w:t>Average tenure exceeds 9 years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177165</wp:posOffset>
            </wp:positionV>
            <wp:extent cx="6995160" cy="342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5160" cy="34290"/>
                    </a:xfrm>
                    <a:prstGeom prst="rect">
                      <a:avLst/>
                    </a:prstGeom>
                    <a:noFill/>
                  </pic:spPr>
                </pic:pic>
              </a:graphicData>
            </a:graphic>
          </wp:anchor>
        </w:drawing>
      </w:r>
    </w:p>
    <w:p>
      <w:pPr>
        <w:spacing w:after="0" w:line="345" w:lineRule="exact"/>
        <w:rPr>
          <w:sz w:val="20"/>
          <w:szCs w:val="20"/>
          <w:color w:val="auto"/>
        </w:rPr>
      </w:pPr>
    </w:p>
    <w:p>
      <w:pPr>
        <w:ind w:left="120"/>
        <w:spacing w:after="0"/>
        <w:rPr>
          <w:sz w:val="20"/>
          <w:szCs w:val="20"/>
          <w:color w:val="auto"/>
        </w:rPr>
      </w:pPr>
      <w:r>
        <w:rPr>
          <w:rFonts w:ascii="Arial" w:cs="Arial" w:eastAsia="Arial" w:hAnsi="Arial"/>
          <w:sz w:val="14"/>
          <w:szCs w:val="14"/>
          <w:color w:val="auto"/>
        </w:rPr>
        <w:t>* Information as of December 31, 2023.</w:t>
      </w:r>
    </w:p>
    <w:p>
      <w:pPr>
        <w:spacing w:after="0" w:line="234" w:lineRule="exact"/>
        <w:rPr>
          <w:sz w:val="20"/>
          <w:szCs w:val="20"/>
          <w:color w:val="auto"/>
        </w:rPr>
      </w:pPr>
    </w:p>
    <w:p>
      <w:pPr>
        <w:ind w:left="540" w:hanging="424"/>
        <w:spacing w:after="0"/>
        <w:tabs>
          <w:tab w:leader="none" w:pos="540" w:val="left"/>
        </w:tabs>
        <w:numPr>
          <w:ilvl w:val="0"/>
          <w:numId w:val="6"/>
        </w:numPr>
        <w:rPr>
          <w:rFonts w:ascii="MS PGothic" w:cs="MS PGothic" w:eastAsia="MS PGothic" w:hAnsi="MS PGothic"/>
          <w:sz w:val="18"/>
          <w:szCs w:val="18"/>
          <w:color w:val="FF160F"/>
        </w:rPr>
      </w:pPr>
      <w:r>
        <w:rPr>
          <w:rFonts w:ascii="Arial" w:cs="Arial" w:eastAsia="Arial" w:hAnsi="Arial"/>
          <w:sz w:val="18"/>
          <w:szCs w:val="18"/>
          <w:b w:val="1"/>
          <w:bCs w:val="1"/>
          <w:color w:val="auto"/>
        </w:rPr>
        <w:t>HIGHLIGHTS OF 2023 COMPANY PERFORMANCE</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Key business and financial achievements for 2023, in addition to net income per diluted share of $2.80 included:</w:t>
      </w:r>
    </w:p>
    <w:p>
      <w:pPr>
        <w:spacing w:after="0" w:line="234"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1300" w:type="dxa"/>
            <w:vAlign w:val="bottom"/>
          </w:tcPr>
          <w:p>
            <w:pPr>
              <w:spacing w:after="0"/>
              <w:rPr>
                <w:sz w:val="17"/>
                <w:szCs w:val="17"/>
                <w:color w:val="auto"/>
              </w:rPr>
            </w:pPr>
          </w:p>
        </w:tc>
        <w:tc>
          <w:tcPr>
            <w:tcW w:w="140" w:type="dxa"/>
            <w:vAlign w:val="bottom"/>
            <w:shd w:val="clear" w:color="auto" w:fill="A5A5A5"/>
          </w:tcPr>
          <w:p>
            <w:pPr>
              <w:spacing w:after="0"/>
              <w:rPr>
                <w:sz w:val="17"/>
                <w:szCs w:val="17"/>
                <w:color w:val="auto"/>
              </w:rPr>
            </w:pPr>
          </w:p>
        </w:tc>
        <w:tc>
          <w:tcPr>
            <w:tcW w:w="1540" w:type="dxa"/>
            <w:vAlign w:val="bottom"/>
            <w:vMerge w:val="restart"/>
            <w:shd w:val="clear" w:color="auto" w:fill="A5A5A5"/>
          </w:tcPr>
          <w:p>
            <w:pPr>
              <w:jc w:val="center"/>
              <w:spacing w:after="0"/>
              <w:rPr>
                <w:sz w:val="20"/>
                <w:szCs w:val="20"/>
                <w:color w:val="auto"/>
              </w:rPr>
            </w:pPr>
            <w:r>
              <w:rPr>
                <w:rFonts w:ascii="Arial" w:cs="Arial" w:eastAsia="Arial" w:hAnsi="Arial"/>
                <w:sz w:val="18"/>
                <w:szCs w:val="18"/>
                <w:b w:val="1"/>
                <w:bCs w:val="1"/>
                <w:color w:val="FFFFFF"/>
              </w:rPr>
              <w:t>FFO Per Share</w:t>
            </w:r>
          </w:p>
        </w:tc>
        <w:tc>
          <w:tcPr>
            <w:tcW w:w="100" w:type="dxa"/>
            <w:vAlign w:val="bottom"/>
            <w:shd w:val="clear" w:color="auto" w:fill="F2F2F2"/>
          </w:tcPr>
          <w:p>
            <w:pPr>
              <w:spacing w:after="0"/>
              <w:rPr>
                <w:sz w:val="17"/>
                <w:szCs w:val="17"/>
                <w:color w:val="auto"/>
              </w:rPr>
            </w:pPr>
          </w:p>
        </w:tc>
        <w:tc>
          <w:tcPr>
            <w:tcW w:w="7940" w:type="dxa"/>
            <w:vAlign w:val="bottom"/>
            <w:shd w:val="clear" w:color="auto" w:fill="F2F2F2"/>
          </w:tcPr>
          <w:p>
            <w:pPr>
              <w:spacing w:after="0"/>
              <w:rPr>
                <w:sz w:val="20"/>
                <w:szCs w:val="20"/>
                <w:color w:val="auto"/>
              </w:rPr>
            </w:pPr>
            <w:r>
              <w:rPr>
                <w:rFonts w:ascii="Arial" w:cs="Arial" w:eastAsia="Arial" w:hAnsi="Arial"/>
                <w:sz w:val="18"/>
                <w:szCs w:val="18"/>
                <w:color w:val="auto"/>
              </w:rPr>
              <w:t xml:space="preserve">FFO per diluted share* of </w:t>
            </w:r>
            <w:r>
              <w:rPr>
                <w:rFonts w:ascii="Arial" w:cs="Arial" w:eastAsia="Arial" w:hAnsi="Arial"/>
                <w:sz w:val="18"/>
                <w:szCs w:val="18"/>
                <w:color w:val="FF160F"/>
              </w:rPr>
              <w:t>$6.55</w:t>
            </w:r>
            <w:r>
              <w:rPr>
                <w:rFonts w:ascii="Arial" w:cs="Arial" w:eastAsia="Arial" w:hAnsi="Arial"/>
                <w:sz w:val="18"/>
                <w:szCs w:val="18"/>
                <w:color w:val="auto"/>
              </w:rPr>
              <w:t xml:space="preserve"> representing growth of </w:t>
            </w:r>
            <w:r>
              <w:rPr>
                <w:rFonts w:ascii="Arial" w:cs="Arial" w:eastAsia="Arial" w:hAnsi="Arial"/>
                <w:sz w:val="18"/>
                <w:szCs w:val="18"/>
                <w:color w:val="FF160F"/>
              </w:rPr>
              <w:t>3.6%</w:t>
            </w:r>
            <w:r>
              <w:rPr>
                <w:rFonts w:ascii="Arial" w:cs="Arial" w:eastAsia="Arial" w:hAnsi="Arial"/>
                <w:sz w:val="18"/>
                <w:szCs w:val="18"/>
                <w:color w:val="auto"/>
              </w:rPr>
              <w:t xml:space="preserve"> over 2022 driven by record levels of</w:t>
            </w: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140" w:type="dxa"/>
            <w:vAlign w:val="bottom"/>
            <w:shd w:val="clear" w:color="auto" w:fill="A5A5A5"/>
          </w:tcPr>
          <w:p>
            <w:pPr>
              <w:spacing w:after="0"/>
              <w:rPr>
                <w:sz w:val="7"/>
                <w:szCs w:val="7"/>
                <w:color w:val="auto"/>
              </w:rPr>
            </w:pPr>
          </w:p>
        </w:tc>
        <w:tc>
          <w:tcPr>
            <w:tcW w:w="1540" w:type="dxa"/>
            <w:vAlign w:val="bottom"/>
            <w:vMerge w:val="continue"/>
            <w:shd w:val="clear" w:color="auto" w:fill="A5A5A5"/>
          </w:tcPr>
          <w:p>
            <w:pPr>
              <w:spacing w:after="0"/>
              <w:rPr>
                <w:sz w:val="7"/>
                <w:szCs w:val="7"/>
                <w:color w:val="auto"/>
              </w:rPr>
            </w:pPr>
          </w:p>
        </w:tc>
        <w:tc>
          <w:tcPr>
            <w:tcW w:w="100" w:type="dxa"/>
            <w:vAlign w:val="bottom"/>
            <w:shd w:val="clear" w:color="auto" w:fill="F2F2F2"/>
          </w:tcPr>
          <w:p>
            <w:pPr>
              <w:spacing w:after="0"/>
              <w:rPr>
                <w:sz w:val="7"/>
                <w:szCs w:val="7"/>
                <w:color w:val="auto"/>
              </w:rPr>
            </w:pPr>
          </w:p>
        </w:tc>
        <w:tc>
          <w:tcPr>
            <w:tcW w:w="7940" w:type="dxa"/>
            <w:vAlign w:val="bottom"/>
            <w:vMerge w:val="restart"/>
            <w:shd w:val="clear" w:color="auto" w:fill="F2F2F2"/>
          </w:tcPr>
          <w:p>
            <w:pPr>
              <w:spacing w:after="0" w:line="202" w:lineRule="exact"/>
              <w:rPr>
                <w:sz w:val="20"/>
                <w:szCs w:val="20"/>
                <w:color w:val="auto"/>
              </w:rPr>
            </w:pPr>
            <w:r>
              <w:rPr>
                <w:rFonts w:ascii="Arial" w:cs="Arial" w:eastAsia="Arial" w:hAnsi="Arial"/>
                <w:sz w:val="18"/>
                <w:szCs w:val="18"/>
                <w:color w:val="auto"/>
              </w:rPr>
              <w:t>total revenue, positive impacts from capital investment, and overall continued strength in the</w:t>
            </w:r>
          </w:p>
        </w:tc>
        <w:tc>
          <w:tcPr>
            <w:tcW w:w="0" w:type="dxa"/>
            <w:vAlign w:val="bottom"/>
          </w:tcPr>
          <w:p>
            <w:pPr>
              <w:spacing w:after="0"/>
              <w:rPr>
                <w:sz w:val="1"/>
                <w:szCs w:val="1"/>
                <w:color w:val="auto"/>
              </w:rPr>
            </w:pPr>
          </w:p>
        </w:tc>
      </w:tr>
      <w:tr>
        <w:trPr>
          <w:trHeight w:val="122"/>
        </w:trPr>
        <w:tc>
          <w:tcPr>
            <w:tcW w:w="1300" w:type="dxa"/>
            <w:vAlign w:val="bottom"/>
          </w:tcPr>
          <w:p>
            <w:pPr>
              <w:spacing w:after="0"/>
              <w:rPr>
                <w:sz w:val="10"/>
                <w:szCs w:val="10"/>
                <w:color w:val="auto"/>
              </w:rPr>
            </w:pPr>
          </w:p>
        </w:tc>
        <w:tc>
          <w:tcPr>
            <w:tcW w:w="140" w:type="dxa"/>
            <w:vAlign w:val="bottom"/>
            <w:shd w:val="clear" w:color="auto" w:fill="A5A5A5"/>
          </w:tcPr>
          <w:p>
            <w:pPr>
              <w:spacing w:after="0"/>
              <w:rPr>
                <w:sz w:val="10"/>
                <w:szCs w:val="10"/>
                <w:color w:val="auto"/>
              </w:rPr>
            </w:pPr>
          </w:p>
        </w:tc>
        <w:tc>
          <w:tcPr>
            <w:tcW w:w="1540" w:type="dxa"/>
            <w:vAlign w:val="bottom"/>
            <w:vMerge w:val="restart"/>
            <w:shd w:val="clear" w:color="auto" w:fill="A5A5A5"/>
          </w:tcPr>
          <w:p>
            <w:pPr>
              <w:jc w:val="center"/>
              <w:spacing w:after="0"/>
              <w:rPr>
                <w:sz w:val="20"/>
                <w:szCs w:val="20"/>
                <w:color w:val="auto"/>
              </w:rPr>
            </w:pPr>
            <w:r>
              <w:rPr>
                <w:rFonts w:ascii="Arial" w:cs="Arial" w:eastAsia="Arial" w:hAnsi="Arial"/>
                <w:sz w:val="18"/>
                <w:szCs w:val="18"/>
                <w:b w:val="1"/>
                <w:bCs w:val="1"/>
                <w:color w:val="FFFFFF"/>
                <w:w w:val="98"/>
              </w:rPr>
              <w:t>Growth</w:t>
            </w:r>
          </w:p>
        </w:tc>
        <w:tc>
          <w:tcPr>
            <w:tcW w:w="100" w:type="dxa"/>
            <w:vAlign w:val="bottom"/>
            <w:shd w:val="clear" w:color="auto" w:fill="F2F2F2"/>
          </w:tcPr>
          <w:p>
            <w:pPr>
              <w:spacing w:after="0"/>
              <w:rPr>
                <w:sz w:val="10"/>
                <w:szCs w:val="10"/>
                <w:color w:val="auto"/>
              </w:rPr>
            </w:pPr>
          </w:p>
        </w:tc>
        <w:tc>
          <w:tcPr>
            <w:tcW w:w="7940" w:type="dxa"/>
            <w:vAlign w:val="bottom"/>
            <w:vMerge w:val="continue"/>
            <w:shd w:val="clear" w:color="auto" w:fill="F2F2F2"/>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1300" w:type="dxa"/>
            <w:vAlign w:val="bottom"/>
          </w:tcPr>
          <w:p>
            <w:pPr>
              <w:spacing w:after="0"/>
              <w:rPr>
                <w:sz w:val="10"/>
                <w:szCs w:val="10"/>
                <w:color w:val="auto"/>
              </w:rPr>
            </w:pPr>
          </w:p>
        </w:tc>
        <w:tc>
          <w:tcPr>
            <w:tcW w:w="140" w:type="dxa"/>
            <w:vAlign w:val="bottom"/>
            <w:shd w:val="clear" w:color="auto" w:fill="A5A5A5"/>
          </w:tcPr>
          <w:p>
            <w:pPr>
              <w:spacing w:after="0"/>
              <w:rPr>
                <w:sz w:val="10"/>
                <w:szCs w:val="10"/>
                <w:color w:val="auto"/>
              </w:rPr>
            </w:pPr>
          </w:p>
        </w:tc>
        <w:tc>
          <w:tcPr>
            <w:tcW w:w="1540" w:type="dxa"/>
            <w:vAlign w:val="bottom"/>
            <w:vMerge w:val="continue"/>
            <w:shd w:val="clear" w:color="auto" w:fill="A5A5A5"/>
          </w:tcPr>
          <w:p>
            <w:pPr>
              <w:spacing w:after="0"/>
              <w:rPr>
                <w:sz w:val="10"/>
                <w:szCs w:val="10"/>
                <w:color w:val="auto"/>
              </w:rPr>
            </w:pPr>
          </w:p>
        </w:tc>
        <w:tc>
          <w:tcPr>
            <w:tcW w:w="100" w:type="dxa"/>
            <w:vAlign w:val="bottom"/>
            <w:shd w:val="clear" w:color="auto" w:fill="F2F2F2"/>
          </w:tcPr>
          <w:p>
            <w:pPr>
              <w:spacing w:after="0"/>
              <w:rPr>
                <w:sz w:val="10"/>
                <w:szCs w:val="10"/>
                <w:color w:val="auto"/>
              </w:rPr>
            </w:pPr>
          </w:p>
        </w:tc>
        <w:tc>
          <w:tcPr>
            <w:tcW w:w="7940" w:type="dxa"/>
            <w:vAlign w:val="bottom"/>
            <w:vMerge w:val="restart"/>
            <w:shd w:val="clear" w:color="auto" w:fill="F2F2F2"/>
          </w:tcPr>
          <w:p>
            <w:pPr>
              <w:spacing w:after="0"/>
              <w:rPr>
                <w:sz w:val="20"/>
                <w:szCs w:val="20"/>
                <w:color w:val="auto"/>
              </w:rPr>
            </w:pPr>
            <w:r>
              <w:rPr>
                <w:rFonts w:ascii="Arial" w:cs="Arial" w:eastAsia="Arial" w:hAnsi="Arial"/>
                <w:sz w:val="18"/>
                <w:szCs w:val="18"/>
                <w:color w:val="auto"/>
              </w:rPr>
              <w:t>broader retail real estate market</w:t>
            </w:r>
          </w:p>
        </w:tc>
        <w:tc>
          <w:tcPr>
            <w:tcW w:w="0" w:type="dxa"/>
            <w:vAlign w:val="bottom"/>
          </w:tcPr>
          <w:p>
            <w:pPr>
              <w:spacing w:after="0"/>
              <w:rPr>
                <w:sz w:val="1"/>
                <w:szCs w:val="1"/>
                <w:color w:val="auto"/>
              </w:rPr>
            </w:pPr>
          </w:p>
        </w:tc>
      </w:tr>
      <w:tr>
        <w:trPr>
          <w:trHeight w:val="113"/>
        </w:trPr>
        <w:tc>
          <w:tcPr>
            <w:tcW w:w="1300" w:type="dxa"/>
            <w:vAlign w:val="bottom"/>
          </w:tcPr>
          <w:p>
            <w:pPr>
              <w:spacing w:after="0"/>
              <w:rPr>
                <w:sz w:val="9"/>
                <w:szCs w:val="9"/>
                <w:color w:val="auto"/>
              </w:rPr>
            </w:pPr>
          </w:p>
        </w:tc>
        <w:tc>
          <w:tcPr>
            <w:tcW w:w="140" w:type="dxa"/>
            <w:vAlign w:val="bottom"/>
            <w:shd w:val="clear" w:color="auto" w:fill="A5A5A5"/>
          </w:tcPr>
          <w:p>
            <w:pPr>
              <w:spacing w:after="0"/>
              <w:rPr>
                <w:sz w:val="9"/>
                <w:szCs w:val="9"/>
                <w:color w:val="auto"/>
              </w:rPr>
            </w:pPr>
          </w:p>
        </w:tc>
        <w:tc>
          <w:tcPr>
            <w:tcW w:w="1540" w:type="dxa"/>
            <w:vAlign w:val="bottom"/>
            <w:shd w:val="clear" w:color="auto" w:fill="A5A5A5"/>
          </w:tcPr>
          <w:p>
            <w:pPr>
              <w:spacing w:after="0"/>
              <w:rPr>
                <w:sz w:val="9"/>
                <w:szCs w:val="9"/>
                <w:color w:val="auto"/>
              </w:rPr>
            </w:pPr>
          </w:p>
        </w:tc>
        <w:tc>
          <w:tcPr>
            <w:tcW w:w="100" w:type="dxa"/>
            <w:vAlign w:val="bottom"/>
            <w:shd w:val="clear" w:color="auto" w:fill="F2F2F2"/>
          </w:tcPr>
          <w:p>
            <w:pPr>
              <w:spacing w:after="0"/>
              <w:rPr>
                <w:sz w:val="9"/>
                <w:szCs w:val="9"/>
                <w:color w:val="auto"/>
              </w:rPr>
            </w:pPr>
          </w:p>
        </w:tc>
        <w:tc>
          <w:tcPr>
            <w:tcW w:w="7940" w:type="dxa"/>
            <w:vAlign w:val="bottom"/>
            <w:vMerge w:val="continue"/>
            <w:shd w:val="clear" w:color="auto" w:fill="F2F2F2"/>
          </w:tcPr>
          <w:p>
            <w:pPr>
              <w:spacing w:after="0"/>
              <w:rPr>
                <w:sz w:val="9"/>
                <w:szCs w:val="9"/>
                <w:color w:val="auto"/>
              </w:rPr>
            </w:pPr>
          </w:p>
        </w:tc>
        <w:tc>
          <w:tcPr>
            <w:tcW w:w="0" w:type="dxa"/>
            <w:vAlign w:val="bottom"/>
          </w:tcPr>
          <w:p>
            <w:pPr>
              <w:spacing w:after="0"/>
              <w:rPr>
                <w:sz w:val="1"/>
                <w:szCs w:val="1"/>
                <w:color w:val="auto"/>
              </w:rPr>
            </w:pPr>
          </w:p>
        </w:tc>
      </w:tr>
      <w:tr>
        <w:trPr>
          <w:trHeight w:val="199"/>
        </w:trPr>
        <w:tc>
          <w:tcPr>
            <w:tcW w:w="13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shd w:val="clear" w:color="auto" w:fill="A5A5A5"/>
          </w:tcPr>
          <w:p>
            <w:pPr>
              <w:spacing w:after="0"/>
              <w:rPr>
                <w:sz w:val="17"/>
                <w:szCs w:val="17"/>
                <w:color w:val="auto"/>
              </w:rPr>
            </w:pPr>
          </w:p>
        </w:tc>
        <w:tc>
          <w:tcPr>
            <w:tcW w:w="1540" w:type="dxa"/>
            <w:vAlign w:val="bottom"/>
            <w:tcBorders>
              <w:bottom w:val="single" w:sz="8" w:color="auto"/>
            </w:tcBorders>
            <w:shd w:val="clear" w:color="auto" w:fill="A5A5A5"/>
          </w:tcPr>
          <w:p>
            <w:pPr>
              <w:spacing w:after="0"/>
              <w:rPr>
                <w:sz w:val="17"/>
                <w:szCs w:val="17"/>
                <w:color w:val="auto"/>
              </w:rPr>
            </w:pPr>
          </w:p>
        </w:tc>
        <w:tc>
          <w:tcPr>
            <w:tcW w:w="100" w:type="dxa"/>
            <w:vAlign w:val="bottom"/>
            <w:tcBorders>
              <w:bottom w:val="single" w:sz="8" w:color="auto"/>
            </w:tcBorders>
            <w:shd w:val="clear" w:color="auto" w:fill="F2F2F2"/>
          </w:tcPr>
          <w:p>
            <w:pPr>
              <w:spacing w:after="0"/>
              <w:rPr>
                <w:sz w:val="17"/>
                <w:szCs w:val="17"/>
                <w:color w:val="auto"/>
              </w:rPr>
            </w:pPr>
          </w:p>
        </w:tc>
        <w:tc>
          <w:tcPr>
            <w:tcW w:w="7940" w:type="dxa"/>
            <w:vAlign w:val="bottom"/>
            <w:tcBorders>
              <w:bottom w:val="single" w:sz="8" w:color="auto"/>
            </w:tcBorders>
            <w:shd w:val="clear" w:color="auto" w:fill="F2F2F2"/>
          </w:tcPr>
          <w:p>
            <w:pPr>
              <w:spacing w:after="0"/>
              <w:rPr>
                <w:sz w:val="17"/>
                <w:szCs w:val="17"/>
                <w:color w:val="auto"/>
              </w:rPr>
            </w:pPr>
          </w:p>
        </w:tc>
        <w:tc>
          <w:tcPr>
            <w:tcW w:w="0" w:type="dxa"/>
            <w:vAlign w:val="bottom"/>
          </w:tcPr>
          <w:p>
            <w:pPr>
              <w:spacing w:after="0"/>
              <w:rPr>
                <w:sz w:val="1"/>
                <w:szCs w:val="1"/>
                <w:color w:val="auto"/>
              </w:rPr>
            </w:pPr>
          </w:p>
        </w:tc>
      </w:tr>
      <w:tr>
        <w:trPr>
          <w:trHeight w:val="380"/>
        </w:trPr>
        <w:tc>
          <w:tcPr>
            <w:tcW w:w="1300" w:type="dxa"/>
            <w:vAlign w:val="bottom"/>
          </w:tcPr>
          <w:p>
            <w:pPr>
              <w:spacing w:after="0"/>
              <w:rPr>
                <w:sz w:val="24"/>
                <w:szCs w:val="24"/>
                <w:color w:val="auto"/>
              </w:rPr>
            </w:pPr>
          </w:p>
        </w:tc>
        <w:tc>
          <w:tcPr>
            <w:tcW w:w="140" w:type="dxa"/>
            <w:vAlign w:val="bottom"/>
            <w:shd w:val="clear" w:color="auto" w:fill="A5A5A5"/>
          </w:tcPr>
          <w:p>
            <w:pPr>
              <w:spacing w:after="0"/>
              <w:rPr>
                <w:sz w:val="24"/>
                <w:szCs w:val="24"/>
                <w:color w:val="auto"/>
              </w:rPr>
            </w:pPr>
          </w:p>
        </w:tc>
        <w:tc>
          <w:tcPr>
            <w:tcW w:w="1540" w:type="dxa"/>
            <w:vAlign w:val="bottom"/>
            <w:shd w:val="clear" w:color="auto" w:fill="A5A5A5"/>
          </w:tcPr>
          <w:p>
            <w:pPr>
              <w:jc w:val="center"/>
              <w:spacing w:after="0"/>
              <w:rPr>
                <w:sz w:val="20"/>
                <w:szCs w:val="20"/>
                <w:color w:val="auto"/>
              </w:rPr>
            </w:pPr>
            <w:r>
              <w:rPr>
                <w:rFonts w:ascii="Arial" w:cs="Arial" w:eastAsia="Arial" w:hAnsi="Arial"/>
                <w:sz w:val="18"/>
                <w:szCs w:val="18"/>
                <w:b w:val="1"/>
                <w:bCs w:val="1"/>
                <w:color w:val="FFFFFF"/>
                <w:w w:val="99"/>
              </w:rPr>
              <w:t>Strong Leasing</w:t>
            </w:r>
          </w:p>
        </w:tc>
        <w:tc>
          <w:tcPr>
            <w:tcW w:w="100" w:type="dxa"/>
            <w:vAlign w:val="bottom"/>
            <w:shd w:val="clear" w:color="auto" w:fill="F2F2F2"/>
          </w:tcPr>
          <w:p>
            <w:pPr>
              <w:spacing w:after="0"/>
              <w:rPr>
                <w:sz w:val="24"/>
                <w:szCs w:val="24"/>
                <w:color w:val="auto"/>
              </w:rPr>
            </w:pPr>
          </w:p>
        </w:tc>
        <w:tc>
          <w:tcPr>
            <w:tcW w:w="7940" w:type="dxa"/>
            <w:vAlign w:val="bottom"/>
            <w:shd w:val="clear" w:color="auto" w:fill="F2F2F2"/>
          </w:tcPr>
          <w:p>
            <w:pPr>
              <w:spacing w:after="0"/>
              <w:rPr>
                <w:sz w:val="20"/>
                <w:szCs w:val="20"/>
                <w:color w:val="auto"/>
              </w:rPr>
            </w:pPr>
            <w:r>
              <w:rPr>
                <w:rFonts w:ascii="Arial" w:cs="Arial" w:eastAsia="Arial" w:hAnsi="Arial"/>
                <w:sz w:val="18"/>
                <w:szCs w:val="18"/>
                <w:color w:val="auto"/>
              </w:rPr>
              <w:t xml:space="preserve">Signed new and renewal comparable space leases covering more than </w:t>
            </w:r>
            <w:r>
              <w:rPr>
                <w:rFonts w:ascii="Arial" w:cs="Arial" w:eastAsia="Arial" w:hAnsi="Arial"/>
                <w:sz w:val="18"/>
                <w:szCs w:val="18"/>
                <w:color w:val="FF160F"/>
              </w:rPr>
              <w:t>2 million</w:t>
            </w:r>
            <w:r>
              <w:rPr>
                <w:rFonts w:ascii="Arial" w:cs="Arial" w:eastAsia="Arial" w:hAnsi="Arial"/>
                <w:sz w:val="18"/>
                <w:szCs w:val="18"/>
                <w:color w:val="auto"/>
              </w:rPr>
              <w:t xml:space="preserve"> square feet of</w:t>
            </w:r>
          </w:p>
        </w:tc>
        <w:tc>
          <w:tcPr>
            <w:tcW w:w="0" w:type="dxa"/>
            <w:vAlign w:val="bottom"/>
          </w:tcPr>
          <w:p>
            <w:pPr>
              <w:spacing w:after="0"/>
              <w:rPr>
                <w:sz w:val="1"/>
                <w:szCs w:val="1"/>
                <w:color w:val="auto"/>
              </w:rPr>
            </w:pPr>
          </w:p>
        </w:tc>
      </w:tr>
      <w:tr>
        <w:trPr>
          <w:trHeight w:val="247"/>
        </w:trPr>
        <w:tc>
          <w:tcPr>
            <w:tcW w:w="1300" w:type="dxa"/>
            <w:vAlign w:val="bottom"/>
          </w:tcPr>
          <w:p>
            <w:pPr>
              <w:spacing w:after="0"/>
              <w:rPr>
                <w:sz w:val="21"/>
                <w:szCs w:val="21"/>
                <w:color w:val="auto"/>
              </w:rPr>
            </w:pPr>
          </w:p>
        </w:tc>
        <w:tc>
          <w:tcPr>
            <w:tcW w:w="140" w:type="dxa"/>
            <w:vAlign w:val="bottom"/>
            <w:shd w:val="clear" w:color="auto" w:fill="A5A5A5"/>
          </w:tcPr>
          <w:p>
            <w:pPr>
              <w:spacing w:after="0"/>
              <w:rPr>
                <w:sz w:val="21"/>
                <w:szCs w:val="21"/>
                <w:color w:val="auto"/>
              </w:rPr>
            </w:pPr>
          </w:p>
        </w:tc>
        <w:tc>
          <w:tcPr>
            <w:tcW w:w="1540" w:type="dxa"/>
            <w:vAlign w:val="bottom"/>
            <w:shd w:val="clear" w:color="auto" w:fill="A5A5A5"/>
          </w:tcPr>
          <w:p>
            <w:pPr>
              <w:jc w:val="center"/>
              <w:spacing w:after="0"/>
              <w:rPr>
                <w:sz w:val="20"/>
                <w:szCs w:val="20"/>
                <w:color w:val="auto"/>
              </w:rPr>
            </w:pPr>
            <w:r>
              <w:rPr>
                <w:rFonts w:ascii="Arial" w:cs="Arial" w:eastAsia="Arial" w:hAnsi="Arial"/>
                <w:sz w:val="18"/>
                <w:szCs w:val="18"/>
                <w:b w:val="1"/>
                <w:bCs w:val="1"/>
                <w:color w:val="FFFFFF"/>
              </w:rPr>
              <w:t>Activity</w:t>
            </w:r>
          </w:p>
        </w:tc>
        <w:tc>
          <w:tcPr>
            <w:tcW w:w="100" w:type="dxa"/>
            <w:vAlign w:val="bottom"/>
            <w:shd w:val="clear" w:color="auto" w:fill="F2F2F2"/>
          </w:tcPr>
          <w:p>
            <w:pPr>
              <w:spacing w:after="0"/>
              <w:rPr>
                <w:sz w:val="21"/>
                <w:szCs w:val="21"/>
                <w:color w:val="auto"/>
              </w:rPr>
            </w:pPr>
          </w:p>
        </w:tc>
        <w:tc>
          <w:tcPr>
            <w:tcW w:w="7940" w:type="dxa"/>
            <w:vAlign w:val="bottom"/>
            <w:shd w:val="clear" w:color="auto" w:fill="F2F2F2"/>
          </w:tcPr>
          <w:p>
            <w:pPr>
              <w:spacing w:after="0"/>
              <w:rPr>
                <w:sz w:val="20"/>
                <w:szCs w:val="20"/>
                <w:color w:val="auto"/>
              </w:rPr>
            </w:pPr>
            <w:r>
              <w:rPr>
                <w:rFonts w:ascii="Arial" w:cs="Arial" w:eastAsia="Arial" w:hAnsi="Arial"/>
                <w:sz w:val="18"/>
                <w:szCs w:val="18"/>
                <w:color w:val="auto"/>
              </w:rPr>
              <w:t>space and $74.5 million of year 1 revenue</w:t>
            </w:r>
          </w:p>
        </w:tc>
        <w:tc>
          <w:tcPr>
            <w:tcW w:w="0" w:type="dxa"/>
            <w:vAlign w:val="bottom"/>
          </w:tcPr>
          <w:p>
            <w:pPr>
              <w:spacing w:after="0"/>
              <w:rPr>
                <w:sz w:val="1"/>
                <w:szCs w:val="1"/>
                <w:color w:val="auto"/>
              </w:rPr>
            </w:pPr>
          </w:p>
        </w:tc>
      </w:tr>
      <w:tr>
        <w:trPr>
          <w:trHeight w:val="190"/>
        </w:trPr>
        <w:tc>
          <w:tcPr>
            <w:tcW w:w="13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shd w:val="clear" w:color="auto" w:fill="A5A5A5"/>
          </w:tcPr>
          <w:p>
            <w:pPr>
              <w:spacing w:after="0"/>
              <w:rPr>
                <w:sz w:val="16"/>
                <w:szCs w:val="16"/>
                <w:color w:val="auto"/>
              </w:rPr>
            </w:pPr>
          </w:p>
        </w:tc>
        <w:tc>
          <w:tcPr>
            <w:tcW w:w="1540" w:type="dxa"/>
            <w:vAlign w:val="bottom"/>
            <w:tcBorders>
              <w:bottom w:val="single" w:sz="8" w:color="auto"/>
            </w:tcBorders>
            <w:shd w:val="clear" w:color="auto" w:fill="A5A5A5"/>
          </w:tcPr>
          <w:p>
            <w:pPr>
              <w:spacing w:after="0"/>
              <w:rPr>
                <w:sz w:val="16"/>
                <w:szCs w:val="16"/>
                <w:color w:val="auto"/>
              </w:rPr>
            </w:pPr>
          </w:p>
        </w:tc>
        <w:tc>
          <w:tcPr>
            <w:tcW w:w="100" w:type="dxa"/>
            <w:vAlign w:val="bottom"/>
            <w:tcBorders>
              <w:bottom w:val="single" w:sz="8" w:color="auto"/>
            </w:tcBorders>
            <w:shd w:val="clear" w:color="auto" w:fill="F2F2F2"/>
          </w:tcPr>
          <w:p>
            <w:pPr>
              <w:spacing w:after="0"/>
              <w:rPr>
                <w:sz w:val="16"/>
                <w:szCs w:val="16"/>
                <w:color w:val="auto"/>
              </w:rPr>
            </w:pPr>
          </w:p>
        </w:tc>
        <w:tc>
          <w:tcPr>
            <w:tcW w:w="7940" w:type="dxa"/>
            <w:vAlign w:val="bottom"/>
            <w:tcBorders>
              <w:bottom w:val="single" w:sz="8" w:color="auto"/>
            </w:tcBorders>
            <w:shd w:val="clear" w:color="auto" w:fill="F2F2F2"/>
          </w:tcPr>
          <w:p>
            <w:pPr>
              <w:spacing w:after="0"/>
              <w:rPr>
                <w:sz w:val="16"/>
                <w:szCs w:val="16"/>
                <w:color w:val="auto"/>
              </w:rPr>
            </w:pPr>
          </w:p>
        </w:tc>
        <w:tc>
          <w:tcPr>
            <w:tcW w:w="0" w:type="dxa"/>
            <w:vAlign w:val="bottom"/>
          </w:tcPr>
          <w:p>
            <w:pPr>
              <w:spacing w:after="0"/>
              <w:rPr>
                <w:sz w:val="1"/>
                <w:szCs w:val="1"/>
                <w:color w:val="auto"/>
              </w:rPr>
            </w:pPr>
          </w:p>
        </w:tc>
      </w:tr>
      <w:tr>
        <w:trPr>
          <w:trHeight w:val="285"/>
        </w:trPr>
        <w:tc>
          <w:tcPr>
            <w:tcW w:w="1300" w:type="dxa"/>
            <w:vAlign w:val="bottom"/>
          </w:tcPr>
          <w:p>
            <w:pPr>
              <w:spacing w:after="0"/>
              <w:rPr>
                <w:sz w:val="24"/>
                <w:szCs w:val="24"/>
                <w:color w:val="auto"/>
              </w:rPr>
            </w:pPr>
          </w:p>
        </w:tc>
        <w:tc>
          <w:tcPr>
            <w:tcW w:w="140" w:type="dxa"/>
            <w:vAlign w:val="bottom"/>
            <w:shd w:val="clear" w:color="auto" w:fill="A5A5A5"/>
          </w:tcPr>
          <w:p>
            <w:pPr>
              <w:spacing w:after="0"/>
              <w:rPr>
                <w:sz w:val="24"/>
                <w:szCs w:val="24"/>
                <w:color w:val="auto"/>
              </w:rPr>
            </w:pPr>
          </w:p>
        </w:tc>
        <w:tc>
          <w:tcPr>
            <w:tcW w:w="1540" w:type="dxa"/>
            <w:vAlign w:val="bottom"/>
            <w:shd w:val="clear" w:color="auto" w:fill="A5A5A5"/>
          </w:tcPr>
          <w:p>
            <w:pPr>
              <w:jc w:val="center"/>
              <w:spacing w:after="0"/>
              <w:rPr>
                <w:sz w:val="20"/>
                <w:szCs w:val="20"/>
                <w:color w:val="auto"/>
              </w:rPr>
            </w:pPr>
            <w:r>
              <w:rPr>
                <w:rFonts w:ascii="Arial" w:cs="Arial" w:eastAsia="Arial" w:hAnsi="Arial"/>
                <w:sz w:val="18"/>
                <w:szCs w:val="18"/>
                <w:b w:val="1"/>
                <w:bCs w:val="1"/>
                <w:color w:val="FFFFFF"/>
              </w:rPr>
              <w:t>Productive</w:t>
            </w:r>
          </w:p>
        </w:tc>
        <w:tc>
          <w:tcPr>
            <w:tcW w:w="100" w:type="dxa"/>
            <w:vAlign w:val="bottom"/>
            <w:shd w:val="clear" w:color="auto" w:fill="F2F2F2"/>
          </w:tcPr>
          <w:p>
            <w:pPr>
              <w:spacing w:after="0"/>
              <w:rPr>
                <w:sz w:val="24"/>
                <w:szCs w:val="24"/>
                <w:color w:val="auto"/>
              </w:rPr>
            </w:pPr>
          </w:p>
        </w:tc>
        <w:tc>
          <w:tcPr>
            <w:tcW w:w="7940" w:type="dxa"/>
            <w:vAlign w:val="bottom"/>
            <w:vMerge w:val="restart"/>
            <w:shd w:val="clear" w:color="auto" w:fill="F2F2F2"/>
          </w:tcPr>
          <w:p>
            <w:pPr>
              <w:spacing w:after="0"/>
              <w:rPr>
                <w:sz w:val="20"/>
                <w:szCs w:val="20"/>
                <w:color w:val="auto"/>
              </w:rPr>
            </w:pPr>
            <w:r>
              <w:rPr>
                <w:rFonts w:ascii="Arial" w:cs="Arial" w:eastAsia="Arial" w:hAnsi="Arial"/>
                <w:sz w:val="18"/>
                <w:szCs w:val="18"/>
                <w:color w:val="auto"/>
              </w:rPr>
              <w:t xml:space="preserve">Investments in existing assets such as </w:t>
            </w:r>
            <w:r>
              <w:rPr>
                <w:rFonts w:ascii="Arial" w:cs="Arial" w:eastAsia="Arial" w:hAnsi="Arial"/>
                <w:sz w:val="18"/>
                <w:szCs w:val="18"/>
                <w:color w:val="FF160F"/>
              </w:rPr>
              <w:t>Pike &amp; Rose, Darien Commons, Mercer on One and</w:t>
            </w:r>
          </w:p>
        </w:tc>
        <w:tc>
          <w:tcPr>
            <w:tcW w:w="0" w:type="dxa"/>
            <w:vAlign w:val="bottom"/>
          </w:tcPr>
          <w:p>
            <w:pPr>
              <w:spacing w:after="0"/>
              <w:rPr>
                <w:sz w:val="1"/>
                <w:szCs w:val="1"/>
                <w:color w:val="auto"/>
              </w:rPr>
            </w:pPr>
          </w:p>
        </w:tc>
      </w:tr>
      <w:tr>
        <w:trPr>
          <w:trHeight w:val="95"/>
        </w:trPr>
        <w:tc>
          <w:tcPr>
            <w:tcW w:w="1300" w:type="dxa"/>
            <w:vAlign w:val="bottom"/>
          </w:tcPr>
          <w:p>
            <w:pPr>
              <w:spacing w:after="0"/>
              <w:rPr>
                <w:sz w:val="8"/>
                <w:szCs w:val="8"/>
                <w:color w:val="auto"/>
              </w:rPr>
            </w:pPr>
          </w:p>
        </w:tc>
        <w:tc>
          <w:tcPr>
            <w:tcW w:w="140" w:type="dxa"/>
            <w:vAlign w:val="bottom"/>
            <w:shd w:val="clear" w:color="auto" w:fill="A5A5A5"/>
          </w:tcPr>
          <w:p>
            <w:pPr>
              <w:spacing w:after="0"/>
              <w:rPr>
                <w:sz w:val="8"/>
                <w:szCs w:val="8"/>
                <w:color w:val="auto"/>
              </w:rPr>
            </w:pPr>
          </w:p>
        </w:tc>
        <w:tc>
          <w:tcPr>
            <w:tcW w:w="1540" w:type="dxa"/>
            <w:vAlign w:val="bottom"/>
            <w:vMerge w:val="restart"/>
            <w:shd w:val="clear" w:color="auto" w:fill="A5A5A5"/>
          </w:tcPr>
          <w:p>
            <w:pPr>
              <w:jc w:val="center"/>
              <w:spacing w:after="0" w:line="202" w:lineRule="exact"/>
              <w:rPr>
                <w:sz w:val="20"/>
                <w:szCs w:val="20"/>
                <w:color w:val="auto"/>
              </w:rPr>
            </w:pPr>
            <w:r>
              <w:rPr>
                <w:rFonts w:ascii="Arial" w:cs="Arial" w:eastAsia="Arial" w:hAnsi="Arial"/>
                <w:sz w:val="18"/>
                <w:szCs w:val="18"/>
                <w:b w:val="1"/>
                <w:bCs w:val="1"/>
                <w:color w:val="FFFFFF"/>
                <w:w w:val="99"/>
              </w:rPr>
              <w:t>Capital</w:t>
            </w:r>
          </w:p>
        </w:tc>
        <w:tc>
          <w:tcPr>
            <w:tcW w:w="100" w:type="dxa"/>
            <w:vAlign w:val="bottom"/>
            <w:shd w:val="clear" w:color="auto" w:fill="F2F2F2"/>
          </w:tcPr>
          <w:p>
            <w:pPr>
              <w:spacing w:after="0"/>
              <w:rPr>
                <w:sz w:val="8"/>
                <w:szCs w:val="8"/>
                <w:color w:val="auto"/>
              </w:rPr>
            </w:pPr>
          </w:p>
        </w:tc>
        <w:tc>
          <w:tcPr>
            <w:tcW w:w="7940" w:type="dxa"/>
            <w:vAlign w:val="bottom"/>
            <w:vMerge w:val="continue"/>
            <w:shd w:val="clear" w:color="auto" w:fill="F2F2F2"/>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140" w:type="dxa"/>
            <w:vAlign w:val="bottom"/>
            <w:shd w:val="clear" w:color="auto" w:fill="A5A5A5"/>
          </w:tcPr>
          <w:p>
            <w:pPr>
              <w:spacing w:after="0"/>
              <w:rPr>
                <w:sz w:val="9"/>
                <w:szCs w:val="9"/>
                <w:color w:val="auto"/>
              </w:rPr>
            </w:pPr>
          </w:p>
        </w:tc>
        <w:tc>
          <w:tcPr>
            <w:tcW w:w="1540" w:type="dxa"/>
            <w:vAlign w:val="bottom"/>
            <w:vMerge w:val="continue"/>
            <w:shd w:val="clear" w:color="auto" w:fill="A5A5A5"/>
          </w:tcPr>
          <w:p>
            <w:pPr>
              <w:spacing w:after="0"/>
              <w:rPr>
                <w:sz w:val="9"/>
                <w:szCs w:val="9"/>
                <w:color w:val="auto"/>
              </w:rPr>
            </w:pPr>
          </w:p>
        </w:tc>
        <w:tc>
          <w:tcPr>
            <w:tcW w:w="100" w:type="dxa"/>
            <w:vAlign w:val="bottom"/>
            <w:shd w:val="clear" w:color="auto" w:fill="F2F2F2"/>
          </w:tcPr>
          <w:p>
            <w:pPr>
              <w:spacing w:after="0"/>
              <w:rPr>
                <w:sz w:val="9"/>
                <w:szCs w:val="9"/>
                <w:color w:val="auto"/>
              </w:rPr>
            </w:pPr>
          </w:p>
        </w:tc>
        <w:tc>
          <w:tcPr>
            <w:tcW w:w="7940" w:type="dxa"/>
            <w:vAlign w:val="bottom"/>
            <w:vMerge w:val="restart"/>
            <w:shd w:val="clear" w:color="auto" w:fill="F2F2F2"/>
          </w:tcPr>
          <w:p>
            <w:pPr>
              <w:spacing w:after="0"/>
              <w:rPr>
                <w:sz w:val="20"/>
                <w:szCs w:val="20"/>
                <w:color w:val="auto"/>
              </w:rPr>
            </w:pPr>
            <w:r>
              <w:rPr>
                <w:rFonts w:ascii="Arial" w:cs="Arial" w:eastAsia="Arial" w:hAnsi="Arial"/>
                <w:sz w:val="18"/>
                <w:szCs w:val="18"/>
                <w:color w:val="FF160F"/>
              </w:rPr>
              <w:t xml:space="preserve">Escondido </w:t>
            </w:r>
            <w:r>
              <w:rPr>
                <w:rFonts w:ascii="Arial" w:cs="Arial" w:eastAsia="Arial" w:hAnsi="Arial"/>
                <w:sz w:val="18"/>
                <w:szCs w:val="18"/>
                <w:color w:val="000000"/>
              </w:rPr>
              <w:t>producing significant year over year growth</w:t>
            </w:r>
          </w:p>
        </w:tc>
        <w:tc>
          <w:tcPr>
            <w:tcW w:w="0" w:type="dxa"/>
            <w:vAlign w:val="bottom"/>
          </w:tcPr>
          <w:p>
            <w:pPr>
              <w:spacing w:after="0"/>
              <w:rPr>
                <w:sz w:val="1"/>
                <w:szCs w:val="1"/>
                <w:color w:val="auto"/>
              </w:rPr>
            </w:pPr>
          </w:p>
        </w:tc>
      </w:tr>
      <w:tr>
        <w:trPr>
          <w:trHeight w:val="131"/>
        </w:trPr>
        <w:tc>
          <w:tcPr>
            <w:tcW w:w="1300" w:type="dxa"/>
            <w:vAlign w:val="bottom"/>
          </w:tcPr>
          <w:p>
            <w:pPr>
              <w:spacing w:after="0"/>
              <w:rPr>
                <w:sz w:val="11"/>
                <w:szCs w:val="11"/>
                <w:color w:val="auto"/>
              </w:rPr>
            </w:pPr>
          </w:p>
        </w:tc>
        <w:tc>
          <w:tcPr>
            <w:tcW w:w="140" w:type="dxa"/>
            <w:vAlign w:val="bottom"/>
            <w:shd w:val="clear" w:color="auto" w:fill="A5A5A5"/>
          </w:tcPr>
          <w:p>
            <w:pPr>
              <w:spacing w:after="0"/>
              <w:rPr>
                <w:sz w:val="11"/>
                <w:szCs w:val="11"/>
                <w:color w:val="auto"/>
              </w:rPr>
            </w:pPr>
          </w:p>
        </w:tc>
        <w:tc>
          <w:tcPr>
            <w:tcW w:w="1540" w:type="dxa"/>
            <w:vAlign w:val="bottom"/>
            <w:vMerge w:val="restart"/>
            <w:shd w:val="clear" w:color="auto" w:fill="A5A5A5"/>
          </w:tcPr>
          <w:p>
            <w:pPr>
              <w:jc w:val="center"/>
              <w:spacing w:after="0"/>
              <w:rPr>
                <w:sz w:val="20"/>
                <w:szCs w:val="20"/>
                <w:color w:val="auto"/>
              </w:rPr>
            </w:pPr>
            <w:r>
              <w:rPr>
                <w:rFonts w:ascii="Arial" w:cs="Arial" w:eastAsia="Arial" w:hAnsi="Arial"/>
                <w:sz w:val="18"/>
                <w:szCs w:val="18"/>
                <w:b w:val="1"/>
                <w:bCs w:val="1"/>
                <w:color w:val="FFFFFF"/>
              </w:rPr>
              <w:t>Investments</w:t>
            </w:r>
          </w:p>
        </w:tc>
        <w:tc>
          <w:tcPr>
            <w:tcW w:w="100" w:type="dxa"/>
            <w:vAlign w:val="bottom"/>
            <w:shd w:val="clear" w:color="auto" w:fill="F2F2F2"/>
          </w:tcPr>
          <w:p>
            <w:pPr>
              <w:spacing w:after="0"/>
              <w:rPr>
                <w:sz w:val="11"/>
                <w:szCs w:val="11"/>
                <w:color w:val="auto"/>
              </w:rPr>
            </w:pPr>
          </w:p>
        </w:tc>
        <w:tc>
          <w:tcPr>
            <w:tcW w:w="7940" w:type="dxa"/>
            <w:vAlign w:val="bottom"/>
            <w:vMerge w:val="continue"/>
            <w:shd w:val="clear" w:color="auto" w:fill="F2F2F2"/>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1300" w:type="dxa"/>
            <w:vAlign w:val="bottom"/>
          </w:tcPr>
          <w:p>
            <w:pPr>
              <w:spacing w:after="0"/>
              <w:rPr>
                <w:sz w:val="10"/>
                <w:szCs w:val="10"/>
                <w:color w:val="auto"/>
              </w:rPr>
            </w:pPr>
          </w:p>
        </w:tc>
        <w:tc>
          <w:tcPr>
            <w:tcW w:w="140" w:type="dxa"/>
            <w:vAlign w:val="bottom"/>
            <w:shd w:val="clear" w:color="auto" w:fill="A5A5A5"/>
          </w:tcPr>
          <w:p>
            <w:pPr>
              <w:spacing w:after="0"/>
              <w:rPr>
                <w:sz w:val="10"/>
                <w:szCs w:val="10"/>
                <w:color w:val="auto"/>
              </w:rPr>
            </w:pPr>
          </w:p>
        </w:tc>
        <w:tc>
          <w:tcPr>
            <w:tcW w:w="1540" w:type="dxa"/>
            <w:vAlign w:val="bottom"/>
            <w:vMerge w:val="continue"/>
            <w:shd w:val="clear" w:color="auto" w:fill="A5A5A5"/>
          </w:tcPr>
          <w:p>
            <w:pPr>
              <w:spacing w:after="0"/>
              <w:rPr>
                <w:sz w:val="10"/>
                <w:szCs w:val="10"/>
                <w:color w:val="auto"/>
              </w:rPr>
            </w:pPr>
          </w:p>
        </w:tc>
        <w:tc>
          <w:tcPr>
            <w:tcW w:w="100" w:type="dxa"/>
            <w:vAlign w:val="bottom"/>
            <w:shd w:val="clear" w:color="auto" w:fill="F2F2F2"/>
          </w:tcPr>
          <w:p>
            <w:pPr>
              <w:spacing w:after="0"/>
              <w:rPr>
                <w:sz w:val="10"/>
                <w:szCs w:val="10"/>
                <w:color w:val="auto"/>
              </w:rPr>
            </w:pPr>
          </w:p>
        </w:tc>
        <w:tc>
          <w:tcPr>
            <w:tcW w:w="7940" w:type="dxa"/>
            <w:vAlign w:val="bottom"/>
            <w:shd w:val="clear" w:color="auto" w:fill="F2F2F2"/>
          </w:tcPr>
          <w:p>
            <w:pPr>
              <w:spacing w:after="0"/>
              <w:rPr>
                <w:sz w:val="10"/>
                <w:szCs w:val="10"/>
                <w:color w:val="auto"/>
              </w:rPr>
            </w:pPr>
          </w:p>
        </w:tc>
        <w:tc>
          <w:tcPr>
            <w:tcW w:w="0" w:type="dxa"/>
            <w:vAlign w:val="bottom"/>
          </w:tcPr>
          <w:p>
            <w:pPr>
              <w:spacing w:after="0"/>
              <w:rPr>
                <w:sz w:val="1"/>
                <w:szCs w:val="1"/>
                <w:color w:val="auto"/>
              </w:rPr>
            </w:pPr>
          </w:p>
        </w:tc>
      </w:tr>
      <w:tr>
        <w:trPr>
          <w:trHeight w:val="83"/>
        </w:trPr>
        <w:tc>
          <w:tcPr>
            <w:tcW w:w="130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shd w:val="clear" w:color="auto" w:fill="A5A5A5"/>
          </w:tcPr>
          <w:p>
            <w:pPr>
              <w:spacing w:after="0"/>
              <w:rPr>
                <w:sz w:val="7"/>
                <w:szCs w:val="7"/>
                <w:color w:val="auto"/>
              </w:rPr>
            </w:pPr>
          </w:p>
        </w:tc>
        <w:tc>
          <w:tcPr>
            <w:tcW w:w="1540" w:type="dxa"/>
            <w:vAlign w:val="bottom"/>
            <w:tcBorders>
              <w:bottom w:val="single" w:sz="8" w:color="auto"/>
            </w:tcBorders>
            <w:shd w:val="clear" w:color="auto" w:fill="A5A5A5"/>
          </w:tcPr>
          <w:p>
            <w:pPr>
              <w:spacing w:after="0"/>
              <w:rPr>
                <w:sz w:val="7"/>
                <w:szCs w:val="7"/>
                <w:color w:val="auto"/>
              </w:rPr>
            </w:pPr>
          </w:p>
        </w:tc>
        <w:tc>
          <w:tcPr>
            <w:tcW w:w="100" w:type="dxa"/>
            <w:vAlign w:val="bottom"/>
            <w:tcBorders>
              <w:bottom w:val="single" w:sz="8" w:color="auto"/>
            </w:tcBorders>
            <w:shd w:val="clear" w:color="auto" w:fill="F2F2F2"/>
          </w:tcPr>
          <w:p>
            <w:pPr>
              <w:spacing w:after="0"/>
              <w:rPr>
                <w:sz w:val="7"/>
                <w:szCs w:val="7"/>
                <w:color w:val="auto"/>
              </w:rPr>
            </w:pPr>
          </w:p>
        </w:tc>
        <w:tc>
          <w:tcPr>
            <w:tcW w:w="7940" w:type="dxa"/>
            <w:vAlign w:val="bottom"/>
            <w:tcBorders>
              <w:bottom w:val="single" w:sz="8" w:color="auto"/>
            </w:tcBorders>
            <w:shd w:val="clear" w:color="auto" w:fill="F2F2F2"/>
          </w:tcPr>
          <w:p>
            <w:pPr>
              <w:spacing w:after="0"/>
              <w:rPr>
                <w:sz w:val="7"/>
                <w:szCs w:val="7"/>
                <w:color w:val="auto"/>
              </w:rPr>
            </w:pPr>
          </w:p>
        </w:tc>
        <w:tc>
          <w:tcPr>
            <w:tcW w:w="0" w:type="dxa"/>
            <w:vAlign w:val="bottom"/>
          </w:tcPr>
          <w:p>
            <w:pPr>
              <w:spacing w:after="0"/>
              <w:rPr>
                <w:sz w:val="1"/>
                <w:szCs w:val="1"/>
                <w:color w:val="auto"/>
              </w:rPr>
            </w:pPr>
          </w:p>
        </w:tc>
      </w:tr>
      <w:tr>
        <w:trPr>
          <w:trHeight w:val="277"/>
        </w:trPr>
        <w:tc>
          <w:tcPr>
            <w:tcW w:w="1300" w:type="dxa"/>
            <w:vAlign w:val="bottom"/>
          </w:tcPr>
          <w:p>
            <w:pPr>
              <w:spacing w:after="0"/>
              <w:rPr>
                <w:sz w:val="24"/>
                <w:szCs w:val="24"/>
                <w:color w:val="auto"/>
              </w:rPr>
            </w:pPr>
          </w:p>
        </w:tc>
        <w:tc>
          <w:tcPr>
            <w:tcW w:w="140" w:type="dxa"/>
            <w:vAlign w:val="bottom"/>
            <w:shd w:val="clear" w:color="auto" w:fill="A5A5A5"/>
          </w:tcPr>
          <w:p>
            <w:pPr>
              <w:spacing w:after="0"/>
              <w:rPr>
                <w:sz w:val="24"/>
                <w:szCs w:val="24"/>
                <w:color w:val="auto"/>
              </w:rPr>
            </w:pPr>
          </w:p>
        </w:tc>
        <w:tc>
          <w:tcPr>
            <w:tcW w:w="1540" w:type="dxa"/>
            <w:vAlign w:val="bottom"/>
            <w:shd w:val="clear" w:color="auto" w:fill="A5A5A5"/>
          </w:tcPr>
          <w:p>
            <w:pPr>
              <w:jc w:val="center"/>
              <w:spacing w:after="0"/>
              <w:rPr>
                <w:sz w:val="20"/>
                <w:szCs w:val="20"/>
                <w:color w:val="auto"/>
              </w:rPr>
            </w:pPr>
            <w:r>
              <w:rPr>
                <w:rFonts w:ascii="Arial" w:cs="Arial" w:eastAsia="Arial" w:hAnsi="Arial"/>
                <w:sz w:val="18"/>
                <w:szCs w:val="18"/>
                <w:b w:val="1"/>
                <w:bCs w:val="1"/>
                <w:color w:val="FFFFFF"/>
                <w:w w:val="98"/>
              </w:rPr>
              <w:t>56th Year of</w:t>
            </w:r>
          </w:p>
        </w:tc>
        <w:tc>
          <w:tcPr>
            <w:tcW w:w="100" w:type="dxa"/>
            <w:vAlign w:val="bottom"/>
            <w:shd w:val="clear" w:color="auto" w:fill="F2F2F2"/>
          </w:tcPr>
          <w:p>
            <w:pPr>
              <w:spacing w:after="0"/>
              <w:rPr>
                <w:sz w:val="24"/>
                <w:szCs w:val="24"/>
                <w:color w:val="auto"/>
              </w:rPr>
            </w:pPr>
          </w:p>
        </w:tc>
        <w:tc>
          <w:tcPr>
            <w:tcW w:w="7940" w:type="dxa"/>
            <w:vAlign w:val="bottom"/>
            <w:shd w:val="clear" w:color="auto" w:fill="F2F2F2"/>
          </w:tcPr>
          <w:p>
            <w:pPr>
              <w:spacing w:after="0"/>
              <w:rPr>
                <w:sz w:val="20"/>
                <w:szCs w:val="20"/>
                <w:color w:val="auto"/>
              </w:rPr>
            </w:pPr>
            <w:r>
              <w:rPr>
                <w:rFonts w:ascii="Arial" w:cs="Arial" w:eastAsia="Arial" w:hAnsi="Arial"/>
                <w:sz w:val="18"/>
                <w:szCs w:val="18"/>
                <w:color w:val="auto"/>
              </w:rPr>
              <w:t xml:space="preserve">Raised the dividend on our common shares for the </w:t>
            </w:r>
            <w:r>
              <w:rPr>
                <w:rFonts w:ascii="Arial" w:cs="Arial" w:eastAsia="Arial" w:hAnsi="Arial"/>
                <w:sz w:val="18"/>
                <w:szCs w:val="18"/>
                <w:color w:val="FF160F"/>
              </w:rPr>
              <w:t>56th</w:t>
            </w:r>
            <w:r>
              <w:rPr>
                <w:rFonts w:ascii="Arial" w:cs="Arial" w:eastAsia="Arial" w:hAnsi="Arial"/>
                <w:sz w:val="18"/>
                <w:szCs w:val="18"/>
                <w:color w:val="auto"/>
              </w:rPr>
              <w:t xml:space="preserve"> consecutive year, a record in the REIT</w:t>
            </w:r>
          </w:p>
        </w:tc>
        <w:tc>
          <w:tcPr>
            <w:tcW w:w="0" w:type="dxa"/>
            <w:vAlign w:val="bottom"/>
          </w:tcPr>
          <w:p>
            <w:pPr>
              <w:spacing w:after="0"/>
              <w:rPr>
                <w:sz w:val="1"/>
                <w:szCs w:val="1"/>
                <w:color w:val="auto"/>
              </w:rPr>
            </w:pPr>
          </w:p>
        </w:tc>
      </w:tr>
      <w:tr>
        <w:trPr>
          <w:trHeight w:val="203"/>
        </w:trPr>
        <w:tc>
          <w:tcPr>
            <w:tcW w:w="1300" w:type="dxa"/>
            <w:vAlign w:val="bottom"/>
          </w:tcPr>
          <w:p>
            <w:pPr>
              <w:spacing w:after="0"/>
              <w:rPr>
                <w:sz w:val="17"/>
                <w:szCs w:val="17"/>
                <w:color w:val="auto"/>
              </w:rPr>
            </w:pPr>
          </w:p>
        </w:tc>
        <w:tc>
          <w:tcPr>
            <w:tcW w:w="140" w:type="dxa"/>
            <w:vAlign w:val="bottom"/>
            <w:shd w:val="clear" w:color="auto" w:fill="A5A5A5"/>
          </w:tcPr>
          <w:p>
            <w:pPr>
              <w:spacing w:after="0"/>
              <w:rPr>
                <w:sz w:val="17"/>
                <w:szCs w:val="17"/>
                <w:color w:val="auto"/>
              </w:rPr>
            </w:pPr>
          </w:p>
        </w:tc>
        <w:tc>
          <w:tcPr>
            <w:tcW w:w="1540" w:type="dxa"/>
            <w:vAlign w:val="bottom"/>
            <w:shd w:val="clear" w:color="auto" w:fill="A5A5A5"/>
          </w:tcPr>
          <w:p>
            <w:pPr>
              <w:jc w:val="center"/>
              <w:spacing w:after="0" w:line="202" w:lineRule="exact"/>
              <w:rPr>
                <w:sz w:val="20"/>
                <w:szCs w:val="20"/>
                <w:color w:val="auto"/>
              </w:rPr>
            </w:pPr>
            <w:r>
              <w:rPr>
                <w:rFonts w:ascii="Arial" w:cs="Arial" w:eastAsia="Arial" w:hAnsi="Arial"/>
                <w:sz w:val="18"/>
                <w:szCs w:val="18"/>
                <w:b w:val="1"/>
                <w:bCs w:val="1"/>
                <w:color w:val="FFFFFF"/>
                <w:w w:val="99"/>
              </w:rPr>
              <w:t>Dividend</w:t>
            </w:r>
          </w:p>
        </w:tc>
        <w:tc>
          <w:tcPr>
            <w:tcW w:w="100" w:type="dxa"/>
            <w:vAlign w:val="bottom"/>
            <w:shd w:val="clear" w:color="auto" w:fill="F2F2F2"/>
          </w:tcPr>
          <w:p>
            <w:pPr>
              <w:spacing w:after="0"/>
              <w:rPr>
                <w:sz w:val="17"/>
                <w:szCs w:val="17"/>
                <w:color w:val="auto"/>
              </w:rPr>
            </w:pPr>
          </w:p>
        </w:tc>
        <w:tc>
          <w:tcPr>
            <w:tcW w:w="7940" w:type="dxa"/>
            <w:vAlign w:val="bottom"/>
            <w:shd w:val="clear" w:color="auto" w:fill="F2F2F2"/>
          </w:tcPr>
          <w:p>
            <w:pPr>
              <w:spacing w:after="0" w:line="202" w:lineRule="exact"/>
              <w:rPr>
                <w:sz w:val="20"/>
                <w:szCs w:val="20"/>
                <w:color w:val="auto"/>
              </w:rPr>
            </w:pPr>
            <w:r>
              <w:rPr>
                <w:rFonts w:ascii="Arial" w:cs="Arial" w:eastAsia="Arial" w:hAnsi="Arial"/>
                <w:sz w:val="18"/>
                <w:szCs w:val="18"/>
                <w:color w:val="auto"/>
              </w:rPr>
              <w:t xml:space="preserve">industry, representing a compound annual growth rate of </w:t>
            </w:r>
            <w:r>
              <w:rPr>
                <w:rFonts w:ascii="Arial" w:cs="Arial" w:eastAsia="Arial" w:hAnsi="Arial"/>
                <w:sz w:val="18"/>
                <w:szCs w:val="18"/>
                <w:color w:val="FF160F"/>
              </w:rPr>
              <w:t>7%</w:t>
            </w:r>
            <w:r>
              <w:rPr>
                <w:rFonts w:ascii="Arial" w:cs="Arial" w:eastAsia="Arial" w:hAnsi="Arial"/>
                <w:sz w:val="18"/>
                <w:szCs w:val="18"/>
                <w:color w:val="auto"/>
              </w:rPr>
              <w:t xml:space="preserve"> over that 56-year period</w:t>
            </w: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140" w:type="dxa"/>
            <w:vAlign w:val="bottom"/>
            <w:tcBorders>
              <w:bottom w:val="single" w:sz="8" w:color="A5A5A5"/>
            </w:tcBorders>
            <w:shd w:val="clear" w:color="auto" w:fill="A5A5A5"/>
          </w:tcPr>
          <w:p>
            <w:pPr>
              <w:spacing w:after="0"/>
              <w:rPr>
                <w:sz w:val="23"/>
                <w:szCs w:val="23"/>
                <w:color w:val="auto"/>
              </w:rPr>
            </w:pPr>
          </w:p>
        </w:tc>
        <w:tc>
          <w:tcPr>
            <w:tcW w:w="1540" w:type="dxa"/>
            <w:vAlign w:val="bottom"/>
            <w:tcBorders>
              <w:bottom w:val="single" w:sz="8" w:color="A5A5A5"/>
            </w:tcBorders>
            <w:shd w:val="clear" w:color="auto" w:fill="A5A5A5"/>
          </w:tcPr>
          <w:p>
            <w:pPr>
              <w:jc w:val="center"/>
              <w:spacing w:after="0"/>
              <w:rPr>
                <w:sz w:val="20"/>
                <w:szCs w:val="20"/>
                <w:color w:val="auto"/>
              </w:rPr>
            </w:pPr>
            <w:r>
              <w:rPr>
                <w:rFonts w:ascii="Arial" w:cs="Arial" w:eastAsia="Arial" w:hAnsi="Arial"/>
                <w:sz w:val="18"/>
                <w:szCs w:val="18"/>
                <w:b w:val="1"/>
                <w:bCs w:val="1"/>
                <w:color w:val="FFFFFF"/>
                <w:w w:val="98"/>
              </w:rPr>
              <w:t>Increases</w:t>
            </w:r>
          </w:p>
        </w:tc>
        <w:tc>
          <w:tcPr>
            <w:tcW w:w="100" w:type="dxa"/>
            <w:vAlign w:val="bottom"/>
            <w:tcBorders>
              <w:bottom w:val="single" w:sz="8" w:color="F2F2F2"/>
            </w:tcBorders>
            <w:shd w:val="clear" w:color="auto" w:fill="F2F2F2"/>
          </w:tcPr>
          <w:p>
            <w:pPr>
              <w:spacing w:after="0"/>
              <w:rPr>
                <w:sz w:val="23"/>
                <w:szCs w:val="23"/>
                <w:color w:val="auto"/>
              </w:rPr>
            </w:pPr>
          </w:p>
        </w:tc>
        <w:tc>
          <w:tcPr>
            <w:tcW w:w="7940" w:type="dxa"/>
            <w:vAlign w:val="bottom"/>
            <w:tcBorders>
              <w:bottom w:val="single" w:sz="8" w:color="F2F2F2"/>
            </w:tcBorders>
            <w:shd w:val="clear" w:color="auto" w:fill="F2F2F2"/>
          </w:tcPr>
          <w:p>
            <w:pPr>
              <w:spacing w:after="0"/>
              <w:rPr>
                <w:sz w:val="23"/>
                <w:szCs w:val="23"/>
                <w:color w:val="auto"/>
              </w:rPr>
            </w:pPr>
          </w:p>
        </w:tc>
        <w:tc>
          <w:tcPr>
            <w:tcW w:w="0" w:type="dxa"/>
            <w:vAlign w:val="bottom"/>
          </w:tcPr>
          <w:p>
            <w:pPr>
              <w:spacing w:after="0"/>
              <w:rPr>
                <w:sz w:val="1"/>
                <w:szCs w:val="1"/>
                <w:color w:val="auto"/>
              </w:rPr>
            </w:pPr>
          </w:p>
        </w:tc>
      </w:tr>
      <w:tr>
        <w:trPr>
          <w:trHeight w:val="312"/>
        </w:trPr>
        <w:tc>
          <w:tcPr>
            <w:tcW w:w="13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shd w:val="clear" w:color="auto" w:fill="A5A5A5"/>
          </w:tcPr>
          <w:p>
            <w:pPr>
              <w:spacing w:after="0"/>
              <w:rPr>
                <w:sz w:val="24"/>
                <w:szCs w:val="24"/>
                <w:color w:val="auto"/>
              </w:rPr>
            </w:pPr>
          </w:p>
        </w:tc>
        <w:tc>
          <w:tcPr>
            <w:tcW w:w="1540" w:type="dxa"/>
            <w:vAlign w:val="bottom"/>
            <w:tcBorders>
              <w:top w:val="single" w:sz="8" w:color="auto"/>
            </w:tcBorders>
            <w:shd w:val="clear" w:color="auto" w:fill="A5A5A5"/>
          </w:tcPr>
          <w:p>
            <w:pPr>
              <w:spacing w:after="0"/>
              <w:rPr>
                <w:sz w:val="24"/>
                <w:szCs w:val="24"/>
                <w:color w:val="auto"/>
              </w:rPr>
            </w:pPr>
          </w:p>
        </w:tc>
        <w:tc>
          <w:tcPr>
            <w:tcW w:w="100" w:type="dxa"/>
            <w:vAlign w:val="bottom"/>
            <w:tcBorders>
              <w:top w:val="single" w:sz="8" w:color="auto"/>
            </w:tcBorders>
            <w:shd w:val="clear" w:color="auto" w:fill="F2F2F2"/>
          </w:tcPr>
          <w:p>
            <w:pPr>
              <w:spacing w:after="0"/>
              <w:rPr>
                <w:sz w:val="24"/>
                <w:szCs w:val="24"/>
                <w:color w:val="auto"/>
              </w:rPr>
            </w:pPr>
          </w:p>
        </w:tc>
        <w:tc>
          <w:tcPr>
            <w:tcW w:w="7940" w:type="dxa"/>
            <w:vAlign w:val="bottom"/>
            <w:tcBorders>
              <w:top w:val="single" w:sz="8" w:color="auto"/>
            </w:tcBorders>
            <w:shd w:val="clear" w:color="auto" w:fill="F2F2F2"/>
          </w:tcPr>
          <w:p>
            <w:pPr>
              <w:spacing w:after="0"/>
              <w:rPr>
                <w:sz w:val="20"/>
                <w:szCs w:val="20"/>
                <w:color w:val="auto"/>
              </w:rPr>
            </w:pPr>
            <w:r>
              <w:rPr>
                <w:rFonts w:ascii="Arial" w:cs="Arial" w:eastAsia="Arial" w:hAnsi="Arial"/>
                <w:sz w:val="18"/>
                <w:szCs w:val="18"/>
                <w:color w:val="auto"/>
              </w:rPr>
              <w:t xml:space="preserve">Achieved </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w:t>
            </w:r>
            <w:r>
              <w:rPr>
                <w:rFonts w:ascii="Arial" w:cs="Arial" w:eastAsia="Arial" w:hAnsi="Arial"/>
                <w:sz w:val="18"/>
                <w:szCs w:val="18"/>
                <w:color w:val="FF160F"/>
              </w:rPr>
              <w:t>32%</w:t>
            </w:r>
            <w:r>
              <w:rPr>
                <w:rFonts w:ascii="Arial" w:cs="Arial" w:eastAsia="Arial" w:hAnsi="Arial"/>
                <w:sz w:val="18"/>
                <w:szCs w:val="18"/>
                <w:color w:val="auto"/>
              </w:rPr>
              <w:t xml:space="preserve"> decrease in Scope 1 and 2 GHG emissions through 2022 versus 2019 baseline</w:t>
            </w:r>
          </w:p>
        </w:tc>
        <w:tc>
          <w:tcPr>
            <w:tcW w:w="0" w:type="dxa"/>
            <w:vAlign w:val="bottom"/>
          </w:tcPr>
          <w:p>
            <w:pPr>
              <w:spacing w:after="0"/>
              <w:rPr>
                <w:sz w:val="1"/>
                <w:szCs w:val="1"/>
                <w:color w:val="auto"/>
              </w:rPr>
            </w:pPr>
          </w:p>
        </w:tc>
      </w:tr>
      <w:tr>
        <w:trPr>
          <w:trHeight w:val="221"/>
        </w:trPr>
        <w:tc>
          <w:tcPr>
            <w:tcW w:w="1300" w:type="dxa"/>
            <w:vAlign w:val="bottom"/>
          </w:tcPr>
          <w:p>
            <w:pPr>
              <w:spacing w:after="0"/>
              <w:rPr>
                <w:sz w:val="19"/>
                <w:szCs w:val="19"/>
                <w:color w:val="auto"/>
              </w:rPr>
            </w:pPr>
          </w:p>
        </w:tc>
        <w:tc>
          <w:tcPr>
            <w:tcW w:w="140" w:type="dxa"/>
            <w:vAlign w:val="bottom"/>
            <w:shd w:val="clear" w:color="auto" w:fill="A5A5A5"/>
          </w:tcPr>
          <w:p>
            <w:pPr>
              <w:spacing w:after="0"/>
              <w:rPr>
                <w:sz w:val="19"/>
                <w:szCs w:val="19"/>
                <w:color w:val="auto"/>
              </w:rPr>
            </w:pPr>
          </w:p>
        </w:tc>
        <w:tc>
          <w:tcPr>
            <w:tcW w:w="1540" w:type="dxa"/>
            <w:vAlign w:val="bottom"/>
            <w:shd w:val="clear" w:color="auto" w:fill="A5A5A5"/>
          </w:tcPr>
          <w:p>
            <w:pPr>
              <w:jc w:val="center"/>
              <w:spacing w:after="0"/>
              <w:rPr>
                <w:sz w:val="20"/>
                <w:szCs w:val="20"/>
                <w:color w:val="auto"/>
              </w:rPr>
            </w:pPr>
            <w:r>
              <w:rPr>
                <w:rFonts w:ascii="Arial" w:cs="Arial" w:eastAsia="Arial" w:hAnsi="Arial"/>
                <w:sz w:val="18"/>
                <w:szCs w:val="18"/>
                <w:b w:val="1"/>
                <w:bCs w:val="1"/>
                <w:color w:val="FFFFFF"/>
              </w:rPr>
              <w:t>Sustainability</w:t>
            </w:r>
          </w:p>
        </w:tc>
        <w:tc>
          <w:tcPr>
            <w:tcW w:w="100" w:type="dxa"/>
            <w:vAlign w:val="bottom"/>
            <w:shd w:val="clear" w:color="auto" w:fill="F2F2F2"/>
          </w:tcPr>
          <w:p>
            <w:pPr>
              <w:spacing w:after="0"/>
              <w:rPr>
                <w:sz w:val="19"/>
                <w:szCs w:val="19"/>
                <w:color w:val="auto"/>
              </w:rPr>
            </w:pPr>
          </w:p>
        </w:tc>
        <w:tc>
          <w:tcPr>
            <w:tcW w:w="7940" w:type="dxa"/>
            <w:vAlign w:val="bottom"/>
            <w:shd w:val="clear" w:color="auto" w:fill="F2F2F2"/>
          </w:tcPr>
          <w:p>
            <w:pPr>
              <w:spacing w:after="0"/>
              <w:rPr>
                <w:sz w:val="20"/>
                <w:szCs w:val="20"/>
                <w:color w:val="auto"/>
              </w:rPr>
            </w:pPr>
            <w:r>
              <w:rPr>
                <w:rFonts w:ascii="Arial" w:cs="Arial" w:eastAsia="Arial" w:hAnsi="Arial"/>
                <w:sz w:val="18"/>
                <w:szCs w:val="18"/>
                <w:color w:val="auto"/>
              </w:rPr>
              <w:t>in alignment with our 2030 GHG reduction target set in accordance with the Science-Based Target</w:t>
            </w:r>
          </w:p>
        </w:tc>
        <w:tc>
          <w:tcPr>
            <w:tcW w:w="0" w:type="dxa"/>
            <w:vAlign w:val="bottom"/>
          </w:tcPr>
          <w:p>
            <w:pPr>
              <w:spacing w:after="0"/>
              <w:rPr>
                <w:sz w:val="1"/>
                <w:szCs w:val="1"/>
                <w:color w:val="auto"/>
              </w:rPr>
            </w:pPr>
          </w:p>
        </w:tc>
      </w:tr>
      <w:tr>
        <w:trPr>
          <w:trHeight w:val="239"/>
        </w:trPr>
        <w:tc>
          <w:tcPr>
            <w:tcW w:w="1300" w:type="dxa"/>
            <w:vAlign w:val="bottom"/>
          </w:tcPr>
          <w:p>
            <w:pPr>
              <w:spacing w:after="0"/>
              <w:rPr>
                <w:sz w:val="20"/>
                <w:szCs w:val="20"/>
                <w:color w:val="auto"/>
              </w:rPr>
            </w:pPr>
          </w:p>
        </w:tc>
        <w:tc>
          <w:tcPr>
            <w:tcW w:w="140" w:type="dxa"/>
            <w:vAlign w:val="bottom"/>
            <w:shd w:val="clear" w:color="auto" w:fill="A5A5A5"/>
          </w:tcPr>
          <w:p>
            <w:pPr>
              <w:spacing w:after="0"/>
              <w:rPr>
                <w:sz w:val="20"/>
                <w:szCs w:val="20"/>
                <w:color w:val="auto"/>
              </w:rPr>
            </w:pPr>
          </w:p>
        </w:tc>
        <w:tc>
          <w:tcPr>
            <w:tcW w:w="1540" w:type="dxa"/>
            <w:vAlign w:val="bottom"/>
            <w:shd w:val="clear" w:color="auto" w:fill="A5A5A5"/>
          </w:tcPr>
          <w:p>
            <w:pPr>
              <w:spacing w:after="0"/>
              <w:rPr>
                <w:sz w:val="20"/>
                <w:szCs w:val="20"/>
                <w:color w:val="auto"/>
              </w:rPr>
            </w:pPr>
          </w:p>
        </w:tc>
        <w:tc>
          <w:tcPr>
            <w:tcW w:w="100" w:type="dxa"/>
            <w:vAlign w:val="bottom"/>
            <w:shd w:val="clear" w:color="auto" w:fill="F2F2F2"/>
          </w:tcPr>
          <w:p>
            <w:pPr>
              <w:spacing w:after="0"/>
              <w:rPr>
                <w:sz w:val="20"/>
                <w:szCs w:val="20"/>
                <w:color w:val="auto"/>
              </w:rPr>
            </w:pPr>
          </w:p>
        </w:tc>
        <w:tc>
          <w:tcPr>
            <w:tcW w:w="7940" w:type="dxa"/>
            <w:vAlign w:val="bottom"/>
            <w:shd w:val="clear" w:color="auto" w:fill="F2F2F2"/>
          </w:tcPr>
          <w:p>
            <w:pPr>
              <w:spacing w:after="0"/>
              <w:rPr>
                <w:sz w:val="20"/>
                <w:szCs w:val="20"/>
                <w:color w:val="auto"/>
              </w:rPr>
            </w:pPr>
            <w:r>
              <w:rPr>
                <w:rFonts w:ascii="Arial" w:cs="Arial" w:eastAsia="Arial" w:hAnsi="Arial"/>
                <w:sz w:val="18"/>
                <w:szCs w:val="18"/>
                <w:color w:val="auto"/>
              </w:rPr>
              <w:t>initiative</w:t>
            </w:r>
          </w:p>
        </w:tc>
        <w:tc>
          <w:tcPr>
            <w:tcW w:w="0" w:type="dxa"/>
            <w:vAlign w:val="bottom"/>
          </w:tcPr>
          <w:p>
            <w:pPr>
              <w:spacing w:after="0"/>
              <w:rPr>
                <w:sz w:val="1"/>
                <w:szCs w:val="1"/>
                <w:color w:val="auto"/>
              </w:rPr>
            </w:pPr>
          </w:p>
        </w:tc>
      </w:tr>
      <w:tr>
        <w:trPr>
          <w:trHeight w:val="180"/>
        </w:trPr>
        <w:tc>
          <w:tcPr>
            <w:tcW w:w="13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shd w:val="clear" w:color="auto" w:fill="A5A5A5"/>
          </w:tcPr>
          <w:p>
            <w:pPr>
              <w:spacing w:after="0"/>
              <w:rPr>
                <w:sz w:val="15"/>
                <w:szCs w:val="15"/>
                <w:color w:val="auto"/>
              </w:rPr>
            </w:pPr>
          </w:p>
        </w:tc>
        <w:tc>
          <w:tcPr>
            <w:tcW w:w="1540" w:type="dxa"/>
            <w:vAlign w:val="bottom"/>
            <w:tcBorders>
              <w:bottom w:val="single" w:sz="8" w:color="auto"/>
            </w:tcBorders>
            <w:shd w:val="clear" w:color="auto" w:fill="A5A5A5"/>
          </w:tcPr>
          <w:p>
            <w:pPr>
              <w:spacing w:after="0"/>
              <w:rPr>
                <w:sz w:val="15"/>
                <w:szCs w:val="15"/>
                <w:color w:val="auto"/>
              </w:rPr>
            </w:pPr>
          </w:p>
        </w:tc>
        <w:tc>
          <w:tcPr>
            <w:tcW w:w="100" w:type="dxa"/>
            <w:vAlign w:val="bottom"/>
            <w:tcBorders>
              <w:bottom w:val="single" w:sz="8" w:color="auto"/>
            </w:tcBorders>
            <w:shd w:val="clear" w:color="auto" w:fill="F2F2F2"/>
          </w:tcPr>
          <w:p>
            <w:pPr>
              <w:spacing w:after="0"/>
              <w:rPr>
                <w:sz w:val="15"/>
                <w:szCs w:val="15"/>
                <w:color w:val="auto"/>
              </w:rPr>
            </w:pPr>
          </w:p>
        </w:tc>
        <w:tc>
          <w:tcPr>
            <w:tcW w:w="7940" w:type="dxa"/>
            <w:vAlign w:val="bottom"/>
            <w:tcBorders>
              <w:bottom w:val="single" w:sz="8" w:color="auto"/>
            </w:tcBorders>
            <w:shd w:val="clear" w:color="auto" w:fill="F2F2F2"/>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wp:posOffset>
            </wp:positionH>
            <wp:positionV relativeFrom="paragraph">
              <wp:posOffset>-2665730</wp:posOffset>
            </wp:positionV>
            <wp:extent cx="505460" cy="4457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05460" cy="445770"/>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-2117090</wp:posOffset>
            </wp:positionV>
            <wp:extent cx="419735" cy="4203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19735" cy="420370"/>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-1576705</wp:posOffset>
            </wp:positionV>
            <wp:extent cx="565785" cy="14827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 cy="1482725"/>
                    </a:xfrm>
                    <a:prstGeom prst="rect">
                      <a:avLst/>
                    </a:prstGeom>
                    <a:noFill/>
                  </pic:spPr>
                </pic:pic>
              </a:graphicData>
            </a:graphic>
          </wp:anchor>
        </w:drawing>
      </w:r>
    </w:p>
    <w:p>
      <w:pPr>
        <w:spacing w:after="0" w:line="177" w:lineRule="exact"/>
        <w:rPr>
          <w:sz w:val="20"/>
          <w:szCs w:val="20"/>
          <w:color w:val="auto"/>
        </w:rPr>
      </w:pPr>
    </w:p>
    <w:p>
      <w:pPr>
        <w:ind w:left="120" w:hanging="4"/>
        <w:spacing w:after="0" w:line="271" w:lineRule="auto"/>
        <w:tabs>
          <w:tab w:leader="none" w:pos="245" w:val="left"/>
        </w:tabs>
        <w:numPr>
          <w:ilvl w:val="0"/>
          <w:numId w:val="7"/>
        </w:numPr>
        <w:rPr>
          <w:rFonts w:ascii="Arial" w:cs="Arial" w:eastAsia="Arial" w:hAnsi="Arial"/>
          <w:sz w:val="18"/>
          <w:szCs w:val="18"/>
          <w:color w:val="auto"/>
        </w:rPr>
      </w:pPr>
      <w:r>
        <w:rPr>
          <w:rFonts w:ascii="Arial" w:cs="Arial" w:eastAsia="Arial" w:hAnsi="Arial"/>
          <w:sz w:val="18"/>
          <w:szCs w:val="18"/>
          <w:color w:val="auto"/>
        </w:rPr>
        <w:t>FFO per diluted share (“FFO per share”) is a non-GAAP financial measure that we consider significant in our business. See Appendix A for a reconciliation of FFO per share to 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66675</wp:posOffset>
            </wp:positionV>
            <wp:extent cx="7003415" cy="1200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003415" cy="120015"/>
                    </a:xfrm>
                    <a:prstGeom prst="rect">
                      <a:avLst/>
                    </a:prstGeom>
                    <a:noFill/>
                  </pic:spPr>
                </pic:pic>
              </a:graphicData>
            </a:graphic>
          </wp:anchor>
        </w:drawing>
      </w:r>
    </w:p>
    <w:p>
      <w:pPr>
        <w:spacing w:after="0" w:line="89" w:lineRule="exact"/>
        <w:rPr>
          <w:sz w:val="20"/>
          <w:szCs w:val="20"/>
          <w:color w:val="auto"/>
        </w:rPr>
      </w:pPr>
    </w:p>
    <w:p>
      <w:pPr>
        <w:ind w:left="8160"/>
        <w:spacing w:after="0"/>
        <w:rPr>
          <w:sz w:val="20"/>
          <w:szCs w:val="20"/>
          <w:color w:val="auto"/>
        </w:rPr>
      </w:pPr>
      <w:r>
        <w:rPr>
          <w:rFonts w:ascii="Arial" w:cs="Arial" w:eastAsia="Arial" w:hAnsi="Arial"/>
          <w:sz w:val="14"/>
          <w:szCs w:val="14"/>
          <w:color w:val="FF160F"/>
        </w:rPr>
        <w:t>Federal Realty</w:t>
      </w:r>
      <w:r>
        <w:rPr>
          <w:rFonts w:ascii="Arial" w:cs="Arial" w:eastAsia="Arial" w:hAnsi="Arial"/>
          <w:sz w:val="14"/>
          <w:szCs w:val="14"/>
          <w:color w:val="000000"/>
        </w:rPr>
        <w:t xml:space="preserve">      2024 Proxy Statement   1</w:t>
      </w:r>
    </w:p>
    <w:p>
      <w:pPr>
        <w:sectPr>
          <w:pgSz w:w="11900" w:h="16838" w:orient="portrait"/>
          <w:cols w:equalWidth="0" w:num="1">
            <w:col w:w="11140"/>
          </w:cols>
          <w:pgMar w:left="320" w:top="482" w:right="4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540" w:hanging="424"/>
        <w:spacing w:after="0"/>
        <w:tabs>
          <w:tab w:leader="none" w:pos="540" w:val="left"/>
        </w:tabs>
        <w:numPr>
          <w:ilvl w:val="0"/>
          <w:numId w:val="8"/>
        </w:numPr>
        <w:rPr>
          <w:rFonts w:ascii="MS PGothic" w:cs="MS PGothic" w:eastAsia="MS PGothic" w:hAnsi="MS PGothic"/>
          <w:sz w:val="18"/>
          <w:szCs w:val="18"/>
          <w:color w:val="FF160F"/>
        </w:rPr>
      </w:pPr>
      <w:r>
        <w:rPr>
          <w:rFonts w:ascii="Arial" w:cs="Arial" w:eastAsia="Arial" w:hAnsi="Arial"/>
          <w:sz w:val="18"/>
          <w:szCs w:val="18"/>
          <w:b w:val="1"/>
          <w:bCs w:val="1"/>
          <w:color w:val="auto"/>
        </w:rPr>
        <w:t>CORPORATE VALUES</w:t>
      </w:r>
    </w:p>
    <w:p>
      <w:pPr>
        <w:spacing w:after="0" w:line="225" w:lineRule="exact"/>
        <w:rPr>
          <w:sz w:val="20"/>
          <w:szCs w:val="20"/>
          <w:color w:val="auto"/>
        </w:rPr>
      </w:pPr>
    </w:p>
    <w:p>
      <w:pPr>
        <w:jc w:val="both"/>
        <w:ind w:left="120" w:right="20"/>
        <w:spacing w:after="0"/>
        <w:rPr>
          <w:sz w:val="20"/>
          <w:szCs w:val="20"/>
          <w:color w:val="auto"/>
        </w:rPr>
      </w:pPr>
      <w:r>
        <w:rPr>
          <w:rFonts w:ascii="Arial" w:cs="Arial" w:eastAsia="Arial" w:hAnsi="Arial"/>
          <w:sz w:val="18"/>
          <w:szCs w:val="18"/>
          <w:color w:val="auto"/>
        </w:rPr>
        <w:t xml:space="preserve">Our four core values drive the behaviors, actions and decisions we make towards achieving our business objectives and promote a unified approach to our individual jobs. We strive to achieve </w:t>
      </w:r>
      <w:r>
        <w:rPr>
          <w:rFonts w:ascii="Arial" w:cs="Arial" w:eastAsia="Arial" w:hAnsi="Arial"/>
          <w:sz w:val="18"/>
          <w:szCs w:val="18"/>
          <w:b w:val="1"/>
          <w:bCs w:val="1"/>
          <w:color w:val="FF160F"/>
        </w:rPr>
        <w:t>Excellence</w:t>
      </w:r>
      <w:r>
        <w:rPr>
          <w:rFonts w:ascii="Arial" w:cs="Arial" w:eastAsia="Arial" w:hAnsi="Arial"/>
          <w:sz w:val="18"/>
          <w:szCs w:val="18"/>
          <w:color w:val="auto"/>
        </w:rPr>
        <w:t xml:space="preserve"> in all that we do as we operate, develop and redevelop properties to serve the needs of the local communities. </w:t>
      </w:r>
      <w:r>
        <w:rPr>
          <w:rFonts w:ascii="Arial" w:cs="Arial" w:eastAsia="Arial" w:hAnsi="Arial"/>
          <w:sz w:val="18"/>
          <w:szCs w:val="18"/>
          <w:b w:val="1"/>
          <w:bCs w:val="1"/>
          <w:color w:val="FF160F"/>
        </w:rPr>
        <w:t>Innovation</w:t>
      </w:r>
      <w:r>
        <w:rPr>
          <w:rFonts w:ascii="Arial" w:cs="Arial" w:eastAsia="Arial" w:hAnsi="Arial"/>
          <w:sz w:val="18"/>
          <w:szCs w:val="18"/>
          <w:color w:val="auto"/>
        </w:rPr>
        <w:t xml:space="preserve"> is key to introducing new ways of conducting our business to continue to meet the evolving economic, environmental and social challenges the real estate industry must address both in the short-and long-term. We hold ourselves </w:t>
      </w:r>
      <w:r>
        <w:rPr>
          <w:rFonts w:ascii="Arial" w:cs="Arial" w:eastAsia="Arial" w:hAnsi="Arial"/>
          <w:sz w:val="18"/>
          <w:szCs w:val="18"/>
          <w:b w:val="1"/>
          <w:bCs w:val="1"/>
          <w:color w:val="FF160F"/>
        </w:rPr>
        <w:t>Accountable</w:t>
      </w:r>
      <w:r>
        <w:rPr>
          <w:rFonts w:ascii="Arial" w:cs="Arial" w:eastAsia="Arial" w:hAnsi="Arial"/>
          <w:sz w:val="18"/>
          <w:szCs w:val="18"/>
          <w:color w:val="auto"/>
        </w:rPr>
        <w:t xml:space="preserve"> for our work and our results and always act with the highest level of </w:t>
      </w:r>
      <w:r>
        <w:rPr>
          <w:rFonts w:ascii="Arial" w:cs="Arial" w:eastAsia="Arial" w:hAnsi="Arial"/>
          <w:sz w:val="18"/>
          <w:szCs w:val="18"/>
          <w:b w:val="1"/>
          <w:bCs w:val="1"/>
          <w:color w:val="FF160F"/>
        </w:rPr>
        <w:t>Integrity</w:t>
      </w:r>
      <w:r>
        <w:rPr>
          <w:rFonts w:ascii="Arial" w:cs="Arial" w:eastAsia="Arial" w:hAnsi="Arial"/>
          <w:sz w:val="18"/>
          <w:szCs w:val="18"/>
          <w:color w:val="auto"/>
        </w:rPr>
        <w:t xml:space="preserve"> in our dealings with our shareholders, our employees, our tenants, our business partners and our community partners. Living these values underpins our ability to successfully deliver results for all stakeholders.</w:t>
      </w:r>
    </w:p>
    <w:p>
      <w:pPr>
        <w:spacing w:after="0" w:line="212" w:lineRule="exact"/>
        <w:rPr>
          <w:sz w:val="20"/>
          <w:szCs w:val="20"/>
          <w:color w:val="auto"/>
        </w:rPr>
      </w:pPr>
    </w:p>
    <w:p>
      <w:pPr>
        <w:ind w:left="540" w:hanging="424"/>
        <w:spacing w:after="0"/>
        <w:tabs>
          <w:tab w:leader="none" w:pos="540" w:val="left"/>
        </w:tabs>
        <w:numPr>
          <w:ilvl w:val="0"/>
          <w:numId w:val="9"/>
        </w:numPr>
        <w:rPr>
          <w:rFonts w:ascii="MS PGothic" w:cs="MS PGothic" w:eastAsia="MS PGothic" w:hAnsi="MS PGothic"/>
          <w:sz w:val="18"/>
          <w:szCs w:val="18"/>
          <w:color w:val="FF160F"/>
        </w:rPr>
      </w:pPr>
      <w:r>
        <w:rPr>
          <w:rFonts w:ascii="Arial" w:cs="Arial" w:eastAsia="Arial" w:hAnsi="Arial"/>
          <w:sz w:val="18"/>
          <w:szCs w:val="18"/>
          <w:b w:val="1"/>
          <w:bCs w:val="1"/>
          <w:color w:val="auto"/>
        </w:rPr>
        <w:t>OUR BOARD</w:t>
      </w:r>
    </w:p>
    <w:p>
      <w:pPr>
        <w:spacing w:after="0" w:line="225" w:lineRule="exact"/>
        <w:rPr>
          <w:sz w:val="20"/>
          <w:szCs w:val="20"/>
          <w:color w:val="auto"/>
        </w:rPr>
      </w:pPr>
    </w:p>
    <w:p>
      <w:pPr>
        <w:ind w:left="120" w:right="20"/>
        <w:spacing w:after="0" w:line="271" w:lineRule="auto"/>
        <w:rPr>
          <w:sz w:val="20"/>
          <w:szCs w:val="20"/>
          <w:color w:val="auto"/>
        </w:rPr>
      </w:pPr>
      <w:r>
        <w:rPr>
          <w:rFonts w:ascii="Arial" w:cs="Arial" w:eastAsia="Arial" w:hAnsi="Arial"/>
          <w:sz w:val="18"/>
          <w:szCs w:val="18"/>
          <w:color w:val="auto"/>
        </w:rPr>
        <w:t>We have seven (7) trustees serving on our Board, all of whom are independent except for Don Wood who serves as our CEO. Each of these individuals has been nominated to stand for election at the 2024 annual shareholder meeting.</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4540" w:type="dxa"/>
            <w:vAlign w:val="bottom"/>
            <w:shd w:val="clear" w:color="auto" w:fill="FF160F"/>
          </w:tcPr>
          <w:p>
            <w:pPr>
              <w:spacing w:after="0"/>
              <w:rPr>
                <w:sz w:val="17"/>
                <w:szCs w:val="17"/>
                <w:color w:val="auto"/>
              </w:rPr>
            </w:pPr>
          </w:p>
        </w:tc>
        <w:tc>
          <w:tcPr>
            <w:tcW w:w="820" w:type="dxa"/>
            <w:vAlign w:val="bottom"/>
            <w:shd w:val="clear" w:color="auto" w:fill="FF160F"/>
          </w:tcPr>
          <w:p>
            <w:pPr>
              <w:spacing w:after="0"/>
              <w:rPr>
                <w:sz w:val="17"/>
                <w:szCs w:val="17"/>
                <w:color w:val="auto"/>
              </w:rPr>
            </w:pPr>
          </w:p>
        </w:tc>
        <w:tc>
          <w:tcPr>
            <w:tcW w:w="1220" w:type="dxa"/>
            <w:vAlign w:val="bottom"/>
            <w:shd w:val="clear" w:color="auto" w:fill="FF160F"/>
          </w:tcPr>
          <w:p>
            <w:pPr>
              <w:jc w:val="right"/>
              <w:ind w:right="190"/>
              <w:spacing w:after="0"/>
              <w:rPr>
                <w:sz w:val="20"/>
                <w:szCs w:val="20"/>
                <w:color w:val="auto"/>
              </w:rPr>
            </w:pPr>
            <w:r>
              <w:rPr>
                <w:rFonts w:ascii="Arial" w:cs="Arial" w:eastAsia="Arial" w:hAnsi="Arial"/>
                <w:sz w:val="18"/>
                <w:szCs w:val="18"/>
                <w:b w:val="1"/>
                <w:bCs w:val="1"/>
                <w:color w:val="FFFFFF"/>
              </w:rPr>
              <w:t>Trustee</w:t>
            </w:r>
          </w:p>
        </w:tc>
        <w:tc>
          <w:tcPr>
            <w:tcW w:w="1800" w:type="dxa"/>
            <w:vAlign w:val="bottom"/>
            <w:shd w:val="clear" w:color="auto" w:fill="FF160F"/>
          </w:tcPr>
          <w:p>
            <w:pPr>
              <w:spacing w:after="0"/>
              <w:rPr>
                <w:sz w:val="17"/>
                <w:szCs w:val="17"/>
                <w:color w:val="auto"/>
              </w:rPr>
            </w:pPr>
          </w:p>
        </w:tc>
        <w:tc>
          <w:tcPr>
            <w:tcW w:w="2640" w:type="dxa"/>
            <w:vAlign w:val="bottom"/>
            <w:gridSpan w:val="3"/>
            <w:shd w:val="clear" w:color="auto" w:fill="FF160F"/>
          </w:tcPr>
          <w:p>
            <w:pPr>
              <w:jc w:val="center"/>
              <w:ind w:left="50"/>
              <w:spacing w:after="0"/>
              <w:rPr>
                <w:sz w:val="20"/>
                <w:szCs w:val="20"/>
                <w:color w:val="auto"/>
              </w:rPr>
            </w:pPr>
            <w:r>
              <w:rPr>
                <w:rFonts w:ascii="Arial" w:cs="Arial" w:eastAsia="Arial" w:hAnsi="Arial"/>
                <w:sz w:val="18"/>
                <w:szCs w:val="18"/>
                <w:b w:val="1"/>
                <w:bCs w:val="1"/>
                <w:color w:val="FFFFFF"/>
                <w:w w:val="99"/>
              </w:rPr>
              <w:t>Committee Memberships</w:t>
            </w:r>
          </w:p>
        </w:tc>
      </w:tr>
      <w:tr>
        <w:trPr>
          <w:trHeight w:val="282"/>
        </w:trPr>
        <w:tc>
          <w:tcPr>
            <w:tcW w:w="4540" w:type="dxa"/>
            <w:vAlign w:val="bottom"/>
            <w:tcBorders>
              <w:bottom w:val="single" w:sz="8" w:color="FF160F"/>
            </w:tcBorders>
            <w:shd w:val="clear" w:color="auto" w:fill="FF160F"/>
          </w:tcPr>
          <w:p>
            <w:pPr>
              <w:spacing w:after="0"/>
              <w:rPr>
                <w:sz w:val="20"/>
                <w:szCs w:val="20"/>
                <w:color w:val="auto"/>
              </w:rPr>
            </w:pPr>
            <w:r>
              <w:rPr>
                <w:rFonts w:ascii="Arial" w:cs="Arial" w:eastAsia="Arial" w:hAnsi="Arial"/>
                <w:sz w:val="18"/>
                <w:szCs w:val="18"/>
                <w:b w:val="1"/>
                <w:bCs w:val="1"/>
                <w:color w:val="FFFFFF"/>
              </w:rPr>
              <w:t>Name and Principal Occupation</w:t>
            </w:r>
          </w:p>
        </w:tc>
        <w:tc>
          <w:tcPr>
            <w:tcW w:w="820" w:type="dxa"/>
            <w:vAlign w:val="bottom"/>
            <w:tcBorders>
              <w:bottom w:val="single" w:sz="8" w:color="FF160F"/>
            </w:tcBorders>
            <w:shd w:val="clear" w:color="auto" w:fill="FF160F"/>
          </w:tcPr>
          <w:p>
            <w:pPr>
              <w:jc w:val="right"/>
              <w:ind w:right="190"/>
              <w:spacing w:after="0"/>
              <w:rPr>
                <w:sz w:val="20"/>
                <w:szCs w:val="20"/>
                <w:color w:val="auto"/>
              </w:rPr>
            </w:pPr>
            <w:r>
              <w:rPr>
                <w:rFonts w:ascii="Arial" w:cs="Arial" w:eastAsia="Arial" w:hAnsi="Arial"/>
                <w:sz w:val="18"/>
                <w:szCs w:val="18"/>
                <w:b w:val="1"/>
                <w:bCs w:val="1"/>
                <w:color w:val="FFFFFF"/>
              </w:rPr>
              <w:t>Age</w:t>
            </w:r>
          </w:p>
        </w:tc>
        <w:tc>
          <w:tcPr>
            <w:tcW w:w="1220" w:type="dxa"/>
            <w:vAlign w:val="bottom"/>
            <w:tcBorders>
              <w:bottom w:val="single" w:sz="8" w:color="FF160F"/>
            </w:tcBorders>
            <w:shd w:val="clear" w:color="auto" w:fill="FF160F"/>
          </w:tcPr>
          <w:p>
            <w:pPr>
              <w:jc w:val="right"/>
              <w:ind w:right="270"/>
              <w:spacing w:after="0"/>
              <w:rPr>
                <w:sz w:val="20"/>
                <w:szCs w:val="20"/>
                <w:color w:val="auto"/>
              </w:rPr>
            </w:pPr>
            <w:r>
              <w:rPr>
                <w:rFonts w:ascii="Arial" w:cs="Arial" w:eastAsia="Arial" w:hAnsi="Arial"/>
                <w:sz w:val="18"/>
                <w:szCs w:val="18"/>
                <w:b w:val="1"/>
                <w:bCs w:val="1"/>
                <w:color w:val="FFFFFF"/>
              </w:rPr>
              <w:t>Since</w:t>
            </w:r>
          </w:p>
        </w:tc>
        <w:tc>
          <w:tcPr>
            <w:tcW w:w="1800" w:type="dxa"/>
            <w:vAlign w:val="bottom"/>
            <w:tcBorders>
              <w:bottom w:val="single" w:sz="8" w:color="FF160F"/>
            </w:tcBorders>
            <w:shd w:val="clear" w:color="auto" w:fill="FF160F"/>
          </w:tcPr>
          <w:p>
            <w:pPr>
              <w:ind w:left="300"/>
              <w:spacing w:after="0"/>
              <w:rPr>
                <w:sz w:val="20"/>
                <w:szCs w:val="20"/>
                <w:color w:val="auto"/>
              </w:rPr>
            </w:pPr>
            <w:r>
              <w:rPr>
                <w:rFonts w:ascii="Arial" w:cs="Arial" w:eastAsia="Arial" w:hAnsi="Arial"/>
                <w:sz w:val="18"/>
                <w:szCs w:val="18"/>
                <w:b w:val="1"/>
                <w:bCs w:val="1"/>
                <w:color w:val="FFFFFF"/>
              </w:rPr>
              <w:t>Independent</w:t>
            </w:r>
          </w:p>
        </w:tc>
        <w:tc>
          <w:tcPr>
            <w:tcW w:w="900" w:type="dxa"/>
            <w:vAlign w:val="bottom"/>
            <w:tcBorders>
              <w:bottom w:val="single" w:sz="8" w:color="FF160F"/>
            </w:tcBorders>
            <w:shd w:val="clear" w:color="auto" w:fill="FF160F"/>
          </w:tcPr>
          <w:p>
            <w:pPr>
              <w:ind w:left="320"/>
              <w:spacing w:after="0"/>
              <w:rPr>
                <w:sz w:val="20"/>
                <w:szCs w:val="20"/>
                <w:color w:val="auto"/>
              </w:rPr>
            </w:pPr>
            <w:r>
              <w:rPr>
                <w:rFonts w:ascii="Arial" w:cs="Arial" w:eastAsia="Arial" w:hAnsi="Arial"/>
                <w:sz w:val="18"/>
                <w:szCs w:val="18"/>
                <w:b w:val="1"/>
                <w:bCs w:val="1"/>
                <w:color w:val="FFFFFF"/>
              </w:rPr>
              <w:t>AC</w:t>
            </w:r>
          </w:p>
        </w:tc>
        <w:tc>
          <w:tcPr>
            <w:tcW w:w="940" w:type="dxa"/>
            <w:vAlign w:val="bottom"/>
            <w:tcBorders>
              <w:bottom w:val="single" w:sz="8" w:color="FF160F"/>
            </w:tcBorders>
            <w:shd w:val="clear" w:color="auto" w:fill="FF160F"/>
          </w:tcPr>
          <w:p>
            <w:pPr>
              <w:jc w:val="center"/>
              <w:spacing w:after="0"/>
              <w:rPr>
                <w:sz w:val="20"/>
                <w:szCs w:val="20"/>
                <w:color w:val="auto"/>
              </w:rPr>
            </w:pPr>
            <w:r>
              <w:rPr>
                <w:rFonts w:ascii="Arial" w:cs="Arial" w:eastAsia="Arial" w:hAnsi="Arial"/>
                <w:sz w:val="18"/>
                <w:szCs w:val="18"/>
                <w:b w:val="1"/>
                <w:bCs w:val="1"/>
                <w:color w:val="FFFFFF"/>
                <w:w w:val="99"/>
              </w:rPr>
              <w:t>CC</w:t>
            </w:r>
          </w:p>
        </w:tc>
        <w:tc>
          <w:tcPr>
            <w:tcW w:w="800" w:type="dxa"/>
            <w:vAlign w:val="bottom"/>
            <w:tcBorders>
              <w:bottom w:val="single" w:sz="8" w:color="FF160F"/>
            </w:tcBorders>
            <w:shd w:val="clear" w:color="auto" w:fill="FF160F"/>
          </w:tcPr>
          <w:p>
            <w:pPr>
              <w:jc w:val="center"/>
              <w:ind w:left="50"/>
              <w:spacing w:after="0"/>
              <w:rPr>
                <w:sz w:val="20"/>
                <w:szCs w:val="20"/>
                <w:color w:val="auto"/>
              </w:rPr>
            </w:pPr>
            <w:r>
              <w:rPr>
                <w:rFonts w:ascii="Arial" w:cs="Arial" w:eastAsia="Arial" w:hAnsi="Arial"/>
                <w:sz w:val="18"/>
                <w:szCs w:val="18"/>
                <w:b w:val="1"/>
                <w:bCs w:val="1"/>
                <w:color w:val="FFFFFF"/>
                <w:w w:val="99"/>
              </w:rPr>
              <w:t>NC</w:t>
            </w:r>
          </w:p>
        </w:tc>
      </w:tr>
      <w:tr>
        <w:trPr>
          <w:trHeight w:val="216"/>
        </w:trPr>
        <w:tc>
          <w:tcPr>
            <w:tcW w:w="4540" w:type="dxa"/>
            <w:vAlign w:val="bottom"/>
            <w:shd w:val="clear" w:color="auto" w:fill="D8D8D8"/>
          </w:tcPr>
          <w:p>
            <w:pPr>
              <w:spacing w:after="0"/>
              <w:rPr>
                <w:sz w:val="20"/>
                <w:szCs w:val="20"/>
                <w:color w:val="auto"/>
              </w:rPr>
            </w:pPr>
            <w:r>
              <w:rPr>
                <w:rFonts w:ascii="Arial" w:cs="Arial" w:eastAsia="Arial" w:hAnsi="Arial"/>
                <w:sz w:val="18"/>
                <w:szCs w:val="18"/>
                <w:b w:val="1"/>
                <w:bCs w:val="1"/>
                <w:color w:val="auto"/>
              </w:rPr>
              <w:t>David W. Faeder±</w:t>
            </w:r>
          </w:p>
        </w:tc>
        <w:tc>
          <w:tcPr>
            <w:tcW w:w="820" w:type="dxa"/>
            <w:vAlign w:val="bottom"/>
            <w:shd w:val="clear" w:color="auto" w:fill="D8D8D8"/>
          </w:tcPr>
          <w:p>
            <w:pPr>
              <w:jc w:val="right"/>
              <w:ind w:right="230"/>
              <w:spacing w:after="0"/>
              <w:rPr>
                <w:sz w:val="20"/>
                <w:szCs w:val="20"/>
                <w:color w:val="auto"/>
              </w:rPr>
            </w:pPr>
            <w:r>
              <w:rPr>
                <w:rFonts w:ascii="Arial" w:cs="Arial" w:eastAsia="Arial" w:hAnsi="Arial"/>
                <w:sz w:val="18"/>
                <w:szCs w:val="18"/>
                <w:color w:val="auto"/>
              </w:rPr>
              <w:t>67</w:t>
            </w:r>
          </w:p>
        </w:tc>
        <w:tc>
          <w:tcPr>
            <w:tcW w:w="1220" w:type="dxa"/>
            <w:vAlign w:val="bottom"/>
            <w:shd w:val="clear" w:color="auto" w:fill="D8D8D8"/>
          </w:tcPr>
          <w:p>
            <w:pPr>
              <w:jc w:val="right"/>
              <w:ind w:right="270"/>
              <w:spacing w:after="0"/>
              <w:rPr>
                <w:sz w:val="20"/>
                <w:szCs w:val="20"/>
                <w:color w:val="auto"/>
              </w:rPr>
            </w:pPr>
            <w:r>
              <w:rPr>
                <w:rFonts w:ascii="Arial" w:cs="Arial" w:eastAsia="Arial" w:hAnsi="Arial"/>
                <w:sz w:val="18"/>
                <w:szCs w:val="18"/>
                <w:color w:val="auto"/>
              </w:rPr>
              <w:t>2003</w:t>
            </w:r>
          </w:p>
        </w:tc>
        <w:tc>
          <w:tcPr>
            <w:tcW w:w="1800" w:type="dxa"/>
            <w:vAlign w:val="bottom"/>
            <w:shd w:val="clear" w:color="auto" w:fill="D8D8D8"/>
          </w:tcPr>
          <w:p>
            <w:pPr>
              <w:ind w:left="760"/>
              <w:spacing w:after="0"/>
              <w:rPr>
                <w:sz w:val="20"/>
                <w:szCs w:val="20"/>
                <w:color w:val="auto"/>
              </w:rPr>
            </w:pPr>
            <w:r>
              <w:rPr>
                <w:rFonts w:ascii="Arial" w:cs="Arial" w:eastAsia="Arial" w:hAnsi="Arial"/>
                <w:sz w:val="18"/>
                <w:szCs w:val="18"/>
                <w:color w:val="auto"/>
              </w:rPr>
              <w:t>Yes</w:t>
            </w:r>
          </w:p>
        </w:tc>
        <w:tc>
          <w:tcPr>
            <w:tcW w:w="900" w:type="dxa"/>
            <w:vAlign w:val="bottom"/>
            <w:shd w:val="clear" w:color="auto" w:fill="D8D8D8"/>
          </w:tcPr>
          <w:p>
            <w:pPr>
              <w:jc w:val="center"/>
              <w:spacing w:after="0" w:line="207" w:lineRule="exact"/>
              <w:rPr>
                <w:sz w:val="20"/>
                <w:szCs w:val="20"/>
                <w:color w:val="auto"/>
              </w:rPr>
            </w:pPr>
            <w:r>
              <w:rPr>
                <w:rFonts w:ascii="MS PGothic" w:cs="MS PGothic" w:eastAsia="MS PGothic" w:hAnsi="MS PGothic"/>
                <w:sz w:val="18"/>
                <w:szCs w:val="18"/>
                <w:color w:val="auto"/>
                <w:w w:val="85"/>
              </w:rPr>
              <w:t>✓</w:t>
            </w:r>
            <w:r>
              <w:rPr>
                <w:rFonts w:ascii="Arial" w:cs="Arial" w:eastAsia="Arial" w:hAnsi="Arial"/>
                <w:sz w:val="18"/>
                <w:szCs w:val="18"/>
                <w:color w:val="auto"/>
                <w:w w:val="85"/>
              </w:rPr>
              <w:t>$</w:t>
            </w:r>
          </w:p>
        </w:tc>
        <w:tc>
          <w:tcPr>
            <w:tcW w:w="940" w:type="dxa"/>
            <w:vAlign w:val="bottom"/>
            <w:shd w:val="clear" w:color="auto" w:fill="D8D8D8"/>
          </w:tcPr>
          <w:p>
            <w:pPr>
              <w:spacing w:after="0"/>
              <w:rPr>
                <w:sz w:val="18"/>
                <w:szCs w:val="18"/>
                <w:color w:val="auto"/>
              </w:rPr>
            </w:pPr>
          </w:p>
        </w:tc>
        <w:tc>
          <w:tcPr>
            <w:tcW w:w="800" w:type="dxa"/>
            <w:vAlign w:val="bottom"/>
            <w:shd w:val="clear" w:color="auto" w:fill="D8D8D8"/>
          </w:tcPr>
          <w:p>
            <w:pPr>
              <w:jc w:val="center"/>
              <w:ind w:left="5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175"/>
        </w:trPr>
        <w:tc>
          <w:tcPr>
            <w:tcW w:w="4540" w:type="dxa"/>
            <w:vAlign w:val="bottom"/>
            <w:shd w:val="clear" w:color="auto" w:fill="D8D8D8"/>
          </w:tcPr>
          <w:p>
            <w:pPr>
              <w:spacing w:after="0" w:line="175" w:lineRule="exact"/>
              <w:rPr>
                <w:sz w:val="20"/>
                <w:szCs w:val="20"/>
                <w:color w:val="auto"/>
              </w:rPr>
            </w:pPr>
            <w:r>
              <w:rPr>
                <w:rFonts w:ascii="Arial" w:cs="Arial" w:eastAsia="Arial" w:hAnsi="Arial"/>
                <w:sz w:val="16"/>
                <w:szCs w:val="16"/>
                <w:color w:val="auto"/>
              </w:rPr>
              <w:t>Managing/Partner Fountain Square Properties and Managing</w:t>
            </w:r>
          </w:p>
        </w:tc>
        <w:tc>
          <w:tcPr>
            <w:tcW w:w="820" w:type="dxa"/>
            <w:vAlign w:val="bottom"/>
            <w:shd w:val="clear" w:color="auto" w:fill="D8D8D8"/>
          </w:tcPr>
          <w:p>
            <w:pPr>
              <w:spacing w:after="0"/>
              <w:rPr>
                <w:sz w:val="15"/>
                <w:szCs w:val="15"/>
                <w:color w:val="auto"/>
              </w:rPr>
            </w:pPr>
          </w:p>
        </w:tc>
        <w:tc>
          <w:tcPr>
            <w:tcW w:w="1220" w:type="dxa"/>
            <w:vAlign w:val="bottom"/>
            <w:shd w:val="clear" w:color="auto" w:fill="D8D8D8"/>
          </w:tcPr>
          <w:p>
            <w:pPr>
              <w:spacing w:after="0"/>
              <w:rPr>
                <w:sz w:val="15"/>
                <w:szCs w:val="15"/>
                <w:color w:val="auto"/>
              </w:rPr>
            </w:pPr>
          </w:p>
        </w:tc>
        <w:tc>
          <w:tcPr>
            <w:tcW w:w="1800" w:type="dxa"/>
            <w:vAlign w:val="bottom"/>
            <w:shd w:val="clear" w:color="auto" w:fill="D8D8D8"/>
          </w:tcPr>
          <w:p>
            <w:pPr>
              <w:spacing w:after="0"/>
              <w:rPr>
                <w:sz w:val="15"/>
                <w:szCs w:val="15"/>
                <w:color w:val="auto"/>
              </w:rPr>
            </w:pPr>
          </w:p>
        </w:tc>
        <w:tc>
          <w:tcPr>
            <w:tcW w:w="900" w:type="dxa"/>
            <w:vAlign w:val="bottom"/>
            <w:shd w:val="clear" w:color="auto" w:fill="D8D8D8"/>
          </w:tcPr>
          <w:p>
            <w:pPr>
              <w:spacing w:after="0"/>
              <w:rPr>
                <w:sz w:val="15"/>
                <w:szCs w:val="15"/>
                <w:color w:val="auto"/>
              </w:rPr>
            </w:pPr>
          </w:p>
        </w:tc>
        <w:tc>
          <w:tcPr>
            <w:tcW w:w="940" w:type="dxa"/>
            <w:vAlign w:val="bottom"/>
            <w:shd w:val="clear" w:color="auto" w:fill="D8D8D8"/>
          </w:tcPr>
          <w:p>
            <w:pPr>
              <w:spacing w:after="0"/>
              <w:rPr>
                <w:sz w:val="15"/>
                <w:szCs w:val="15"/>
                <w:color w:val="auto"/>
              </w:rPr>
            </w:pPr>
          </w:p>
        </w:tc>
        <w:tc>
          <w:tcPr>
            <w:tcW w:w="800" w:type="dxa"/>
            <w:vAlign w:val="bottom"/>
            <w:shd w:val="clear" w:color="auto" w:fill="D8D8D8"/>
          </w:tcPr>
          <w:p>
            <w:pPr>
              <w:spacing w:after="0"/>
              <w:rPr>
                <w:sz w:val="15"/>
                <w:szCs w:val="15"/>
                <w:color w:val="auto"/>
              </w:rPr>
            </w:pPr>
          </w:p>
        </w:tc>
      </w:tr>
      <w:tr>
        <w:trPr>
          <w:trHeight w:val="203"/>
        </w:trPr>
        <w:tc>
          <w:tcPr>
            <w:tcW w:w="4540" w:type="dxa"/>
            <w:vAlign w:val="bottom"/>
            <w:shd w:val="clear" w:color="auto" w:fill="D8D8D8"/>
          </w:tcPr>
          <w:p>
            <w:pPr>
              <w:spacing w:after="0"/>
              <w:rPr>
                <w:sz w:val="20"/>
                <w:szCs w:val="20"/>
                <w:color w:val="auto"/>
              </w:rPr>
            </w:pPr>
            <w:r>
              <w:rPr>
                <w:rFonts w:ascii="Arial" w:cs="Arial" w:eastAsia="Arial" w:hAnsi="Arial"/>
                <w:sz w:val="16"/>
                <w:szCs w:val="16"/>
                <w:color w:val="auto"/>
              </w:rPr>
              <w:t>Member/Kensington Senior Living</w:t>
            </w:r>
          </w:p>
        </w:tc>
        <w:tc>
          <w:tcPr>
            <w:tcW w:w="820" w:type="dxa"/>
            <w:vAlign w:val="bottom"/>
            <w:shd w:val="clear" w:color="auto" w:fill="D8D8D8"/>
          </w:tcPr>
          <w:p>
            <w:pPr>
              <w:spacing w:after="0"/>
              <w:rPr>
                <w:sz w:val="17"/>
                <w:szCs w:val="17"/>
                <w:color w:val="auto"/>
              </w:rPr>
            </w:pPr>
          </w:p>
        </w:tc>
        <w:tc>
          <w:tcPr>
            <w:tcW w:w="1220" w:type="dxa"/>
            <w:vAlign w:val="bottom"/>
            <w:shd w:val="clear" w:color="auto" w:fill="D8D8D8"/>
          </w:tcPr>
          <w:p>
            <w:pPr>
              <w:spacing w:after="0"/>
              <w:rPr>
                <w:sz w:val="17"/>
                <w:szCs w:val="17"/>
                <w:color w:val="auto"/>
              </w:rPr>
            </w:pPr>
          </w:p>
        </w:tc>
        <w:tc>
          <w:tcPr>
            <w:tcW w:w="1800" w:type="dxa"/>
            <w:vAlign w:val="bottom"/>
            <w:shd w:val="clear" w:color="auto" w:fill="D8D8D8"/>
          </w:tcPr>
          <w:p>
            <w:pPr>
              <w:spacing w:after="0"/>
              <w:rPr>
                <w:sz w:val="17"/>
                <w:szCs w:val="17"/>
                <w:color w:val="auto"/>
              </w:rPr>
            </w:pPr>
          </w:p>
        </w:tc>
        <w:tc>
          <w:tcPr>
            <w:tcW w:w="900" w:type="dxa"/>
            <w:vAlign w:val="bottom"/>
            <w:shd w:val="clear" w:color="auto" w:fill="D8D8D8"/>
          </w:tcPr>
          <w:p>
            <w:pPr>
              <w:spacing w:after="0"/>
              <w:rPr>
                <w:sz w:val="17"/>
                <w:szCs w:val="17"/>
                <w:color w:val="auto"/>
              </w:rPr>
            </w:pPr>
          </w:p>
        </w:tc>
        <w:tc>
          <w:tcPr>
            <w:tcW w:w="940" w:type="dxa"/>
            <w:vAlign w:val="bottom"/>
            <w:shd w:val="clear" w:color="auto" w:fill="D8D8D8"/>
          </w:tcPr>
          <w:p>
            <w:pPr>
              <w:spacing w:after="0"/>
              <w:rPr>
                <w:sz w:val="17"/>
                <w:szCs w:val="17"/>
                <w:color w:val="auto"/>
              </w:rPr>
            </w:pPr>
          </w:p>
        </w:tc>
        <w:tc>
          <w:tcPr>
            <w:tcW w:w="800" w:type="dxa"/>
            <w:vAlign w:val="bottom"/>
            <w:shd w:val="clear" w:color="auto" w:fill="D8D8D8"/>
          </w:tcPr>
          <w:p>
            <w:pPr>
              <w:spacing w:after="0"/>
              <w:rPr>
                <w:sz w:val="17"/>
                <w:szCs w:val="17"/>
                <w:color w:val="auto"/>
              </w:rPr>
            </w:pPr>
          </w:p>
        </w:tc>
      </w:tr>
      <w:tr>
        <w:trPr>
          <w:trHeight w:val="202"/>
        </w:trPr>
        <w:tc>
          <w:tcPr>
            <w:tcW w:w="4540" w:type="dxa"/>
            <w:vAlign w:val="bottom"/>
          </w:tcPr>
          <w:p>
            <w:pPr>
              <w:spacing w:after="0" w:line="202" w:lineRule="exact"/>
              <w:rPr>
                <w:sz w:val="20"/>
                <w:szCs w:val="20"/>
                <w:color w:val="auto"/>
              </w:rPr>
            </w:pPr>
            <w:r>
              <w:rPr>
                <w:rFonts w:ascii="Arial" w:cs="Arial" w:eastAsia="Arial" w:hAnsi="Arial"/>
                <w:sz w:val="18"/>
                <w:szCs w:val="18"/>
                <w:b w:val="1"/>
                <w:bCs w:val="1"/>
                <w:color w:val="auto"/>
              </w:rPr>
              <w:t>Elizabeth I. Holland</w:t>
            </w:r>
          </w:p>
        </w:tc>
        <w:tc>
          <w:tcPr>
            <w:tcW w:w="82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58</w:t>
            </w:r>
          </w:p>
        </w:tc>
        <w:tc>
          <w:tcPr>
            <w:tcW w:w="122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2017</w:t>
            </w:r>
          </w:p>
        </w:tc>
        <w:tc>
          <w:tcPr>
            <w:tcW w:w="1800" w:type="dxa"/>
            <w:vAlign w:val="bottom"/>
          </w:tcPr>
          <w:p>
            <w:pPr>
              <w:ind w:left="760"/>
              <w:spacing w:after="0" w:line="202" w:lineRule="exact"/>
              <w:rPr>
                <w:sz w:val="20"/>
                <w:szCs w:val="20"/>
                <w:color w:val="auto"/>
              </w:rPr>
            </w:pPr>
            <w:r>
              <w:rPr>
                <w:rFonts w:ascii="Arial" w:cs="Arial" w:eastAsia="Arial" w:hAnsi="Arial"/>
                <w:sz w:val="18"/>
                <w:szCs w:val="18"/>
                <w:color w:val="auto"/>
              </w:rPr>
              <w:t>Yes</w:t>
            </w:r>
          </w:p>
        </w:tc>
        <w:tc>
          <w:tcPr>
            <w:tcW w:w="90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940" w:type="dxa"/>
            <w:vAlign w:val="bottom"/>
          </w:tcPr>
          <w:p>
            <w:pPr>
              <w:jc w:val="center"/>
              <w:spacing w:after="0" w:line="202" w:lineRule="exact"/>
              <w:rPr>
                <w:sz w:val="20"/>
                <w:szCs w:val="20"/>
                <w:color w:val="auto"/>
              </w:rPr>
            </w:pPr>
            <w:r>
              <w:rPr>
                <w:rFonts w:ascii="Arial" w:cs="Arial" w:eastAsia="Arial" w:hAnsi="Arial"/>
                <w:sz w:val="18"/>
                <w:szCs w:val="18"/>
                <w:color w:val="auto"/>
              </w:rPr>
              <w:t>C</w:t>
            </w:r>
          </w:p>
        </w:tc>
        <w:tc>
          <w:tcPr>
            <w:tcW w:w="800" w:type="dxa"/>
            <w:vAlign w:val="bottom"/>
          </w:tcPr>
          <w:p>
            <w:pPr>
              <w:spacing w:after="0"/>
              <w:rPr>
                <w:sz w:val="17"/>
                <w:szCs w:val="17"/>
                <w:color w:val="auto"/>
              </w:rPr>
            </w:pPr>
          </w:p>
        </w:tc>
      </w:tr>
      <w:tr>
        <w:trPr>
          <w:trHeight w:val="189"/>
        </w:trPr>
        <w:tc>
          <w:tcPr>
            <w:tcW w:w="4540" w:type="dxa"/>
            <w:vAlign w:val="bottom"/>
          </w:tcPr>
          <w:p>
            <w:pPr>
              <w:spacing w:after="0"/>
              <w:rPr>
                <w:sz w:val="20"/>
                <w:szCs w:val="20"/>
                <w:color w:val="auto"/>
              </w:rPr>
            </w:pPr>
            <w:r>
              <w:rPr>
                <w:rFonts w:ascii="Arial" w:cs="Arial" w:eastAsia="Arial" w:hAnsi="Arial"/>
                <w:sz w:val="16"/>
                <w:szCs w:val="16"/>
                <w:color w:val="auto"/>
              </w:rPr>
              <w:t>Chief Executive Officer/AbbellCredit Corporation and Abbell</w:t>
            </w:r>
          </w:p>
        </w:tc>
        <w:tc>
          <w:tcPr>
            <w:tcW w:w="8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03"/>
        </w:trPr>
        <w:tc>
          <w:tcPr>
            <w:tcW w:w="4540" w:type="dxa"/>
            <w:vAlign w:val="bottom"/>
          </w:tcPr>
          <w:p>
            <w:pPr>
              <w:spacing w:after="0"/>
              <w:rPr>
                <w:sz w:val="20"/>
                <w:szCs w:val="20"/>
                <w:color w:val="auto"/>
              </w:rPr>
            </w:pPr>
            <w:r>
              <w:rPr>
                <w:rFonts w:ascii="Arial" w:cs="Arial" w:eastAsia="Arial" w:hAnsi="Arial"/>
                <w:sz w:val="16"/>
                <w:szCs w:val="16"/>
                <w:color w:val="auto"/>
              </w:rPr>
              <w:t>Associates, LLC</w:t>
            </w:r>
          </w:p>
        </w:tc>
        <w:tc>
          <w:tcPr>
            <w:tcW w:w="8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16"/>
        </w:trPr>
        <w:tc>
          <w:tcPr>
            <w:tcW w:w="4540" w:type="dxa"/>
            <w:vAlign w:val="bottom"/>
            <w:shd w:val="clear" w:color="auto" w:fill="D8D8D8"/>
          </w:tcPr>
          <w:p>
            <w:pPr>
              <w:spacing w:after="0"/>
              <w:rPr>
                <w:sz w:val="20"/>
                <w:szCs w:val="20"/>
                <w:color w:val="auto"/>
              </w:rPr>
            </w:pPr>
            <w:r>
              <w:rPr>
                <w:rFonts w:ascii="Arial" w:cs="Arial" w:eastAsia="Arial" w:hAnsi="Arial"/>
                <w:sz w:val="18"/>
                <w:szCs w:val="18"/>
                <w:b w:val="1"/>
                <w:bCs w:val="1"/>
                <w:color w:val="auto"/>
              </w:rPr>
              <w:t>Nicole Y. Lamb-Hale</w:t>
            </w:r>
          </w:p>
        </w:tc>
        <w:tc>
          <w:tcPr>
            <w:tcW w:w="820" w:type="dxa"/>
            <w:vAlign w:val="bottom"/>
            <w:shd w:val="clear" w:color="auto" w:fill="D8D8D8"/>
          </w:tcPr>
          <w:p>
            <w:pPr>
              <w:jc w:val="right"/>
              <w:ind w:right="230"/>
              <w:spacing w:after="0"/>
              <w:rPr>
                <w:sz w:val="20"/>
                <w:szCs w:val="20"/>
                <w:color w:val="auto"/>
              </w:rPr>
            </w:pPr>
            <w:r>
              <w:rPr>
                <w:rFonts w:ascii="Arial" w:cs="Arial" w:eastAsia="Arial" w:hAnsi="Arial"/>
                <w:sz w:val="18"/>
                <w:szCs w:val="18"/>
                <w:color w:val="auto"/>
              </w:rPr>
              <w:t>57</w:t>
            </w:r>
          </w:p>
        </w:tc>
        <w:tc>
          <w:tcPr>
            <w:tcW w:w="1220" w:type="dxa"/>
            <w:vAlign w:val="bottom"/>
            <w:shd w:val="clear" w:color="auto" w:fill="D8D8D8"/>
          </w:tcPr>
          <w:p>
            <w:pPr>
              <w:jc w:val="right"/>
              <w:ind w:right="270"/>
              <w:spacing w:after="0"/>
              <w:rPr>
                <w:sz w:val="20"/>
                <w:szCs w:val="20"/>
                <w:color w:val="auto"/>
              </w:rPr>
            </w:pPr>
            <w:r>
              <w:rPr>
                <w:rFonts w:ascii="Arial" w:cs="Arial" w:eastAsia="Arial" w:hAnsi="Arial"/>
                <w:sz w:val="18"/>
                <w:szCs w:val="18"/>
                <w:color w:val="auto"/>
              </w:rPr>
              <w:t>2020</w:t>
            </w:r>
          </w:p>
        </w:tc>
        <w:tc>
          <w:tcPr>
            <w:tcW w:w="1800" w:type="dxa"/>
            <w:vAlign w:val="bottom"/>
            <w:shd w:val="clear" w:color="auto" w:fill="D8D8D8"/>
          </w:tcPr>
          <w:p>
            <w:pPr>
              <w:ind w:left="760"/>
              <w:spacing w:after="0"/>
              <w:rPr>
                <w:sz w:val="20"/>
                <w:szCs w:val="20"/>
                <w:color w:val="auto"/>
              </w:rPr>
            </w:pPr>
            <w:r>
              <w:rPr>
                <w:rFonts w:ascii="Arial" w:cs="Arial" w:eastAsia="Arial" w:hAnsi="Arial"/>
                <w:sz w:val="18"/>
                <w:szCs w:val="18"/>
                <w:color w:val="auto"/>
              </w:rPr>
              <w:t>Yes</w:t>
            </w:r>
          </w:p>
        </w:tc>
        <w:tc>
          <w:tcPr>
            <w:tcW w:w="900" w:type="dxa"/>
            <w:vAlign w:val="bottom"/>
            <w:shd w:val="clear" w:color="auto" w:fill="D8D8D8"/>
          </w:tcPr>
          <w:p>
            <w:pPr>
              <w:spacing w:after="0"/>
              <w:rPr>
                <w:sz w:val="18"/>
                <w:szCs w:val="18"/>
                <w:color w:val="auto"/>
              </w:rPr>
            </w:pPr>
          </w:p>
        </w:tc>
        <w:tc>
          <w:tcPr>
            <w:tcW w:w="940" w:type="dxa"/>
            <w:vAlign w:val="bottom"/>
            <w:shd w:val="clear" w:color="auto" w:fill="D8D8D8"/>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800" w:type="dxa"/>
            <w:vAlign w:val="bottom"/>
            <w:shd w:val="clear" w:color="auto" w:fill="D8D8D8"/>
          </w:tcPr>
          <w:p>
            <w:pPr>
              <w:jc w:val="center"/>
              <w:ind w:left="5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175"/>
        </w:trPr>
        <w:tc>
          <w:tcPr>
            <w:tcW w:w="4540" w:type="dxa"/>
            <w:vAlign w:val="bottom"/>
            <w:shd w:val="clear" w:color="auto" w:fill="D8D8D8"/>
          </w:tcPr>
          <w:p>
            <w:pPr>
              <w:spacing w:after="0" w:line="175" w:lineRule="exact"/>
              <w:rPr>
                <w:sz w:val="20"/>
                <w:szCs w:val="20"/>
                <w:color w:val="auto"/>
              </w:rPr>
            </w:pPr>
            <w:r>
              <w:rPr>
                <w:rFonts w:ascii="Arial" w:cs="Arial" w:eastAsia="Arial" w:hAnsi="Arial"/>
                <w:sz w:val="16"/>
                <w:szCs w:val="16"/>
                <w:color w:val="auto"/>
              </w:rPr>
              <w:t>Vice President, Chief Legal Officer and Corporate</w:t>
            </w:r>
          </w:p>
        </w:tc>
        <w:tc>
          <w:tcPr>
            <w:tcW w:w="820" w:type="dxa"/>
            <w:vAlign w:val="bottom"/>
            <w:shd w:val="clear" w:color="auto" w:fill="D8D8D8"/>
          </w:tcPr>
          <w:p>
            <w:pPr>
              <w:spacing w:after="0"/>
              <w:rPr>
                <w:sz w:val="15"/>
                <w:szCs w:val="15"/>
                <w:color w:val="auto"/>
              </w:rPr>
            </w:pPr>
          </w:p>
        </w:tc>
        <w:tc>
          <w:tcPr>
            <w:tcW w:w="1220" w:type="dxa"/>
            <w:vAlign w:val="bottom"/>
            <w:shd w:val="clear" w:color="auto" w:fill="D8D8D8"/>
          </w:tcPr>
          <w:p>
            <w:pPr>
              <w:spacing w:after="0"/>
              <w:rPr>
                <w:sz w:val="15"/>
                <w:szCs w:val="15"/>
                <w:color w:val="auto"/>
              </w:rPr>
            </w:pPr>
          </w:p>
        </w:tc>
        <w:tc>
          <w:tcPr>
            <w:tcW w:w="1800" w:type="dxa"/>
            <w:vAlign w:val="bottom"/>
            <w:shd w:val="clear" w:color="auto" w:fill="D8D8D8"/>
          </w:tcPr>
          <w:p>
            <w:pPr>
              <w:spacing w:after="0"/>
              <w:rPr>
                <w:sz w:val="15"/>
                <w:szCs w:val="15"/>
                <w:color w:val="auto"/>
              </w:rPr>
            </w:pPr>
          </w:p>
        </w:tc>
        <w:tc>
          <w:tcPr>
            <w:tcW w:w="900" w:type="dxa"/>
            <w:vAlign w:val="bottom"/>
            <w:shd w:val="clear" w:color="auto" w:fill="D8D8D8"/>
          </w:tcPr>
          <w:p>
            <w:pPr>
              <w:spacing w:after="0"/>
              <w:rPr>
                <w:sz w:val="15"/>
                <w:szCs w:val="15"/>
                <w:color w:val="auto"/>
              </w:rPr>
            </w:pPr>
          </w:p>
        </w:tc>
        <w:tc>
          <w:tcPr>
            <w:tcW w:w="940" w:type="dxa"/>
            <w:vAlign w:val="bottom"/>
            <w:shd w:val="clear" w:color="auto" w:fill="D8D8D8"/>
          </w:tcPr>
          <w:p>
            <w:pPr>
              <w:spacing w:after="0"/>
              <w:rPr>
                <w:sz w:val="15"/>
                <w:szCs w:val="15"/>
                <w:color w:val="auto"/>
              </w:rPr>
            </w:pPr>
          </w:p>
        </w:tc>
        <w:tc>
          <w:tcPr>
            <w:tcW w:w="800" w:type="dxa"/>
            <w:vAlign w:val="bottom"/>
            <w:shd w:val="clear" w:color="auto" w:fill="D8D8D8"/>
          </w:tcPr>
          <w:p>
            <w:pPr>
              <w:spacing w:after="0"/>
              <w:rPr>
                <w:sz w:val="15"/>
                <w:szCs w:val="15"/>
                <w:color w:val="auto"/>
              </w:rPr>
            </w:pPr>
          </w:p>
        </w:tc>
      </w:tr>
      <w:tr>
        <w:trPr>
          <w:trHeight w:val="203"/>
        </w:trPr>
        <w:tc>
          <w:tcPr>
            <w:tcW w:w="4540" w:type="dxa"/>
            <w:vAlign w:val="bottom"/>
            <w:shd w:val="clear" w:color="auto" w:fill="D8D8D8"/>
          </w:tcPr>
          <w:p>
            <w:pPr>
              <w:spacing w:after="0"/>
              <w:rPr>
                <w:sz w:val="20"/>
                <w:szCs w:val="20"/>
                <w:color w:val="auto"/>
              </w:rPr>
            </w:pPr>
            <w:r>
              <w:rPr>
                <w:rFonts w:ascii="Arial" w:cs="Arial" w:eastAsia="Arial" w:hAnsi="Arial"/>
                <w:sz w:val="16"/>
                <w:szCs w:val="16"/>
                <w:color w:val="auto"/>
              </w:rPr>
              <w:t>Secretary/Cummins Inc.</w:t>
            </w:r>
          </w:p>
        </w:tc>
        <w:tc>
          <w:tcPr>
            <w:tcW w:w="820" w:type="dxa"/>
            <w:vAlign w:val="bottom"/>
            <w:shd w:val="clear" w:color="auto" w:fill="D8D8D8"/>
          </w:tcPr>
          <w:p>
            <w:pPr>
              <w:spacing w:after="0"/>
              <w:rPr>
                <w:sz w:val="17"/>
                <w:szCs w:val="17"/>
                <w:color w:val="auto"/>
              </w:rPr>
            </w:pPr>
          </w:p>
        </w:tc>
        <w:tc>
          <w:tcPr>
            <w:tcW w:w="1220" w:type="dxa"/>
            <w:vAlign w:val="bottom"/>
            <w:shd w:val="clear" w:color="auto" w:fill="D8D8D8"/>
          </w:tcPr>
          <w:p>
            <w:pPr>
              <w:spacing w:after="0"/>
              <w:rPr>
                <w:sz w:val="17"/>
                <w:szCs w:val="17"/>
                <w:color w:val="auto"/>
              </w:rPr>
            </w:pPr>
          </w:p>
        </w:tc>
        <w:tc>
          <w:tcPr>
            <w:tcW w:w="1800" w:type="dxa"/>
            <w:vAlign w:val="bottom"/>
            <w:shd w:val="clear" w:color="auto" w:fill="D8D8D8"/>
          </w:tcPr>
          <w:p>
            <w:pPr>
              <w:spacing w:after="0"/>
              <w:rPr>
                <w:sz w:val="17"/>
                <w:szCs w:val="17"/>
                <w:color w:val="auto"/>
              </w:rPr>
            </w:pPr>
          </w:p>
        </w:tc>
        <w:tc>
          <w:tcPr>
            <w:tcW w:w="900" w:type="dxa"/>
            <w:vAlign w:val="bottom"/>
            <w:shd w:val="clear" w:color="auto" w:fill="D8D8D8"/>
          </w:tcPr>
          <w:p>
            <w:pPr>
              <w:spacing w:after="0"/>
              <w:rPr>
                <w:sz w:val="17"/>
                <w:szCs w:val="17"/>
                <w:color w:val="auto"/>
              </w:rPr>
            </w:pPr>
          </w:p>
        </w:tc>
        <w:tc>
          <w:tcPr>
            <w:tcW w:w="940" w:type="dxa"/>
            <w:vAlign w:val="bottom"/>
            <w:shd w:val="clear" w:color="auto" w:fill="D8D8D8"/>
          </w:tcPr>
          <w:p>
            <w:pPr>
              <w:spacing w:after="0"/>
              <w:rPr>
                <w:sz w:val="17"/>
                <w:szCs w:val="17"/>
                <w:color w:val="auto"/>
              </w:rPr>
            </w:pPr>
          </w:p>
        </w:tc>
        <w:tc>
          <w:tcPr>
            <w:tcW w:w="800" w:type="dxa"/>
            <w:vAlign w:val="bottom"/>
            <w:shd w:val="clear" w:color="auto" w:fill="D8D8D8"/>
          </w:tcPr>
          <w:p>
            <w:pPr>
              <w:spacing w:after="0"/>
              <w:rPr>
                <w:sz w:val="17"/>
                <w:szCs w:val="17"/>
                <w:color w:val="auto"/>
              </w:rPr>
            </w:pPr>
          </w:p>
        </w:tc>
      </w:tr>
      <w:tr>
        <w:trPr>
          <w:trHeight w:val="202"/>
        </w:trPr>
        <w:tc>
          <w:tcPr>
            <w:tcW w:w="4540" w:type="dxa"/>
            <w:vAlign w:val="bottom"/>
          </w:tcPr>
          <w:p>
            <w:pPr>
              <w:spacing w:after="0" w:line="202" w:lineRule="exact"/>
              <w:rPr>
                <w:sz w:val="20"/>
                <w:szCs w:val="20"/>
                <w:color w:val="auto"/>
              </w:rPr>
            </w:pPr>
            <w:r>
              <w:rPr>
                <w:rFonts w:ascii="Arial" w:cs="Arial" w:eastAsia="Arial" w:hAnsi="Arial"/>
                <w:sz w:val="18"/>
                <w:szCs w:val="18"/>
                <w:b w:val="1"/>
                <w:bCs w:val="1"/>
                <w:color w:val="auto"/>
              </w:rPr>
              <w:t>Thomas A. McEachin</w:t>
            </w:r>
          </w:p>
        </w:tc>
        <w:tc>
          <w:tcPr>
            <w:tcW w:w="82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71</w:t>
            </w:r>
          </w:p>
        </w:tc>
        <w:tc>
          <w:tcPr>
            <w:tcW w:w="122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2022</w:t>
            </w:r>
          </w:p>
        </w:tc>
        <w:tc>
          <w:tcPr>
            <w:tcW w:w="1800" w:type="dxa"/>
            <w:vAlign w:val="bottom"/>
          </w:tcPr>
          <w:p>
            <w:pPr>
              <w:ind w:left="760"/>
              <w:spacing w:after="0" w:line="202" w:lineRule="exact"/>
              <w:rPr>
                <w:sz w:val="20"/>
                <w:szCs w:val="20"/>
                <w:color w:val="auto"/>
              </w:rPr>
            </w:pPr>
            <w:r>
              <w:rPr>
                <w:rFonts w:ascii="Arial" w:cs="Arial" w:eastAsia="Arial" w:hAnsi="Arial"/>
                <w:sz w:val="18"/>
                <w:szCs w:val="18"/>
                <w:color w:val="auto"/>
              </w:rPr>
              <w:t>Yes</w:t>
            </w:r>
          </w:p>
        </w:tc>
        <w:tc>
          <w:tcPr>
            <w:tcW w:w="900" w:type="dxa"/>
            <w:vAlign w:val="bottom"/>
          </w:tcPr>
          <w:p>
            <w:pPr>
              <w:spacing w:after="0"/>
              <w:rPr>
                <w:sz w:val="17"/>
                <w:szCs w:val="17"/>
                <w:color w:val="auto"/>
              </w:rPr>
            </w:pPr>
          </w:p>
        </w:tc>
        <w:tc>
          <w:tcPr>
            <w:tcW w:w="9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800" w:type="dxa"/>
            <w:vAlign w:val="bottom"/>
          </w:tcPr>
          <w:p>
            <w:pPr>
              <w:jc w:val="center"/>
              <w:ind w:left="5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03"/>
        </w:trPr>
        <w:tc>
          <w:tcPr>
            <w:tcW w:w="4540" w:type="dxa"/>
            <w:vAlign w:val="bottom"/>
          </w:tcPr>
          <w:p>
            <w:pPr>
              <w:spacing w:after="0"/>
              <w:rPr>
                <w:sz w:val="20"/>
                <w:szCs w:val="20"/>
                <w:color w:val="auto"/>
              </w:rPr>
            </w:pPr>
            <w:r>
              <w:rPr>
                <w:rFonts w:ascii="Arial" w:cs="Arial" w:eastAsia="Arial" w:hAnsi="Arial"/>
                <w:sz w:val="16"/>
                <w:szCs w:val="16"/>
                <w:color w:val="auto"/>
              </w:rPr>
              <w:t>Former Chief Financial Officer/Covidien Surgical Solutions</w:t>
            </w:r>
          </w:p>
        </w:tc>
        <w:tc>
          <w:tcPr>
            <w:tcW w:w="8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16"/>
        </w:trPr>
        <w:tc>
          <w:tcPr>
            <w:tcW w:w="4540" w:type="dxa"/>
            <w:vAlign w:val="bottom"/>
            <w:shd w:val="clear" w:color="auto" w:fill="D8D8D8"/>
          </w:tcPr>
          <w:p>
            <w:pPr>
              <w:spacing w:after="0"/>
              <w:rPr>
                <w:sz w:val="20"/>
                <w:szCs w:val="20"/>
                <w:color w:val="auto"/>
              </w:rPr>
            </w:pPr>
            <w:r>
              <w:rPr>
                <w:rFonts w:ascii="Arial" w:cs="Arial" w:eastAsia="Arial" w:hAnsi="Arial"/>
                <w:sz w:val="18"/>
                <w:szCs w:val="18"/>
                <w:b w:val="1"/>
                <w:bCs w:val="1"/>
                <w:color w:val="auto"/>
              </w:rPr>
              <w:t>Anthony P. Nader, III</w:t>
            </w:r>
          </w:p>
        </w:tc>
        <w:tc>
          <w:tcPr>
            <w:tcW w:w="820" w:type="dxa"/>
            <w:vAlign w:val="bottom"/>
            <w:shd w:val="clear" w:color="auto" w:fill="D8D8D8"/>
          </w:tcPr>
          <w:p>
            <w:pPr>
              <w:jc w:val="right"/>
              <w:ind w:right="230"/>
              <w:spacing w:after="0"/>
              <w:rPr>
                <w:sz w:val="20"/>
                <w:szCs w:val="20"/>
                <w:color w:val="auto"/>
              </w:rPr>
            </w:pPr>
            <w:r>
              <w:rPr>
                <w:rFonts w:ascii="Arial" w:cs="Arial" w:eastAsia="Arial" w:hAnsi="Arial"/>
                <w:sz w:val="18"/>
                <w:szCs w:val="18"/>
                <w:color w:val="auto"/>
              </w:rPr>
              <w:t>60</w:t>
            </w:r>
          </w:p>
        </w:tc>
        <w:tc>
          <w:tcPr>
            <w:tcW w:w="1220" w:type="dxa"/>
            <w:vAlign w:val="bottom"/>
            <w:shd w:val="clear" w:color="auto" w:fill="D8D8D8"/>
          </w:tcPr>
          <w:p>
            <w:pPr>
              <w:jc w:val="right"/>
              <w:ind w:right="270"/>
              <w:spacing w:after="0"/>
              <w:rPr>
                <w:sz w:val="20"/>
                <w:szCs w:val="20"/>
                <w:color w:val="auto"/>
              </w:rPr>
            </w:pPr>
            <w:r>
              <w:rPr>
                <w:rFonts w:ascii="Arial" w:cs="Arial" w:eastAsia="Arial" w:hAnsi="Arial"/>
                <w:sz w:val="18"/>
                <w:szCs w:val="18"/>
                <w:color w:val="auto"/>
              </w:rPr>
              <w:t>2020</w:t>
            </w:r>
          </w:p>
        </w:tc>
        <w:tc>
          <w:tcPr>
            <w:tcW w:w="1800" w:type="dxa"/>
            <w:vAlign w:val="bottom"/>
            <w:shd w:val="clear" w:color="auto" w:fill="D8D8D8"/>
          </w:tcPr>
          <w:p>
            <w:pPr>
              <w:ind w:left="760"/>
              <w:spacing w:after="0"/>
              <w:rPr>
                <w:sz w:val="20"/>
                <w:szCs w:val="20"/>
                <w:color w:val="auto"/>
              </w:rPr>
            </w:pPr>
            <w:r>
              <w:rPr>
                <w:rFonts w:ascii="Arial" w:cs="Arial" w:eastAsia="Arial" w:hAnsi="Arial"/>
                <w:sz w:val="18"/>
                <w:szCs w:val="18"/>
                <w:color w:val="auto"/>
              </w:rPr>
              <w:t>Yes</w:t>
            </w:r>
          </w:p>
        </w:tc>
        <w:tc>
          <w:tcPr>
            <w:tcW w:w="900" w:type="dxa"/>
            <w:vAlign w:val="bottom"/>
            <w:shd w:val="clear" w:color="auto" w:fill="D8D8D8"/>
          </w:tcPr>
          <w:p>
            <w:pPr>
              <w:jc w:val="center"/>
              <w:spacing w:after="0" w:line="207" w:lineRule="exact"/>
              <w:rPr>
                <w:sz w:val="20"/>
                <w:szCs w:val="20"/>
                <w:color w:val="auto"/>
              </w:rPr>
            </w:pPr>
            <w:r>
              <w:rPr>
                <w:rFonts w:ascii="MS PGothic" w:cs="MS PGothic" w:eastAsia="MS PGothic" w:hAnsi="MS PGothic"/>
                <w:sz w:val="18"/>
                <w:szCs w:val="18"/>
                <w:color w:val="auto"/>
                <w:w w:val="85"/>
              </w:rPr>
              <w:t>✓</w:t>
            </w:r>
            <w:r>
              <w:rPr>
                <w:rFonts w:ascii="Arial" w:cs="Arial" w:eastAsia="Arial" w:hAnsi="Arial"/>
                <w:sz w:val="18"/>
                <w:szCs w:val="18"/>
                <w:color w:val="auto"/>
                <w:w w:val="85"/>
              </w:rPr>
              <w:t>$</w:t>
            </w:r>
          </w:p>
        </w:tc>
        <w:tc>
          <w:tcPr>
            <w:tcW w:w="940" w:type="dxa"/>
            <w:vAlign w:val="bottom"/>
            <w:shd w:val="clear" w:color="auto" w:fill="D8D8D8"/>
          </w:tcPr>
          <w:p>
            <w:pPr>
              <w:spacing w:after="0"/>
              <w:rPr>
                <w:sz w:val="18"/>
                <w:szCs w:val="18"/>
                <w:color w:val="auto"/>
              </w:rPr>
            </w:pPr>
          </w:p>
        </w:tc>
        <w:tc>
          <w:tcPr>
            <w:tcW w:w="800" w:type="dxa"/>
            <w:vAlign w:val="bottom"/>
            <w:shd w:val="clear" w:color="auto" w:fill="D8D8D8"/>
          </w:tcPr>
          <w:p>
            <w:pPr>
              <w:jc w:val="center"/>
              <w:ind w:left="50"/>
              <w:spacing w:after="0"/>
              <w:rPr>
                <w:sz w:val="20"/>
                <w:szCs w:val="20"/>
                <w:color w:val="auto"/>
              </w:rPr>
            </w:pPr>
            <w:r>
              <w:rPr>
                <w:rFonts w:ascii="Arial" w:cs="Arial" w:eastAsia="Arial" w:hAnsi="Arial"/>
                <w:sz w:val="18"/>
                <w:szCs w:val="18"/>
                <w:color w:val="auto"/>
              </w:rPr>
              <w:t>C</w:t>
            </w:r>
          </w:p>
        </w:tc>
      </w:tr>
      <w:tr>
        <w:trPr>
          <w:trHeight w:val="189"/>
        </w:trPr>
        <w:tc>
          <w:tcPr>
            <w:tcW w:w="4540" w:type="dxa"/>
            <w:vAlign w:val="bottom"/>
            <w:shd w:val="clear" w:color="auto" w:fill="D8D8D8"/>
          </w:tcPr>
          <w:p>
            <w:pPr>
              <w:spacing w:after="0"/>
              <w:rPr>
                <w:sz w:val="20"/>
                <w:szCs w:val="20"/>
                <w:color w:val="auto"/>
              </w:rPr>
            </w:pPr>
            <w:r>
              <w:rPr>
                <w:rFonts w:ascii="Arial" w:cs="Arial" w:eastAsia="Arial" w:hAnsi="Arial"/>
                <w:sz w:val="16"/>
                <w:szCs w:val="16"/>
                <w:color w:val="auto"/>
              </w:rPr>
              <w:t>Managing Director/SWaN &amp; Legend Partners</w:t>
            </w:r>
          </w:p>
        </w:tc>
        <w:tc>
          <w:tcPr>
            <w:tcW w:w="820" w:type="dxa"/>
            <w:vAlign w:val="bottom"/>
            <w:shd w:val="clear" w:color="auto" w:fill="D8D8D8"/>
          </w:tcPr>
          <w:p>
            <w:pPr>
              <w:spacing w:after="0"/>
              <w:rPr>
                <w:sz w:val="16"/>
                <w:szCs w:val="16"/>
                <w:color w:val="auto"/>
              </w:rPr>
            </w:pPr>
          </w:p>
        </w:tc>
        <w:tc>
          <w:tcPr>
            <w:tcW w:w="1220" w:type="dxa"/>
            <w:vAlign w:val="bottom"/>
            <w:shd w:val="clear" w:color="auto" w:fill="D8D8D8"/>
          </w:tcPr>
          <w:p>
            <w:pPr>
              <w:spacing w:after="0"/>
              <w:rPr>
                <w:sz w:val="16"/>
                <w:szCs w:val="16"/>
                <w:color w:val="auto"/>
              </w:rPr>
            </w:pPr>
          </w:p>
        </w:tc>
        <w:tc>
          <w:tcPr>
            <w:tcW w:w="1800" w:type="dxa"/>
            <w:vAlign w:val="bottom"/>
            <w:shd w:val="clear" w:color="auto" w:fill="D8D8D8"/>
          </w:tcPr>
          <w:p>
            <w:pPr>
              <w:spacing w:after="0"/>
              <w:rPr>
                <w:sz w:val="16"/>
                <w:szCs w:val="16"/>
                <w:color w:val="auto"/>
              </w:rPr>
            </w:pPr>
          </w:p>
        </w:tc>
        <w:tc>
          <w:tcPr>
            <w:tcW w:w="900" w:type="dxa"/>
            <w:vAlign w:val="bottom"/>
            <w:shd w:val="clear" w:color="auto" w:fill="D8D8D8"/>
          </w:tcPr>
          <w:p>
            <w:pPr>
              <w:spacing w:after="0"/>
              <w:rPr>
                <w:sz w:val="16"/>
                <w:szCs w:val="16"/>
                <w:color w:val="auto"/>
              </w:rPr>
            </w:pPr>
          </w:p>
        </w:tc>
        <w:tc>
          <w:tcPr>
            <w:tcW w:w="940" w:type="dxa"/>
            <w:vAlign w:val="bottom"/>
            <w:shd w:val="clear" w:color="auto" w:fill="D8D8D8"/>
          </w:tcPr>
          <w:p>
            <w:pPr>
              <w:spacing w:after="0"/>
              <w:rPr>
                <w:sz w:val="16"/>
                <w:szCs w:val="16"/>
                <w:color w:val="auto"/>
              </w:rPr>
            </w:pPr>
          </w:p>
        </w:tc>
        <w:tc>
          <w:tcPr>
            <w:tcW w:w="800" w:type="dxa"/>
            <w:vAlign w:val="bottom"/>
            <w:shd w:val="clear" w:color="auto" w:fill="D8D8D8"/>
          </w:tcPr>
          <w:p>
            <w:pPr>
              <w:spacing w:after="0"/>
              <w:rPr>
                <w:sz w:val="16"/>
                <w:szCs w:val="16"/>
                <w:color w:val="auto"/>
              </w:rPr>
            </w:pPr>
          </w:p>
        </w:tc>
      </w:tr>
      <w:tr>
        <w:trPr>
          <w:trHeight w:val="202"/>
        </w:trPr>
        <w:tc>
          <w:tcPr>
            <w:tcW w:w="4540" w:type="dxa"/>
            <w:vAlign w:val="bottom"/>
          </w:tcPr>
          <w:p>
            <w:pPr>
              <w:spacing w:after="0" w:line="202" w:lineRule="exact"/>
              <w:rPr>
                <w:sz w:val="20"/>
                <w:szCs w:val="20"/>
                <w:color w:val="auto"/>
              </w:rPr>
            </w:pPr>
            <w:r>
              <w:rPr>
                <w:rFonts w:ascii="Arial" w:cs="Arial" w:eastAsia="Arial" w:hAnsi="Arial"/>
                <w:sz w:val="18"/>
                <w:szCs w:val="18"/>
                <w:b w:val="1"/>
                <w:bCs w:val="1"/>
                <w:color w:val="auto"/>
              </w:rPr>
              <w:t>Gail P. Steinel</w:t>
            </w:r>
          </w:p>
        </w:tc>
        <w:tc>
          <w:tcPr>
            <w:tcW w:w="82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67</w:t>
            </w:r>
          </w:p>
        </w:tc>
        <w:tc>
          <w:tcPr>
            <w:tcW w:w="122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2006</w:t>
            </w:r>
          </w:p>
        </w:tc>
        <w:tc>
          <w:tcPr>
            <w:tcW w:w="1800" w:type="dxa"/>
            <w:vAlign w:val="bottom"/>
          </w:tcPr>
          <w:p>
            <w:pPr>
              <w:ind w:left="760"/>
              <w:spacing w:after="0" w:line="202" w:lineRule="exact"/>
              <w:rPr>
                <w:sz w:val="20"/>
                <w:szCs w:val="20"/>
                <w:color w:val="auto"/>
              </w:rPr>
            </w:pPr>
            <w:r>
              <w:rPr>
                <w:rFonts w:ascii="Arial" w:cs="Arial" w:eastAsia="Arial" w:hAnsi="Arial"/>
                <w:sz w:val="18"/>
                <w:szCs w:val="18"/>
                <w:color w:val="auto"/>
              </w:rPr>
              <w:t>Yes</w:t>
            </w:r>
          </w:p>
        </w:tc>
        <w:tc>
          <w:tcPr>
            <w:tcW w:w="900" w:type="dxa"/>
            <w:vAlign w:val="bottom"/>
          </w:tcPr>
          <w:p>
            <w:pPr>
              <w:ind w:left="340"/>
              <w:spacing w:after="0" w:line="202" w:lineRule="exact"/>
              <w:rPr>
                <w:sz w:val="20"/>
                <w:szCs w:val="20"/>
                <w:color w:val="auto"/>
              </w:rPr>
            </w:pPr>
            <w:r>
              <w:rPr>
                <w:rFonts w:ascii="Arial" w:cs="Arial" w:eastAsia="Arial" w:hAnsi="Arial"/>
                <w:sz w:val="18"/>
                <w:szCs w:val="18"/>
                <w:color w:val="auto"/>
              </w:rPr>
              <w:t>C$</w:t>
            </w:r>
          </w:p>
        </w:tc>
        <w:tc>
          <w:tcPr>
            <w:tcW w:w="9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800" w:type="dxa"/>
            <w:vAlign w:val="bottom"/>
          </w:tcPr>
          <w:p>
            <w:pPr>
              <w:spacing w:after="0"/>
              <w:rPr>
                <w:sz w:val="17"/>
                <w:szCs w:val="17"/>
                <w:color w:val="auto"/>
              </w:rPr>
            </w:pPr>
          </w:p>
        </w:tc>
      </w:tr>
      <w:tr>
        <w:trPr>
          <w:trHeight w:val="203"/>
        </w:trPr>
        <w:tc>
          <w:tcPr>
            <w:tcW w:w="4540" w:type="dxa"/>
            <w:vAlign w:val="bottom"/>
          </w:tcPr>
          <w:p>
            <w:pPr>
              <w:spacing w:after="0"/>
              <w:rPr>
                <w:sz w:val="20"/>
                <w:szCs w:val="20"/>
                <w:color w:val="auto"/>
              </w:rPr>
            </w:pPr>
            <w:r>
              <w:rPr>
                <w:rFonts w:ascii="Arial" w:cs="Arial" w:eastAsia="Arial" w:hAnsi="Arial"/>
                <w:sz w:val="16"/>
                <w:szCs w:val="16"/>
                <w:color w:val="auto"/>
              </w:rPr>
              <w:t>Owner/Executive Advisors</w:t>
            </w:r>
          </w:p>
        </w:tc>
        <w:tc>
          <w:tcPr>
            <w:tcW w:w="8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4540" w:type="dxa"/>
            <w:vAlign w:val="bottom"/>
            <w:shd w:val="clear" w:color="auto" w:fill="D8D8D8"/>
          </w:tcPr>
          <w:p>
            <w:pPr>
              <w:spacing w:after="0" w:line="202" w:lineRule="exact"/>
              <w:rPr>
                <w:sz w:val="20"/>
                <w:szCs w:val="20"/>
                <w:color w:val="auto"/>
              </w:rPr>
            </w:pPr>
            <w:r>
              <w:rPr>
                <w:rFonts w:ascii="Arial" w:cs="Arial" w:eastAsia="Arial" w:hAnsi="Arial"/>
                <w:sz w:val="18"/>
                <w:szCs w:val="18"/>
                <w:b w:val="1"/>
                <w:bCs w:val="1"/>
                <w:color w:val="auto"/>
              </w:rPr>
              <w:t>Donald C. Wood</w:t>
            </w:r>
          </w:p>
        </w:tc>
        <w:tc>
          <w:tcPr>
            <w:tcW w:w="820" w:type="dxa"/>
            <w:vAlign w:val="bottom"/>
            <w:shd w:val="clear" w:color="auto" w:fill="D8D8D8"/>
          </w:tcPr>
          <w:p>
            <w:pPr>
              <w:jc w:val="right"/>
              <w:ind w:right="230"/>
              <w:spacing w:after="0" w:line="202" w:lineRule="exact"/>
              <w:rPr>
                <w:sz w:val="20"/>
                <w:szCs w:val="20"/>
                <w:color w:val="auto"/>
              </w:rPr>
            </w:pPr>
            <w:r>
              <w:rPr>
                <w:rFonts w:ascii="Arial" w:cs="Arial" w:eastAsia="Arial" w:hAnsi="Arial"/>
                <w:sz w:val="18"/>
                <w:szCs w:val="18"/>
                <w:color w:val="auto"/>
              </w:rPr>
              <w:t>63</w:t>
            </w:r>
          </w:p>
        </w:tc>
        <w:tc>
          <w:tcPr>
            <w:tcW w:w="1220" w:type="dxa"/>
            <w:vAlign w:val="bottom"/>
            <w:shd w:val="clear" w:color="auto" w:fill="D8D8D8"/>
          </w:tcPr>
          <w:p>
            <w:pPr>
              <w:jc w:val="right"/>
              <w:ind w:right="270"/>
              <w:spacing w:after="0" w:line="202" w:lineRule="exact"/>
              <w:rPr>
                <w:sz w:val="20"/>
                <w:szCs w:val="20"/>
                <w:color w:val="auto"/>
              </w:rPr>
            </w:pPr>
            <w:r>
              <w:rPr>
                <w:rFonts w:ascii="Arial" w:cs="Arial" w:eastAsia="Arial" w:hAnsi="Arial"/>
                <w:sz w:val="18"/>
                <w:szCs w:val="18"/>
                <w:color w:val="auto"/>
              </w:rPr>
              <w:t>2003</w:t>
            </w:r>
          </w:p>
        </w:tc>
        <w:tc>
          <w:tcPr>
            <w:tcW w:w="1800" w:type="dxa"/>
            <w:vAlign w:val="bottom"/>
            <w:shd w:val="clear" w:color="auto" w:fill="D8D8D8"/>
          </w:tcPr>
          <w:p>
            <w:pPr>
              <w:ind w:left="760"/>
              <w:spacing w:after="0" w:line="202" w:lineRule="exact"/>
              <w:rPr>
                <w:sz w:val="20"/>
                <w:szCs w:val="20"/>
                <w:color w:val="auto"/>
              </w:rPr>
            </w:pPr>
            <w:r>
              <w:rPr>
                <w:rFonts w:ascii="Arial" w:cs="Arial" w:eastAsia="Arial" w:hAnsi="Arial"/>
                <w:sz w:val="18"/>
                <w:szCs w:val="18"/>
                <w:color w:val="auto"/>
              </w:rPr>
              <w:t> No</w:t>
            </w:r>
          </w:p>
        </w:tc>
        <w:tc>
          <w:tcPr>
            <w:tcW w:w="900" w:type="dxa"/>
            <w:vAlign w:val="bottom"/>
            <w:shd w:val="clear" w:color="auto" w:fill="D8D8D8"/>
          </w:tcPr>
          <w:p>
            <w:pPr>
              <w:spacing w:after="0"/>
              <w:rPr>
                <w:sz w:val="17"/>
                <w:szCs w:val="17"/>
                <w:color w:val="auto"/>
              </w:rPr>
            </w:pPr>
          </w:p>
        </w:tc>
        <w:tc>
          <w:tcPr>
            <w:tcW w:w="940" w:type="dxa"/>
            <w:vAlign w:val="bottom"/>
            <w:shd w:val="clear" w:color="auto" w:fill="D8D8D8"/>
          </w:tcPr>
          <w:p>
            <w:pPr>
              <w:spacing w:after="0"/>
              <w:rPr>
                <w:sz w:val="17"/>
                <w:szCs w:val="17"/>
                <w:color w:val="auto"/>
              </w:rPr>
            </w:pPr>
          </w:p>
        </w:tc>
        <w:tc>
          <w:tcPr>
            <w:tcW w:w="800" w:type="dxa"/>
            <w:vAlign w:val="bottom"/>
            <w:shd w:val="clear" w:color="auto" w:fill="D8D8D8"/>
          </w:tcPr>
          <w:p>
            <w:pPr>
              <w:spacing w:after="0"/>
              <w:rPr>
                <w:sz w:val="17"/>
                <w:szCs w:val="17"/>
                <w:color w:val="auto"/>
              </w:rPr>
            </w:pPr>
          </w:p>
        </w:tc>
      </w:tr>
      <w:tr>
        <w:trPr>
          <w:trHeight w:val="189"/>
        </w:trPr>
        <w:tc>
          <w:tcPr>
            <w:tcW w:w="4540" w:type="dxa"/>
            <w:vAlign w:val="bottom"/>
            <w:shd w:val="clear" w:color="auto" w:fill="D8D8D8"/>
          </w:tcPr>
          <w:p>
            <w:pPr>
              <w:spacing w:after="0"/>
              <w:rPr>
                <w:sz w:val="20"/>
                <w:szCs w:val="20"/>
                <w:color w:val="auto"/>
              </w:rPr>
            </w:pPr>
            <w:r>
              <w:rPr>
                <w:rFonts w:ascii="Arial" w:cs="Arial" w:eastAsia="Arial" w:hAnsi="Arial"/>
                <w:sz w:val="16"/>
                <w:szCs w:val="16"/>
                <w:color w:val="auto"/>
              </w:rPr>
              <w:t>Chief Executive Officer/Federal Realty Investment Trust</w:t>
            </w:r>
          </w:p>
        </w:tc>
        <w:tc>
          <w:tcPr>
            <w:tcW w:w="820" w:type="dxa"/>
            <w:vAlign w:val="bottom"/>
            <w:shd w:val="clear" w:color="auto" w:fill="D8D8D8"/>
          </w:tcPr>
          <w:p>
            <w:pPr>
              <w:spacing w:after="0"/>
              <w:rPr>
                <w:sz w:val="16"/>
                <w:szCs w:val="16"/>
                <w:color w:val="auto"/>
              </w:rPr>
            </w:pPr>
          </w:p>
        </w:tc>
        <w:tc>
          <w:tcPr>
            <w:tcW w:w="1220" w:type="dxa"/>
            <w:vAlign w:val="bottom"/>
            <w:shd w:val="clear" w:color="auto" w:fill="D8D8D8"/>
          </w:tcPr>
          <w:p>
            <w:pPr>
              <w:spacing w:after="0"/>
              <w:rPr>
                <w:sz w:val="16"/>
                <w:szCs w:val="16"/>
                <w:color w:val="auto"/>
              </w:rPr>
            </w:pPr>
          </w:p>
        </w:tc>
        <w:tc>
          <w:tcPr>
            <w:tcW w:w="1800" w:type="dxa"/>
            <w:vAlign w:val="bottom"/>
            <w:shd w:val="clear" w:color="auto" w:fill="D8D8D8"/>
          </w:tcPr>
          <w:p>
            <w:pPr>
              <w:spacing w:after="0"/>
              <w:rPr>
                <w:sz w:val="16"/>
                <w:szCs w:val="16"/>
                <w:color w:val="auto"/>
              </w:rPr>
            </w:pPr>
          </w:p>
        </w:tc>
        <w:tc>
          <w:tcPr>
            <w:tcW w:w="900" w:type="dxa"/>
            <w:vAlign w:val="bottom"/>
            <w:shd w:val="clear" w:color="auto" w:fill="D8D8D8"/>
          </w:tcPr>
          <w:p>
            <w:pPr>
              <w:spacing w:after="0"/>
              <w:rPr>
                <w:sz w:val="16"/>
                <w:szCs w:val="16"/>
                <w:color w:val="auto"/>
              </w:rPr>
            </w:pPr>
          </w:p>
        </w:tc>
        <w:tc>
          <w:tcPr>
            <w:tcW w:w="940" w:type="dxa"/>
            <w:vAlign w:val="bottom"/>
            <w:shd w:val="clear" w:color="auto" w:fill="D8D8D8"/>
          </w:tcPr>
          <w:p>
            <w:pPr>
              <w:spacing w:after="0"/>
              <w:rPr>
                <w:sz w:val="16"/>
                <w:szCs w:val="16"/>
                <w:color w:val="auto"/>
              </w:rPr>
            </w:pPr>
          </w:p>
        </w:tc>
        <w:tc>
          <w:tcPr>
            <w:tcW w:w="800" w:type="dxa"/>
            <w:vAlign w:val="bottom"/>
            <w:shd w:val="clear" w:color="auto" w:fill="D8D8D8"/>
          </w:tcPr>
          <w:p>
            <w:pPr>
              <w:spacing w:after="0"/>
              <w:rPr>
                <w:sz w:val="16"/>
                <w:szCs w:val="16"/>
                <w:color w:val="auto"/>
              </w:rPr>
            </w:pPr>
          </w:p>
        </w:tc>
      </w:tr>
    </w:tbl>
    <w:p>
      <w:pPr>
        <w:spacing w:after="0" w:line="202"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Legend:</w:t>
      </w:r>
    </w:p>
    <w:p>
      <w:pPr>
        <w:spacing w:after="0" w:line="18" w:lineRule="exact"/>
        <w:rPr>
          <w:sz w:val="20"/>
          <w:szCs w:val="20"/>
          <w:color w:val="auto"/>
        </w:rPr>
      </w:pPr>
    </w:p>
    <w:p>
      <w:pPr>
        <w:jc w:val="both"/>
        <w:ind w:left="120" w:right="20"/>
        <w:spacing w:after="0" w:line="247" w:lineRule="auto"/>
        <w:rPr>
          <w:sz w:val="20"/>
          <w:szCs w:val="20"/>
          <w:color w:val="auto"/>
        </w:rPr>
      </w:pPr>
      <w:r>
        <w:rPr>
          <w:rFonts w:ascii="Arial" w:cs="Arial" w:eastAsia="Arial" w:hAnsi="Arial"/>
          <w:sz w:val="18"/>
          <w:szCs w:val="18"/>
          <w:color w:val="auto"/>
        </w:rPr>
        <w:t>AC-Audit Committee; CC-Compensation and Human Capital Management Committee; NC-Nominating and Corporate Governance Committee</w:t>
      </w:r>
    </w:p>
    <w:p>
      <w:pPr>
        <w:spacing w:after="0" w:line="1" w:lineRule="exact"/>
        <w:rPr>
          <w:sz w:val="20"/>
          <w:szCs w:val="20"/>
          <w:color w:val="auto"/>
        </w:rPr>
      </w:pPr>
    </w:p>
    <w:p>
      <w:pPr>
        <w:ind w:left="540" w:right="7580" w:firstLine="8"/>
        <w:spacing w:after="0" w:line="281" w:lineRule="auto"/>
        <w:tabs>
          <w:tab w:leader="none" w:pos="972"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Indicates Chairman of the Board C Indicates Committee Chair</w:t>
      </w:r>
    </w:p>
    <w:p>
      <w:pPr>
        <w:spacing w:after="0" w:line="1" w:lineRule="exact"/>
        <w:rPr>
          <w:rFonts w:ascii="Arial" w:cs="Arial" w:eastAsia="Arial" w:hAnsi="Arial"/>
          <w:sz w:val="18"/>
          <w:szCs w:val="18"/>
          <w:color w:val="auto"/>
        </w:rPr>
      </w:pPr>
    </w:p>
    <w:p>
      <w:pPr>
        <w:ind w:left="540"/>
        <w:spacing w:after="0"/>
        <w:rPr>
          <w:rFonts w:ascii="Arial" w:cs="Arial" w:eastAsia="Arial" w:hAnsi="Arial"/>
          <w:sz w:val="18"/>
          <w:szCs w:val="18"/>
          <w:color w:val="auto"/>
        </w:rPr>
      </w:pPr>
      <w:r>
        <w:rPr>
          <w:rFonts w:ascii="Arial" w:cs="Arial" w:eastAsia="Arial" w:hAnsi="Arial"/>
          <w:sz w:val="18"/>
          <w:szCs w:val="18"/>
          <w:color w:val="auto"/>
        </w:rPr>
        <w:t>$    Indicates Audit Committee Financial Expert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103505</wp:posOffset>
            </wp:positionV>
            <wp:extent cx="7003415" cy="1200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003415" cy="120015"/>
                    </a:xfrm>
                    <a:prstGeom prst="rect">
                      <a:avLst/>
                    </a:prstGeom>
                    <a:noFill/>
                  </pic:spPr>
                </pic:pic>
              </a:graphicData>
            </a:graphic>
          </wp:anchor>
        </w:drawing>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4"/>
          <w:szCs w:val="14"/>
          <w:color w:val="FF160F"/>
        </w:rPr>
        <w:t>Federal Realty</w:t>
      </w:r>
      <w:r>
        <w:rPr>
          <w:rFonts w:ascii="Arial" w:cs="Arial" w:eastAsia="Arial" w:hAnsi="Arial"/>
          <w:sz w:val="14"/>
          <w:szCs w:val="14"/>
          <w:color w:val="000000"/>
        </w:rPr>
        <w:t xml:space="preserve">      2024 Proxy Statement   2</w:t>
      </w:r>
    </w:p>
    <w:p>
      <w:pPr>
        <w:sectPr>
          <w:pgSz w:w="11900" w:h="16838" w:orient="portrait"/>
          <w:cols w:equalWidth="0" w:num="1">
            <w:col w:w="11140"/>
          </w:cols>
          <w:pgMar w:left="320" w:top="482" w:right="4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540" w:hanging="424"/>
        <w:spacing w:after="0"/>
        <w:tabs>
          <w:tab w:leader="none" w:pos="540" w:val="left"/>
        </w:tabs>
        <w:numPr>
          <w:ilvl w:val="0"/>
          <w:numId w:val="11"/>
        </w:numPr>
        <w:rPr>
          <w:rFonts w:ascii="MS PGothic" w:cs="MS PGothic" w:eastAsia="MS PGothic" w:hAnsi="MS PGothic"/>
          <w:sz w:val="18"/>
          <w:szCs w:val="18"/>
          <w:color w:val="FF160F"/>
        </w:rPr>
      </w:pPr>
      <w:r>
        <w:rPr>
          <w:rFonts w:ascii="Arial" w:cs="Arial" w:eastAsia="Arial" w:hAnsi="Arial"/>
          <w:sz w:val="18"/>
          <w:szCs w:val="18"/>
          <w:b w:val="1"/>
          <w:bCs w:val="1"/>
          <w:color w:val="auto"/>
        </w:rPr>
        <w:t>SUSTAINABILITY SNAPSHOT</w:t>
      </w:r>
    </w:p>
    <w:p>
      <w:pPr>
        <w:spacing w:after="0" w:line="225" w:lineRule="exact"/>
        <w:rPr>
          <w:sz w:val="20"/>
          <w:szCs w:val="20"/>
          <w:color w:val="auto"/>
        </w:rPr>
      </w:pPr>
    </w:p>
    <w:p>
      <w:pPr>
        <w:jc w:val="both"/>
        <w:ind w:left="120"/>
        <w:spacing w:after="0" w:line="253" w:lineRule="auto"/>
        <w:rPr>
          <w:sz w:val="20"/>
          <w:szCs w:val="20"/>
          <w:color w:val="auto"/>
        </w:rPr>
      </w:pPr>
      <w:r>
        <w:rPr>
          <w:rFonts w:ascii="Arial" w:cs="Arial" w:eastAsia="Arial" w:hAnsi="Arial"/>
          <w:sz w:val="18"/>
          <w:szCs w:val="18"/>
          <w:color w:val="auto"/>
        </w:rPr>
        <w:t>Our sustainability initiatives are directly tied to supporting our business objective of using our real estate to create long-term value for all of our constituencies, including our shareholders. We have focused our efforts around the five areas that we believe are most impactful to supporting our business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140970</wp:posOffset>
            </wp:positionV>
            <wp:extent cx="1979930" cy="113982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979930" cy="1139825"/>
                    </a:xfrm>
                    <a:prstGeom prst="rect">
                      <a:avLst/>
                    </a:prstGeom>
                    <a:noFill/>
                  </pic:spPr>
                </pic:pic>
              </a:graphicData>
            </a:graphic>
          </wp:anchor>
        </w:drawing>
      </w:r>
    </w:p>
    <w:p>
      <w:pPr>
        <w:sectPr>
          <w:pgSz w:w="11900" w:h="16838" w:orient="portrait"/>
          <w:cols w:equalWidth="0" w:num="1">
            <w:col w:w="11120"/>
          </w:cols>
          <w:pgMar w:left="320" w:top="482" w:right="459" w:bottom="1440" w:gutter="0" w:footer="0" w:header="0"/>
        </w:sectPr>
      </w:pPr>
    </w:p>
    <w:p>
      <w:pPr>
        <w:spacing w:after="0" w:line="200" w:lineRule="exact"/>
        <w:rPr>
          <w:sz w:val="20"/>
          <w:szCs w:val="20"/>
          <w:color w:val="auto"/>
        </w:rPr>
      </w:pPr>
    </w:p>
    <w:p>
      <w:pPr>
        <w:spacing w:after="0" w:line="229" w:lineRule="exact"/>
        <w:rPr>
          <w:sz w:val="20"/>
          <w:szCs w:val="20"/>
          <w:color w:val="auto"/>
        </w:rPr>
      </w:pPr>
    </w:p>
    <w:p>
      <w:pPr>
        <w:jc w:val="center"/>
        <w:ind w:left="608"/>
        <w:spacing w:after="0"/>
        <w:rPr>
          <w:sz w:val="20"/>
          <w:szCs w:val="20"/>
          <w:color w:val="auto"/>
        </w:rPr>
      </w:pPr>
      <w:r>
        <w:rPr>
          <w:rFonts w:ascii="Arial" w:cs="Arial" w:eastAsia="Arial" w:hAnsi="Arial"/>
          <w:sz w:val="22"/>
          <w:szCs w:val="22"/>
          <w:b w:val="1"/>
          <w:bCs w:val="1"/>
          <w:color w:val="FFFFFF"/>
        </w:rPr>
        <w:t>Advance</w:t>
      </w:r>
    </w:p>
    <w:p>
      <w:pPr>
        <w:spacing w:after="0" w:line="12" w:lineRule="exact"/>
        <w:rPr>
          <w:sz w:val="20"/>
          <w:szCs w:val="20"/>
          <w:color w:val="auto"/>
        </w:rPr>
      </w:pPr>
    </w:p>
    <w:p>
      <w:pPr>
        <w:jc w:val="center"/>
        <w:ind w:left="608"/>
        <w:spacing w:after="0"/>
        <w:rPr>
          <w:sz w:val="20"/>
          <w:szCs w:val="20"/>
          <w:color w:val="auto"/>
        </w:rPr>
      </w:pPr>
      <w:r>
        <w:rPr>
          <w:rFonts w:ascii="Arial" w:cs="Arial" w:eastAsia="Arial" w:hAnsi="Arial"/>
          <w:sz w:val="22"/>
          <w:szCs w:val="22"/>
          <w:b w:val="1"/>
          <w:bCs w:val="1"/>
          <w:color w:val="FFFFFF"/>
        </w:rPr>
        <w:t>Decarbonization*</w:t>
      </w:r>
    </w:p>
    <w:p>
      <w:pPr>
        <w:spacing w:after="0" w:line="180" w:lineRule="exact"/>
        <w:rPr>
          <w:sz w:val="20"/>
          <w:szCs w:val="20"/>
          <w:color w:val="auto"/>
        </w:rPr>
      </w:pPr>
    </w:p>
    <w:p>
      <w:pPr>
        <w:jc w:val="center"/>
        <w:ind w:left="640" w:right="12"/>
        <w:spacing w:after="0" w:line="275" w:lineRule="auto"/>
        <w:rPr>
          <w:sz w:val="20"/>
          <w:szCs w:val="20"/>
          <w:color w:val="auto"/>
        </w:rPr>
      </w:pPr>
      <w:r>
        <w:rPr>
          <w:rFonts w:ascii="Arial" w:cs="Arial" w:eastAsia="Arial" w:hAnsi="Arial"/>
          <w:sz w:val="17"/>
          <w:szCs w:val="17"/>
          <w:color w:val="FFFFFF"/>
        </w:rPr>
        <w:t>Minimize the carbon footprint of our Company and our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232410</wp:posOffset>
            </wp:positionV>
            <wp:extent cx="1979930" cy="13544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979930" cy="1354455"/>
                    </a:xfrm>
                    <a:prstGeom prst="rect">
                      <a:avLst/>
                    </a:prstGeom>
                    <a:noFill/>
                  </pic:spPr>
                </pic:pic>
              </a:graphicData>
            </a:graphic>
          </wp:anchor>
        </w:drawing>
      </w:r>
    </w:p>
    <w:p>
      <w:pPr>
        <w:spacing w:after="0" w:line="378" w:lineRule="exact"/>
        <w:rPr>
          <w:sz w:val="20"/>
          <w:szCs w:val="20"/>
          <w:color w:val="auto"/>
        </w:rPr>
      </w:pPr>
    </w:p>
    <w:p>
      <w:pPr>
        <w:ind w:left="1160"/>
        <w:spacing w:after="0"/>
        <w:rPr>
          <w:sz w:val="20"/>
          <w:szCs w:val="20"/>
          <w:color w:val="auto"/>
        </w:rPr>
      </w:pPr>
      <w:r>
        <w:rPr>
          <w:rFonts w:ascii="Arial" w:cs="Arial" w:eastAsia="Arial" w:hAnsi="Arial"/>
          <w:sz w:val="22"/>
          <w:szCs w:val="22"/>
          <w:b w:val="1"/>
          <w:bCs w:val="1"/>
          <w:color w:val="FFFFFF"/>
        </w:rPr>
        <w:t>Strengthen</w:t>
      </w:r>
    </w:p>
    <w:p>
      <w:pPr>
        <w:spacing w:after="0" w:line="12" w:lineRule="exact"/>
        <w:rPr>
          <w:sz w:val="20"/>
          <w:szCs w:val="20"/>
          <w:color w:val="auto"/>
        </w:rPr>
      </w:pPr>
    </w:p>
    <w:p>
      <w:pPr>
        <w:ind w:left="1160"/>
        <w:spacing w:after="0"/>
        <w:rPr>
          <w:sz w:val="20"/>
          <w:szCs w:val="20"/>
          <w:color w:val="auto"/>
        </w:rPr>
      </w:pPr>
      <w:r>
        <w:rPr>
          <w:rFonts w:ascii="Arial" w:cs="Arial" w:eastAsia="Arial" w:hAnsi="Arial"/>
          <w:sz w:val="22"/>
          <w:szCs w:val="22"/>
          <w:b w:val="1"/>
          <w:bCs w:val="1"/>
          <w:color w:val="FFFFFF"/>
        </w:rPr>
        <w:t>Resiliency*</w:t>
      </w:r>
    </w:p>
    <w:p>
      <w:pPr>
        <w:spacing w:after="0" w:line="180" w:lineRule="exact"/>
        <w:rPr>
          <w:sz w:val="20"/>
          <w:szCs w:val="20"/>
          <w:color w:val="auto"/>
        </w:rPr>
      </w:pPr>
    </w:p>
    <w:p>
      <w:pPr>
        <w:jc w:val="center"/>
        <w:ind w:left="640" w:right="12"/>
        <w:spacing w:after="0" w:line="255" w:lineRule="auto"/>
        <w:rPr>
          <w:sz w:val="20"/>
          <w:szCs w:val="20"/>
          <w:color w:val="auto"/>
        </w:rPr>
      </w:pPr>
      <w:r>
        <w:rPr>
          <w:rFonts w:ascii="Arial" w:cs="Arial" w:eastAsia="Arial" w:hAnsi="Arial"/>
          <w:sz w:val="17"/>
          <w:szCs w:val="17"/>
          <w:color w:val="FFFFFF"/>
        </w:rPr>
        <w:t>Invest in and manage our assets to protect value from increasing frequency</w:t>
      </w:r>
    </w:p>
    <w:p>
      <w:pPr>
        <w:spacing w:after="0" w:line="2" w:lineRule="exact"/>
        <w:rPr>
          <w:sz w:val="20"/>
          <w:szCs w:val="20"/>
          <w:color w:val="auto"/>
        </w:rPr>
      </w:pPr>
    </w:p>
    <w:p>
      <w:pPr>
        <w:jc w:val="center"/>
        <w:ind w:left="640" w:right="12"/>
        <w:spacing w:after="0" w:line="264" w:lineRule="auto"/>
        <w:rPr>
          <w:sz w:val="20"/>
          <w:szCs w:val="20"/>
          <w:color w:val="auto"/>
        </w:rPr>
      </w:pPr>
      <w:r>
        <w:rPr>
          <w:rFonts w:ascii="Arial" w:cs="Arial" w:eastAsia="Arial" w:hAnsi="Arial"/>
          <w:sz w:val="17"/>
          <w:szCs w:val="17"/>
          <w:color w:val="FFFFFF"/>
        </w:rPr>
        <w:t>and severity of weather related events and other hazards of climate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178435</wp:posOffset>
            </wp:positionV>
            <wp:extent cx="1979930" cy="12598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979930" cy="1259840"/>
                    </a:xfrm>
                    <a:prstGeom prst="rect">
                      <a:avLst/>
                    </a:prstGeom>
                    <a:noFill/>
                  </pic:spPr>
                </pic:pic>
              </a:graphicData>
            </a:graphic>
          </wp:anchor>
        </w:drawing>
      </w:r>
    </w:p>
    <w:p>
      <w:pPr>
        <w:spacing w:after="0" w:line="360" w:lineRule="exact"/>
        <w:rPr>
          <w:sz w:val="20"/>
          <w:szCs w:val="20"/>
          <w:color w:val="auto"/>
        </w:rPr>
      </w:pPr>
    </w:p>
    <w:p>
      <w:pPr>
        <w:jc w:val="center"/>
        <w:ind w:left="608"/>
        <w:spacing w:after="0"/>
        <w:rPr>
          <w:sz w:val="20"/>
          <w:szCs w:val="20"/>
          <w:color w:val="auto"/>
        </w:rPr>
      </w:pPr>
      <w:r>
        <w:rPr>
          <w:rFonts w:ascii="Arial" w:cs="Arial" w:eastAsia="Arial" w:hAnsi="Arial"/>
          <w:sz w:val="22"/>
          <w:szCs w:val="22"/>
          <w:b w:val="1"/>
          <w:bCs w:val="1"/>
          <w:color w:val="FFFFFF"/>
        </w:rPr>
        <w:t>Connect</w:t>
      </w:r>
    </w:p>
    <w:p>
      <w:pPr>
        <w:spacing w:after="0" w:line="12" w:lineRule="exact"/>
        <w:rPr>
          <w:sz w:val="20"/>
          <w:szCs w:val="20"/>
          <w:color w:val="auto"/>
        </w:rPr>
      </w:pPr>
    </w:p>
    <w:p>
      <w:pPr>
        <w:jc w:val="center"/>
        <w:ind w:left="608"/>
        <w:spacing w:after="0"/>
        <w:rPr>
          <w:sz w:val="20"/>
          <w:szCs w:val="20"/>
          <w:color w:val="auto"/>
        </w:rPr>
      </w:pPr>
      <w:r>
        <w:rPr>
          <w:rFonts w:ascii="Arial" w:cs="Arial" w:eastAsia="Arial" w:hAnsi="Arial"/>
          <w:sz w:val="22"/>
          <w:szCs w:val="22"/>
          <w:b w:val="1"/>
          <w:bCs w:val="1"/>
          <w:color w:val="FFFFFF"/>
        </w:rPr>
        <w:t>Communities*</w:t>
      </w:r>
    </w:p>
    <w:p>
      <w:pPr>
        <w:spacing w:after="0" w:line="180" w:lineRule="exact"/>
        <w:rPr>
          <w:sz w:val="20"/>
          <w:szCs w:val="20"/>
          <w:color w:val="auto"/>
        </w:rPr>
      </w:pPr>
    </w:p>
    <w:p>
      <w:pPr>
        <w:jc w:val="center"/>
        <w:ind w:left="640" w:right="12"/>
        <w:spacing w:after="0" w:line="244" w:lineRule="auto"/>
        <w:rPr>
          <w:sz w:val="20"/>
          <w:szCs w:val="20"/>
          <w:color w:val="auto"/>
        </w:rPr>
      </w:pPr>
      <w:r>
        <w:rPr>
          <w:rFonts w:ascii="Arial" w:cs="Arial" w:eastAsia="Arial" w:hAnsi="Arial"/>
          <w:sz w:val="18"/>
          <w:szCs w:val="18"/>
          <w:color w:val="FFFFFF"/>
        </w:rPr>
        <w:t>Use our real estate to contribute to social and economic prosperity of the community and advance social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179705</wp:posOffset>
            </wp:positionV>
            <wp:extent cx="1979930" cy="115697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979930" cy="1156970"/>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jc w:val="center"/>
        <w:ind w:left="608"/>
        <w:spacing w:after="0"/>
        <w:rPr>
          <w:sz w:val="20"/>
          <w:szCs w:val="20"/>
          <w:color w:val="auto"/>
        </w:rPr>
      </w:pPr>
      <w:r>
        <w:rPr>
          <w:rFonts w:ascii="Arial" w:cs="Arial" w:eastAsia="Arial" w:hAnsi="Arial"/>
          <w:sz w:val="22"/>
          <w:szCs w:val="22"/>
          <w:b w:val="1"/>
          <w:bCs w:val="1"/>
          <w:color w:val="FFFFFF"/>
        </w:rPr>
        <w:t>Empower Teams*</w:t>
      </w:r>
    </w:p>
    <w:p>
      <w:pPr>
        <w:spacing w:after="0" w:line="202" w:lineRule="exact"/>
        <w:rPr>
          <w:sz w:val="20"/>
          <w:szCs w:val="20"/>
          <w:color w:val="auto"/>
        </w:rPr>
      </w:pPr>
    </w:p>
    <w:p>
      <w:pPr>
        <w:jc w:val="center"/>
        <w:ind w:left="640" w:right="32"/>
        <w:spacing w:after="0" w:line="261" w:lineRule="auto"/>
        <w:rPr>
          <w:sz w:val="20"/>
          <w:szCs w:val="20"/>
          <w:color w:val="auto"/>
        </w:rPr>
      </w:pPr>
      <w:r>
        <w:rPr>
          <w:rFonts w:ascii="Arial" w:cs="Arial" w:eastAsia="Arial" w:hAnsi="Arial"/>
          <w:sz w:val="17"/>
          <w:szCs w:val="17"/>
          <w:color w:val="FFFFFF"/>
        </w:rPr>
        <w:t>Create a work environment that is diverse, engaging and helps employees grow personally and professionally</w:t>
      </w:r>
    </w:p>
    <w:p>
      <w:pPr>
        <w:spacing w:after="0" w:line="20" w:lineRule="exact"/>
        <w:rPr>
          <w:sz w:val="20"/>
          <w:szCs w:val="20"/>
          <w:color w:val="auto"/>
        </w:rPr>
      </w:pPr>
      <w:r>
        <w:rPr>
          <w:sz w:val="20"/>
          <w:szCs w:val="20"/>
          <w:color w:val="auto"/>
        </w:rPr>
        <w:br w:type="column"/>
      </w:r>
    </w:p>
    <w:p>
      <w:pPr>
        <w:spacing w:after="0" w:line="243" w:lineRule="exact"/>
        <w:rPr>
          <w:sz w:val="20"/>
          <w:szCs w:val="20"/>
          <w:color w:val="auto"/>
        </w:rPr>
      </w:pPr>
    </w:p>
    <w:p>
      <w:pPr>
        <w:ind w:left="308" w:hanging="308"/>
        <w:spacing w:after="0"/>
        <w:tabs>
          <w:tab w:leader="none" w:pos="308" w:val="left"/>
        </w:tabs>
        <w:numPr>
          <w:ilvl w:val="0"/>
          <w:numId w:val="12"/>
        </w:numPr>
        <w:rPr>
          <w:rFonts w:ascii="MS PGothic" w:cs="MS PGothic" w:eastAsia="MS PGothic" w:hAnsi="MS PGothic"/>
          <w:sz w:val="18"/>
          <w:szCs w:val="18"/>
          <w:color w:val="auto"/>
        </w:rPr>
      </w:pPr>
      <w:r>
        <w:rPr>
          <w:rFonts w:ascii="Arial" w:cs="Arial" w:eastAsia="Arial" w:hAnsi="Arial"/>
          <w:sz w:val="18"/>
          <w:szCs w:val="18"/>
          <w:color w:val="auto"/>
        </w:rPr>
        <w:t>Science Based Target to reduce Scope 1&amp;2 emissions by 46% by 2030 (2019 baseline)</w:t>
      </w:r>
    </w:p>
    <w:p>
      <w:pPr>
        <w:spacing w:after="0" w:line="40" w:lineRule="exact"/>
        <w:rPr>
          <w:rFonts w:ascii="MS PGothic" w:cs="MS PGothic" w:eastAsia="MS PGothic" w:hAnsi="MS PGothic"/>
          <w:sz w:val="18"/>
          <w:szCs w:val="18"/>
          <w:color w:val="auto"/>
        </w:rPr>
      </w:pPr>
    </w:p>
    <w:p>
      <w:pPr>
        <w:ind w:left="308" w:hanging="308"/>
        <w:spacing w:after="0"/>
        <w:tabs>
          <w:tab w:leader="none" w:pos="308" w:val="left"/>
        </w:tabs>
        <w:numPr>
          <w:ilvl w:val="0"/>
          <w:numId w:val="1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t>
      </w:r>
      <w:r>
        <w:rPr>
          <w:rFonts w:ascii="Arial" w:cs="Arial" w:eastAsia="Arial" w:hAnsi="Arial"/>
          <w:sz w:val="18"/>
          <w:szCs w:val="18"/>
          <w:color w:val="auto"/>
        </w:rPr>
        <w:t>32% Scope 1&amp;2 GHG emissions reduction from 2019 through 2022</w:t>
      </w:r>
    </w:p>
    <w:p>
      <w:pPr>
        <w:spacing w:after="0" w:line="8" w:lineRule="exact"/>
        <w:rPr>
          <w:rFonts w:ascii="MS PGothic" w:cs="MS PGothic" w:eastAsia="MS PGothic" w:hAnsi="MS PGothic"/>
          <w:sz w:val="18"/>
          <w:szCs w:val="18"/>
          <w:color w:val="auto"/>
        </w:rPr>
      </w:pPr>
    </w:p>
    <w:p>
      <w:pPr>
        <w:ind w:left="308" w:hanging="308"/>
        <w:spacing w:after="0"/>
        <w:tabs>
          <w:tab w:leader="none" w:pos="308" w:val="left"/>
        </w:tabs>
        <w:numPr>
          <w:ilvl w:val="0"/>
          <w:numId w:val="12"/>
        </w:numPr>
        <w:rPr>
          <w:rFonts w:ascii="MS PGothic" w:cs="MS PGothic" w:eastAsia="MS PGothic" w:hAnsi="MS PGothic"/>
          <w:sz w:val="18"/>
          <w:szCs w:val="18"/>
          <w:color w:val="auto"/>
        </w:rPr>
      </w:pPr>
      <w:r>
        <w:rPr>
          <w:rFonts w:ascii="Arial" w:cs="Arial" w:eastAsia="Arial" w:hAnsi="Arial"/>
          <w:sz w:val="18"/>
          <w:szCs w:val="18"/>
          <w:color w:val="auto"/>
        </w:rPr>
        <w:t>5.2 million square feet of LEED certified buildings built and in process</w:t>
      </w:r>
    </w:p>
    <w:p>
      <w:pPr>
        <w:spacing w:after="0" w:line="9" w:lineRule="exact"/>
        <w:rPr>
          <w:rFonts w:ascii="MS PGothic" w:cs="MS PGothic" w:eastAsia="MS PGothic" w:hAnsi="MS PGothic"/>
          <w:sz w:val="18"/>
          <w:szCs w:val="18"/>
          <w:color w:val="auto"/>
        </w:rPr>
      </w:pPr>
    </w:p>
    <w:p>
      <w:pPr>
        <w:ind w:left="308" w:hanging="308"/>
        <w:spacing w:after="0"/>
        <w:tabs>
          <w:tab w:leader="none" w:pos="308" w:val="left"/>
        </w:tabs>
        <w:numPr>
          <w:ilvl w:val="0"/>
          <w:numId w:val="12"/>
        </w:numPr>
        <w:rPr>
          <w:rFonts w:ascii="MS PGothic" w:cs="MS PGothic" w:eastAsia="MS PGothic" w:hAnsi="MS PGothic"/>
          <w:sz w:val="18"/>
          <w:szCs w:val="18"/>
          <w:color w:val="auto"/>
        </w:rPr>
      </w:pPr>
      <w:r>
        <w:rPr>
          <w:rFonts w:ascii="Arial" w:cs="Arial" w:eastAsia="Arial" w:hAnsi="Arial"/>
          <w:sz w:val="18"/>
          <w:szCs w:val="18"/>
          <w:color w:val="auto"/>
        </w:rPr>
        <w:t>55% of electric consumption in 2022 provided by zero carbon sources</w:t>
      </w:r>
    </w:p>
    <w:p>
      <w:pPr>
        <w:spacing w:after="0" w:line="9" w:lineRule="exact"/>
        <w:rPr>
          <w:rFonts w:ascii="MS PGothic" w:cs="MS PGothic" w:eastAsia="MS PGothic" w:hAnsi="MS PGothic"/>
          <w:sz w:val="18"/>
          <w:szCs w:val="18"/>
          <w:color w:val="auto"/>
        </w:rPr>
      </w:pPr>
    </w:p>
    <w:p>
      <w:pPr>
        <w:ind w:left="308" w:right="280" w:hanging="308"/>
        <w:spacing w:after="0" w:line="234" w:lineRule="auto"/>
        <w:tabs>
          <w:tab w:leader="none" w:pos="308" w:val="left"/>
        </w:tabs>
        <w:numPr>
          <w:ilvl w:val="0"/>
          <w:numId w:val="12"/>
        </w:numPr>
        <w:rPr>
          <w:rFonts w:ascii="MS PGothic" w:cs="MS PGothic" w:eastAsia="MS PGothic" w:hAnsi="MS PGothic"/>
          <w:sz w:val="18"/>
          <w:szCs w:val="18"/>
          <w:color w:val="auto"/>
        </w:rPr>
      </w:pPr>
      <w:r>
        <w:rPr>
          <w:rFonts w:ascii="Arial" w:cs="Arial" w:eastAsia="Arial" w:hAnsi="Arial"/>
          <w:sz w:val="18"/>
          <w:szCs w:val="18"/>
          <w:color w:val="auto"/>
        </w:rPr>
        <w:t>More than 90% properties fully or partially upgraded with energy efficient LED lighting in landlord controlled areas</w:t>
      </w:r>
    </w:p>
    <w:p>
      <w:pPr>
        <w:spacing w:after="0" w:line="1" w:lineRule="exact"/>
        <w:rPr>
          <w:rFonts w:ascii="MS PGothic" w:cs="MS PGothic" w:eastAsia="MS PGothic" w:hAnsi="MS PGothic"/>
          <w:sz w:val="18"/>
          <w:szCs w:val="18"/>
          <w:color w:val="auto"/>
        </w:rPr>
      </w:pPr>
    </w:p>
    <w:p>
      <w:pPr>
        <w:ind w:left="308" w:hanging="308"/>
        <w:spacing w:after="0"/>
        <w:tabs>
          <w:tab w:leader="none" w:pos="308" w:val="left"/>
        </w:tabs>
        <w:numPr>
          <w:ilvl w:val="0"/>
          <w:numId w:val="12"/>
        </w:numPr>
        <w:rPr>
          <w:rFonts w:ascii="MS PGothic" w:cs="MS PGothic" w:eastAsia="MS PGothic" w:hAnsi="MS PGothic"/>
          <w:sz w:val="18"/>
          <w:szCs w:val="18"/>
          <w:color w:val="auto"/>
        </w:rPr>
      </w:pPr>
      <w:r>
        <w:rPr>
          <w:rFonts w:ascii="Arial" w:cs="Arial" w:eastAsia="Arial" w:hAnsi="Arial"/>
          <w:sz w:val="18"/>
          <w:szCs w:val="18"/>
          <w:color w:val="auto"/>
        </w:rPr>
        <w:t>14 MW solar power generating capacity in solar arrays at 25 properties</w:t>
      </w:r>
    </w:p>
    <w:p>
      <w:pPr>
        <w:spacing w:after="0" w:line="200" w:lineRule="exact"/>
        <w:rPr>
          <w:rFonts w:ascii="MS PGothic" w:cs="MS PGothic" w:eastAsia="MS PGothic" w:hAnsi="MS PGothic"/>
          <w:sz w:val="18"/>
          <w:szCs w:val="18"/>
          <w:color w:val="auto"/>
        </w:rPr>
      </w:pPr>
    </w:p>
    <w:p>
      <w:pPr>
        <w:spacing w:after="0" w:line="200" w:lineRule="exact"/>
        <w:rPr>
          <w:rFonts w:ascii="MS PGothic" w:cs="MS PGothic" w:eastAsia="MS PGothic" w:hAnsi="MS PGothic"/>
          <w:sz w:val="18"/>
          <w:szCs w:val="18"/>
          <w:color w:val="auto"/>
        </w:rPr>
      </w:pPr>
    </w:p>
    <w:p>
      <w:pPr>
        <w:spacing w:after="0" w:line="212" w:lineRule="exact"/>
        <w:rPr>
          <w:rFonts w:ascii="MS PGothic" w:cs="MS PGothic" w:eastAsia="MS PGothic" w:hAnsi="MS PGothic"/>
          <w:sz w:val="18"/>
          <w:szCs w:val="18"/>
          <w:color w:val="auto"/>
        </w:rPr>
      </w:pPr>
    </w:p>
    <w:p>
      <w:pPr>
        <w:ind w:left="308" w:right="540" w:hanging="308"/>
        <w:spacing w:after="0" w:line="255" w:lineRule="auto"/>
        <w:tabs>
          <w:tab w:leader="none" w:pos="308" w:val="left"/>
        </w:tabs>
        <w:numPr>
          <w:ilvl w:val="0"/>
          <w:numId w:val="12"/>
        </w:numPr>
        <w:rPr>
          <w:rFonts w:ascii="MS PGothic" w:cs="MS PGothic" w:eastAsia="MS PGothic" w:hAnsi="MS PGothic"/>
          <w:sz w:val="18"/>
          <w:szCs w:val="18"/>
          <w:color w:val="auto"/>
        </w:rPr>
      </w:pPr>
      <w:r>
        <w:rPr>
          <w:rFonts w:ascii="Arial" w:cs="Arial" w:eastAsia="Arial" w:hAnsi="Arial"/>
          <w:sz w:val="18"/>
          <w:szCs w:val="18"/>
          <w:color w:val="auto"/>
        </w:rPr>
        <w:t>Climate change scenario analysis using RCP 8.5 showing minimal financial risk over short-, medium- and long-term</w:t>
      </w:r>
    </w:p>
    <w:p>
      <w:pPr>
        <w:spacing w:after="0" w:line="19" w:lineRule="exact"/>
        <w:rPr>
          <w:rFonts w:ascii="MS PGothic" w:cs="MS PGothic" w:eastAsia="MS PGothic" w:hAnsi="MS PGothic"/>
          <w:sz w:val="18"/>
          <w:szCs w:val="18"/>
          <w:color w:val="auto"/>
        </w:rPr>
      </w:pPr>
    </w:p>
    <w:p>
      <w:pPr>
        <w:ind w:left="308" w:hanging="308"/>
        <w:spacing w:after="0"/>
        <w:tabs>
          <w:tab w:leader="none" w:pos="308" w:val="left"/>
        </w:tabs>
        <w:numPr>
          <w:ilvl w:val="0"/>
          <w:numId w:val="12"/>
        </w:numPr>
        <w:rPr>
          <w:rFonts w:ascii="MS PGothic" w:cs="MS PGothic" w:eastAsia="MS PGothic" w:hAnsi="MS PGothic"/>
          <w:sz w:val="18"/>
          <w:szCs w:val="18"/>
          <w:color w:val="auto"/>
        </w:rPr>
      </w:pPr>
      <w:r>
        <w:rPr>
          <w:rFonts w:ascii="Arial" w:cs="Arial" w:eastAsia="Arial" w:hAnsi="Arial"/>
          <w:sz w:val="18"/>
          <w:szCs w:val="18"/>
          <w:color w:val="auto"/>
        </w:rPr>
        <w:t>Management of water usage through technology and landscaping choices</w:t>
      </w:r>
    </w:p>
    <w:p>
      <w:pPr>
        <w:spacing w:after="0" w:line="54" w:lineRule="exact"/>
        <w:rPr>
          <w:rFonts w:ascii="MS PGothic" w:cs="MS PGothic" w:eastAsia="MS PGothic" w:hAnsi="MS PGothic"/>
          <w:sz w:val="18"/>
          <w:szCs w:val="18"/>
          <w:color w:val="auto"/>
        </w:rPr>
      </w:pPr>
    </w:p>
    <w:p>
      <w:pPr>
        <w:ind w:left="308" w:hanging="308"/>
        <w:spacing w:after="0"/>
        <w:tabs>
          <w:tab w:leader="none" w:pos="308" w:val="left"/>
        </w:tabs>
        <w:numPr>
          <w:ilvl w:val="0"/>
          <w:numId w:val="12"/>
        </w:numPr>
        <w:rPr>
          <w:rFonts w:ascii="MS PGothic" w:cs="MS PGothic" w:eastAsia="MS PGothic" w:hAnsi="MS PGothic"/>
          <w:sz w:val="18"/>
          <w:szCs w:val="18"/>
          <w:color w:val="auto"/>
        </w:rPr>
      </w:pPr>
      <w:r>
        <w:rPr>
          <w:rFonts w:ascii="Arial" w:cs="Arial" w:eastAsia="Arial" w:hAnsi="Arial"/>
          <w:sz w:val="18"/>
          <w:szCs w:val="18"/>
          <w:color w:val="auto"/>
        </w:rPr>
        <w:t>Focus on increasing waste diverted to recycling</w:t>
      </w:r>
    </w:p>
    <w:p>
      <w:pPr>
        <w:spacing w:after="0" w:line="36" w:lineRule="exact"/>
        <w:rPr>
          <w:rFonts w:ascii="MS PGothic" w:cs="MS PGothic" w:eastAsia="MS PGothic" w:hAnsi="MS PGothic"/>
          <w:sz w:val="18"/>
          <w:szCs w:val="18"/>
          <w:color w:val="auto"/>
        </w:rPr>
      </w:pPr>
    </w:p>
    <w:p>
      <w:pPr>
        <w:ind w:left="308" w:right="280" w:hanging="308"/>
        <w:spacing w:after="0" w:line="250" w:lineRule="auto"/>
        <w:tabs>
          <w:tab w:leader="none" w:pos="308" w:val="left"/>
        </w:tabs>
        <w:numPr>
          <w:ilvl w:val="0"/>
          <w:numId w:val="12"/>
        </w:numPr>
        <w:rPr>
          <w:rFonts w:ascii="MS PGothic" w:cs="MS PGothic" w:eastAsia="MS PGothic" w:hAnsi="MS PGothic"/>
          <w:sz w:val="18"/>
          <w:szCs w:val="18"/>
          <w:color w:val="auto"/>
        </w:rPr>
      </w:pPr>
      <w:r>
        <w:rPr>
          <w:rFonts w:ascii="Arial" w:cs="Arial" w:eastAsia="Arial" w:hAnsi="Arial"/>
          <w:sz w:val="18"/>
          <w:szCs w:val="18"/>
          <w:color w:val="auto"/>
        </w:rPr>
        <w:t>Physical risk exposures incorporated into property level capital planning and investment decisions</w:t>
      </w:r>
    </w:p>
    <w:p>
      <w:pPr>
        <w:spacing w:after="0" w:line="200" w:lineRule="exact"/>
        <w:rPr>
          <w:rFonts w:ascii="MS PGothic" w:cs="MS PGothic" w:eastAsia="MS PGothic" w:hAnsi="MS PGothic"/>
          <w:sz w:val="18"/>
          <w:szCs w:val="18"/>
          <w:color w:val="auto"/>
        </w:rPr>
      </w:pPr>
    </w:p>
    <w:p>
      <w:pPr>
        <w:spacing w:after="0" w:line="200" w:lineRule="exact"/>
        <w:rPr>
          <w:rFonts w:ascii="MS PGothic" w:cs="MS PGothic" w:eastAsia="MS PGothic" w:hAnsi="MS PGothic"/>
          <w:sz w:val="18"/>
          <w:szCs w:val="18"/>
          <w:color w:val="auto"/>
        </w:rPr>
      </w:pPr>
    </w:p>
    <w:p>
      <w:pPr>
        <w:spacing w:after="0" w:line="200" w:lineRule="exact"/>
        <w:rPr>
          <w:rFonts w:ascii="MS PGothic" w:cs="MS PGothic" w:eastAsia="MS PGothic" w:hAnsi="MS PGothic"/>
          <w:sz w:val="18"/>
          <w:szCs w:val="18"/>
          <w:color w:val="auto"/>
        </w:rPr>
      </w:pPr>
    </w:p>
    <w:p>
      <w:pPr>
        <w:spacing w:after="0" w:line="314" w:lineRule="exact"/>
        <w:rPr>
          <w:rFonts w:ascii="MS PGothic" w:cs="MS PGothic" w:eastAsia="MS PGothic" w:hAnsi="MS PGothic"/>
          <w:sz w:val="18"/>
          <w:szCs w:val="18"/>
          <w:color w:val="auto"/>
        </w:rPr>
      </w:pPr>
    </w:p>
    <w:p>
      <w:pPr>
        <w:ind w:left="308" w:right="200" w:hanging="308"/>
        <w:spacing w:after="0" w:line="253" w:lineRule="auto"/>
        <w:tabs>
          <w:tab w:leader="none" w:pos="308" w:val="left"/>
        </w:tabs>
        <w:numPr>
          <w:ilvl w:val="0"/>
          <w:numId w:val="12"/>
        </w:numPr>
        <w:rPr>
          <w:rFonts w:ascii="MS PGothic" w:cs="MS PGothic" w:eastAsia="MS PGothic" w:hAnsi="MS PGothic"/>
          <w:sz w:val="18"/>
          <w:szCs w:val="18"/>
          <w:color w:val="auto"/>
        </w:rPr>
      </w:pPr>
      <w:r>
        <w:rPr>
          <w:rFonts w:ascii="Arial" w:cs="Arial" w:eastAsia="Arial" w:hAnsi="Arial"/>
          <w:sz w:val="18"/>
          <w:szCs w:val="18"/>
          <w:color w:val="auto"/>
        </w:rPr>
        <w:t>More than $400 million invested in partnership with Primestor Development in historically underrepresented communities</w:t>
      </w:r>
    </w:p>
    <w:p>
      <w:pPr>
        <w:ind w:left="308" w:hanging="308"/>
        <w:spacing w:after="0"/>
        <w:tabs>
          <w:tab w:leader="none" w:pos="308" w:val="left"/>
        </w:tabs>
        <w:numPr>
          <w:ilvl w:val="0"/>
          <w:numId w:val="12"/>
        </w:numPr>
        <w:rPr>
          <w:rFonts w:ascii="MS PGothic" w:cs="MS PGothic" w:eastAsia="MS PGothic" w:hAnsi="MS PGothic"/>
          <w:sz w:val="18"/>
          <w:szCs w:val="18"/>
          <w:color w:val="auto"/>
        </w:rPr>
      </w:pPr>
      <w:r>
        <w:rPr>
          <w:rFonts w:ascii="Arial" w:cs="Arial" w:eastAsia="Arial" w:hAnsi="Arial"/>
          <w:sz w:val="18"/>
          <w:szCs w:val="18"/>
          <w:color w:val="auto"/>
        </w:rPr>
        <w:t>Local cultural programming and events at properties</w:t>
      </w:r>
    </w:p>
    <w:p>
      <w:pPr>
        <w:spacing w:after="0" w:line="9" w:lineRule="exact"/>
        <w:rPr>
          <w:rFonts w:ascii="MS PGothic" w:cs="MS PGothic" w:eastAsia="MS PGothic" w:hAnsi="MS PGothic"/>
          <w:sz w:val="18"/>
          <w:szCs w:val="18"/>
          <w:color w:val="auto"/>
        </w:rPr>
      </w:pPr>
    </w:p>
    <w:p>
      <w:pPr>
        <w:ind w:left="308" w:hanging="308"/>
        <w:spacing w:after="0"/>
        <w:tabs>
          <w:tab w:leader="none" w:pos="308" w:val="left"/>
        </w:tabs>
        <w:numPr>
          <w:ilvl w:val="0"/>
          <w:numId w:val="12"/>
        </w:numPr>
        <w:rPr>
          <w:rFonts w:ascii="MS PGothic" w:cs="MS PGothic" w:eastAsia="MS PGothic" w:hAnsi="MS PGothic"/>
          <w:sz w:val="18"/>
          <w:szCs w:val="18"/>
          <w:color w:val="auto"/>
        </w:rPr>
      </w:pPr>
      <w:r>
        <w:rPr>
          <w:rFonts w:ascii="Arial" w:cs="Arial" w:eastAsia="Arial" w:hAnsi="Arial"/>
          <w:sz w:val="18"/>
          <w:szCs w:val="18"/>
          <w:color w:val="auto"/>
        </w:rPr>
        <w:t>Support local philanthropic initiatives and tenants</w:t>
      </w:r>
    </w:p>
    <w:p>
      <w:pPr>
        <w:spacing w:after="0" w:line="9" w:lineRule="exact"/>
        <w:rPr>
          <w:rFonts w:ascii="MS PGothic" w:cs="MS PGothic" w:eastAsia="MS PGothic" w:hAnsi="MS PGothic"/>
          <w:sz w:val="18"/>
          <w:szCs w:val="18"/>
          <w:color w:val="auto"/>
        </w:rPr>
      </w:pPr>
    </w:p>
    <w:p>
      <w:pPr>
        <w:ind w:left="308" w:hanging="308"/>
        <w:spacing w:after="0"/>
        <w:tabs>
          <w:tab w:leader="none" w:pos="308" w:val="left"/>
        </w:tabs>
        <w:numPr>
          <w:ilvl w:val="0"/>
          <w:numId w:val="12"/>
        </w:numPr>
        <w:rPr>
          <w:rFonts w:ascii="MS PGothic" w:cs="MS PGothic" w:eastAsia="MS PGothic" w:hAnsi="MS PGothic"/>
          <w:sz w:val="18"/>
          <w:szCs w:val="18"/>
          <w:color w:val="auto"/>
        </w:rPr>
      </w:pPr>
      <w:r>
        <w:rPr>
          <w:rFonts w:ascii="Arial" w:cs="Arial" w:eastAsia="Arial" w:hAnsi="Arial"/>
          <w:sz w:val="18"/>
          <w:szCs w:val="18"/>
          <w:color w:val="auto"/>
        </w:rPr>
        <w:t>Feature work of local artists in art installations at our properties</w:t>
      </w:r>
    </w:p>
    <w:p>
      <w:pPr>
        <w:spacing w:after="0" w:line="9" w:lineRule="exact"/>
        <w:rPr>
          <w:rFonts w:ascii="MS PGothic" w:cs="MS PGothic" w:eastAsia="MS PGothic" w:hAnsi="MS PGothic"/>
          <w:sz w:val="18"/>
          <w:szCs w:val="18"/>
          <w:color w:val="auto"/>
        </w:rPr>
      </w:pPr>
    </w:p>
    <w:p>
      <w:pPr>
        <w:ind w:left="308" w:hanging="308"/>
        <w:spacing w:after="0"/>
        <w:tabs>
          <w:tab w:leader="none" w:pos="308" w:val="left"/>
        </w:tabs>
        <w:numPr>
          <w:ilvl w:val="0"/>
          <w:numId w:val="12"/>
        </w:numPr>
        <w:rPr>
          <w:rFonts w:ascii="MS PGothic" w:cs="MS PGothic" w:eastAsia="MS PGothic" w:hAnsi="MS PGothic"/>
          <w:sz w:val="18"/>
          <w:szCs w:val="18"/>
          <w:color w:val="auto"/>
        </w:rPr>
      </w:pPr>
      <w:r>
        <w:rPr>
          <w:rFonts w:ascii="Arial" w:cs="Arial" w:eastAsia="Arial" w:hAnsi="Arial"/>
          <w:sz w:val="18"/>
          <w:szCs w:val="18"/>
          <w:color w:val="auto"/>
        </w:rPr>
        <w:t>Significant contributions to tax base of communities</w:t>
      </w:r>
    </w:p>
    <w:p>
      <w:pPr>
        <w:spacing w:after="0" w:line="200" w:lineRule="exact"/>
        <w:rPr>
          <w:rFonts w:ascii="MS PGothic" w:cs="MS PGothic" w:eastAsia="MS PGothic" w:hAnsi="MS PGothic"/>
          <w:sz w:val="18"/>
          <w:szCs w:val="18"/>
          <w:color w:val="auto"/>
        </w:rPr>
      </w:pPr>
    </w:p>
    <w:p>
      <w:pPr>
        <w:spacing w:after="0" w:line="200" w:lineRule="exact"/>
        <w:rPr>
          <w:rFonts w:ascii="MS PGothic" w:cs="MS PGothic" w:eastAsia="MS PGothic" w:hAnsi="MS PGothic"/>
          <w:sz w:val="18"/>
          <w:szCs w:val="18"/>
          <w:color w:val="auto"/>
        </w:rPr>
      </w:pPr>
    </w:p>
    <w:p>
      <w:pPr>
        <w:spacing w:after="0" w:line="200" w:lineRule="exact"/>
        <w:rPr>
          <w:rFonts w:ascii="MS PGothic" w:cs="MS PGothic" w:eastAsia="MS PGothic" w:hAnsi="MS PGothic"/>
          <w:sz w:val="18"/>
          <w:szCs w:val="18"/>
          <w:color w:val="auto"/>
        </w:rPr>
      </w:pPr>
    </w:p>
    <w:p>
      <w:pPr>
        <w:spacing w:after="0" w:line="241" w:lineRule="exact"/>
        <w:rPr>
          <w:rFonts w:ascii="MS PGothic" w:cs="MS PGothic" w:eastAsia="MS PGothic" w:hAnsi="MS PGothic"/>
          <w:sz w:val="18"/>
          <w:szCs w:val="18"/>
          <w:color w:val="auto"/>
        </w:rPr>
      </w:pPr>
    </w:p>
    <w:p>
      <w:pPr>
        <w:ind w:left="308" w:hanging="308"/>
        <w:spacing w:after="0"/>
        <w:tabs>
          <w:tab w:leader="none" w:pos="308" w:val="left"/>
        </w:tabs>
        <w:numPr>
          <w:ilvl w:val="0"/>
          <w:numId w:val="12"/>
        </w:numPr>
        <w:rPr>
          <w:rFonts w:ascii="MS PGothic" w:cs="MS PGothic" w:eastAsia="MS PGothic" w:hAnsi="MS PGothic"/>
          <w:sz w:val="18"/>
          <w:szCs w:val="18"/>
          <w:color w:val="auto"/>
        </w:rPr>
      </w:pPr>
      <w:r>
        <w:rPr>
          <w:rFonts w:ascii="Arial" w:cs="Arial" w:eastAsia="Arial" w:hAnsi="Arial"/>
          <w:sz w:val="18"/>
          <w:szCs w:val="18"/>
          <w:color w:val="auto"/>
        </w:rPr>
        <w:t>Competitive pay and benefits</w:t>
      </w:r>
    </w:p>
    <w:p>
      <w:pPr>
        <w:spacing w:after="0" w:line="54" w:lineRule="exact"/>
        <w:rPr>
          <w:rFonts w:ascii="MS PGothic" w:cs="MS PGothic" w:eastAsia="MS PGothic" w:hAnsi="MS PGothic"/>
          <w:sz w:val="18"/>
          <w:szCs w:val="18"/>
          <w:color w:val="auto"/>
        </w:rPr>
      </w:pPr>
    </w:p>
    <w:p>
      <w:pPr>
        <w:ind w:left="308" w:hanging="308"/>
        <w:spacing w:after="0"/>
        <w:tabs>
          <w:tab w:leader="none" w:pos="308" w:val="left"/>
        </w:tabs>
        <w:numPr>
          <w:ilvl w:val="0"/>
          <w:numId w:val="12"/>
        </w:numPr>
        <w:rPr>
          <w:rFonts w:ascii="MS PGothic" w:cs="MS PGothic" w:eastAsia="MS PGothic" w:hAnsi="MS PGothic"/>
          <w:sz w:val="18"/>
          <w:szCs w:val="18"/>
          <w:color w:val="auto"/>
        </w:rPr>
      </w:pPr>
      <w:r>
        <w:rPr>
          <w:rFonts w:ascii="Arial" w:cs="Arial" w:eastAsia="Arial" w:hAnsi="Arial"/>
          <w:sz w:val="18"/>
          <w:szCs w:val="18"/>
          <w:color w:val="auto"/>
        </w:rPr>
        <w:t>Average tenure in excess of 9 years</w:t>
      </w:r>
    </w:p>
    <w:p>
      <w:pPr>
        <w:spacing w:after="0" w:line="9" w:lineRule="exact"/>
        <w:rPr>
          <w:rFonts w:ascii="MS PGothic" w:cs="MS PGothic" w:eastAsia="MS PGothic" w:hAnsi="MS PGothic"/>
          <w:sz w:val="18"/>
          <w:szCs w:val="18"/>
          <w:color w:val="auto"/>
        </w:rPr>
      </w:pPr>
    </w:p>
    <w:p>
      <w:pPr>
        <w:ind w:left="308" w:hanging="308"/>
        <w:spacing w:after="0"/>
        <w:tabs>
          <w:tab w:leader="none" w:pos="308" w:val="left"/>
        </w:tabs>
        <w:numPr>
          <w:ilvl w:val="0"/>
          <w:numId w:val="12"/>
        </w:numPr>
        <w:rPr>
          <w:rFonts w:ascii="MS PGothic" w:cs="MS PGothic" w:eastAsia="MS PGothic" w:hAnsi="MS PGothic"/>
          <w:sz w:val="18"/>
          <w:szCs w:val="18"/>
          <w:color w:val="auto"/>
        </w:rPr>
      </w:pPr>
      <w:r>
        <w:rPr>
          <w:rFonts w:ascii="Arial" w:cs="Arial" w:eastAsia="Arial" w:hAnsi="Arial"/>
          <w:sz w:val="18"/>
          <w:szCs w:val="18"/>
          <w:color w:val="auto"/>
        </w:rPr>
        <w:t>Pay equity analysis shows no pay anomalies based on race or gender</w:t>
      </w:r>
    </w:p>
    <w:p>
      <w:pPr>
        <w:spacing w:after="0" w:line="9" w:lineRule="exact"/>
        <w:rPr>
          <w:rFonts w:ascii="MS PGothic" w:cs="MS PGothic" w:eastAsia="MS PGothic" w:hAnsi="MS PGothic"/>
          <w:sz w:val="18"/>
          <w:szCs w:val="18"/>
          <w:color w:val="auto"/>
        </w:rPr>
      </w:pPr>
    </w:p>
    <w:p>
      <w:pPr>
        <w:ind w:left="308" w:hanging="308"/>
        <w:spacing w:after="0"/>
        <w:tabs>
          <w:tab w:leader="none" w:pos="308" w:val="left"/>
        </w:tabs>
        <w:numPr>
          <w:ilvl w:val="0"/>
          <w:numId w:val="12"/>
        </w:numPr>
        <w:rPr>
          <w:rFonts w:ascii="MS PGothic" w:cs="MS PGothic" w:eastAsia="MS PGothic" w:hAnsi="MS PGothic"/>
          <w:sz w:val="18"/>
          <w:szCs w:val="18"/>
          <w:color w:val="auto"/>
        </w:rPr>
      </w:pPr>
      <w:r>
        <w:rPr>
          <w:rFonts w:ascii="Arial" w:cs="Arial" w:eastAsia="Arial" w:hAnsi="Arial"/>
          <w:sz w:val="18"/>
          <w:szCs w:val="18"/>
          <w:color w:val="auto"/>
        </w:rPr>
        <w:t>Women represented 54% of our workforce and 67% of all promotions in 2023</w:t>
      </w:r>
    </w:p>
    <w:p>
      <w:pPr>
        <w:spacing w:after="0" w:line="9" w:lineRule="exact"/>
        <w:rPr>
          <w:rFonts w:ascii="MS PGothic" w:cs="MS PGothic" w:eastAsia="MS PGothic" w:hAnsi="MS PGothic"/>
          <w:sz w:val="18"/>
          <w:szCs w:val="18"/>
          <w:color w:val="auto"/>
        </w:rPr>
      </w:pPr>
    </w:p>
    <w:p>
      <w:pPr>
        <w:ind w:left="308" w:hanging="308"/>
        <w:spacing w:after="0"/>
        <w:tabs>
          <w:tab w:leader="none" w:pos="308" w:val="left"/>
        </w:tabs>
        <w:numPr>
          <w:ilvl w:val="0"/>
          <w:numId w:val="12"/>
        </w:numPr>
        <w:rPr>
          <w:rFonts w:ascii="MS PGothic" w:cs="MS PGothic" w:eastAsia="MS PGothic" w:hAnsi="MS PGothic"/>
          <w:sz w:val="18"/>
          <w:szCs w:val="18"/>
          <w:color w:val="auto"/>
        </w:rPr>
      </w:pPr>
      <w:r>
        <w:rPr>
          <w:rFonts w:ascii="Arial" w:cs="Arial" w:eastAsia="Arial" w:hAnsi="Arial"/>
          <w:sz w:val="18"/>
          <w:szCs w:val="18"/>
          <w:color w:val="auto"/>
        </w:rPr>
        <w:t>Minorities represented 56% of all new hires and 33% of all promotions in 2023</w:t>
      </w:r>
    </w:p>
    <w:p>
      <w:pPr>
        <w:spacing w:after="0" w:line="9" w:lineRule="exact"/>
        <w:rPr>
          <w:rFonts w:ascii="MS PGothic" w:cs="MS PGothic" w:eastAsia="MS PGothic" w:hAnsi="MS PGothic"/>
          <w:sz w:val="18"/>
          <w:szCs w:val="18"/>
          <w:color w:val="auto"/>
        </w:rPr>
      </w:pPr>
    </w:p>
    <w:p>
      <w:pPr>
        <w:ind w:left="308" w:hanging="308"/>
        <w:spacing w:after="0"/>
        <w:tabs>
          <w:tab w:leader="none" w:pos="308" w:val="left"/>
        </w:tabs>
        <w:numPr>
          <w:ilvl w:val="0"/>
          <w:numId w:val="12"/>
        </w:numPr>
        <w:rPr>
          <w:rFonts w:ascii="MS PGothic" w:cs="MS PGothic" w:eastAsia="MS PGothic" w:hAnsi="MS PGothic"/>
          <w:sz w:val="18"/>
          <w:szCs w:val="18"/>
          <w:color w:val="auto"/>
        </w:rPr>
      </w:pPr>
      <w:r>
        <w:rPr>
          <w:rFonts w:ascii="Arial" w:cs="Arial" w:eastAsia="Arial" w:hAnsi="Arial"/>
          <w:sz w:val="18"/>
          <w:szCs w:val="18"/>
          <w:color w:val="auto"/>
        </w:rPr>
        <w:t>Comprehensive health and wellness programs through our Be Well at Federal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-2181225</wp:posOffset>
            </wp:positionH>
            <wp:positionV relativeFrom="paragraph">
              <wp:posOffset>-5033645</wp:posOffset>
            </wp:positionV>
            <wp:extent cx="7003415" cy="53917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003415" cy="5391785"/>
                    </a:xfrm>
                    <a:prstGeom prst="rect">
                      <a:avLst/>
                    </a:prstGeom>
                    <a:noFill/>
                  </pic:spPr>
                </pic:pic>
              </a:graphicData>
            </a:graphic>
          </wp:anchor>
        </w:drawing>
      </w:r>
    </w:p>
    <w:p>
      <w:pPr>
        <w:spacing w:after="0" w:line="378" w:lineRule="exact"/>
        <w:rPr>
          <w:sz w:val="20"/>
          <w:szCs w:val="20"/>
          <w:color w:val="auto"/>
        </w:rPr>
      </w:pPr>
    </w:p>
    <w:p>
      <w:pPr>
        <w:sectPr>
          <w:pgSz w:w="11900" w:h="16838" w:orient="portrait"/>
          <w:cols w:equalWidth="0" w:num="2">
            <w:col w:w="2832" w:space="720"/>
            <w:col w:w="7568"/>
          </w:cols>
          <w:pgMar w:left="320" w:top="482" w:right="459" w:bottom="1440" w:gutter="0" w:footer="0" w:header="0"/>
          <w:type w:val="continuous"/>
        </w:sectPr>
      </w:pPr>
    </w:p>
    <w:p>
      <w:pPr>
        <w:ind w:left="8160"/>
        <w:spacing w:after="0"/>
        <w:rPr>
          <w:sz w:val="20"/>
          <w:szCs w:val="20"/>
          <w:color w:val="auto"/>
        </w:rPr>
      </w:pPr>
      <w:r>
        <w:rPr>
          <w:rFonts w:ascii="Arial" w:cs="Arial" w:eastAsia="Arial" w:hAnsi="Arial"/>
          <w:sz w:val="14"/>
          <w:szCs w:val="14"/>
          <w:color w:val="FF160F"/>
        </w:rPr>
        <w:t>Federal Realty</w:t>
      </w:r>
      <w:r>
        <w:rPr>
          <w:rFonts w:ascii="Arial" w:cs="Arial" w:eastAsia="Arial" w:hAnsi="Arial"/>
          <w:sz w:val="14"/>
          <w:szCs w:val="14"/>
          <w:color w:val="000000"/>
        </w:rPr>
        <w:t xml:space="preserve">      2024 Proxy Statement   3</w:t>
      </w:r>
    </w:p>
    <w:p>
      <w:pPr>
        <w:sectPr>
          <w:pgSz w:w="11900" w:h="16838" w:orient="portrait"/>
          <w:cols w:equalWidth="0" w:num="1">
            <w:col w:w="11120"/>
          </w:cols>
          <w:pgMar w:left="320" w:top="482" w:right="45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212725</wp:posOffset>
            </wp:positionV>
            <wp:extent cx="1979930" cy="11741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979930" cy="1174115"/>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jc w:val="right"/>
        <w:ind w:right="12"/>
        <w:spacing w:after="0"/>
        <w:rPr>
          <w:sz w:val="20"/>
          <w:szCs w:val="20"/>
          <w:color w:val="auto"/>
        </w:rPr>
      </w:pPr>
      <w:r>
        <w:rPr>
          <w:rFonts w:ascii="Arial" w:cs="Arial" w:eastAsia="Arial" w:hAnsi="Arial"/>
          <w:sz w:val="22"/>
          <w:szCs w:val="22"/>
          <w:b w:val="1"/>
          <w:bCs w:val="1"/>
          <w:color w:val="FFFFFF"/>
        </w:rPr>
        <w:t>Govern Responsibly*</w:t>
      </w:r>
    </w:p>
    <w:p>
      <w:pPr>
        <w:spacing w:after="0" w:line="121" w:lineRule="exact"/>
        <w:rPr>
          <w:sz w:val="20"/>
          <w:szCs w:val="20"/>
          <w:color w:val="auto"/>
        </w:rPr>
      </w:pPr>
    </w:p>
    <w:p>
      <w:pPr>
        <w:jc w:val="center"/>
        <w:ind w:left="628" w:right="12"/>
        <w:spacing w:after="0" w:line="244" w:lineRule="auto"/>
        <w:rPr>
          <w:sz w:val="20"/>
          <w:szCs w:val="20"/>
          <w:color w:val="auto"/>
        </w:rPr>
      </w:pPr>
      <w:r>
        <w:rPr>
          <w:rFonts w:ascii="Arial" w:cs="Arial" w:eastAsia="Arial" w:hAnsi="Arial"/>
          <w:sz w:val="18"/>
          <w:szCs w:val="18"/>
          <w:color w:val="FFFFFF"/>
        </w:rPr>
        <w:t>Establish foundation to run the Company ethically with appropriate fiscal and decision making controls to manage risk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308" w:hanging="308"/>
        <w:spacing w:after="0"/>
        <w:tabs>
          <w:tab w:leader="none" w:pos="308" w:val="left"/>
        </w:tabs>
        <w:numPr>
          <w:ilvl w:val="0"/>
          <w:numId w:val="13"/>
        </w:numPr>
        <w:rPr>
          <w:rFonts w:ascii="MS PGothic" w:cs="MS PGothic" w:eastAsia="MS PGothic" w:hAnsi="MS PGothic"/>
          <w:sz w:val="18"/>
          <w:szCs w:val="18"/>
          <w:color w:val="auto"/>
        </w:rPr>
      </w:pPr>
      <w:r>
        <w:rPr>
          <w:rFonts w:ascii="Arial" w:cs="Arial" w:eastAsia="Arial" w:hAnsi="Arial"/>
          <w:sz w:val="18"/>
          <w:szCs w:val="18"/>
          <w:color w:val="auto"/>
        </w:rPr>
        <w:t>Annual election of all trustees</w:t>
      </w:r>
    </w:p>
    <w:p>
      <w:pPr>
        <w:spacing w:after="0" w:line="55" w:lineRule="exact"/>
        <w:rPr>
          <w:rFonts w:ascii="MS PGothic" w:cs="MS PGothic" w:eastAsia="MS PGothic" w:hAnsi="MS PGothic"/>
          <w:sz w:val="18"/>
          <w:szCs w:val="18"/>
          <w:color w:val="auto"/>
        </w:rPr>
      </w:pPr>
    </w:p>
    <w:p>
      <w:pPr>
        <w:ind w:left="308" w:hanging="308"/>
        <w:spacing w:after="0"/>
        <w:tabs>
          <w:tab w:leader="none" w:pos="308" w:val="left"/>
        </w:tabs>
        <w:numPr>
          <w:ilvl w:val="0"/>
          <w:numId w:val="13"/>
        </w:numPr>
        <w:rPr>
          <w:rFonts w:ascii="MS PGothic" w:cs="MS PGothic" w:eastAsia="MS PGothic" w:hAnsi="MS PGothic"/>
          <w:sz w:val="18"/>
          <w:szCs w:val="18"/>
          <w:color w:val="auto"/>
        </w:rPr>
      </w:pPr>
      <w:r>
        <w:rPr>
          <w:rFonts w:ascii="Arial" w:cs="Arial" w:eastAsia="Arial" w:hAnsi="Arial"/>
          <w:sz w:val="18"/>
          <w:szCs w:val="18"/>
          <w:color w:val="auto"/>
        </w:rPr>
        <w:t>Independent Non-Executive Chairman</w:t>
      </w:r>
    </w:p>
    <w:p>
      <w:pPr>
        <w:spacing w:after="0" w:line="124" w:lineRule="exact"/>
        <w:rPr>
          <w:rFonts w:ascii="MS PGothic" w:cs="MS PGothic" w:eastAsia="MS PGothic" w:hAnsi="MS PGothic"/>
          <w:sz w:val="18"/>
          <w:szCs w:val="18"/>
          <w:color w:val="auto"/>
        </w:rPr>
      </w:pPr>
    </w:p>
    <w:p>
      <w:pPr>
        <w:ind w:left="308" w:hanging="308"/>
        <w:spacing w:after="0"/>
        <w:tabs>
          <w:tab w:leader="none" w:pos="308" w:val="left"/>
        </w:tabs>
        <w:numPr>
          <w:ilvl w:val="0"/>
          <w:numId w:val="13"/>
        </w:numPr>
        <w:rPr>
          <w:rFonts w:ascii="MS PGothic" w:cs="MS PGothic" w:eastAsia="MS PGothic" w:hAnsi="MS PGothic"/>
          <w:sz w:val="18"/>
          <w:szCs w:val="18"/>
          <w:color w:val="auto"/>
        </w:rPr>
      </w:pPr>
      <w:r>
        <w:rPr>
          <w:rFonts w:ascii="Arial" w:cs="Arial" w:eastAsia="Arial" w:hAnsi="Arial"/>
          <w:sz w:val="18"/>
          <w:szCs w:val="18"/>
          <w:color w:val="auto"/>
        </w:rPr>
        <w:t>Majority voting and proxy access for trustee elections</w:t>
      </w:r>
    </w:p>
    <w:p>
      <w:pPr>
        <w:spacing w:after="0" w:line="103" w:lineRule="exact"/>
        <w:rPr>
          <w:rFonts w:ascii="MS PGothic" w:cs="MS PGothic" w:eastAsia="MS PGothic" w:hAnsi="MS PGothic"/>
          <w:sz w:val="18"/>
          <w:szCs w:val="18"/>
          <w:color w:val="auto"/>
        </w:rPr>
      </w:pPr>
    </w:p>
    <w:p>
      <w:pPr>
        <w:ind w:left="308" w:right="120" w:hanging="308"/>
        <w:spacing w:after="0" w:line="271" w:lineRule="auto"/>
        <w:tabs>
          <w:tab w:leader="none" w:pos="308" w:val="left"/>
        </w:tabs>
        <w:numPr>
          <w:ilvl w:val="0"/>
          <w:numId w:val="13"/>
        </w:numPr>
        <w:rPr>
          <w:rFonts w:ascii="MS PGothic" w:cs="MS PGothic" w:eastAsia="MS PGothic" w:hAnsi="MS PGothic"/>
          <w:sz w:val="18"/>
          <w:szCs w:val="18"/>
          <w:color w:val="auto"/>
        </w:rPr>
      </w:pPr>
      <w:r>
        <w:rPr>
          <w:rFonts w:ascii="Arial" w:cs="Arial" w:eastAsia="Arial" w:hAnsi="Arial"/>
          <w:sz w:val="18"/>
          <w:szCs w:val="18"/>
          <w:color w:val="auto"/>
        </w:rPr>
        <w:t>Prohibition on hedging and pledging our shares combined with clawback policy and equity hold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-2262505</wp:posOffset>
            </wp:positionH>
            <wp:positionV relativeFrom="paragraph">
              <wp:posOffset>-1536065</wp:posOffset>
            </wp:positionV>
            <wp:extent cx="7174865" cy="552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55245"/>
                    </a:xfrm>
                    <a:prstGeom prst="rect">
                      <a:avLst/>
                    </a:prstGeom>
                    <a:noFill/>
                  </pic:spPr>
                </pic:pic>
              </a:graphicData>
            </a:graphic>
          </wp:anchor>
        </w:drawing>
        <w:drawing>
          <wp:anchor simplePos="0" relativeHeight="251657728" behindDoc="1" locked="0" layoutInCell="0" allowOverlap="1">
            <wp:simplePos x="0" y="0"/>
            <wp:positionH relativeFrom="column">
              <wp:posOffset>-89535</wp:posOffset>
            </wp:positionH>
            <wp:positionV relativeFrom="paragraph">
              <wp:posOffset>-970280</wp:posOffset>
            </wp:positionV>
            <wp:extent cx="4903470" cy="11576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903470" cy="1157605"/>
                    </a:xfrm>
                    <a:prstGeom prst="rect">
                      <a:avLst/>
                    </a:prstGeom>
                    <a:noFill/>
                  </pic:spPr>
                </pic:pic>
              </a:graphicData>
            </a:graphic>
          </wp:anchor>
        </w:drawing>
      </w:r>
    </w:p>
    <w:p>
      <w:pPr>
        <w:spacing w:after="0" w:line="244" w:lineRule="exact"/>
        <w:rPr>
          <w:sz w:val="20"/>
          <w:szCs w:val="20"/>
          <w:color w:val="auto"/>
        </w:rPr>
      </w:pPr>
    </w:p>
    <w:p>
      <w:pPr>
        <w:sectPr>
          <w:pgSz w:w="11900" w:h="16838" w:orient="portrait"/>
          <w:cols w:equalWidth="0" w:num="2">
            <w:col w:w="2832" w:space="720"/>
            <w:col w:w="7588"/>
          </w:cols>
          <w:pgMar w:left="320" w:top="482" w:right="439" w:bottom="1440" w:gutter="0" w:footer="0" w:header="0"/>
        </w:sectPr>
      </w:pPr>
    </w:p>
    <w:p>
      <w:pPr>
        <w:spacing w:after="0" w:line="80" w:lineRule="exact"/>
        <w:rPr>
          <w:sz w:val="20"/>
          <w:szCs w:val="20"/>
          <w:color w:val="auto"/>
        </w:rPr>
      </w:pPr>
    </w:p>
    <w:p>
      <w:pPr>
        <w:ind w:left="120"/>
        <w:spacing w:after="0"/>
        <w:rPr>
          <w:sz w:val="20"/>
          <w:szCs w:val="20"/>
          <w:color w:val="auto"/>
        </w:rPr>
      </w:pPr>
      <w:r>
        <w:rPr>
          <w:rFonts w:ascii="Arial" w:cs="Arial" w:eastAsia="Arial" w:hAnsi="Arial"/>
          <w:sz w:val="14"/>
          <w:szCs w:val="14"/>
          <w:color w:val="auto"/>
        </w:rPr>
        <w:t>* All information provided is as of December 31, 2023 unless otherwise indicated.</w:t>
      </w:r>
    </w:p>
    <w:p>
      <w:pPr>
        <w:spacing w:after="0" w:line="207" w:lineRule="exact"/>
        <w:rPr>
          <w:sz w:val="20"/>
          <w:szCs w:val="20"/>
          <w:color w:val="auto"/>
        </w:rPr>
      </w:pPr>
    </w:p>
    <w:p>
      <w:pPr>
        <w:jc w:val="both"/>
        <w:ind w:left="120"/>
        <w:spacing w:after="0" w:line="247" w:lineRule="auto"/>
        <w:rPr>
          <w:sz w:val="20"/>
          <w:szCs w:val="20"/>
          <w:color w:val="auto"/>
        </w:rPr>
      </w:pPr>
      <w:r>
        <w:rPr>
          <w:rFonts w:ascii="Arial" w:cs="Arial" w:eastAsia="Arial" w:hAnsi="Arial"/>
          <w:sz w:val="18"/>
          <w:szCs w:val="18"/>
          <w:color w:val="auto"/>
        </w:rPr>
        <w:t xml:space="preserve">More information about our sustainability initiatives can be found in our 2022 Environmental Social and Governance Report which is available under the ESG tab on our website and can be accessed by using this link </w:t>
      </w:r>
      <w:r>
        <w:rPr>
          <w:rFonts w:ascii="Arial" w:cs="Arial" w:eastAsia="Arial" w:hAnsi="Arial"/>
          <w:sz w:val="18"/>
          <w:szCs w:val="18"/>
          <w:color w:val="FF160F"/>
        </w:rPr>
        <w:t>Federal Realty | 2022 ESG Report by Federal 1962 -</w:t>
      </w:r>
      <w:r>
        <w:rPr>
          <w:rFonts w:ascii="Arial" w:cs="Arial" w:eastAsia="Arial" w:hAnsi="Arial"/>
          <w:sz w:val="18"/>
          <w:szCs w:val="18"/>
          <w:color w:val="auto"/>
        </w:rPr>
        <w:t xml:space="preserve"> </w:t>
      </w:r>
      <w:r>
        <w:rPr>
          <w:rFonts w:ascii="Arial" w:cs="Arial" w:eastAsia="Arial" w:hAnsi="Arial"/>
          <w:sz w:val="18"/>
          <w:szCs w:val="18"/>
          <w:color w:val="FF160F"/>
        </w:rPr>
        <w:t>Issuu</w:t>
      </w:r>
      <w:r>
        <w:rPr>
          <w:rFonts w:ascii="Arial" w:cs="Arial" w:eastAsia="Arial" w:hAnsi="Arial"/>
          <w:sz w:val="18"/>
          <w:szCs w:val="18"/>
          <w:color w:val="000000"/>
        </w:rPr>
        <w:t>. The report provides additional, detailed information in alignment with the frameworks established by the Global Reporting Initiative,</w:t>
      </w:r>
      <w:r>
        <w:rPr>
          <w:rFonts w:ascii="Arial" w:cs="Arial" w:eastAsia="Arial" w:hAnsi="Arial"/>
          <w:sz w:val="18"/>
          <w:szCs w:val="18"/>
          <w:color w:val="FF160F"/>
        </w:rPr>
        <w:t xml:space="preserve"> </w:t>
      </w:r>
      <w:r>
        <w:rPr>
          <w:rFonts w:ascii="Arial" w:cs="Arial" w:eastAsia="Arial" w:hAnsi="Arial"/>
          <w:sz w:val="18"/>
          <w:szCs w:val="18"/>
          <w:color w:val="000000"/>
        </w:rPr>
        <w:t>Task Force for Climate Related Financial Disclosures and Sustainability Accounting Standards Board.</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overall efforts on these 5 initiatives have earned us high marks from both MSCI and the Global Real Estate Sustainability Benchmark.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1822450</wp:posOffset>
            </wp:positionH>
            <wp:positionV relativeFrom="paragraph">
              <wp:posOffset>163195</wp:posOffset>
            </wp:positionV>
            <wp:extent cx="3497580" cy="10369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97580" cy="1036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Some of the areas where we have been recognized for our ESG efforts include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1475105</wp:posOffset>
            </wp:positionV>
            <wp:extent cx="6995160" cy="342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5160" cy="34290"/>
                    </a:xfrm>
                    <a:prstGeom prst="rect">
                      <a:avLst/>
                    </a:prstGeom>
                    <a:noFill/>
                  </pic:spPr>
                </pic:pic>
              </a:graphicData>
            </a:graphic>
          </wp:anchor>
        </w:drawing>
        <w:drawing>
          <wp:anchor simplePos="0" relativeHeight="251657728" behindDoc="1" locked="0" layoutInCell="0" allowOverlap="1">
            <wp:simplePos x="0" y="0"/>
            <wp:positionH relativeFrom="column">
              <wp:posOffset>982345</wp:posOffset>
            </wp:positionH>
            <wp:positionV relativeFrom="paragraph">
              <wp:posOffset>163195</wp:posOffset>
            </wp:positionV>
            <wp:extent cx="5186045" cy="11226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186045" cy="1122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220"/>
        <w:spacing w:after="0"/>
        <w:rPr>
          <w:sz w:val="20"/>
          <w:szCs w:val="20"/>
          <w:color w:val="auto"/>
        </w:rPr>
      </w:pPr>
      <w:r>
        <w:rPr>
          <w:rFonts w:ascii="Arial" w:cs="Arial" w:eastAsia="Arial" w:hAnsi="Arial"/>
          <w:sz w:val="32"/>
          <w:szCs w:val="32"/>
          <w:b w:val="1"/>
          <w:bCs w:val="1"/>
          <w:color w:val="auto"/>
        </w:rPr>
        <w:t>Governing the Company</w:t>
      </w:r>
    </w:p>
    <w:p>
      <w:pPr>
        <w:spacing w:after="0" w:line="264" w:lineRule="exact"/>
        <w:rPr>
          <w:sz w:val="20"/>
          <w:szCs w:val="20"/>
          <w:color w:val="auto"/>
        </w:rPr>
      </w:pPr>
    </w:p>
    <w:p>
      <w:pPr>
        <w:ind w:left="540" w:hanging="424"/>
        <w:spacing w:after="0"/>
        <w:tabs>
          <w:tab w:leader="none" w:pos="540" w:val="left"/>
        </w:tabs>
        <w:numPr>
          <w:ilvl w:val="0"/>
          <w:numId w:val="14"/>
        </w:numPr>
        <w:rPr>
          <w:rFonts w:ascii="MS PGothic" w:cs="MS PGothic" w:eastAsia="MS PGothic" w:hAnsi="MS PGothic"/>
          <w:sz w:val="18"/>
          <w:szCs w:val="18"/>
          <w:color w:val="FF160F"/>
        </w:rPr>
      </w:pPr>
      <w:r>
        <w:rPr>
          <w:rFonts w:ascii="Arial" w:cs="Arial" w:eastAsia="Arial" w:hAnsi="Arial"/>
          <w:sz w:val="18"/>
          <w:szCs w:val="18"/>
          <w:b w:val="1"/>
          <w:bCs w:val="1"/>
          <w:color w:val="auto"/>
        </w:rPr>
        <w:t>GOVERNANCE DOCUMENTS</w:t>
      </w:r>
    </w:p>
    <w:p>
      <w:pPr>
        <w:spacing w:after="0" w:line="225" w:lineRule="exact"/>
        <w:rPr>
          <w:sz w:val="20"/>
          <w:szCs w:val="20"/>
          <w:color w:val="auto"/>
        </w:rPr>
      </w:pPr>
    </w:p>
    <w:p>
      <w:pPr>
        <w:jc w:val="both"/>
        <w:ind w:left="120" w:right="20"/>
        <w:spacing w:after="0" w:line="253" w:lineRule="auto"/>
        <w:rPr>
          <w:sz w:val="20"/>
          <w:szCs w:val="20"/>
          <w:color w:val="auto"/>
        </w:rPr>
      </w:pPr>
      <w:r>
        <w:rPr>
          <w:rFonts w:ascii="Arial" w:cs="Arial" w:eastAsia="Arial" w:hAnsi="Arial"/>
          <w:sz w:val="18"/>
          <w:szCs w:val="18"/>
          <w:color w:val="auto"/>
        </w:rPr>
        <w:t>The Board is responsible for providing governance and oversight of the strategy, operations and management of the Company and has delegated to our senior management the authority to manage the day-to-day operations of the Company. The Board has adopted the following policies:</w:t>
      </w:r>
    </w:p>
    <w:p>
      <w:pPr>
        <w:spacing w:after="0" w:line="7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Corporate Governance Guidelines</w:t>
      </w:r>
    </w:p>
    <w:p>
      <w:pPr>
        <w:spacing w:after="0" w:line="10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Code of Business Conduct</w:t>
      </w:r>
    </w:p>
    <w:p>
      <w:pPr>
        <w:spacing w:after="0" w:line="9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Code of Ethics for our Senior Financial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151765</wp:posOffset>
            </wp:positionV>
            <wp:extent cx="7003415" cy="1200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003415" cy="120015"/>
                    </a:xfrm>
                    <a:prstGeom prst="rect">
                      <a:avLst/>
                    </a:prstGeom>
                    <a:noFill/>
                  </pic:spPr>
                </pic:pic>
              </a:graphicData>
            </a:graphic>
          </wp:anchor>
        </w:drawing>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4"/>
          <w:szCs w:val="14"/>
          <w:color w:val="FF160F"/>
        </w:rPr>
        <w:t>Federal Realty</w:t>
      </w:r>
      <w:r>
        <w:rPr>
          <w:rFonts w:ascii="Arial" w:cs="Arial" w:eastAsia="Arial" w:hAnsi="Arial"/>
          <w:sz w:val="14"/>
          <w:szCs w:val="14"/>
          <w:color w:val="000000"/>
        </w:rPr>
        <w:t xml:space="preserve">      2024 Proxy Statement   4</w:t>
      </w:r>
    </w:p>
    <w:p>
      <w:pPr>
        <w:sectPr>
          <w:pgSz w:w="11900" w:h="16838" w:orient="portrait"/>
          <w:cols w:equalWidth="0" w:num="1">
            <w:col w:w="11140"/>
          </w:cols>
          <w:pgMar w:left="320" w:top="482" w:right="4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0"/>
        <w:spacing w:after="0" w:line="247" w:lineRule="auto"/>
        <w:rPr>
          <w:sz w:val="20"/>
          <w:szCs w:val="20"/>
          <w:color w:val="auto"/>
        </w:rPr>
      </w:pPr>
      <w:r>
        <w:rPr>
          <w:rFonts w:ascii="Arial" w:cs="Arial" w:eastAsia="Arial" w:hAnsi="Arial"/>
          <w:sz w:val="18"/>
          <w:szCs w:val="18"/>
          <w:color w:val="auto"/>
        </w:rPr>
        <w:t xml:space="preserve">These documents are reviewed periodically and revised when needed to reflect changing regulatory and governmental requirements and best practices. Complete copies of these documents are available in the Investor/Corporate Governance section of our website at </w:t>
      </w:r>
      <w:r>
        <w:rPr>
          <w:rFonts w:ascii="Arial" w:cs="Arial" w:eastAsia="Arial" w:hAnsi="Arial"/>
          <w:sz w:val="18"/>
          <w:szCs w:val="18"/>
          <w:i w:val="1"/>
          <w:iCs w:val="1"/>
          <w:u w:val="single" w:color="auto"/>
          <w:color w:val="auto"/>
        </w:rPr>
        <w:t>www.federalrealty.com</w:t>
      </w:r>
      <w:r>
        <w:rPr>
          <w:rFonts w:ascii="Arial" w:cs="Arial" w:eastAsia="Arial" w:hAnsi="Arial"/>
          <w:sz w:val="18"/>
          <w:szCs w:val="18"/>
          <w:color w:val="auto"/>
        </w:rPr>
        <w:t>. Printed copies of these documents are available upon written request to our Investor Relations department at</w:t>
      </w:r>
      <w:r>
        <w:rPr>
          <w:rFonts w:ascii="Arial" w:cs="Arial" w:eastAsia="Arial" w:hAnsi="Arial"/>
          <w:sz w:val="18"/>
          <w:szCs w:val="18"/>
          <w:i w:val="1"/>
          <w:iCs w:val="1"/>
          <w:color w:val="auto"/>
        </w:rPr>
        <w:t xml:space="preserve"> </w:t>
      </w:r>
      <w:r>
        <w:rPr>
          <w:rFonts w:ascii="Arial" w:cs="Arial" w:eastAsia="Arial" w:hAnsi="Arial"/>
          <w:sz w:val="18"/>
          <w:szCs w:val="18"/>
          <w:color w:val="auto"/>
        </w:rPr>
        <w:t>909 Rose Avenue, Suite 200, North Bethesda, Maryland 20852.</w:t>
      </w:r>
    </w:p>
    <w:p>
      <w:pPr>
        <w:spacing w:after="0" w:line="201" w:lineRule="exact"/>
        <w:rPr>
          <w:sz w:val="20"/>
          <w:szCs w:val="20"/>
          <w:color w:val="auto"/>
        </w:rPr>
      </w:pPr>
    </w:p>
    <w:p>
      <w:pPr>
        <w:ind w:left="540" w:hanging="424"/>
        <w:spacing w:after="0"/>
        <w:tabs>
          <w:tab w:leader="none" w:pos="540" w:val="left"/>
        </w:tabs>
        <w:numPr>
          <w:ilvl w:val="0"/>
          <w:numId w:val="16"/>
        </w:numPr>
        <w:rPr>
          <w:rFonts w:ascii="MS PGothic" w:cs="MS PGothic" w:eastAsia="MS PGothic" w:hAnsi="MS PGothic"/>
          <w:sz w:val="18"/>
          <w:szCs w:val="18"/>
          <w:color w:val="FF160F"/>
        </w:rPr>
      </w:pPr>
      <w:r>
        <w:rPr>
          <w:rFonts w:ascii="Arial" w:cs="Arial" w:eastAsia="Arial" w:hAnsi="Arial"/>
          <w:sz w:val="18"/>
          <w:szCs w:val="18"/>
          <w:b w:val="1"/>
          <w:bCs w:val="1"/>
          <w:color w:val="auto"/>
        </w:rPr>
        <w:t>GOVERNANCE POLICIES AND PROCEDURES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commitment to good governance is an integral part of our business. Highlights of our corporate governance practices include:</w:t>
      </w:r>
    </w:p>
    <w:p>
      <w:pPr>
        <w:spacing w:after="0" w:line="237" w:lineRule="exact"/>
        <w:rPr>
          <w:sz w:val="20"/>
          <w:szCs w:val="20"/>
          <w:color w:val="auto"/>
        </w:rPr>
      </w:pPr>
    </w:p>
    <w:tbl>
      <w:tblPr>
        <w:tblLayout w:type="fixed"/>
        <w:tblInd w:w="130" w:type="dxa"/>
        <w:tblCellMar>
          <w:top w:w="0" w:type="dxa"/>
          <w:left w:w="0" w:type="dxa"/>
          <w:bottom w:w="0" w:type="dxa"/>
          <w:right w:w="0" w:type="dxa"/>
        </w:tblCellMar>
      </w:tblPr>
      <w:tr>
        <w:trPr>
          <w:trHeight w:val="197"/>
        </w:trPr>
        <w:tc>
          <w:tcPr>
            <w:tcW w:w="3620" w:type="dxa"/>
            <w:vAlign w:val="bottom"/>
            <w:tcBorders>
              <w:top w:val="single" w:sz="8" w:color="auto"/>
              <w:left w:val="single" w:sz="8" w:color="auto"/>
            </w:tcBorders>
            <w:shd w:val="clear" w:color="auto" w:fill="D8D8D8"/>
          </w:tcPr>
          <w:p>
            <w:pPr>
              <w:ind w:left="160"/>
              <w:spacing w:after="0" w:line="197" w:lineRule="exact"/>
              <w:rPr>
                <w:sz w:val="20"/>
                <w:szCs w:val="20"/>
                <w:color w:val="auto"/>
              </w:rPr>
            </w:pPr>
            <w:r>
              <w:rPr>
                <w:rFonts w:ascii="MS PGothic" w:cs="MS PGothic" w:eastAsia="MS PGothic" w:hAnsi="MS PGothic"/>
                <w:sz w:val="18"/>
                <w:szCs w:val="18"/>
                <w:color w:val="FF160F"/>
              </w:rPr>
              <w:t>✓</w:t>
            </w:r>
            <w:r>
              <w:rPr>
                <w:rFonts w:ascii="Arial" w:cs="Arial" w:eastAsia="Arial" w:hAnsi="Arial"/>
                <w:sz w:val="18"/>
                <w:szCs w:val="18"/>
                <w:color w:val="auto"/>
              </w:rPr>
              <w:t xml:space="preserve"> Annual election of Trustees</w:t>
            </w:r>
          </w:p>
        </w:tc>
        <w:tc>
          <w:tcPr>
            <w:tcW w:w="3640" w:type="dxa"/>
            <w:vAlign w:val="bottom"/>
            <w:tcBorders>
              <w:top w:val="single" w:sz="8" w:color="auto"/>
            </w:tcBorders>
          </w:tcPr>
          <w:p>
            <w:pPr>
              <w:ind w:left="100"/>
              <w:spacing w:after="0" w:line="197" w:lineRule="exact"/>
              <w:rPr>
                <w:sz w:val="20"/>
                <w:szCs w:val="20"/>
                <w:color w:val="auto"/>
              </w:rPr>
            </w:pPr>
            <w:r>
              <w:rPr>
                <w:rFonts w:ascii="MS PGothic" w:cs="MS PGothic" w:eastAsia="MS PGothic" w:hAnsi="MS PGothic"/>
                <w:sz w:val="18"/>
                <w:szCs w:val="18"/>
                <w:color w:val="FF160F"/>
              </w:rPr>
              <w:t>✓</w:t>
            </w:r>
            <w:r>
              <w:rPr>
                <w:rFonts w:ascii="Arial" w:cs="Arial" w:eastAsia="Arial" w:hAnsi="Arial"/>
                <w:sz w:val="18"/>
                <w:szCs w:val="18"/>
                <w:color w:val="auto"/>
              </w:rPr>
              <w:t xml:space="preserve"> Independent non-executive chairman</w:t>
            </w:r>
          </w:p>
        </w:tc>
        <w:tc>
          <w:tcPr>
            <w:tcW w:w="3540" w:type="dxa"/>
            <w:vAlign w:val="bottom"/>
            <w:tcBorders>
              <w:top w:val="single" w:sz="8" w:color="auto"/>
              <w:right w:val="single" w:sz="8" w:color="auto"/>
            </w:tcBorders>
            <w:shd w:val="clear" w:color="auto" w:fill="D8D8D8"/>
          </w:tcPr>
          <w:p>
            <w:pPr>
              <w:ind w:left="100"/>
              <w:spacing w:after="0" w:line="197" w:lineRule="exact"/>
              <w:rPr>
                <w:sz w:val="20"/>
                <w:szCs w:val="20"/>
                <w:color w:val="auto"/>
              </w:rPr>
            </w:pPr>
            <w:r>
              <w:rPr>
                <w:rFonts w:ascii="MS PGothic" w:cs="MS PGothic" w:eastAsia="MS PGothic" w:hAnsi="MS PGothic"/>
                <w:sz w:val="18"/>
                <w:szCs w:val="18"/>
                <w:color w:val="FF160F"/>
              </w:rPr>
              <w:t>✓</w:t>
            </w:r>
            <w:r>
              <w:rPr>
                <w:rFonts w:ascii="Arial" w:cs="Arial" w:eastAsia="Arial" w:hAnsi="Arial"/>
                <w:sz w:val="18"/>
                <w:szCs w:val="18"/>
                <w:color w:val="auto"/>
              </w:rPr>
              <w:t xml:space="preserve"> Board oversight of sustainability, cyber</w:t>
            </w:r>
          </w:p>
        </w:tc>
      </w:tr>
      <w:tr>
        <w:trPr>
          <w:trHeight w:val="203"/>
        </w:trPr>
        <w:tc>
          <w:tcPr>
            <w:tcW w:w="3620" w:type="dxa"/>
            <w:vAlign w:val="bottom"/>
            <w:tcBorders>
              <w:left w:val="single" w:sz="8" w:color="auto"/>
            </w:tcBorders>
            <w:shd w:val="clear" w:color="auto" w:fill="D8D8D8"/>
          </w:tcPr>
          <w:p>
            <w:pPr>
              <w:spacing w:after="0"/>
              <w:rPr>
                <w:sz w:val="17"/>
                <w:szCs w:val="17"/>
                <w:color w:val="auto"/>
              </w:rPr>
            </w:pPr>
          </w:p>
        </w:tc>
        <w:tc>
          <w:tcPr>
            <w:tcW w:w="3640" w:type="dxa"/>
            <w:vAlign w:val="bottom"/>
          </w:tcPr>
          <w:p>
            <w:pPr>
              <w:ind w:left="420"/>
              <w:spacing w:after="0" w:line="202" w:lineRule="exact"/>
              <w:rPr>
                <w:sz w:val="20"/>
                <w:szCs w:val="20"/>
                <w:color w:val="auto"/>
              </w:rPr>
            </w:pPr>
            <w:r>
              <w:rPr>
                <w:rFonts w:ascii="Arial" w:cs="Arial" w:eastAsia="Arial" w:hAnsi="Arial"/>
                <w:sz w:val="18"/>
                <w:szCs w:val="18"/>
                <w:color w:val="auto"/>
              </w:rPr>
              <w:t>since 2003</w:t>
            </w:r>
          </w:p>
        </w:tc>
        <w:tc>
          <w:tcPr>
            <w:tcW w:w="3540" w:type="dxa"/>
            <w:vAlign w:val="bottom"/>
            <w:tcBorders>
              <w:right w:val="single" w:sz="8" w:color="auto"/>
            </w:tcBorders>
            <w:shd w:val="clear" w:color="auto" w:fill="D8D8D8"/>
          </w:tcPr>
          <w:p>
            <w:pPr>
              <w:ind w:left="400"/>
              <w:spacing w:after="0" w:line="202" w:lineRule="exact"/>
              <w:rPr>
                <w:sz w:val="20"/>
                <w:szCs w:val="20"/>
                <w:color w:val="auto"/>
              </w:rPr>
            </w:pPr>
            <w:r>
              <w:rPr>
                <w:rFonts w:ascii="Arial" w:cs="Arial" w:eastAsia="Arial" w:hAnsi="Arial"/>
                <w:sz w:val="18"/>
                <w:szCs w:val="18"/>
                <w:color w:val="auto"/>
              </w:rPr>
              <w:t>security, data protection and human</w:t>
            </w:r>
          </w:p>
        </w:tc>
      </w:tr>
      <w:tr>
        <w:trPr>
          <w:trHeight w:val="239"/>
        </w:trPr>
        <w:tc>
          <w:tcPr>
            <w:tcW w:w="3620" w:type="dxa"/>
            <w:vAlign w:val="bottom"/>
            <w:tcBorders>
              <w:left w:val="single" w:sz="8" w:color="auto"/>
            </w:tcBorders>
            <w:shd w:val="clear" w:color="auto" w:fill="D8D8D8"/>
          </w:tcPr>
          <w:p>
            <w:pPr>
              <w:spacing w:after="0"/>
              <w:rPr>
                <w:sz w:val="20"/>
                <w:szCs w:val="20"/>
                <w:color w:val="auto"/>
              </w:rPr>
            </w:pPr>
          </w:p>
        </w:tc>
        <w:tc>
          <w:tcPr>
            <w:tcW w:w="3640" w:type="dxa"/>
            <w:vAlign w:val="bottom"/>
          </w:tcPr>
          <w:p>
            <w:pPr>
              <w:spacing w:after="0"/>
              <w:rPr>
                <w:sz w:val="20"/>
                <w:szCs w:val="20"/>
                <w:color w:val="auto"/>
              </w:rPr>
            </w:pPr>
          </w:p>
        </w:tc>
        <w:tc>
          <w:tcPr>
            <w:tcW w:w="3540" w:type="dxa"/>
            <w:vAlign w:val="bottom"/>
            <w:tcBorders>
              <w:right w:val="single" w:sz="8" w:color="auto"/>
            </w:tcBorders>
            <w:shd w:val="clear" w:color="auto" w:fill="D8D8D8"/>
          </w:tcPr>
          <w:p>
            <w:pPr>
              <w:ind w:left="400"/>
              <w:spacing w:after="0"/>
              <w:rPr>
                <w:sz w:val="20"/>
                <w:szCs w:val="20"/>
                <w:color w:val="auto"/>
              </w:rPr>
            </w:pPr>
            <w:r>
              <w:rPr>
                <w:rFonts w:ascii="Arial" w:cs="Arial" w:eastAsia="Arial" w:hAnsi="Arial"/>
                <w:sz w:val="18"/>
                <w:szCs w:val="18"/>
                <w:color w:val="auto"/>
              </w:rPr>
              <w:t>resources</w:t>
            </w:r>
          </w:p>
        </w:tc>
      </w:tr>
      <w:tr>
        <w:trPr>
          <w:trHeight w:val="198"/>
        </w:trPr>
        <w:tc>
          <w:tcPr>
            <w:tcW w:w="3620" w:type="dxa"/>
            <w:vAlign w:val="bottom"/>
            <w:tcBorders>
              <w:left w:val="single" w:sz="8" w:color="auto"/>
            </w:tcBorders>
            <w:shd w:val="clear" w:color="auto" w:fill="D8D8D8"/>
          </w:tcPr>
          <w:p>
            <w:pPr>
              <w:spacing w:after="0"/>
              <w:rPr>
                <w:sz w:val="17"/>
                <w:szCs w:val="17"/>
                <w:color w:val="auto"/>
              </w:rPr>
            </w:pPr>
          </w:p>
        </w:tc>
        <w:tc>
          <w:tcPr>
            <w:tcW w:w="3640" w:type="dxa"/>
            <w:vAlign w:val="bottom"/>
          </w:tcPr>
          <w:p>
            <w:pPr>
              <w:spacing w:after="0"/>
              <w:rPr>
                <w:sz w:val="17"/>
                <w:szCs w:val="17"/>
                <w:color w:val="auto"/>
              </w:rPr>
            </w:pPr>
          </w:p>
        </w:tc>
        <w:tc>
          <w:tcPr>
            <w:tcW w:w="3540" w:type="dxa"/>
            <w:vAlign w:val="bottom"/>
            <w:tcBorders>
              <w:right w:val="single" w:sz="8" w:color="auto"/>
            </w:tcBorders>
            <w:shd w:val="clear" w:color="auto" w:fill="D8D8D8"/>
          </w:tcPr>
          <w:p>
            <w:pPr>
              <w:spacing w:after="0"/>
              <w:rPr>
                <w:sz w:val="17"/>
                <w:szCs w:val="17"/>
                <w:color w:val="auto"/>
              </w:rPr>
            </w:pPr>
          </w:p>
        </w:tc>
      </w:tr>
      <w:tr>
        <w:trPr>
          <w:trHeight w:val="303"/>
        </w:trPr>
        <w:tc>
          <w:tcPr>
            <w:tcW w:w="3620" w:type="dxa"/>
            <w:vAlign w:val="bottom"/>
            <w:tcBorders>
              <w:left w:val="single" w:sz="8" w:color="auto"/>
            </w:tcBorders>
          </w:tcPr>
          <w:p>
            <w:pPr>
              <w:ind w:left="160"/>
              <w:spacing w:after="0" w:line="207" w:lineRule="exact"/>
              <w:rPr>
                <w:sz w:val="20"/>
                <w:szCs w:val="20"/>
                <w:color w:val="auto"/>
              </w:rPr>
            </w:pPr>
            <w:r>
              <w:rPr>
                <w:rFonts w:ascii="MS PGothic" w:cs="MS PGothic" w:eastAsia="MS PGothic" w:hAnsi="MS PGothic"/>
                <w:sz w:val="18"/>
                <w:szCs w:val="18"/>
                <w:color w:val="FF160F"/>
              </w:rPr>
              <w:t>✓</w:t>
            </w:r>
            <w:r>
              <w:rPr>
                <w:rFonts w:ascii="Arial" w:cs="Arial" w:eastAsia="Arial" w:hAnsi="Arial"/>
                <w:sz w:val="18"/>
                <w:szCs w:val="18"/>
                <w:color w:val="auto"/>
              </w:rPr>
              <w:t xml:space="preserve"> Annual Board and Trustee evaluations</w:t>
            </w:r>
          </w:p>
        </w:tc>
        <w:tc>
          <w:tcPr>
            <w:tcW w:w="3640" w:type="dxa"/>
            <w:vAlign w:val="bottom"/>
            <w:shd w:val="clear" w:color="auto" w:fill="D8D8D8"/>
          </w:tcPr>
          <w:p>
            <w:pPr>
              <w:ind w:left="100"/>
              <w:spacing w:after="0" w:line="207" w:lineRule="exact"/>
              <w:rPr>
                <w:sz w:val="20"/>
                <w:szCs w:val="20"/>
                <w:color w:val="auto"/>
              </w:rPr>
            </w:pPr>
            <w:r>
              <w:rPr>
                <w:rFonts w:ascii="MS PGothic" w:cs="MS PGothic" w:eastAsia="MS PGothic" w:hAnsi="MS PGothic"/>
                <w:sz w:val="18"/>
                <w:szCs w:val="18"/>
                <w:color w:val="FF160F"/>
              </w:rPr>
              <w:t>✓</w:t>
            </w:r>
            <w:r>
              <w:rPr>
                <w:rFonts w:ascii="Arial" w:cs="Arial" w:eastAsia="Arial" w:hAnsi="Arial"/>
                <w:sz w:val="18"/>
                <w:szCs w:val="18"/>
                <w:color w:val="auto"/>
              </w:rPr>
              <w:t xml:space="preserve"> Majority voting in uncontested elections</w:t>
            </w:r>
          </w:p>
        </w:tc>
        <w:tc>
          <w:tcPr>
            <w:tcW w:w="3540" w:type="dxa"/>
            <w:vAlign w:val="bottom"/>
            <w:tcBorders>
              <w:right w:val="single" w:sz="8" w:color="auto"/>
            </w:tcBorders>
          </w:tcPr>
          <w:p>
            <w:pPr>
              <w:ind w:left="100"/>
              <w:spacing w:after="0" w:line="207" w:lineRule="exact"/>
              <w:rPr>
                <w:sz w:val="20"/>
                <w:szCs w:val="20"/>
                <w:color w:val="auto"/>
              </w:rPr>
            </w:pPr>
            <w:r>
              <w:rPr>
                <w:rFonts w:ascii="MS PGothic" w:cs="MS PGothic" w:eastAsia="MS PGothic" w:hAnsi="MS PGothic"/>
                <w:sz w:val="18"/>
                <w:szCs w:val="18"/>
                <w:color w:val="FF160F"/>
              </w:rPr>
              <w:t>✓</w:t>
            </w:r>
            <w:r>
              <w:rPr>
                <w:rFonts w:ascii="Arial" w:cs="Arial" w:eastAsia="Arial" w:hAnsi="Arial"/>
                <w:sz w:val="18"/>
                <w:szCs w:val="18"/>
                <w:color w:val="auto"/>
              </w:rPr>
              <w:t xml:space="preserve"> Proxy access for all shareholders</w:t>
            </w:r>
          </w:p>
        </w:tc>
      </w:tr>
      <w:tr>
        <w:trPr>
          <w:trHeight w:val="116"/>
        </w:trPr>
        <w:tc>
          <w:tcPr>
            <w:tcW w:w="3620" w:type="dxa"/>
            <w:vAlign w:val="bottom"/>
            <w:tcBorders>
              <w:left w:val="single" w:sz="8" w:color="auto"/>
            </w:tcBorders>
          </w:tcPr>
          <w:p>
            <w:pPr>
              <w:spacing w:after="0"/>
              <w:rPr>
                <w:sz w:val="10"/>
                <w:szCs w:val="10"/>
                <w:color w:val="auto"/>
              </w:rPr>
            </w:pPr>
          </w:p>
        </w:tc>
        <w:tc>
          <w:tcPr>
            <w:tcW w:w="3640" w:type="dxa"/>
            <w:vAlign w:val="bottom"/>
            <w:shd w:val="clear" w:color="auto" w:fill="D8D8D8"/>
          </w:tcPr>
          <w:p>
            <w:pPr>
              <w:spacing w:after="0"/>
              <w:rPr>
                <w:sz w:val="10"/>
                <w:szCs w:val="10"/>
                <w:color w:val="auto"/>
              </w:rPr>
            </w:pPr>
          </w:p>
        </w:tc>
        <w:tc>
          <w:tcPr>
            <w:tcW w:w="3540" w:type="dxa"/>
            <w:vAlign w:val="bottom"/>
            <w:tcBorders>
              <w:right w:val="single" w:sz="8" w:color="auto"/>
            </w:tcBorders>
          </w:tcPr>
          <w:p>
            <w:pPr>
              <w:spacing w:after="0"/>
              <w:rPr>
                <w:sz w:val="10"/>
                <w:szCs w:val="10"/>
                <w:color w:val="auto"/>
              </w:rPr>
            </w:pPr>
          </w:p>
        </w:tc>
      </w:tr>
      <w:tr>
        <w:trPr>
          <w:trHeight w:val="184"/>
        </w:trPr>
        <w:tc>
          <w:tcPr>
            <w:tcW w:w="3620" w:type="dxa"/>
            <w:vAlign w:val="bottom"/>
            <w:tcBorders>
              <w:left w:val="single" w:sz="8" w:color="auto"/>
            </w:tcBorders>
            <w:shd w:val="clear" w:color="auto" w:fill="D8D8D8"/>
          </w:tcPr>
          <w:p>
            <w:pPr>
              <w:ind w:left="160"/>
              <w:spacing w:after="0" w:line="183" w:lineRule="exact"/>
              <w:rPr>
                <w:sz w:val="20"/>
                <w:szCs w:val="20"/>
                <w:color w:val="auto"/>
              </w:rPr>
            </w:pPr>
            <w:r>
              <w:rPr>
                <w:rFonts w:ascii="MS PGothic" w:cs="MS PGothic" w:eastAsia="MS PGothic" w:hAnsi="MS PGothic"/>
                <w:sz w:val="18"/>
                <w:szCs w:val="18"/>
                <w:color w:val="FF160F"/>
              </w:rPr>
              <w:t>✓</w:t>
            </w:r>
            <w:r>
              <w:rPr>
                <w:rFonts w:ascii="Arial" w:cs="Arial" w:eastAsia="Arial" w:hAnsi="Arial"/>
                <w:sz w:val="18"/>
                <w:szCs w:val="18"/>
                <w:color w:val="auto"/>
              </w:rPr>
              <w:t xml:space="preserve"> Prohibition on Trustees and</w:t>
            </w:r>
          </w:p>
        </w:tc>
        <w:tc>
          <w:tcPr>
            <w:tcW w:w="3640" w:type="dxa"/>
            <w:vAlign w:val="bottom"/>
          </w:tcPr>
          <w:p>
            <w:pPr>
              <w:ind w:left="100"/>
              <w:spacing w:after="0" w:line="183" w:lineRule="exact"/>
              <w:rPr>
                <w:sz w:val="20"/>
                <w:szCs w:val="20"/>
                <w:color w:val="auto"/>
              </w:rPr>
            </w:pPr>
            <w:r>
              <w:rPr>
                <w:rFonts w:ascii="MS PGothic" w:cs="MS PGothic" w:eastAsia="MS PGothic" w:hAnsi="MS PGothic"/>
                <w:sz w:val="18"/>
                <w:szCs w:val="18"/>
                <w:color w:val="FF160F"/>
              </w:rPr>
              <w:t>✓</w:t>
            </w:r>
            <w:r>
              <w:rPr>
                <w:rFonts w:ascii="Arial" w:cs="Arial" w:eastAsia="Arial" w:hAnsi="Arial"/>
                <w:sz w:val="18"/>
                <w:szCs w:val="18"/>
                <w:color w:val="auto"/>
              </w:rPr>
              <w:t xml:space="preserve"> Shareholder approval required to</w:t>
            </w:r>
          </w:p>
        </w:tc>
        <w:tc>
          <w:tcPr>
            <w:tcW w:w="3540" w:type="dxa"/>
            <w:vAlign w:val="bottom"/>
            <w:tcBorders>
              <w:right w:val="single" w:sz="8" w:color="auto"/>
            </w:tcBorders>
            <w:shd w:val="clear" w:color="auto" w:fill="D8D8D8"/>
          </w:tcPr>
          <w:p>
            <w:pPr>
              <w:ind w:left="100"/>
              <w:spacing w:after="0" w:line="183" w:lineRule="exact"/>
              <w:rPr>
                <w:sz w:val="20"/>
                <w:szCs w:val="20"/>
                <w:color w:val="auto"/>
              </w:rPr>
            </w:pPr>
            <w:r>
              <w:rPr>
                <w:rFonts w:ascii="MS PGothic" w:cs="MS PGothic" w:eastAsia="MS PGothic" w:hAnsi="MS PGothic"/>
                <w:sz w:val="18"/>
                <w:szCs w:val="18"/>
                <w:color w:val="FF160F"/>
              </w:rPr>
              <w:t>✓</w:t>
            </w:r>
            <w:r>
              <w:rPr>
                <w:rFonts w:ascii="Arial" w:cs="Arial" w:eastAsia="Arial" w:hAnsi="Arial"/>
                <w:sz w:val="18"/>
                <w:szCs w:val="18"/>
                <w:color w:val="auto"/>
              </w:rPr>
              <w:t xml:space="preserve"> Robust share ownership guidelines in</w:t>
            </w:r>
          </w:p>
        </w:tc>
      </w:tr>
      <w:tr>
        <w:trPr>
          <w:trHeight w:val="203"/>
        </w:trPr>
        <w:tc>
          <w:tcPr>
            <w:tcW w:w="3620" w:type="dxa"/>
            <w:vAlign w:val="bottom"/>
            <w:tcBorders>
              <w:left w:val="single" w:sz="8" w:color="auto"/>
            </w:tcBorders>
            <w:shd w:val="clear" w:color="auto" w:fill="D8D8D8"/>
          </w:tcPr>
          <w:p>
            <w:pPr>
              <w:ind w:left="420"/>
              <w:spacing w:after="0" w:line="202" w:lineRule="exact"/>
              <w:rPr>
                <w:sz w:val="20"/>
                <w:szCs w:val="20"/>
                <w:color w:val="auto"/>
              </w:rPr>
            </w:pPr>
            <w:r>
              <w:rPr>
                <w:rFonts w:ascii="Arial" w:cs="Arial" w:eastAsia="Arial" w:hAnsi="Arial"/>
                <w:sz w:val="18"/>
                <w:szCs w:val="18"/>
                <w:color w:val="auto"/>
              </w:rPr>
              <w:t>management hedging and pledging our</w:t>
            </w:r>
          </w:p>
        </w:tc>
        <w:tc>
          <w:tcPr>
            <w:tcW w:w="3640" w:type="dxa"/>
            <w:vAlign w:val="bottom"/>
          </w:tcPr>
          <w:p>
            <w:pPr>
              <w:ind w:left="420"/>
              <w:spacing w:after="0" w:line="202" w:lineRule="exact"/>
              <w:rPr>
                <w:sz w:val="20"/>
                <w:szCs w:val="20"/>
                <w:color w:val="auto"/>
              </w:rPr>
            </w:pPr>
            <w:r>
              <w:rPr>
                <w:rFonts w:ascii="Arial" w:cs="Arial" w:eastAsia="Arial" w:hAnsi="Arial"/>
                <w:sz w:val="18"/>
                <w:szCs w:val="18"/>
                <w:color w:val="auto"/>
              </w:rPr>
              <w:t>classify our Board</w:t>
            </w:r>
          </w:p>
        </w:tc>
        <w:tc>
          <w:tcPr>
            <w:tcW w:w="3540" w:type="dxa"/>
            <w:vAlign w:val="bottom"/>
            <w:tcBorders>
              <w:right w:val="single" w:sz="8" w:color="auto"/>
            </w:tcBorders>
            <w:shd w:val="clear" w:color="auto" w:fill="D8D8D8"/>
          </w:tcPr>
          <w:p>
            <w:pPr>
              <w:ind w:left="400"/>
              <w:spacing w:after="0" w:line="202" w:lineRule="exact"/>
              <w:rPr>
                <w:sz w:val="20"/>
                <w:szCs w:val="20"/>
                <w:color w:val="auto"/>
              </w:rPr>
            </w:pPr>
            <w:r>
              <w:rPr>
                <w:rFonts w:ascii="Arial" w:cs="Arial" w:eastAsia="Arial" w:hAnsi="Arial"/>
                <w:sz w:val="18"/>
                <w:szCs w:val="18"/>
                <w:color w:val="auto"/>
              </w:rPr>
              <w:t>place for Trustees and senior</w:t>
            </w:r>
          </w:p>
        </w:tc>
      </w:tr>
      <w:tr>
        <w:trPr>
          <w:trHeight w:val="221"/>
        </w:trPr>
        <w:tc>
          <w:tcPr>
            <w:tcW w:w="3620" w:type="dxa"/>
            <w:vAlign w:val="bottom"/>
            <w:tcBorders>
              <w:left w:val="single" w:sz="8" w:color="auto"/>
              <w:bottom w:val="single" w:sz="8" w:color="auto"/>
            </w:tcBorders>
            <w:shd w:val="clear" w:color="auto" w:fill="D8D8D8"/>
          </w:tcPr>
          <w:p>
            <w:pPr>
              <w:ind w:left="420"/>
              <w:spacing w:after="0"/>
              <w:rPr>
                <w:sz w:val="20"/>
                <w:szCs w:val="20"/>
                <w:color w:val="auto"/>
              </w:rPr>
            </w:pPr>
            <w:r>
              <w:rPr>
                <w:rFonts w:ascii="Arial" w:cs="Arial" w:eastAsia="Arial" w:hAnsi="Arial"/>
                <w:sz w:val="18"/>
                <w:szCs w:val="18"/>
                <w:color w:val="auto"/>
              </w:rPr>
              <w:t>shares</w:t>
            </w:r>
          </w:p>
        </w:tc>
        <w:tc>
          <w:tcPr>
            <w:tcW w:w="3640" w:type="dxa"/>
            <w:vAlign w:val="bottom"/>
            <w:tcBorders>
              <w:bottom w:val="single" w:sz="8" w:color="auto"/>
            </w:tcBorders>
          </w:tcPr>
          <w:p>
            <w:pPr>
              <w:spacing w:after="0"/>
              <w:rPr>
                <w:sz w:val="19"/>
                <w:szCs w:val="19"/>
                <w:color w:val="auto"/>
              </w:rPr>
            </w:pPr>
          </w:p>
        </w:tc>
        <w:tc>
          <w:tcPr>
            <w:tcW w:w="3540" w:type="dxa"/>
            <w:vAlign w:val="bottom"/>
            <w:tcBorders>
              <w:bottom w:val="single" w:sz="8" w:color="auto"/>
              <w:right w:val="single" w:sz="8" w:color="auto"/>
            </w:tcBorders>
            <w:shd w:val="clear" w:color="auto" w:fill="D8D8D8"/>
          </w:tcPr>
          <w:p>
            <w:pPr>
              <w:ind w:left="400"/>
              <w:spacing w:after="0"/>
              <w:rPr>
                <w:sz w:val="20"/>
                <w:szCs w:val="20"/>
                <w:color w:val="auto"/>
              </w:rPr>
            </w:pPr>
            <w:r>
              <w:rPr>
                <w:rFonts w:ascii="Arial" w:cs="Arial" w:eastAsia="Arial" w:hAnsi="Arial"/>
                <w:sz w:val="18"/>
                <w:szCs w:val="18"/>
                <w:color w:val="auto"/>
              </w:rPr>
              <w:t>management</w:t>
            </w:r>
          </w:p>
        </w:tc>
      </w:tr>
    </w:tbl>
    <w:p>
      <w:pPr>
        <w:spacing w:after="0" w:line="224" w:lineRule="exact"/>
        <w:rPr>
          <w:sz w:val="20"/>
          <w:szCs w:val="20"/>
          <w:color w:val="auto"/>
        </w:rPr>
      </w:pPr>
    </w:p>
    <w:p>
      <w:pPr>
        <w:ind w:left="540" w:hanging="424"/>
        <w:spacing w:after="0"/>
        <w:tabs>
          <w:tab w:leader="none" w:pos="540" w:val="left"/>
        </w:tabs>
        <w:numPr>
          <w:ilvl w:val="0"/>
          <w:numId w:val="17"/>
        </w:numPr>
        <w:rPr>
          <w:rFonts w:ascii="Wingdings" w:cs="Wingdings" w:eastAsia="Wingdings" w:hAnsi="Wingdings"/>
          <w:sz w:val="18"/>
          <w:szCs w:val="18"/>
          <w:b w:val="1"/>
          <w:bCs w:val="1"/>
          <w:color w:val="FF160F"/>
        </w:rPr>
      </w:pPr>
      <w:r>
        <w:rPr>
          <w:rFonts w:ascii="Arial" w:cs="Arial" w:eastAsia="Arial" w:hAnsi="Arial"/>
          <w:sz w:val="18"/>
          <w:szCs w:val="18"/>
          <w:b w:val="1"/>
          <w:bCs w:val="1"/>
          <w:color w:val="auto"/>
        </w:rPr>
        <w:t>BOARD LEADERSHIP</w:t>
      </w:r>
    </w:p>
    <w:p>
      <w:pPr>
        <w:spacing w:after="0" w:line="212" w:lineRule="exact"/>
        <w:rPr>
          <w:sz w:val="20"/>
          <w:szCs w:val="20"/>
          <w:color w:val="auto"/>
        </w:rPr>
      </w:pPr>
    </w:p>
    <w:p>
      <w:pPr>
        <w:jc w:val="both"/>
        <w:ind w:left="120"/>
        <w:spacing w:after="0" w:line="244" w:lineRule="auto"/>
        <w:rPr>
          <w:sz w:val="20"/>
          <w:szCs w:val="20"/>
          <w:color w:val="auto"/>
        </w:rPr>
      </w:pPr>
      <w:r>
        <w:rPr>
          <w:rFonts w:ascii="Arial" w:cs="Arial" w:eastAsia="Arial" w:hAnsi="Arial"/>
          <w:sz w:val="18"/>
          <w:szCs w:val="18"/>
          <w:color w:val="auto"/>
        </w:rPr>
        <w:t>Our Board has been led by an independent, Non-Executive Chairman for more than 20 years. Mr. Faeder has filled that role since May 2021. The Board determined and continues to believe that separating the roles of Board chairman and CEO is the most effective way to govern the Company. The separation allows our Chairman to focus on Board administration, to facilitate communication among Trustees and to serve as a liaison to our CEO while allowing our chief executive to focus on the day-to-day management and implementation of long-term strategy of the Company.</w:t>
      </w:r>
    </w:p>
    <w:p>
      <w:pPr>
        <w:spacing w:after="0" w:line="203" w:lineRule="exact"/>
        <w:rPr>
          <w:sz w:val="20"/>
          <w:szCs w:val="20"/>
          <w:color w:val="auto"/>
        </w:rPr>
      </w:pPr>
    </w:p>
    <w:p>
      <w:pPr>
        <w:ind w:left="540" w:hanging="424"/>
        <w:spacing w:after="0"/>
        <w:tabs>
          <w:tab w:leader="none" w:pos="540" w:val="left"/>
        </w:tabs>
        <w:numPr>
          <w:ilvl w:val="0"/>
          <w:numId w:val="18"/>
        </w:numPr>
        <w:rPr>
          <w:rFonts w:ascii="MS PGothic" w:cs="MS PGothic" w:eastAsia="MS PGothic" w:hAnsi="MS PGothic"/>
          <w:sz w:val="18"/>
          <w:szCs w:val="18"/>
          <w:color w:val="FF160F"/>
        </w:rPr>
      </w:pPr>
      <w:r>
        <w:rPr>
          <w:rFonts w:ascii="Arial" w:cs="Arial" w:eastAsia="Arial" w:hAnsi="Arial"/>
          <w:sz w:val="18"/>
          <w:szCs w:val="18"/>
          <w:b w:val="1"/>
          <w:bCs w:val="1"/>
          <w:color w:val="auto"/>
        </w:rPr>
        <w:t>BOARD AND COMMITTEE MEETINGS</w:t>
      </w:r>
    </w:p>
    <w:p>
      <w:pPr>
        <w:sectPr>
          <w:pgSz w:w="11900" w:h="16838" w:orient="portrait"/>
          <w:cols w:equalWidth="0" w:num="1">
            <w:col w:w="11140"/>
          </w:cols>
          <w:pgMar w:left="320" w:top="482" w:right="439" w:bottom="1440" w:gutter="0" w:footer="0" w:header="0"/>
        </w:sectPr>
      </w:pPr>
    </w:p>
    <w:p>
      <w:pPr>
        <w:spacing w:after="0" w:line="252" w:lineRule="exact"/>
        <w:rPr>
          <w:sz w:val="20"/>
          <w:szCs w:val="20"/>
          <w:color w:val="auto"/>
        </w:rPr>
      </w:pPr>
    </w:p>
    <w:p>
      <w:pPr>
        <w:jc w:val="both"/>
        <w:ind w:left="120"/>
        <w:spacing w:after="0" w:line="239" w:lineRule="auto"/>
        <w:rPr>
          <w:sz w:val="20"/>
          <w:szCs w:val="20"/>
          <w:color w:val="auto"/>
        </w:rPr>
      </w:pPr>
      <w:r>
        <w:rPr>
          <w:rFonts w:ascii="Arial" w:cs="Arial" w:eastAsia="Arial" w:hAnsi="Arial"/>
          <w:sz w:val="18"/>
          <w:szCs w:val="18"/>
          <w:color w:val="auto"/>
        </w:rPr>
        <w:t>The Board met five (5) times in 2023 and each trustee attended at least 75% of the meetings of the Board and the committees on which that trustee serves. Our practice is for all trustees to attend all meetings of each of the Board’s standing committees to ensure that each Trustee is fully informed on all issues facing the Company and has the opportunity to participate in discussions surrounding those issues. Only trustees who are members of the specific committee are entitled to vote on matters presented to that committee. At each quarterly meeting, the Trustees met in executive session with all Trustees and then with just non-management Trustees, all of whom are independent. All Trustees are also expected to attend our annual shareholder meeting and all Trustees attended the 2023 annual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4831080</wp:posOffset>
            </wp:positionH>
            <wp:positionV relativeFrom="paragraph">
              <wp:posOffset>-1296035</wp:posOffset>
            </wp:positionV>
            <wp:extent cx="17145" cy="17316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7145" cy="1731645"/>
                    </a:xfrm>
                    <a:prstGeom prst="rect">
                      <a:avLst/>
                    </a:prstGeom>
                    <a:noFill/>
                  </pic:spPr>
                </pic:pic>
              </a:graphicData>
            </a:graphic>
          </wp:anchor>
        </w:drawing>
      </w:r>
    </w:p>
    <w:p>
      <w:pPr>
        <w:spacing w:after="0" w:line="187" w:lineRule="exact"/>
        <w:rPr>
          <w:sz w:val="20"/>
          <w:szCs w:val="20"/>
          <w:color w:val="auto"/>
        </w:rPr>
      </w:pPr>
    </w:p>
    <w:p>
      <w:pPr>
        <w:ind w:left="120"/>
        <w:spacing w:after="0"/>
        <w:rPr>
          <w:sz w:val="20"/>
          <w:szCs w:val="20"/>
          <w:color w:val="auto"/>
        </w:rPr>
      </w:pPr>
      <w:r>
        <w:rPr>
          <w:rFonts w:ascii="Wingdings" w:cs="Wingdings" w:eastAsia="Wingdings" w:hAnsi="Wingdings"/>
          <w:sz w:val="18"/>
          <w:szCs w:val="18"/>
          <w:b w:val="1"/>
          <w:bCs w:val="1"/>
          <w:color w:val="FF160F"/>
        </w:rPr>
        <w:t>Ø</w:t>
      </w:r>
      <w:r>
        <w:rPr>
          <w:rFonts w:ascii="Arial" w:cs="Arial" w:eastAsia="Arial" w:hAnsi="Arial"/>
          <w:sz w:val="18"/>
          <w:szCs w:val="18"/>
          <w:b w:val="1"/>
          <w:bCs w:val="1"/>
          <w:color w:val="000000"/>
        </w:rPr>
        <w:t xml:space="preserve">   BOARD COMMITTEES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5" w:lineRule="exact"/>
        <w:rPr>
          <w:sz w:val="20"/>
          <w:szCs w:val="20"/>
          <w:color w:val="auto"/>
        </w:rPr>
      </w:pPr>
    </w:p>
    <w:p>
      <w:pPr>
        <w:jc w:val="center"/>
        <w:ind w:right="280"/>
        <w:spacing w:after="0"/>
        <w:rPr>
          <w:sz w:val="20"/>
          <w:szCs w:val="20"/>
          <w:color w:val="auto"/>
        </w:rPr>
      </w:pPr>
      <w:r>
        <w:rPr>
          <w:rFonts w:ascii="Arial" w:cs="Arial" w:eastAsia="Arial" w:hAnsi="Arial"/>
          <w:sz w:val="22"/>
          <w:szCs w:val="22"/>
          <w:b w:val="1"/>
          <w:bCs w:val="1"/>
          <w:color w:val="FF160F"/>
        </w:rPr>
        <w:t>100%</w:t>
      </w:r>
    </w:p>
    <w:p>
      <w:pPr>
        <w:spacing w:after="0" w:line="6" w:lineRule="exact"/>
        <w:rPr>
          <w:sz w:val="20"/>
          <w:szCs w:val="20"/>
          <w:color w:val="auto"/>
        </w:rPr>
      </w:pPr>
    </w:p>
    <w:p>
      <w:pPr>
        <w:jc w:val="center"/>
        <w:ind w:right="280"/>
        <w:spacing w:after="0"/>
        <w:rPr>
          <w:sz w:val="20"/>
          <w:szCs w:val="20"/>
          <w:color w:val="auto"/>
        </w:rPr>
      </w:pPr>
      <w:r>
        <w:rPr>
          <w:rFonts w:ascii="Arial" w:cs="Arial" w:eastAsia="Arial" w:hAnsi="Arial"/>
          <w:sz w:val="17"/>
          <w:szCs w:val="17"/>
          <w:color w:val="auto"/>
        </w:rPr>
        <w:t>Attendance at the annual shareholder</w:t>
      </w:r>
    </w:p>
    <w:p>
      <w:pPr>
        <w:jc w:val="center"/>
        <w:ind w:right="280"/>
        <w:spacing w:after="0"/>
        <w:rPr>
          <w:sz w:val="20"/>
          <w:szCs w:val="20"/>
          <w:color w:val="auto"/>
        </w:rPr>
      </w:pPr>
      <w:r>
        <w:rPr>
          <w:rFonts w:ascii="Arial" w:cs="Arial" w:eastAsia="Arial" w:hAnsi="Arial"/>
          <w:sz w:val="17"/>
          <w:szCs w:val="17"/>
          <w:color w:val="auto"/>
        </w:rPr>
        <w:t>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-170815</wp:posOffset>
            </wp:positionH>
            <wp:positionV relativeFrom="paragraph">
              <wp:posOffset>128270</wp:posOffset>
            </wp:positionV>
            <wp:extent cx="216027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160270" cy="17145"/>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jc w:val="center"/>
        <w:ind w:right="280"/>
        <w:spacing w:after="0"/>
        <w:rPr>
          <w:sz w:val="20"/>
          <w:szCs w:val="20"/>
          <w:color w:val="auto"/>
        </w:rPr>
      </w:pPr>
      <w:r>
        <w:rPr>
          <w:rFonts w:ascii="Arial" w:cs="Arial" w:eastAsia="Arial" w:hAnsi="Arial"/>
          <w:sz w:val="22"/>
          <w:szCs w:val="22"/>
          <w:b w:val="1"/>
          <w:bCs w:val="1"/>
          <w:color w:val="FF160F"/>
        </w:rPr>
        <w:t>99%</w:t>
      </w:r>
    </w:p>
    <w:p>
      <w:pPr>
        <w:spacing w:after="0" w:line="20" w:lineRule="exact"/>
        <w:rPr>
          <w:sz w:val="20"/>
          <w:szCs w:val="20"/>
          <w:color w:val="auto"/>
        </w:rPr>
      </w:pPr>
    </w:p>
    <w:p>
      <w:pPr>
        <w:jc w:val="center"/>
        <w:ind w:left="80" w:right="280"/>
        <w:spacing w:after="0" w:line="256" w:lineRule="auto"/>
        <w:rPr>
          <w:sz w:val="20"/>
          <w:szCs w:val="20"/>
          <w:color w:val="auto"/>
        </w:rPr>
      </w:pPr>
      <w:r>
        <w:rPr>
          <w:rFonts w:ascii="Arial" w:cs="Arial" w:eastAsia="Arial" w:hAnsi="Arial"/>
          <w:sz w:val="16"/>
          <w:szCs w:val="16"/>
          <w:color w:val="auto"/>
        </w:rPr>
        <w:t>Attendance by Trustees of total Board meetings and meetings of Committees on which they serve</w:t>
      </w:r>
    </w:p>
    <w:p>
      <w:pPr>
        <w:spacing w:after="0" w:line="485" w:lineRule="exact"/>
        <w:rPr>
          <w:sz w:val="20"/>
          <w:szCs w:val="20"/>
          <w:color w:val="auto"/>
        </w:rPr>
      </w:pPr>
    </w:p>
    <w:p>
      <w:pPr>
        <w:sectPr>
          <w:pgSz w:w="11900" w:h="16838" w:orient="portrait"/>
          <w:cols w:equalWidth="0" w:num="2">
            <w:col w:w="7380" w:space="620"/>
            <w:col w:w="3140"/>
          </w:cols>
          <w:pgMar w:left="320" w:top="482" w:right="439" w:bottom="1440" w:gutter="0" w:footer="0" w:header="0"/>
          <w:type w:val="continuous"/>
        </w:sectPr>
      </w:pPr>
    </w:p>
    <w:p>
      <w:pPr>
        <w:spacing w:after="0" w:line="268" w:lineRule="exact"/>
        <w:rPr>
          <w:sz w:val="20"/>
          <w:szCs w:val="20"/>
          <w:color w:val="auto"/>
        </w:rPr>
      </w:pPr>
    </w:p>
    <w:p>
      <w:pPr>
        <w:ind w:left="120" w:right="20"/>
        <w:spacing w:after="0" w:line="271" w:lineRule="auto"/>
        <w:rPr>
          <w:sz w:val="20"/>
          <w:szCs w:val="20"/>
          <w:color w:val="auto"/>
        </w:rPr>
      </w:pPr>
      <w:r>
        <w:rPr>
          <w:rFonts w:ascii="Arial" w:cs="Arial" w:eastAsia="Arial" w:hAnsi="Arial"/>
          <w:sz w:val="18"/>
          <w:szCs w:val="18"/>
          <w:color w:val="auto"/>
        </w:rPr>
        <w:t>The Board has three standing committees – the Audit Committee, the Compensation and Human Capital Management Committee (“Compensation Committee”) and the Nominating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66675</wp:posOffset>
            </wp:positionV>
            <wp:extent cx="7003415" cy="1200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003415" cy="120015"/>
                    </a:xfrm>
                    <a:prstGeom prst="rect">
                      <a:avLst/>
                    </a:prstGeom>
                    <a:noFill/>
                  </pic:spPr>
                </pic:pic>
              </a:graphicData>
            </a:graphic>
          </wp:anchor>
        </w:drawing>
      </w:r>
    </w:p>
    <w:p>
      <w:pPr>
        <w:spacing w:after="0" w:line="89" w:lineRule="exact"/>
        <w:rPr>
          <w:sz w:val="20"/>
          <w:szCs w:val="20"/>
          <w:color w:val="auto"/>
        </w:rPr>
      </w:pPr>
    </w:p>
    <w:p>
      <w:pPr>
        <w:ind w:left="8160"/>
        <w:spacing w:after="0"/>
        <w:rPr>
          <w:sz w:val="20"/>
          <w:szCs w:val="20"/>
          <w:color w:val="auto"/>
        </w:rPr>
      </w:pPr>
      <w:r>
        <w:rPr>
          <w:rFonts w:ascii="Arial" w:cs="Arial" w:eastAsia="Arial" w:hAnsi="Arial"/>
          <w:sz w:val="14"/>
          <w:szCs w:val="14"/>
          <w:color w:val="FF160F"/>
        </w:rPr>
        <w:t>Federal Realty</w:t>
      </w:r>
      <w:r>
        <w:rPr>
          <w:rFonts w:ascii="Arial" w:cs="Arial" w:eastAsia="Arial" w:hAnsi="Arial"/>
          <w:sz w:val="14"/>
          <w:szCs w:val="14"/>
          <w:color w:val="000000"/>
        </w:rPr>
        <w:t xml:space="preserve">      2024 Proxy Statement   5</w:t>
      </w:r>
    </w:p>
    <w:p>
      <w:pPr>
        <w:sectPr>
          <w:pgSz w:w="11900" w:h="16838" w:orient="portrait"/>
          <w:cols w:equalWidth="0" w:num="1">
            <w:col w:w="11140"/>
          </w:cols>
          <w:pgMar w:left="320" w:top="482" w:right="4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71" w:lineRule="auto"/>
        <w:rPr>
          <w:sz w:val="20"/>
          <w:szCs w:val="20"/>
          <w:color w:val="auto"/>
        </w:rPr>
      </w:pPr>
      <w:r>
        <w:rPr>
          <w:rFonts w:ascii="Arial" w:cs="Arial" w:eastAsia="Arial" w:hAnsi="Arial"/>
          <w:sz w:val="18"/>
          <w:szCs w:val="18"/>
          <w:color w:val="auto"/>
        </w:rPr>
        <w:t xml:space="preserve">Committee (“NCGC”). Each committee operates under a written charter that is available in the Investors/Corporate Governance section of our website at </w:t>
      </w:r>
      <w:r>
        <w:rPr>
          <w:rFonts w:ascii="Arial" w:cs="Arial" w:eastAsia="Arial" w:hAnsi="Arial"/>
          <w:sz w:val="18"/>
          <w:szCs w:val="18"/>
          <w:i w:val="1"/>
          <w:iCs w:val="1"/>
          <w:u w:val="single" w:color="auto"/>
          <w:color w:val="auto"/>
        </w:rPr>
        <w:t>www.federalrealty.com</w:t>
      </w:r>
      <w:r>
        <w:rPr>
          <w:rFonts w:ascii="Arial" w:cs="Arial" w:eastAsia="Arial" w:hAnsi="Arial"/>
          <w:sz w:val="18"/>
          <w:szCs w:val="18"/>
          <w:color w:val="auto"/>
        </w:rPr>
        <w:t>. Each committee consists entirely of independent, non-employee trustees.</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FFFFFF"/>
        </w:rPr>
        <w:t>A</w:t>
      </w:r>
      <w:r>
        <w:rPr>
          <w:rFonts w:ascii="Arial" w:cs="Arial" w:eastAsia="Arial" w:hAnsi="Arial"/>
          <w:sz w:val="14"/>
          <w:szCs w:val="14"/>
          <w:b w:val="1"/>
          <w:bCs w:val="1"/>
          <w:color w:val="FFFFFF"/>
        </w:rPr>
        <w:t>UDIT</w:t>
      </w:r>
      <w:r>
        <w:rPr>
          <w:rFonts w:ascii="Arial" w:cs="Arial" w:eastAsia="Arial" w:hAnsi="Arial"/>
          <w:sz w:val="18"/>
          <w:szCs w:val="18"/>
          <w:b w:val="1"/>
          <w:bCs w:val="1"/>
          <w:color w:val="FFFFFF"/>
        </w:rPr>
        <w:t xml:space="preserve"> C</w:t>
      </w:r>
      <w:r>
        <w:rPr>
          <w:rFonts w:ascii="Arial" w:cs="Arial" w:eastAsia="Arial" w:hAnsi="Arial"/>
          <w:sz w:val="14"/>
          <w:szCs w:val="14"/>
          <w:b w:val="1"/>
          <w:bCs w:val="1"/>
          <w:color w:val="FFFFFF"/>
        </w:rPr>
        <w:t>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-118745</wp:posOffset>
            </wp:positionV>
            <wp:extent cx="6986270" cy="1885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86270" cy="188595"/>
                    </a:xfrm>
                    <a:prstGeom prst="rect">
                      <a:avLst/>
                    </a:prstGeom>
                    <a:noFill/>
                  </pic:spPr>
                </pic:pic>
              </a:graphicData>
            </a:graphic>
          </wp:anchor>
        </w:drawing>
      </w:r>
    </w:p>
    <w:p>
      <w:pPr>
        <w:spacing w:after="0" w:line="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The Audit Committee’s responsibilities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8890</wp:posOffset>
            </wp:positionV>
            <wp:extent cx="642620" cy="7029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42620" cy="702945"/>
                    </a:xfrm>
                    <a:prstGeom prst="rect">
                      <a:avLst/>
                    </a:prstGeom>
                    <a:noFill/>
                  </pic:spPr>
                </pic:pic>
              </a:graphicData>
            </a:graphic>
          </wp:anchor>
        </w:drawing>
      </w:r>
    </w:p>
    <w:p>
      <w:pPr>
        <w:sectPr>
          <w:pgSz w:w="11900" w:h="16838" w:orient="portrait"/>
          <w:cols w:equalWidth="0" w:num="1">
            <w:col w:w="11120"/>
          </w:cols>
          <w:pgMar w:left="320" w:top="482"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Members</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FF160F"/>
        </w:rPr>
        <w:t>Gail P. Steinel (Chair)*</w:t>
      </w:r>
    </w:p>
    <w:p>
      <w:pPr>
        <w:ind w:left="220"/>
        <w:spacing w:after="0" w:line="234" w:lineRule="auto"/>
        <w:rPr>
          <w:sz w:val="20"/>
          <w:szCs w:val="20"/>
          <w:color w:val="auto"/>
        </w:rPr>
      </w:pPr>
      <w:r>
        <w:rPr>
          <w:rFonts w:ascii="Arial" w:cs="Arial" w:eastAsia="Arial" w:hAnsi="Arial"/>
          <w:sz w:val="18"/>
          <w:szCs w:val="18"/>
          <w:color w:val="auto"/>
        </w:rPr>
        <w:t>David W. Faeder*</w:t>
      </w:r>
    </w:p>
    <w:p>
      <w:pPr>
        <w:ind w:left="220"/>
        <w:spacing w:after="0" w:line="235" w:lineRule="auto"/>
        <w:rPr>
          <w:sz w:val="20"/>
          <w:szCs w:val="20"/>
          <w:color w:val="auto"/>
        </w:rPr>
      </w:pPr>
      <w:r>
        <w:rPr>
          <w:rFonts w:ascii="Arial" w:cs="Arial" w:eastAsia="Arial" w:hAnsi="Arial"/>
          <w:sz w:val="18"/>
          <w:szCs w:val="18"/>
          <w:color w:val="auto"/>
        </w:rPr>
        <w:t>Elizabeth I. Holland</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Anthony P. Nader, III*</w:t>
      </w:r>
    </w:p>
    <w:p>
      <w:pPr>
        <w:spacing w:after="0" w:line="221"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 xml:space="preserve">Number of Meetings in 2023: </w:t>
      </w:r>
      <w:r>
        <w:rPr>
          <w:rFonts w:ascii="Arial" w:cs="Arial" w:eastAsia="Arial" w:hAnsi="Arial"/>
          <w:sz w:val="18"/>
          <w:szCs w:val="18"/>
          <w:b w:val="1"/>
          <w:bCs w:val="1"/>
          <w:color w:val="FF160F"/>
        </w:rPr>
        <w:t>4</w:t>
      </w:r>
    </w:p>
    <w:p>
      <w:pPr>
        <w:spacing w:after="0" w:line="208" w:lineRule="exact"/>
        <w:rPr>
          <w:sz w:val="20"/>
          <w:szCs w:val="20"/>
          <w:color w:val="auto"/>
        </w:rPr>
      </w:pPr>
    </w:p>
    <w:p>
      <w:pPr>
        <w:ind w:left="220" w:firstLine="4"/>
        <w:spacing w:after="0" w:line="285" w:lineRule="auto"/>
        <w:tabs>
          <w:tab w:leader="none" w:pos="316" w:val="left"/>
        </w:tabs>
        <w:numPr>
          <w:ilvl w:val="0"/>
          <w:numId w:val="19"/>
        </w:numPr>
        <w:rPr>
          <w:rFonts w:ascii="Arial" w:cs="Arial" w:eastAsia="Arial" w:hAnsi="Arial"/>
          <w:sz w:val="14"/>
          <w:szCs w:val="14"/>
          <w:color w:val="auto"/>
        </w:rPr>
      </w:pPr>
      <w:r>
        <w:rPr>
          <w:rFonts w:ascii="Arial" w:cs="Arial" w:eastAsia="Arial" w:hAnsi="Arial"/>
          <w:sz w:val="14"/>
          <w:szCs w:val="14"/>
          <w:color w:val="auto"/>
        </w:rPr>
        <w:t>Audit committee financial expert as defined by the SEC.</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ind w:left="333" w:hanging="333"/>
        <w:spacing w:after="0"/>
        <w:tabs>
          <w:tab w:leader="none" w:pos="333" w:val="left"/>
        </w:tabs>
        <w:numPr>
          <w:ilvl w:val="0"/>
          <w:numId w:val="20"/>
        </w:numPr>
        <w:rPr>
          <w:rFonts w:ascii="MS PGothic" w:cs="MS PGothic" w:eastAsia="MS PGothic" w:hAnsi="MS PGothic"/>
          <w:sz w:val="18"/>
          <w:szCs w:val="18"/>
          <w:color w:val="FF160F"/>
        </w:rPr>
      </w:pPr>
      <w:r>
        <w:rPr>
          <w:rFonts w:ascii="Arial" w:cs="Arial" w:eastAsia="Arial" w:hAnsi="Arial"/>
          <w:sz w:val="18"/>
          <w:szCs w:val="18"/>
          <w:color w:val="auto"/>
        </w:rPr>
        <w:t>Select and oversee our independent auditor</w:t>
      </w:r>
    </w:p>
    <w:p>
      <w:pPr>
        <w:spacing w:after="0" w:line="265" w:lineRule="exact"/>
        <w:rPr>
          <w:rFonts w:ascii="MS PGothic" w:cs="MS PGothic" w:eastAsia="MS PGothic" w:hAnsi="MS PGothic"/>
          <w:sz w:val="18"/>
          <w:szCs w:val="18"/>
          <w:color w:val="FF160F"/>
        </w:rPr>
      </w:pPr>
    </w:p>
    <w:p>
      <w:pPr>
        <w:ind w:left="333" w:right="620" w:hanging="333"/>
        <w:spacing w:after="0" w:line="271" w:lineRule="auto"/>
        <w:tabs>
          <w:tab w:leader="none" w:pos="333" w:val="left"/>
        </w:tabs>
        <w:numPr>
          <w:ilvl w:val="0"/>
          <w:numId w:val="20"/>
        </w:numPr>
        <w:rPr>
          <w:rFonts w:ascii="MS PGothic" w:cs="MS PGothic" w:eastAsia="MS PGothic" w:hAnsi="MS PGothic"/>
          <w:sz w:val="18"/>
          <w:szCs w:val="18"/>
          <w:color w:val="FF160F"/>
        </w:rPr>
      </w:pPr>
      <w:r>
        <w:rPr>
          <w:rFonts w:ascii="Arial" w:cs="Arial" w:eastAsia="Arial" w:hAnsi="Arial"/>
          <w:sz w:val="18"/>
          <w:szCs w:val="18"/>
          <w:color w:val="auto"/>
        </w:rPr>
        <w:t>Oversee our financial reporting including reviewing results with management and independent auditors</w:t>
      </w:r>
    </w:p>
    <w:p>
      <w:pPr>
        <w:spacing w:after="0" w:line="194" w:lineRule="exact"/>
        <w:rPr>
          <w:rFonts w:ascii="MS PGothic" w:cs="MS PGothic" w:eastAsia="MS PGothic" w:hAnsi="MS PGothic"/>
          <w:sz w:val="18"/>
          <w:szCs w:val="18"/>
          <w:color w:val="FF160F"/>
        </w:rPr>
      </w:pPr>
    </w:p>
    <w:p>
      <w:pPr>
        <w:ind w:left="333" w:hanging="333"/>
        <w:spacing w:after="0"/>
        <w:tabs>
          <w:tab w:leader="none" w:pos="333" w:val="left"/>
        </w:tabs>
        <w:numPr>
          <w:ilvl w:val="0"/>
          <w:numId w:val="20"/>
        </w:numPr>
        <w:rPr>
          <w:rFonts w:ascii="MS PGothic" w:cs="MS PGothic" w:eastAsia="MS PGothic" w:hAnsi="MS PGothic"/>
          <w:sz w:val="18"/>
          <w:szCs w:val="18"/>
          <w:color w:val="FF160F"/>
        </w:rPr>
      </w:pPr>
      <w:r>
        <w:rPr>
          <w:rFonts w:ascii="Arial" w:cs="Arial" w:eastAsia="Arial" w:hAnsi="Arial"/>
          <w:sz w:val="18"/>
          <w:szCs w:val="18"/>
          <w:color w:val="auto"/>
        </w:rPr>
        <w:t>Oversee internal audit function</w:t>
      </w:r>
    </w:p>
    <w:p>
      <w:pPr>
        <w:spacing w:after="0" w:line="265" w:lineRule="exact"/>
        <w:rPr>
          <w:rFonts w:ascii="MS PGothic" w:cs="MS PGothic" w:eastAsia="MS PGothic" w:hAnsi="MS PGothic"/>
          <w:sz w:val="18"/>
          <w:szCs w:val="18"/>
          <w:color w:val="FF160F"/>
        </w:rPr>
      </w:pPr>
    </w:p>
    <w:p>
      <w:pPr>
        <w:ind w:left="333" w:right="800" w:hanging="333"/>
        <w:spacing w:after="0" w:line="271" w:lineRule="auto"/>
        <w:tabs>
          <w:tab w:leader="none" w:pos="333" w:val="left"/>
        </w:tabs>
        <w:numPr>
          <w:ilvl w:val="0"/>
          <w:numId w:val="20"/>
        </w:numPr>
        <w:rPr>
          <w:rFonts w:ascii="MS PGothic" w:cs="MS PGothic" w:eastAsia="MS PGothic" w:hAnsi="MS PGothic"/>
          <w:sz w:val="18"/>
          <w:szCs w:val="18"/>
          <w:color w:val="FF160F"/>
        </w:rPr>
      </w:pPr>
      <w:r>
        <w:rPr>
          <w:rFonts w:ascii="Arial" w:cs="Arial" w:eastAsia="Arial" w:hAnsi="Arial"/>
          <w:sz w:val="18"/>
          <w:szCs w:val="18"/>
          <w:color w:val="auto"/>
        </w:rPr>
        <w:t>Oversee adequacy and integrity of financial statements, financial reporting and disclosures</w:t>
      </w:r>
    </w:p>
    <w:p>
      <w:pPr>
        <w:spacing w:after="0" w:line="194" w:lineRule="exact"/>
        <w:rPr>
          <w:rFonts w:ascii="MS PGothic" w:cs="MS PGothic" w:eastAsia="MS PGothic" w:hAnsi="MS PGothic"/>
          <w:sz w:val="18"/>
          <w:szCs w:val="18"/>
          <w:color w:val="FF160F"/>
        </w:rPr>
      </w:pPr>
    </w:p>
    <w:p>
      <w:pPr>
        <w:ind w:left="333" w:right="160" w:hanging="333"/>
        <w:spacing w:after="0" w:line="271" w:lineRule="auto"/>
        <w:tabs>
          <w:tab w:leader="none" w:pos="333" w:val="left"/>
        </w:tabs>
        <w:numPr>
          <w:ilvl w:val="0"/>
          <w:numId w:val="20"/>
        </w:numPr>
        <w:rPr>
          <w:rFonts w:ascii="MS PGothic" w:cs="MS PGothic" w:eastAsia="MS PGothic" w:hAnsi="MS PGothic"/>
          <w:sz w:val="18"/>
          <w:szCs w:val="18"/>
          <w:color w:val="FF160F"/>
        </w:rPr>
      </w:pPr>
      <w:r>
        <w:rPr>
          <w:rFonts w:ascii="Arial" w:cs="Arial" w:eastAsia="Arial" w:hAnsi="Arial"/>
          <w:sz w:val="18"/>
          <w:szCs w:val="18"/>
          <w:color w:val="auto"/>
        </w:rPr>
        <w:t>Oversee financial risks and risks related to cybersecurity, data security and information protection</w:t>
      </w:r>
    </w:p>
    <w:p>
      <w:pPr>
        <w:spacing w:after="0" w:line="194" w:lineRule="exact"/>
        <w:rPr>
          <w:rFonts w:ascii="MS PGothic" w:cs="MS PGothic" w:eastAsia="MS PGothic" w:hAnsi="MS PGothic"/>
          <w:sz w:val="18"/>
          <w:szCs w:val="18"/>
          <w:color w:val="FF160F"/>
        </w:rPr>
      </w:pPr>
    </w:p>
    <w:p>
      <w:pPr>
        <w:ind w:left="333" w:hanging="333"/>
        <w:spacing w:after="0"/>
        <w:tabs>
          <w:tab w:leader="none" w:pos="333" w:val="left"/>
        </w:tabs>
        <w:numPr>
          <w:ilvl w:val="0"/>
          <w:numId w:val="20"/>
        </w:numPr>
        <w:rPr>
          <w:rFonts w:ascii="MS PGothic" w:cs="MS PGothic" w:eastAsia="MS PGothic" w:hAnsi="MS PGothic"/>
          <w:sz w:val="18"/>
          <w:szCs w:val="18"/>
          <w:color w:val="FF160F"/>
        </w:rPr>
      </w:pPr>
      <w:r>
        <w:rPr>
          <w:rFonts w:ascii="Arial" w:cs="Arial" w:eastAsia="Arial" w:hAnsi="Arial"/>
          <w:sz w:val="18"/>
          <w:szCs w:val="18"/>
          <w:color w:val="auto"/>
        </w:rPr>
        <w:t>Review and approve any related party transactions requiring disclosure</w:t>
      </w:r>
    </w:p>
    <w:p>
      <w:pPr>
        <w:spacing w:after="0" w:line="200" w:lineRule="exact"/>
        <w:rPr>
          <w:sz w:val="20"/>
          <w:szCs w:val="20"/>
          <w:color w:val="auto"/>
        </w:rPr>
      </w:pPr>
    </w:p>
    <w:p>
      <w:pPr>
        <w:sectPr>
          <w:pgSz w:w="11900" w:h="16838" w:orient="portrait"/>
          <w:cols w:equalWidth="0" w:num="2">
            <w:col w:w="3500" w:space="247"/>
            <w:col w:w="7373"/>
          </w:cols>
          <w:pgMar w:left="320" w:top="482" w:right="4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FFFFFF"/>
        </w:rPr>
        <w:t>C</w:t>
      </w:r>
      <w:r>
        <w:rPr>
          <w:rFonts w:ascii="Arial" w:cs="Arial" w:eastAsia="Arial" w:hAnsi="Arial"/>
          <w:sz w:val="14"/>
          <w:szCs w:val="14"/>
          <w:b w:val="1"/>
          <w:bCs w:val="1"/>
          <w:color w:val="FFFFFF"/>
        </w:rPr>
        <w:t>OMPENSATION</w:t>
      </w:r>
      <w:r>
        <w:rPr>
          <w:rFonts w:ascii="Arial" w:cs="Arial" w:eastAsia="Arial" w:hAnsi="Arial"/>
          <w:sz w:val="18"/>
          <w:szCs w:val="18"/>
          <w:b w:val="1"/>
          <w:bCs w:val="1"/>
          <w:color w:val="FFFFFF"/>
        </w:rPr>
        <w:t xml:space="preserve"> C</w:t>
      </w:r>
      <w:r>
        <w:rPr>
          <w:rFonts w:ascii="Arial" w:cs="Arial" w:eastAsia="Arial" w:hAnsi="Arial"/>
          <w:sz w:val="14"/>
          <w:szCs w:val="14"/>
          <w:b w:val="1"/>
          <w:bCs w:val="1"/>
          <w:color w:val="FFFFFF"/>
        </w:rPr>
        <w:t>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197485</wp:posOffset>
            </wp:positionV>
            <wp:extent cx="659765" cy="7283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59765" cy="728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Members</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FF160F"/>
        </w:rPr>
        <w:t>Elizabeth I. Holland (Chair)</w:t>
      </w:r>
    </w:p>
    <w:p>
      <w:pPr>
        <w:ind w:left="220"/>
        <w:spacing w:after="0" w:line="234" w:lineRule="auto"/>
        <w:rPr>
          <w:sz w:val="20"/>
          <w:szCs w:val="20"/>
          <w:color w:val="auto"/>
        </w:rPr>
      </w:pPr>
      <w:r>
        <w:rPr>
          <w:rFonts w:ascii="Arial" w:cs="Arial" w:eastAsia="Arial" w:hAnsi="Arial"/>
          <w:sz w:val="18"/>
          <w:szCs w:val="18"/>
          <w:color w:val="auto"/>
        </w:rPr>
        <w:t>Nicole Y. Lamb-Hale</w:t>
      </w:r>
    </w:p>
    <w:p>
      <w:pPr>
        <w:ind w:left="220"/>
        <w:spacing w:after="0" w:line="235" w:lineRule="auto"/>
        <w:rPr>
          <w:sz w:val="20"/>
          <w:szCs w:val="20"/>
          <w:color w:val="auto"/>
        </w:rPr>
      </w:pPr>
      <w:r>
        <w:rPr>
          <w:rFonts w:ascii="Arial" w:cs="Arial" w:eastAsia="Arial" w:hAnsi="Arial"/>
          <w:sz w:val="18"/>
          <w:szCs w:val="18"/>
          <w:color w:val="auto"/>
        </w:rPr>
        <w:t>Thomas A. McEachin</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Gail P. Steinel</w:t>
      </w:r>
    </w:p>
    <w:p>
      <w:pPr>
        <w:spacing w:after="0" w:line="221"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 xml:space="preserve">Number of Meetings in 2023: </w:t>
      </w:r>
      <w:r>
        <w:rPr>
          <w:rFonts w:ascii="Arial" w:cs="Arial" w:eastAsia="Arial" w:hAnsi="Arial"/>
          <w:sz w:val="17"/>
          <w:szCs w:val="17"/>
          <w:b w:val="1"/>
          <w:bCs w:val="1"/>
          <w:color w:val="FF160F"/>
        </w:rPr>
        <w:t>2</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Additional information on the Audit Committee is included in the Audit Committee Report and “Proposal 3: Ratification of Independent Registered Public Accounting Firm” beginning on page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-2300605</wp:posOffset>
            </wp:positionH>
            <wp:positionV relativeFrom="paragraph">
              <wp:posOffset>144780</wp:posOffset>
            </wp:positionV>
            <wp:extent cx="6986270" cy="18859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86270" cy="188595"/>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The Compensation Committee’s responsibilities include:</w:t>
      </w:r>
    </w:p>
    <w:p>
      <w:pPr>
        <w:spacing w:after="0" w:line="239" w:lineRule="exact"/>
        <w:rPr>
          <w:sz w:val="20"/>
          <w:szCs w:val="20"/>
          <w:color w:val="auto"/>
        </w:rPr>
      </w:pPr>
    </w:p>
    <w:p>
      <w:pPr>
        <w:ind w:left="340" w:right="200" w:hanging="333"/>
        <w:spacing w:after="0" w:line="271" w:lineRule="auto"/>
        <w:tabs>
          <w:tab w:leader="none" w:pos="340" w:val="left"/>
        </w:tabs>
        <w:numPr>
          <w:ilvl w:val="0"/>
          <w:numId w:val="21"/>
        </w:numPr>
        <w:rPr>
          <w:rFonts w:ascii="MS PGothic" w:cs="MS PGothic" w:eastAsia="MS PGothic" w:hAnsi="MS PGothic"/>
          <w:sz w:val="18"/>
          <w:szCs w:val="18"/>
          <w:color w:val="FF160F"/>
        </w:rPr>
      </w:pPr>
      <w:r>
        <w:rPr>
          <w:rFonts w:ascii="Arial" w:cs="Arial" w:eastAsia="Arial" w:hAnsi="Arial"/>
          <w:sz w:val="18"/>
          <w:szCs w:val="18"/>
          <w:color w:val="auto"/>
        </w:rPr>
        <w:t>Evaluate performance of our CEO and recommend annual compensation and benefits for our CEO</w:t>
      </w:r>
    </w:p>
    <w:p>
      <w:pPr>
        <w:spacing w:after="0" w:line="194" w:lineRule="exact"/>
        <w:rPr>
          <w:rFonts w:ascii="MS PGothic" w:cs="MS PGothic" w:eastAsia="MS PGothic" w:hAnsi="MS PGothic"/>
          <w:sz w:val="18"/>
          <w:szCs w:val="18"/>
          <w:color w:val="FF160F"/>
        </w:rPr>
      </w:pPr>
    </w:p>
    <w:p>
      <w:pPr>
        <w:ind w:left="340" w:right="360" w:hanging="333"/>
        <w:spacing w:after="0" w:line="271" w:lineRule="auto"/>
        <w:tabs>
          <w:tab w:leader="none" w:pos="340" w:val="left"/>
        </w:tabs>
        <w:numPr>
          <w:ilvl w:val="0"/>
          <w:numId w:val="21"/>
        </w:numPr>
        <w:rPr>
          <w:rFonts w:ascii="MS PGothic" w:cs="MS PGothic" w:eastAsia="MS PGothic" w:hAnsi="MS PGothic"/>
          <w:sz w:val="18"/>
          <w:szCs w:val="18"/>
          <w:color w:val="FF160F"/>
        </w:rPr>
      </w:pPr>
      <w:r>
        <w:rPr>
          <w:rFonts w:ascii="Arial" w:cs="Arial" w:eastAsia="Arial" w:hAnsi="Arial"/>
          <w:sz w:val="18"/>
          <w:szCs w:val="18"/>
          <w:color w:val="auto"/>
        </w:rPr>
        <w:t>Review and approve compensation and benefits for our senior officers, including our NEOs</w:t>
      </w:r>
    </w:p>
    <w:p>
      <w:pPr>
        <w:spacing w:after="0" w:line="194" w:lineRule="exact"/>
        <w:rPr>
          <w:rFonts w:ascii="MS PGothic" w:cs="MS PGothic" w:eastAsia="MS PGothic" w:hAnsi="MS PGothic"/>
          <w:sz w:val="18"/>
          <w:szCs w:val="18"/>
          <w:color w:val="FF160F"/>
        </w:rPr>
      </w:pPr>
    </w:p>
    <w:p>
      <w:pPr>
        <w:ind w:left="340" w:hanging="333"/>
        <w:spacing w:after="0"/>
        <w:tabs>
          <w:tab w:leader="none" w:pos="340" w:val="left"/>
        </w:tabs>
        <w:numPr>
          <w:ilvl w:val="0"/>
          <w:numId w:val="21"/>
        </w:numPr>
        <w:rPr>
          <w:rFonts w:ascii="MS PGothic" w:cs="MS PGothic" w:eastAsia="MS PGothic" w:hAnsi="MS PGothic"/>
          <w:sz w:val="18"/>
          <w:szCs w:val="18"/>
          <w:color w:val="FF160F"/>
        </w:rPr>
      </w:pPr>
      <w:r>
        <w:rPr>
          <w:rFonts w:ascii="Arial" w:cs="Arial" w:eastAsia="Arial" w:hAnsi="Arial"/>
          <w:sz w:val="18"/>
          <w:szCs w:val="18"/>
          <w:color w:val="auto"/>
        </w:rPr>
        <w:t>Administer certain other benefit plans of the Company</w:t>
      </w:r>
    </w:p>
    <w:p>
      <w:pPr>
        <w:spacing w:after="0" w:line="265" w:lineRule="exact"/>
        <w:rPr>
          <w:rFonts w:ascii="MS PGothic" w:cs="MS PGothic" w:eastAsia="MS PGothic" w:hAnsi="MS PGothic"/>
          <w:sz w:val="18"/>
          <w:szCs w:val="18"/>
          <w:color w:val="FF160F"/>
        </w:rPr>
      </w:pPr>
    </w:p>
    <w:p>
      <w:pPr>
        <w:ind w:left="340" w:right="240" w:hanging="333"/>
        <w:spacing w:after="0" w:line="271" w:lineRule="auto"/>
        <w:tabs>
          <w:tab w:leader="none" w:pos="340" w:val="left"/>
        </w:tabs>
        <w:numPr>
          <w:ilvl w:val="0"/>
          <w:numId w:val="21"/>
        </w:numPr>
        <w:rPr>
          <w:rFonts w:ascii="MS PGothic" w:cs="MS PGothic" w:eastAsia="MS PGothic" w:hAnsi="MS PGothic"/>
          <w:sz w:val="18"/>
          <w:szCs w:val="18"/>
          <w:color w:val="FF160F"/>
        </w:rPr>
      </w:pPr>
      <w:r>
        <w:rPr>
          <w:rFonts w:ascii="Arial" w:cs="Arial" w:eastAsia="Arial" w:hAnsi="Arial"/>
          <w:sz w:val="18"/>
          <w:szCs w:val="18"/>
          <w:color w:val="auto"/>
        </w:rPr>
        <w:t>Review and approve employment related agreements for senior officers, including our NEOs</w:t>
      </w:r>
    </w:p>
    <w:p>
      <w:pPr>
        <w:spacing w:after="0" w:line="194" w:lineRule="exact"/>
        <w:rPr>
          <w:rFonts w:ascii="MS PGothic" w:cs="MS PGothic" w:eastAsia="MS PGothic" w:hAnsi="MS PGothic"/>
          <w:sz w:val="18"/>
          <w:szCs w:val="18"/>
          <w:color w:val="FF160F"/>
        </w:rPr>
      </w:pPr>
    </w:p>
    <w:p>
      <w:pPr>
        <w:ind w:left="340" w:hanging="333"/>
        <w:spacing w:after="0"/>
        <w:tabs>
          <w:tab w:leader="none" w:pos="340" w:val="left"/>
        </w:tabs>
        <w:numPr>
          <w:ilvl w:val="0"/>
          <w:numId w:val="21"/>
        </w:numPr>
        <w:rPr>
          <w:rFonts w:ascii="MS PGothic" w:cs="MS PGothic" w:eastAsia="MS PGothic" w:hAnsi="MS PGothic"/>
          <w:sz w:val="18"/>
          <w:szCs w:val="18"/>
          <w:color w:val="FF160F"/>
        </w:rPr>
      </w:pPr>
      <w:r>
        <w:rPr>
          <w:rFonts w:ascii="Arial" w:cs="Arial" w:eastAsia="Arial" w:hAnsi="Arial"/>
          <w:sz w:val="18"/>
          <w:szCs w:val="18"/>
          <w:color w:val="auto"/>
        </w:rPr>
        <w:t>Administer and make equity awards under our long-term plan</w:t>
      </w:r>
    </w:p>
    <w:p>
      <w:pPr>
        <w:spacing w:after="0" w:line="265" w:lineRule="exact"/>
        <w:rPr>
          <w:rFonts w:ascii="MS PGothic" w:cs="MS PGothic" w:eastAsia="MS PGothic" w:hAnsi="MS PGothic"/>
          <w:sz w:val="18"/>
          <w:szCs w:val="18"/>
          <w:color w:val="FF160F"/>
        </w:rPr>
      </w:pPr>
    </w:p>
    <w:p>
      <w:pPr>
        <w:ind w:left="340" w:hanging="333"/>
        <w:spacing w:after="0"/>
        <w:tabs>
          <w:tab w:leader="none" w:pos="340" w:val="left"/>
        </w:tabs>
        <w:numPr>
          <w:ilvl w:val="0"/>
          <w:numId w:val="21"/>
        </w:numPr>
        <w:rPr>
          <w:rFonts w:ascii="MS PGothic" w:cs="MS PGothic" w:eastAsia="MS PGothic" w:hAnsi="MS PGothic"/>
          <w:sz w:val="18"/>
          <w:szCs w:val="18"/>
          <w:color w:val="FF160F"/>
        </w:rPr>
      </w:pPr>
      <w:r>
        <w:rPr>
          <w:rFonts w:ascii="Arial" w:cs="Arial" w:eastAsia="Arial" w:hAnsi="Arial"/>
          <w:sz w:val="18"/>
          <w:szCs w:val="18"/>
          <w:color w:val="auto"/>
        </w:rPr>
        <w:t>Oversee key strategies and human resource policies and practices for all employees</w:t>
      </w:r>
    </w:p>
    <w:p>
      <w:pPr>
        <w:spacing w:after="0" w:line="200" w:lineRule="exact"/>
        <w:rPr>
          <w:sz w:val="20"/>
          <w:szCs w:val="20"/>
          <w:color w:val="auto"/>
        </w:rPr>
      </w:pPr>
    </w:p>
    <w:p>
      <w:pPr>
        <w:sectPr>
          <w:pgSz w:w="11900" w:h="16838" w:orient="portrait"/>
          <w:cols w:equalWidth="0" w:num="2">
            <w:col w:w="3020" w:space="720"/>
            <w:col w:w="7380"/>
          </w:cols>
          <w:pgMar w:left="320" w:top="482" w:right="459" w:bottom="1440" w:gutter="0" w:footer="0" w:header="0"/>
          <w:type w:val="continuous"/>
        </w:sectPr>
      </w:pPr>
    </w:p>
    <w:p>
      <w:pPr>
        <w:spacing w:after="0" w:line="66" w:lineRule="exact"/>
        <w:rPr>
          <w:sz w:val="20"/>
          <w:szCs w:val="20"/>
          <w:color w:val="auto"/>
        </w:rPr>
      </w:pPr>
    </w:p>
    <w:p>
      <w:pPr>
        <w:ind w:left="3740" w:right="220"/>
        <w:spacing w:after="0" w:line="253" w:lineRule="auto"/>
        <w:rPr>
          <w:sz w:val="20"/>
          <w:szCs w:val="20"/>
          <w:color w:val="auto"/>
        </w:rPr>
      </w:pPr>
      <w:r>
        <w:rPr>
          <w:rFonts w:ascii="Arial" w:cs="Arial" w:eastAsia="Arial" w:hAnsi="Arial"/>
          <w:sz w:val="18"/>
          <w:szCs w:val="18"/>
          <w:color w:val="auto"/>
        </w:rPr>
        <w:t>The Compensation Committee report is included at page 30 of this proxy statement and more detail on the work of the Compensation Committee is included in the “Compensation Discussion and Analysis” beginning on page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85090</wp:posOffset>
            </wp:positionV>
            <wp:extent cx="7003415" cy="1200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003415" cy="120015"/>
                    </a:xfrm>
                    <a:prstGeom prst="rect">
                      <a:avLst/>
                    </a:prstGeom>
                    <a:noFill/>
                  </pic:spPr>
                </pic:pic>
              </a:graphicData>
            </a:graphic>
          </wp:anchor>
        </w:drawing>
      </w:r>
    </w:p>
    <w:p>
      <w:pPr>
        <w:spacing w:after="0" w:line="118" w:lineRule="exact"/>
        <w:rPr>
          <w:sz w:val="20"/>
          <w:szCs w:val="20"/>
          <w:color w:val="auto"/>
        </w:rPr>
      </w:pPr>
    </w:p>
    <w:p>
      <w:pPr>
        <w:ind w:left="340"/>
        <w:spacing w:after="0"/>
        <w:rPr>
          <w:sz w:val="20"/>
          <w:szCs w:val="20"/>
          <w:color w:val="auto"/>
        </w:rPr>
      </w:pPr>
      <w:r>
        <w:rPr>
          <w:rFonts w:ascii="Arial" w:cs="Arial" w:eastAsia="Arial" w:hAnsi="Arial"/>
          <w:sz w:val="14"/>
          <w:szCs w:val="14"/>
          <w:color w:val="FF160F"/>
        </w:rPr>
        <w:t>Federal Realty</w:t>
      </w:r>
      <w:r>
        <w:rPr>
          <w:rFonts w:ascii="Arial" w:cs="Arial" w:eastAsia="Arial" w:hAnsi="Arial"/>
          <w:sz w:val="14"/>
          <w:szCs w:val="14"/>
          <w:color w:val="000000"/>
        </w:rPr>
        <w:t xml:space="preserve">      2024 Proxy Statement   6</w:t>
      </w:r>
    </w:p>
    <w:p>
      <w:pPr>
        <w:sectPr>
          <w:pgSz w:w="11900" w:h="16838" w:orient="portrait"/>
          <w:cols w:equalWidth="0" w:num="1">
            <w:col w:w="11120"/>
          </w:cols>
          <w:pgMar w:left="320" w:top="482" w:right="45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FFFFFF"/>
        </w:rPr>
        <w:t>N</w:t>
      </w:r>
      <w:r>
        <w:rPr>
          <w:rFonts w:ascii="Arial" w:cs="Arial" w:eastAsia="Arial" w:hAnsi="Arial"/>
          <w:sz w:val="14"/>
          <w:szCs w:val="14"/>
          <w:b w:val="1"/>
          <w:bCs w:val="1"/>
          <w:color w:val="FFFFFF"/>
        </w:rPr>
        <w:t>OMINATING</w:t>
      </w:r>
      <w:r>
        <w:rPr>
          <w:rFonts w:ascii="Arial" w:cs="Arial" w:eastAsia="Arial" w:hAnsi="Arial"/>
          <w:sz w:val="18"/>
          <w:szCs w:val="18"/>
          <w:b w:val="1"/>
          <w:bCs w:val="1"/>
          <w:color w:val="FFFFFF"/>
        </w:rPr>
        <w:t xml:space="preserve"> C</w:t>
      </w:r>
      <w:r>
        <w:rPr>
          <w:rFonts w:ascii="Arial" w:cs="Arial" w:eastAsia="Arial" w:hAnsi="Arial"/>
          <w:sz w:val="14"/>
          <w:szCs w:val="14"/>
          <w:b w:val="1"/>
          <w:bCs w:val="1"/>
          <w:color w:val="FFFFFF"/>
        </w:rPr>
        <w:t>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-118745</wp:posOffset>
            </wp:positionV>
            <wp:extent cx="6995160" cy="18859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95160" cy="188595"/>
                    </a:xfrm>
                    <a:prstGeom prst="rect">
                      <a:avLst/>
                    </a:prstGeom>
                    <a:noFill/>
                  </pic:spPr>
                </pic:pic>
              </a:graphicData>
            </a:graphic>
          </wp:anchor>
        </w:drawing>
      </w:r>
    </w:p>
    <w:p>
      <w:pPr>
        <w:spacing w:after="0" w:line="70"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The Nominating Committee’s responsibilities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8890</wp:posOffset>
            </wp:positionV>
            <wp:extent cx="668655" cy="7283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68655" cy="728345"/>
                    </a:xfrm>
                    <a:prstGeom prst="rect">
                      <a:avLst/>
                    </a:prstGeom>
                    <a:noFill/>
                  </pic:spPr>
                </pic:pic>
              </a:graphicData>
            </a:graphic>
          </wp:anchor>
        </w:drawing>
      </w:r>
    </w:p>
    <w:p>
      <w:pPr>
        <w:spacing w:after="0" w:line="219" w:lineRule="exact"/>
        <w:rPr>
          <w:sz w:val="20"/>
          <w:szCs w:val="20"/>
          <w:color w:val="auto"/>
        </w:rPr>
      </w:pPr>
    </w:p>
    <w:p>
      <w:pPr>
        <w:ind w:left="4080" w:hanging="319"/>
        <w:spacing w:after="0"/>
        <w:tabs>
          <w:tab w:leader="none" w:pos="4080" w:val="left"/>
        </w:tabs>
        <w:numPr>
          <w:ilvl w:val="0"/>
          <w:numId w:val="22"/>
        </w:numPr>
        <w:rPr>
          <w:rFonts w:ascii="MS PGothic" w:cs="MS PGothic" w:eastAsia="MS PGothic" w:hAnsi="MS PGothic"/>
          <w:sz w:val="18"/>
          <w:szCs w:val="18"/>
          <w:color w:val="FF160F"/>
        </w:rPr>
      </w:pPr>
      <w:r>
        <w:rPr>
          <w:rFonts w:ascii="Arial" w:cs="Arial" w:eastAsia="Arial" w:hAnsi="Arial"/>
          <w:sz w:val="18"/>
          <w:szCs w:val="18"/>
          <w:color w:val="auto"/>
        </w:rPr>
        <w:t>Identify and recommend individuals to stand for election to the Board</w:t>
      </w:r>
    </w:p>
    <w:p>
      <w:pPr>
        <w:spacing w:after="0" w:line="265" w:lineRule="exact"/>
        <w:rPr>
          <w:rFonts w:ascii="MS PGothic" w:cs="MS PGothic" w:eastAsia="MS PGothic" w:hAnsi="MS PGothic"/>
          <w:sz w:val="18"/>
          <w:szCs w:val="18"/>
          <w:color w:val="FF160F"/>
        </w:rPr>
      </w:pPr>
    </w:p>
    <w:p>
      <w:pPr>
        <w:ind w:left="4080" w:hanging="319"/>
        <w:spacing w:after="0"/>
        <w:tabs>
          <w:tab w:leader="none" w:pos="4080" w:val="left"/>
        </w:tabs>
        <w:numPr>
          <w:ilvl w:val="0"/>
          <w:numId w:val="22"/>
        </w:numPr>
        <w:rPr>
          <w:rFonts w:ascii="MS PGothic" w:cs="MS PGothic" w:eastAsia="MS PGothic" w:hAnsi="MS PGothic"/>
          <w:sz w:val="18"/>
          <w:szCs w:val="18"/>
          <w:color w:val="FF160F"/>
        </w:rPr>
      </w:pPr>
      <w:r>
        <w:rPr>
          <w:rFonts w:ascii="Arial" w:cs="Arial" w:eastAsia="Arial" w:hAnsi="Arial"/>
          <w:sz w:val="18"/>
          <w:szCs w:val="18"/>
          <w:color w:val="auto"/>
        </w:rPr>
        <w:t>Develop and oversee corporate governance policies and procedures</w:t>
      </w:r>
    </w:p>
    <w:p>
      <w:pPr>
        <w:sectPr>
          <w:pgSz w:w="11900" w:h="16838" w:orient="portrait"/>
          <w:cols w:equalWidth="0" w:num="1">
            <w:col w:w="11120"/>
          </w:cols>
          <w:pgMar w:left="320" w:top="482" w:right="459" w:bottom="1440" w:gutter="0" w:footer="0" w:header="0"/>
        </w:sectPr>
      </w:pPr>
    </w:p>
    <w:p>
      <w:pPr>
        <w:spacing w:after="0" w:line="347"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Members</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FF160F"/>
        </w:rPr>
        <w:t>Anthony P. Nader, III (Chair)</w:t>
      </w:r>
    </w:p>
    <w:p>
      <w:pPr>
        <w:ind w:left="220"/>
        <w:spacing w:after="0" w:line="234" w:lineRule="auto"/>
        <w:rPr>
          <w:sz w:val="20"/>
          <w:szCs w:val="20"/>
          <w:color w:val="auto"/>
        </w:rPr>
      </w:pPr>
      <w:r>
        <w:rPr>
          <w:rFonts w:ascii="Arial" w:cs="Arial" w:eastAsia="Arial" w:hAnsi="Arial"/>
          <w:sz w:val="18"/>
          <w:szCs w:val="18"/>
          <w:color w:val="auto"/>
        </w:rPr>
        <w:t>David W. Faeder</w:t>
      </w:r>
    </w:p>
    <w:p>
      <w:pPr>
        <w:ind w:left="220"/>
        <w:spacing w:after="0" w:line="235" w:lineRule="auto"/>
        <w:rPr>
          <w:sz w:val="20"/>
          <w:szCs w:val="20"/>
          <w:color w:val="auto"/>
        </w:rPr>
      </w:pPr>
      <w:r>
        <w:rPr>
          <w:rFonts w:ascii="Arial" w:cs="Arial" w:eastAsia="Arial" w:hAnsi="Arial"/>
          <w:sz w:val="18"/>
          <w:szCs w:val="18"/>
          <w:color w:val="auto"/>
        </w:rPr>
        <w:t>Nicole Y. Lamb-Hale</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Thomas A. McEachin</w:t>
      </w:r>
    </w:p>
    <w:p>
      <w:pPr>
        <w:spacing w:after="0" w:line="221"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 xml:space="preserve">Number of Meetings in 2023: </w:t>
      </w:r>
      <w:r>
        <w:rPr>
          <w:rFonts w:ascii="Arial" w:cs="Arial" w:eastAsia="Arial" w:hAnsi="Arial"/>
          <w:sz w:val="18"/>
          <w:szCs w:val="18"/>
          <w:b w:val="1"/>
          <w:bCs w:val="1"/>
          <w:color w:val="FF160F"/>
        </w:rPr>
        <w:t>2</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540" w:hanging="424"/>
        <w:spacing w:after="0"/>
        <w:tabs>
          <w:tab w:leader="none" w:pos="540" w:val="left"/>
        </w:tabs>
        <w:numPr>
          <w:ilvl w:val="0"/>
          <w:numId w:val="23"/>
        </w:numPr>
        <w:rPr>
          <w:rFonts w:ascii="Wingdings" w:cs="Wingdings" w:eastAsia="Wingdings" w:hAnsi="Wingdings"/>
          <w:sz w:val="17"/>
          <w:szCs w:val="17"/>
          <w:b w:val="1"/>
          <w:bCs w:val="1"/>
          <w:color w:val="FF160F"/>
        </w:rPr>
      </w:pPr>
      <w:r>
        <w:rPr>
          <w:rFonts w:ascii="Arial" w:cs="Arial" w:eastAsia="Arial" w:hAnsi="Arial"/>
          <w:sz w:val="17"/>
          <w:szCs w:val="17"/>
          <w:b w:val="1"/>
          <w:bCs w:val="1"/>
          <w:color w:val="auto"/>
        </w:rPr>
        <w:t>BOARD’S ROLE IN RISK OVERSIGHT</w:t>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ind w:left="319" w:hanging="319"/>
        <w:spacing w:after="0"/>
        <w:tabs>
          <w:tab w:leader="none" w:pos="319" w:val="left"/>
        </w:tabs>
        <w:numPr>
          <w:ilvl w:val="0"/>
          <w:numId w:val="24"/>
        </w:numPr>
        <w:rPr>
          <w:rFonts w:ascii="MS PGothic" w:cs="MS PGothic" w:eastAsia="MS PGothic" w:hAnsi="MS PGothic"/>
          <w:sz w:val="18"/>
          <w:szCs w:val="18"/>
          <w:color w:val="FF160F"/>
        </w:rPr>
      </w:pPr>
      <w:r>
        <w:rPr>
          <w:rFonts w:ascii="Arial" w:cs="Arial" w:eastAsia="Arial" w:hAnsi="Arial"/>
          <w:sz w:val="18"/>
          <w:szCs w:val="18"/>
          <w:color w:val="auto"/>
        </w:rPr>
        <w:t>Oversee annual trustee evaluation process</w:t>
      </w:r>
    </w:p>
    <w:p>
      <w:pPr>
        <w:spacing w:after="0" w:line="265" w:lineRule="exact"/>
        <w:rPr>
          <w:rFonts w:ascii="MS PGothic" w:cs="MS PGothic" w:eastAsia="MS PGothic" w:hAnsi="MS PGothic"/>
          <w:sz w:val="18"/>
          <w:szCs w:val="18"/>
          <w:color w:val="FF160F"/>
        </w:rPr>
      </w:pPr>
    </w:p>
    <w:p>
      <w:pPr>
        <w:ind w:left="319" w:hanging="319"/>
        <w:spacing w:after="0"/>
        <w:tabs>
          <w:tab w:leader="none" w:pos="319" w:val="left"/>
        </w:tabs>
        <w:numPr>
          <w:ilvl w:val="0"/>
          <w:numId w:val="24"/>
        </w:numPr>
        <w:rPr>
          <w:rFonts w:ascii="MS PGothic" w:cs="MS PGothic" w:eastAsia="MS PGothic" w:hAnsi="MS PGothic"/>
          <w:sz w:val="18"/>
          <w:szCs w:val="18"/>
          <w:color w:val="FF160F"/>
        </w:rPr>
      </w:pPr>
      <w:r>
        <w:rPr>
          <w:rFonts w:ascii="Arial" w:cs="Arial" w:eastAsia="Arial" w:hAnsi="Arial"/>
          <w:sz w:val="18"/>
          <w:szCs w:val="18"/>
          <w:color w:val="auto"/>
        </w:rPr>
        <w:t>Recommend members of the Board to serve on its committees and in leadership roles</w:t>
      </w:r>
    </w:p>
    <w:p>
      <w:pPr>
        <w:spacing w:after="0" w:line="225" w:lineRule="exact"/>
        <w:rPr>
          <w:rFonts w:ascii="MS PGothic" w:cs="MS PGothic" w:eastAsia="MS PGothic" w:hAnsi="MS PGothic"/>
          <w:sz w:val="18"/>
          <w:szCs w:val="18"/>
          <w:color w:val="FF160F"/>
        </w:rPr>
      </w:pPr>
    </w:p>
    <w:p>
      <w:pPr>
        <w:ind w:left="319" w:right="400" w:hanging="319"/>
        <w:spacing w:after="0" w:line="271" w:lineRule="auto"/>
        <w:tabs>
          <w:tab w:leader="none" w:pos="319" w:val="left"/>
        </w:tabs>
        <w:numPr>
          <w:ilvl w:val="0"/>
          <w:numId w:val="24"/>
        </w:numPr>
        <w:rPr>
          <w:rFonts w:ascii="MS PGothic" w:cs="MS PGothic" w:eastAsia="MS PGothic" w:hAnsi="MS PGothic"/>
          <w:sz w:val="18"/>
          <w:szCs w:val="18"/>
          <w:color w:val="FF160F"/>
        </w:rPr>
      </w:pPr>
      <w:r>
        <w:rPr>
          <w:rFonts w:ascii="Arial" w:cs="Arial" w:eastAsia="Arial" w:hAnsi="Arial"/>
          <w:sz w:val="18"/>
          <w:szCs w:val="18"/>
          <w:color w:val="auto"/>
        </w:rPr>
        <w:t>Oversee corporate responsibility and sustainability efforts and monitor priorities and progress on goals</w:t>
      </w:r>
    </w:p>
    <w:p>
      <w:pPr>
        <w:spacing w:after="0" w:line="1183" w:lineRule="exact"/>
        <w:rPr>
          <w:sz w:val="20"/>
          <w:szCs w:val="20"/>
          <w:color w:val="auto"/>
        </w:rPr>
      </w:pPr>
    </w:p>
    <w:p>
      <w:pPr>
        <w:sectPr>
          <w:pgSz w:w="11900" w:h="16838" w:orient="portrait"/>
          <w:cols w:equalWidth="0" w:num="2">
            <w:col w:w="3740" w:space="21"/>
            <w:col w:w="7359"/>
          </w:cols>
          <w:pgMar w:left="320" w:top="482" w:right="459" w:bottom="1440" w:gutter="0" w:footer="0" w:header="0"/>
          <w:type w:val="continuous"/>
        </w:sectPr>
      </w:pPr>
    </w:p>
    <w:p>
      <w:pPr>
        <w:spacing w:after="0" w:line="23" w:lineRule="exact"/>
        <w:rPr>
          <w:sz w:val="20"/>
          <w:szCs w:val="20"/>
          <w:color w:val="auto"/>
        </w:rPr>
      </w:pPr>
    </w:p>
    <w:p>
      <w:pPr>
        <w:jc w:val="both"/>
        <w:ind w:left="120"/>
        <w:spacing w:after="0"/>
        <w:rPr>
          <w:sz w:val="20"/>
          <w:szCs w:val="20"/>
          <w:color w:val="auto"/>
        </w:rPr>
      </w:pPr>
      <w:r>
        <w:rPr>
          <w:rFonts w:ascii="Arial" w:cs="Arial" w:eastAsia="Arial" w:hAnsi="Arial"/>
          <w:sz w:val="18"/>
          <w:szCs w:val="18"/>
          <w:color w:val="auto"/>
        </w:rPr>
        <w:t>The full Board has overall responsibility for risk oversight which it accomplishes directly and through its committees. The Board’s committees are primarily responsible for certain matters relating to the risks inherent in the committees’ respective areas of oversight as set forth in the committee charters. One of the primary ways the Board and its committees discharge their risk oversight responsibilities is through regular reporting from management which identifies key risks to enable the Board and management to identify and implement appropriate measures to manage and mitigate those risks. The chart below provides more detail on how the Board oversees risk management for the Company. The Board believes that this structure and division of responsibility is the most effective way to monitor and manage the Company’s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86360</wp:posOffset>
            </wp:positionV>
            <wp:extent cx="7003415" cy="1200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003415" cy="120015"/>
                    </a:xfrm>
                    <a:prstGeom prst="rect">
                      <a:avLst/>
                    </a:prstGeom>
                    <a:noFill/>
                  </pic:spPr>
                </pic:pic>
              </a:graphicData>
            </a:graphic>
          </wp:anchor>
        </w:drawing>
      </w:r>
    </w:p>
    <w:p>
      <w:pPr>
        <w:spacing w:after="0" w:line="120" w:lineRule="exact"/>
        <w:rPr>
          <w:sz w:val="20"/>
          <w:szCs w:val="20"/>
          <w:color w:val="auto"/>
        </w:rPr>
      </w:pPr>
    </w:p>
    <w:p>
      <w:pPr>
        <w:ind w:left="8160"/>
        <w:spacing w:after="0"/>
        <w:rPr>
          <w:sz w:val="20"/>
          <w:szCs w:val="20"/>
          <w:color w:val="auto"/>
        </w:rPr>
      </w:pPr>
      <w:r>
        <w:rPr>
          <w:rFonts w:ascii="Arial" w:cs="Arial" w:eastAsia="Arial" w:hAnsi="Arial"/>
          <w:sz w:val="14"/>
          <w:szCs w:val="14"/>
          <w:color w:val="FF160F"/>
        </w:rPr>
        <w:t>Federal Realty</w:t>
      </w:r>
      <w:r>
        <w:rPr>
          <w:rFonts w:ascii="Arial" w:cs="Arial" w:eastAsia="Arial" w:hAnsi="Arial"/>
          <w:sz w:val="14"/>
          <w:szCs w:val="14"/>
          <w:color w:val="000000"/>
        </w:rPr>
        <w:t xml:space="preserve">      2024 Proxy Statement   7</w:t>
      </w:r>
    </w:p>
    <w:p>
      <w:pPr>
        <w:sectPr>
          <w:pgSz w:w="11900" w:h="16838" w:orient="portrait"/>
          <w:cols w:equalWidth="0" w:num="1">
            <w:col w:w="11120"/>
          </w:cols>
          <w:pgMar w:left="320" w:top="482" w:right="45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208280</wp:posOffset>
            </wp:positionV>
            <wp:extent cx="5186045" cy="45345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186045" cy="4534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540" w:hanging="424"/>
        <w:spacing w:after="0"/>
        <w:tabs>
          <w:tab w:leader="none" w:pos="540" w:val="left"/>
        </w:tabs>
        <w:numPr>
          <w:ilvl w:val="0"/>
          <w:numId w:val="25"/>
        </w:numPr>
        <w:rPr>
          <w:rFonts w:ascii="Wingdings" w:cs="Wingdings" w:eastAsia="Wingdings" w:hAnsi="Wingdings"/>
          <w:sz w:val="18"/>
          <w:szCs w:val="18"/>
          <w:b w:val="1"/>
          <w:bCs w:val="1"/>
          <w:color w:val="FF160F"/>
        </w:rPr>
      </w:pPr>
      <w:r>
        <w:rPr>
          <w:rFonts w:ascii="Arial" w:cs="Arial" w:eastAsia="Arial" w:hAnsi="Arial"/>
          <w:sz w:val="18"/>
          <w:szCs w:val="18"/>
          <w:b w:val="1"/>
          <w:bCs w:val="1"/>
          <w:color w:val="auto"/>
        </w:rPr>
        <w:t>BOARD AND COMMITTEE EVALUATION PROCESS</w:t>
      </w:r>
    </w:p>
    <w:p>
      <w:pPr>
        <w:spacing w:after="0" w:line="212" w:lineRule="exact"/>
        <w:rPr>
          <w:sz w:val="20"/>
          <w:szCs w:val="20"/>
          <w:color w:val="auto"/>
        </w:rPr>
      </w:pPr>
    </w:p>
    <w:p>
      <w:pPr>
        <w:jc w:val="both"/>
        <w:ind w:left="120"/>
        <w:spacing w:after="0" w:line="244" w:lineRule="auto"/>
        <w:rPr>
          <w:sz w:val="20"/>
          <w:szCs w:val="20"/>
          <w:color w:val="auto"/>
        </w:rPr>
      </w:pPr>
      <w:r>
        <w:rPr>
          <w:rFonts w:ascii="Arial" w:cs="Arial" w:eastAsia="Arial" w:hAnsi="Arial"/>
          <w:sz w:val="18"/>
          <w:szCs w:val="18"/>
          <w:color w:val="auto"/>
        </w:rPr>
        <w:t>Our Board and each standing committee conducts annual evaluations that cover overall effectiveness of the Board and the committee as well as the effectiveness of each individual trustee. The NCGC leads the process for the evaluation of the overall Board and each individual trustee and each committee chair leads the evaluation process for his or her committee. Results of the evaluations are taken into account in determining trustees to stand for election at the next annual meeting and in determining committee assignments and leadership roles.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81280</wp:posOffset>
            </wp:positionV>
            <wp:extent cx="7003415" cy="1200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003415" cy="120015"/>
                    </a:xfrm>
                    <a:prstGeom prst="rect">
                      <a:avLst/>
                    </a:prstGeom>
                    <a:noFill/>
                  </pic:spPr>
                </pic:pic>
              </a:graphicData>
            </a:graphic>
          </wp:anchor>
        </w:drawing>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4"/>
          <w:szCs w:val="14"/>
          <w:color w:val="FF160F"/>
        </w:rPr>
        <w:t>Federal Realty</w:t>
      </w:r>
      <w:r>
        <w:rPr>
          <w:rFonts w:ascii="Arial" w:cs="Arial" w:eastAsia="Arial" w:hAnsi="Arial"/>
          <w:sz w:val="14"/>
          <w:szCs w:val="14"/>
          <w:color w:val="000000"/>
        </w:rPr>
        <w:t xml:space="preserve">      2024 Proxy Statement   8</w:t>
      </w:r>
    </w:p>
    <w:p>
      <w:pPr>
        <w:sectPr>
          <w:pgSz w:w="11900" w:h="16838" w:orient="portrait"/>
          <w:cols w:equalWidth="0" w:num="1">
            <w:col w:w="11140"/>
          </w:cols>
          <w:pgMar w:left="320" w:top="482" w:right="4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14" w:lineRule="exact"/>
        <w:rPr>
          <w:sz w:val="20"/>
          <w:szCs w:val="20"/>
          <w:color w:val="auto"/>
        </w:rPr>
      </w:pPr>
    </w:p>
    <w:p>
      <w:pPr>
        <w:ind w:left="1660"/>
        <w:spacing w:after="0"/>
        <w:rPr>
          <w:sz w:val="20"/>
          <w:szCs w:val="20"/>
          <w:color w:val="auto"/>
        </w:rPr>
      </w:pPr>
      <w:r>
        <w:rPr>
          <w:rFonts w:ascii="Arial" w:cs="Arial" w:eastAsia="Arial" w:hAnsi="Arial"/>
          <w:sz w:val="16"/>
          <w:szCs w:val="16"/>
          <w:b w:val="1"/>
          <w:bCs w:val="1"/>
          <w:color w:val="auto"/>
        </w:rPr>
        <w:t>COMMITTEE ASSESSMENTS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-107315</wp:posOffset>
            </wp:positionV>
            <wp:extent cx="3377565" cy="2040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377565" cy="204025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jc w:val="both"/>
        <w:ind w:left="460" w:right="620"/>
        <w:spacing w:after="0" w:line="266" w:lineRule="auto"/>
        <w:rPr>
          <w:sz w:val="20"/>
          <w:szCs w:val="20"/>
          <w:color w:val="auto"/>
        </w:rPr>
      </w:pPr>
      <w:r>
        <w:rPr>
          <w:rFonts w:ascii="Arial" w:cs="Arial" w:eastAsia="Arial" w:hAnsi="Arial"/>
          <w:sz w:val="16"/>
          <w:szCs w:val="16"/>
          <w:color w:val="auto"/>
        </w:rPr>
        <w:t>Annual assessment by each committee of its effectiveness using a committee specific list of topics to guide an in-depth discussion of performance.</w:t>
      </w:r>
    </w:p>
    <w:p>
      <w:pPr>
        <w:spacing w:after="0" w:line="200" w:lineRule="exact"/>
        <w:rPr>
          <w:sz w:val="20"/>
          <w:szCs w:val="20"/>
          <w:color w:val="auto"/>
        </w:rPr>
      </w:pPr>
    </w:p>
    <w:p>
      <w:pPr>
        <w:spacing w:after="0" w:line="214"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Topics include:</w:t>
      </w:r>
    </w:p>
    <w:p>
      <w:pPr>
        <w:spacing w:after="0" w:line="17" w:lineRule="exact"/>
        <w:rPr>
          <w:sz w:val="20"/>
          <w:szCs w:val="20"/>
          <w:color w:val="auto"/>
        </w:rPr>
      </w:pPr>
    </w:p>
    <w:p>
      <w:pPr>
        <w:ind w:left="600" w:hanging="115"/>
        <w:spacing w:after="0"/>
        <w:tabs>
          <w:tab w:leader="none" w:pos="600" w:val="left"/>
        </w:tabs>
        <w:numPr>
          <w:ilvl w:val="0"/>
          <w:numId w:val="26"/>
        </w:numPr>
        <w:rPr>
          <w:rFonts w:ascii="MS PGothic" w:cs="MS PGothic" w:eastAsia="MS PGothic" w:hAnsi="MS PGothic"/>
          <w:sz w:val="16"/>
          <w:szCs w:val="16"/>
          <w:color w:val="FF160F"/>
        </w:rPr>
      </w:pPr>
      <w:r>
        <w:rPr>
          <w:rFonts w:ascii="Arial" w:cs="Arial" w:eastAsia="Arial" w:hAnsi="Arial"/>
          <w:sz w:val="16"/>
          <w:szCs w:val="16"/>
          <w:color w:val="auto"/>
        </w:rPr>
        <w:t>   Skills and expertise of committee members</w:t>
      </w:r>
    </w:p>
    <w:p>
      <w:pPr>
        <w:spacing w:after="0" w:line="22" w:lineRule="exact"/>
        <w:rPr>
          <w:rFonts w:ascii="MS PGothic" w:cs="MS PGothic" w:eastAsia="MS PGothic" w:hAnsi="MS PGothic"/>
          <w:sz w:val="16"/>
          <w:szCs w:val="16"/>
          <w:color w:val="FF160F"/>
        </w:rPr>
      </w:pPr>
    </w:p>
    <w:p>
      <w:pPr>
        <w:ind w:left="600" w:hanging="115"/>
        <w:spacing w:after="0"/>
        <w:tabs>
          <w:tab w:leader="none" w:pos="600" w:val="left"/>
        </w:tabs>
        <w:numPr>
          <w:ilvl w:val="0"/>
          <w:numId w:val="26"/>
        </w:numPr>
        <w:rPr>
          <w:rFonts w:ascii="MS PGothic" w:cs="MS PGothic" w:eastAsia="MS PGothic" w:hAnsi="MS PGothic"/>
          <w:sz w:val="16"/>
          <w:szCs w:val="16"/>
          <w:color w:val="FF160F"/>
        </w:rPr>
      </w:pPr>
      <w:r>
        <w:rPr>
          <w:rFonts w:ascii="Arial" w:cs="Arial" w:eastAsia="Arial" w:hAnsi="Arial"/>
          <w:sz w:val="16"/>
          <w:szCs w:val="16"/>
          <w:color w:val="auto"/>
        </w:rPr>
        <w:t>  Adherence to committee charter</w:t>
      </w:r>
    </w:p>
    <w:p>
      <w:pPr>
        <w:spacing w:after="0" w:line="18" w:lineRule="exact"/>
        <w:rPr>
          <w:rFonts w:ascii="MS PGothic" w:cs="MS PGothic" w:eastAsia="MS PGothic" w:hAnsi="MS PGothic"/>
          <w:sz w:val="16"/>
          <w:szCs w:val="16"/>
          <w:color w:val="FF160F"/>
        </w:rPr>
      </w:pPr>
    </w:p>
    <w:p>
      <w:pPr>
        <w:ind w:left="600" w:hanging="115"/>
        <w:spacing w:after="0"/>
        <w:tabs>
          <w:tab w:leader="none" w:pos="600" w:val="left"/>
        </w:tabs>
        <w:numPr>
          <w:ilvl w:val="0"/>
          <w:numId w:val="26"/>
        </w:numPr>
        <w:rPr>
          <w:rFonts w:ascii="MS PGothic" w:cs="MS PGothic" w:eastAsia="MS PGothic" w:hAnsi="MS PGothic"/>
          <w:sz w:val="16"/>
          <w:szCs w:val="16"/>
          <w:color w:val="FF160F"/>
        </w:rPr>
      </w:pPr>
      <w:r>
        <w:rPr>
          <w:rFonts w:ascii="Arial" w:cs="Arial" w:eastAsia="Arial" w:hAnsi="Arial"/>
          <w:sz w:val="16"/>
          <w:szCs w:val="16"/>
          <w:color w:val="auto"/>
        </w:rPr>
        <w:t>   Committee specific topics</w:t>
      </w:r>
    </w:p>
    <w:p>
      <w:pPr>
        <w:spacing w:after="0" w:line="18" w:lineRule="exact"/>
        <w:rPr>
          <w:rFonts w:ascii="MS PGothic" w:cs="MS PGothic" w:eastAsia="MS PGothic" w:hAnsi="MS PGothic"/>
          <w:sz w:val="16"/>
          <w:szCs w:val="16"/>
          <w:color w:val="FF160F"/>
        </w:rPr>
      </w:pPr>
    </w:p>
    <w:p>
      <w:pPr>
        <w:ind w:left="600" w:hanging="115"/>
        <w:spacing w:after="0"/>
        <w:tabs>
          <w:tab w:leader="none" w:pos="600" w:val="left"/>
        </w:tabs>
        <w:numPr>
          <w:ilvl w:val="0"/>
          <w:numId w:val="26"/>
        </w:numPr>
        <w:rPr>
          <w:rFonts w:ascii="MS PGothic" w:cs="MS PGothic" w:eastAsia="MS PGothic" w:hAnsi="MS PGothic"/>
          <w:sz w:val="16"/>
          <w:szCs w:val="16"/>
          <w:color w:val="FF160F"/>
        </w:rPr>
      </w:pPr>
      <w:r>
        <w:rPr>
          <w:rFonts w:ascii="Arial" w:cs="Arial" w:eastAsia="Arial" w:hAnsi="Arial"/>
          <w:sz w:val="16"/>
          <w:szCs w:val="16"/>
          <w:color w:val="auto"/>
        </w:rPr>
        <w:t>   Information provided by and access to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1840"/>
        <w:spacing w:after="0"/>
        <w:rPr>
          <w:sz w:val="20"/>
          <w:szCs w:val="20"/>
          <w:color w:val="auto"/>
        </w:rPr>
      </w:pPr>
      <w:r>
        <w:rPr>
          <w:rFonts w:ascii="Arial" w:cs="Arial" w:eastAsia="Arial" w:hAnsi="Arial"/>
          <w:sz w:val="16"/>
          <w:szCs w:val="16"/>
          <w:b w:val="1"/>
          <w:bCs w:val="1"/>
          <w:color w:val="auto"/>
        </w:rPr>
        <w:t>CONTINUAL FEEDBACK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-107315</wp:posOffset>
            </wp:positionV>
            <wp:extent cx="3377565" cy="10629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377565" cy="1062990"/>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ind w:left="460" w:right="320"/>
        <w:spacing w:after="0" w:line="259" w:lineRule="auto"/>
        <w:rPr>
          <w:sz w:val="20"/>
          <w:szCs w:val="20"/>
          <w:color w:val="auto"/>
        </w:rPr>
      </w:pPr>
      <w:r>
        <w:rPr>
          <w:rFonts w:ascii="Arial" w:cs="Arial" w:eastAsia="Arial" w:hAnsi="Arial"/>
          <w:sz w:val="16"/>
          <w:szCs w:val="16"/>
          <w:color w:val="auto"/>
        </w:rPr>
        <w:t>The Board and the committees provide ongoing feedback on Board and Trustee performance throughout the year outside the formal evaluation process through executive session discussions.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1" w:lineRule="exact"/>
        <w:rPr>
          <w:sz w:val="20"/>
          <w:szCs w:val="20"/>
          <w:color w:val="auto"/>
        </w:rPr>
      </w:pPr>
    </w:p>
    <w:p>
      <w:pPr>
        <w:ind w:left="1400"/>
        <w:spacing w:after="0"/>
        <w:rPr>
          <w:sz w:val="20"/>
          <w:szCs w:val="20"/>
          <w:color w:val="auto"/>
        </w:rPr>
      </w:pPr>
      <w:r>
        <w:rPr>
          <w:rFonts w:ascii="Arial" w:cs="Arial" w:eastAsia="Arial" w:hAnsi="Arial"/>
          <w:sz w:val="16"/>
          <w:szCs w:val="16"/>
          <w:b w:val="1"/>
          <w:bCs w:val="1"/>
          <w:color w:val="auto"/>
        </w:rPr>
        <w:t>TRUSTEE EVALUATIONS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-3867785</wp:posOffset>
            </wp:positionH>
            <wp:positionV relativeFrom="paragraph">
              <wp:posOffset>-664210</wp:posOffset>
            </wp:positionV>
            <wp:extent cx="7174865" cy="558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55880"/>
                    </a:xfrm>
                    <a:prstGeom prst="rect">
                      <a:avLst/>
                    </a:prstGeom>
                    <a:noFill/>
                  </pic:spPr>
                </pic:pic>
              </a:graphicData>
            </a:graphic>
          </wp:anchor>
        </w:drawing>
        <w:drawing>
          <wp:anchor simplePos="0" relativeHeight="251657728" behindDoc="1" locked="0" layoutInCell="0" allowOverlap="1">
            <wp:simplePos x="0" y="0"/>
            <wp:positionH relativeFrom="column">
              <wp:posOffset>-271780</wp:posOffset>
            </wp:positionH>
            <wp:positionV relativeFrom="paragraph">
              <wp:posOffset>-107315</wp:posOffset>
            </wp:positionV>
            <wp:extent cx="3480435" cy="36004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480435" cy="360045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right="360"/>
        <w:spacing w:after="0" w:line="266" w:lineRule="auto"/>
        <w:rPr>
          <w:sz w:val="20"/>
          <w:szCs w:val="20"/>
          <w:color w:val="auto"/>
        </w:rPr>
      </w:pPr>
      <w:r>
        <w:rPr>
          <w:rFonts w:ascii="Arial" w:cs="Arial" w:eastAsia="Arial" w:hAnsi="Arial"/>
          <w:sz w:val="16"/>
          <w:szCs w:val="16"/>
          <w:color w:val="auto"/>
        </w:rPr>
        <w:t>Each Trustee completes a confidential questionnaire evaluating the performance of each other trustee with the results provided to the chair of the Nominating Committee.</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Topics include:</w:t>
      </w:r>
    </w:p>
    <w:p>
      <w:pPr>
        <w:spacing w:after="0" w:line="17" w:lineRule="exact"/>
        <w:rPr>
          <w:sz w:val="20"/>
          <w:szCs w:val="20"/>
          <w:color w:val="auto"/>
        </w:rPr>
      </w:pPr>
    </w:p>
    <w:p>
      <w:pPr>
        <w:ind w:right="1440" w:firstLine="3"/>
        <w:spacing w:after="0" w:line="257" w:lineRule="auto"/>
        <w:tabs>
          <w:tab w:leader="none" w:pos="108" w:val="left"/>
        </w:tabs>
        <w:numPr>
          <w:ilvl w:val="0"/>
          <w:numId w:val="27"/>
        </w:numPr>
        <w:rPr>
          <w:rFonts w:ascii="MS PGothic" w:cs="MS PGothic" w:eastAsia="MS PGothic" w:hAnsi="MS PGothic"/>
          <w:sz w:val="16"/>
          <w:szCs w:val="16"/>
          <w:color w:val="FF160F"/>
        </w:rPr>
      </w:pPr>
      <w:r>
        <w:rPr>
          <w:rFonts w:ascii="Arial" w:cs="Arial" w:eastAsia="Arial" w:hAnsi="Arial"/>
          <w:sz w:val="16"/>
          <w:szCs w:val="16"/>
          <w:color w:val="auto"/>
        </w:rPr>
        <w:t>  Preparedness for meetings and understanding       company business</w:t>
      </w:r>
    </w:p>
    <w:p>
      <w:pPr>
        <w:spacing w:after="0" w:line="1" w:lineRule="exact"/>
        <w:rPr>
          <w:rFonts w:ascii="MS PGothic" w:cs="MS PGothic" w:eastAsia="MS PGothic" w:hAnsi="MS PGothic"/>
          <w:sz w:val="16"/>
          <w:szCs w:val="16"/>
          <w:color w:val="FF160F"/>
        </w:rPr>
      </w:pPr>
    </w:p>
    <w:p>
      <w:pPr>
        <w:ind w:left="120" w:hanging="117"/>
        <w:spacing w:after="0"/>
        <w:tabs>
          <w:tab w:leader="none" w:pos="120" w:val="left"/>
        </w:tabs>
        <w:numPr>
          <w:ilvl w:val="0"/>
          <w:numId w:val="27"/>
        </w:numPr>
        <w:rPr>
          <w:rFonts w:ascii="MS PGothic" w:cs="MS PGothic" w:eastAsia="MS PGothic" w:hAnsi="MS PGothic"/>
          <w:sz w:val="16"/>
          <w:szCs w:val="16"/>
          <w:color w:val="FF160F"/>
        </w:rPr>
      </w:pPr>
      <w:r>
        <w:rPr>
          <w:rFonts w:ascii="Arial" w:cs="Arial" w:eastAsia="Arial" w:hAnsi="Arial"/>
          <w:sz w:val="16"/>
          <w:szCs w:val="16"/>
          <w:color w:val="auto"/>
        </w:rPr>
        <w:t>   Overall contributions to Board and Committees</w:t>
      </w:r>
    </w:p>
    <w:p>
      <w:pPr>
        <w:spacing w:after="0" w:line="18" w:lineRule="exact"/>
        <w:rPr>
          <w:rFonts w:ascii="MS PGothic" w:cs="MS PGothic" w:eastAsia="MS PGothic" w:hAnsi="MS PGothic"/>
          <w:sz w:val="16"/>
          <w:szCs w:val="16"/>
          <w:color w:val="FF160F"/>
        </w:rPr>
      </w:pPr>
    </w:p>
    <w:p>
      <w:pPr>
        <w:ind w:left="120" w:hanging="117"/>
        <w:spacing w:after="0"/>
        <w:tabs>
          <w:tab w:leader="none" w:pos="120" w:val="left"/>
        </w:tabs>
        <w:numPr>
          <w:ilvl w:val="0"/>
          <w:numId w:val="27"/>
        </w:numPr>
        <w:rPr>
          <w:rFonts w:ascii="MS PGothic" w:cs="MS PGothic" w:eastAsia="MS PGothic" w:hAnsi="MS PGothic"/>
          <w:sz w:val="16"/>
          <w:szCs w:val="16"/>
          <w:color w:val="FF160F"/>
        </w:rPr>
      </w:pPr>
      <w:r>
        <w:rPr>
          <w:rFonts w:ascii="Arial" w:cs="Arial" w:eastAsia="Arial" w:hAnsi="Arial"/>
          <w:sz w:val="16"/>
          <w:szCs w:val="16"/>
          <w:color w:val="auto"/>
        </w:rPr>
        <w:t>   Skill set</w:t>
      </w:r>
    </w:p>
    <w:p>
      <w:pPr>
        <w:spacing w:after="0" w:line="18" w:lineRule="exact"/>
        <w:rPr>
          <w:rFonts w:ascii="MS PGothic" w:cs="MS PGothic" w:eastAsia="MS PGothic" w:hAnsi="MS PGothic"/>
          <w:sz w:val="16"/>
          <w:szCs w:val="16"/>
          <w:color w:val="FF160F"/>
        </w:rPr>
      </w:pPr>
    </w:p>
    <w:p>
      <w:pPr>
        <w:ind w:left="120" w:hanging="117"/>
        <w:spacing w:after="0"/>
        <w:tabs>
          <w:tab w:leader="none" w:pos="120" w:val="left"/>
        </w:tabs>
        <w:numPr>
          <w:ilvl w:val="0"/>
          <w:numId w:val="27"/>
        </w:numPr>
        <w:rPr>
          <w:rFonts w:ascii="MS PGothic" w:cs="MS PGothic" w:eastAsia="MS PGothic" w:hAnsi="MS PGothic"/>
          <w:sz w:val="16"/>
          <w:szCs w:val="16"/>
          <w:color w:val="FF160F"/>
        </w:rPr>
      </w:pPr>
      <w:r>
        <w:rPr>
          <w:rFonts w:ascii="Arial" w:cs="Arial" w:eastAsia="Arial" w:hAnsi="Arial"/>
          <w:sz w:val="16"/>
          <w:szCs w:val="16"/>
          <w:color w:val="auto"/>
        </w:rPr>
        <w:t>   Effectiveness in leadership roles (if applicable)</w:t>
      </w:r>
    </w:p>
    <w:p>
      <w:pPr>
        <w:spacing w:after="0" w:line="3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One-on-One Discussions</w:t>
      </w:r>
    </w:p>
    <w:p>
      <w:pPr>
        <w:spacing w:after="0" w:line="21" w:lineRule="exact"/>
        <w:rPr>
          <w:sz w:val="20"/>
          <w:szCs w:val="20"/>
          <w:color w:val="auto"/>
        </w:rPr>
      </w:pPr>
    </w:p>
    <w:p>
      <w:pPr>
        <w:ind w:right="480"/>
        <w:spacing w:after="0" w:line="252" w:lineRule="auto"/>
        <w:rPr>
          <w:sz w:val="20"/>
          <w:szCs w:val="20"/>
          <w:color w:val="auto"/>
        </w:rPr>
      </w:pPr>
      <w:r>
        <w:rPr>
          <w:rFonts w:ascii="Arial" w:cs="Arial" w:eastAsia="Arial" w:hAnsi="Arial"/>
          <w:sz w:val="16"/>
          <w:szCs w:val="16"/>
          <w:color w:val="auto"/>
        </w:rPr>
        <w:t>The chair of the Nominating Committee discusses the individual assessments and overall Board effectiveness with each trustee. The Board chairman conducts the same process for the Nominating Committee chair.</w:t>
      </w: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Results Summary and Action Taken</w:t>
      </w:r>
    </w:p>
    <w:p>
      <w:pPr>
        <w:spacing w:after="0" w:line="21" w:lineRule="exact"/>
        <w:rPr>
          <w:sz w:val="20"/>
          <w:szCs w:val="20"/>
          <w:color w:val="auto"/>
        </w:rPr>
      </w:pPr>
    </w:p>
    <w:p>
      <w:pPr>
        <w:ind w:right="360"/>
        <w:spacing w:after="0" w:line="256" w:lineRule="auto"/>
        <w:rPr>
          <w:sz w:val="20"/>
          <w:szCs w:val="20"/>
          <w:color w:val="auto"/>
        </w:rPr>
      </w:pPr>
      <w:r>
        <w:rPr>
          <w:rFonts w:ascii="Arial" w:cs="Arial" w:eastAsia="Arial" w:hAnsi="Arial"/>
          <w:sz w:val="16"/>
          <w:szCs w:val="16"/>
          <w:color w:val="auto"/>
        </w:rPr>
        <w:t>Results of the assessments are provided to and discussed by the full Board. Identified issues are addressed with changes incorporated into Board policies and governance as needed.</w:t>
      </w:r>
    </w:p>
    <w:p>
      <w:pPr>
        <w:spacing w:after="0" w:line="200" w:lineRule="exact"/>
        <w:rPr>
          <w:sz w:val="20"/>
          <w:szCs w:val="20"/>
          <w:color w:val="auto"/>
        </w:rPr>
      </w:pPr>
    </w:p>
    <w:p>
      <w:pPr>
        <w:sectPr>
          <w:pgSz w:w="11900" w:h="16838" w:orient="portrait"/>
          <w:cols w:equalWidth="0" w:num="2">
            <w:col w:w="5360" w:space="720"/>
            <w:col w:w="5040"/>
          </w:cols>
          <w:pgMar w:left="320" w:top="482" w:right="459" w:bottom="1440" w:gutter="0" w:footer="0" w:header="0"/>
        </w:sectPr>
      </w:pPr>
    </w:p>
    <w:p>
      <w:pPr>
        <w:spacing w:after="0" w:line="200" w:lineRule="exact"/>
        <w:rPr>
          <w:sz w:val="20"/>
          <w:szCs w:val="20"/>
          <w:color w:val="auto"/>
        </w:rPr>
      </w:pPr>
    </w:p>
    <w:p>
      <w:pPr>
        <w:spacing w:after="0" w:line="232" w:lineRule="exact"/>
        <w:rPr>
          <w:sz w:val="20"/>
          <w:szCs w:val="20"/>
          <w:color w:val="auto"/>
        </w:rPr>
      </w:pPr>
    </w:p>
    <w:p>
      <w:pPr>
        <w:ind w:left="540" w:hanging="424"/>
        <w:spacing w:after="0"/>
        <w:tabs>
          <w:tab w:leader="none" w:pos="540" w:val="left"/>
        </w:tabs>
        <w:numPr>
          <w:ilvl w:val="0"/>
          <w:numId w:val="28"/>
        </w:numPr>
        <w:rPr>
          <w:rFonts w:ascii="Wingdings" w:cs="Wingdings" w:eastAsia="Wingdings" w:hAnsi="Wingdings"/>
          <w:sz w:val="18"/>
          <w:szCs w:val="18"/>
          <w:b w:val="1"/>
          <w:bCs w:val="1"/>
          <w:color w:val="FF160F"/>
        </w:rPr>
      </w:pPr>
      <w:r>
        <w:rPr>
          <w:rFonts w:ascii="Arial" w:cs="Arial" w:eastAsia="Arial" w:hAnsi="Arial"/>
          <w:sz w:val="18"/>
          <w:szCs w:val="18"/>
          <w:b w:val="1"/>
          <w:bCs w:val="1"/>
          <w:color w:val="auto"/>
        </w:rPr>
        <w:t>SUCCESSION PLANNING</w:t>
      </w:r>
    </w:p>
    <w:p>
      <w:pPr>
        <w:spacing w:after="0" w:line="212" w:lineRule="exact"/>
        <w:rPr>
          <w:sz w:val="20"/>
          <w:szCs w:val="20"/>
          <w:color w:val="auto"/>
        </w:rPr>
      </w:pPr>
    </w:p>
    <w:p>
      <w:pPr>
        <w:jc w:val="both"/>
        <w:ind w:left="120"/>
        <w:spacing w:after="0" w:line="253" w:lineRule="auto"/>
        <w:rPr>
          <w:sz w:val="20"/>
          <w:szCs w:val="20"/>
          <w:color w:val="auto"/>
        </w:rPr>
      </w:pPr>
      <w:r>
        <w:rPr>
          <w:rFonts w:ascii="Arial" w:cs="Arial" w:eastAsia="Arial" w:hAnsi="Arial"/>
          <w:sz w:val="18"/>
          <w:szCs w:val="18"/>
          <w:color w:val="auto"/>
        </w:rPr>
        <w:t>The Board is responsible for ensuring that we have a high performing management team in place. The Board regularly conducts a detailed review of management development and succession planning activities to ensure that top management positions, including the CEO role, can be filled without significant interruption both in an emergency situation as well as on a longer-term basis.</w:t>
      </w:r>
    </w:p>
    <w:p>
      <w:pPr>
        <w:spacing w:after="0" w:line="196" w:lineRule="exact"/>
        <w:rPr>
          <w:sz w:val="20"/>
          <w:szCs w:val="20"/>
          <w:color w:val="auto"/>
        </w:rPr>
      </w:pPr>
    </w:p>
    <w:p>
      <w:pPr>
        <w:ind w:left="540" w:hanging="424"/>
        <w:spacing w:after="0"/>
        <w:tabs>
          <w:tab w:leader="none" w:pos="540" w:val="left"/>
        </w:tabs>
        <w:numPr>
          <w:ilvl w:val="0"/>
          <w:numId w:val="29"/>
        </w:numPr>
        <w:rPr>
          <w:rFonts w:ascii="Wingdings" w:cs="Wingdings" w:eastAsia="Wingdings" w:hAnsi="Wingdings"/>
          <w:sz w:val="18"/>
          <w:szCs w:val="18"/>
          <w:b w:val="1"/>
          <w:bCs w:val="1"/>
          <w:color w:val="FF160F"/>
        </w:rPr>
      </w:pPr>
      <w:r>
        <w:rPr>
          <w:rFonts w:ascii="Arial" w:cs="Arial" w:eastAsia="Arial" w:hAnsi="Arial"/>
          <w:sz w:val="18"/>
          <w:szCs w:val="18"/>
          <w:b w:val="1"/>
          <w:bCs w:val="1"/>
          <w:color w:val="auto"/>
        </w:rPr>
        <w:t>COMMUNICATIONS WITH THE BOARD</w:t>
      </w:r>
    </w:p>
    <w:p>
      <w:pPr>
        <w:spacing w:after="0" w:line="212" w:lineRule="exact"/>
        <w:rPr>
          <w:sz w:val="20"/>
          <w:szCs w:val="20"/>
          <w:color w:val="auto"/>
        </w:rPr>
      </w:pPr>
    </w:p>
    <w:p>
      <w:pPr>
        <w:jc w:val="both"/>
        <w:ind w:left="120"/>
        <w:spacing w:after="0" w:line="242" w:lineRule="auto"/>
        <w:rPr>
          <w:sz w:val="20"/>
          <w:szCs w:val="20"/>
          <w:color w:val="auto"/>
        </w:rPr>
      </w:pPr>
      <w:r>
        <w:rPr>
          <w:rFonts w:ascii="Arial" w:cs="Arial" w:eastAsia="Arial" w:hAnsi="Arial"/>
          <w:sz w:val="18"/>
          <w:szCs w:val="18"/>
          <w:color w:val="auto"/>
        </w:rPr>
        <w:t>Shareholders and other interested parties may communicate with the Board or any Trustee by sending the communication to the intended recipient at c/o Corporate Secretary, 909 Rose Avenue, Suite 200, North Bethesda, Maryland 20852. Any communication which indicates it is for the Board of Trustees or fails to identify a particular Trustee will be deemed to be a communication intended for our Non-Executive Chairman of the Board. Our Secretary will promptly forward to the appropriate Trustee all communications received for the Board or any individual Trustee which relate to our business, operations, financial condition, management, employees or similar matters. Our Secretary will not forward to any Trustee any advertising, solicitation or similar materials.</w:t>
      </w:r>
    </w:p>
    <w:p>
      <w:pPr>
        <w:spacing w:after="0" w:line="206" w:lineRule="exact"/>
        <w:rPr>
          <w:sz w:val="20"/>
          <w:szCs w:val="20"/>
          <w:color w:val="auto"/>
        </w:rPr>
      </w:pPr>
    </w:p>
    <w:p>
      <w:pPr>
        <w:ind w:left="540" w:hanging="424"/>
        <w:spacing w:after="0"/>
        <w:tabs>
          <w:tab w:leader="none" w:pos="540" w:val="left"/>
        </w:tabs>
        <w:numPr>
          <w:ilvl w:val="0"/>
          <w:numId w:val="30"/>
        </w:numPr>
        <w:rPr>
          <w:rFonts w:ascii="Wingdings" w:cs="Wingdings" w:eastAsia="Wingdings" w:hAnsi="Wingdings"/>
          <w:sz w:val="18"/>
          <w:szCs w:val="18"/>
          <w:b w:val="1"/>
          <w:bCs w:val="1"/>
          <w:color w:val="FF160F"/>
        </w:rPr>
      </w:pPr>
      <w:r>
        <w:rPr>
          <w:rFonts w:ascii="Arial" w:cs="Arial" w:eastAsia="Arial" w:hAnsi="Arial"/>
          <w:sz w:val="18"/>
          <w:szCs w:val="18"/>
          <w:b w:val="1"/>
          <w:bCs w:val="1"/>
          <w:color w:val="auto"/>
        </w:rPr>
        <w:t>COMPENSATION COMMITTEE INTERLOCKS AND INSIDER PARTICIPATION</w:t>
      </w:r>
    </w:p>
    <w:p>
      <w:pPr>
        <w:spacing w:after="0" w:line="212" w:lineRule="exact"/>
        <w:rPr>
          <w:sz w:val="20"/>
          <w:szCs w:val="20"/>
          <w:color w:val="auto"/>
        </w:rPr>
      </w:pPr>
    </w:p>
    <w:p>
      <w:pPr>
        <w:jc w:val="both"/>
        <w:ind w:left="120"/>
        <w:spacing w:after="0" w:line="253" w:lineRule="auto"/>
        <w:rPr>
          <w:sz w:val="20"/>
          <w:szCs w:val="20"/>
          <w:color w:val="auto"/>
        </w:rPr>
      </w:pPr>
      <w:r>
        <w:rPr>
          <w:rFonts w:ascii="Arial" w:cs="Arial" w:eastAsia="Arial" w:hAnsi="Arial"/>
          <w:sz w:val="18"/>
          <w:szCs w:val="18"/>
          <w:color w:val="auto"/>
        </w:rPr>
        <w:t>The Compensation Committee consists of Ms. Holland, Ms. Lamb-Hale, Mr. McEachin and Ms. Steinel. There are no Compensation Committee interlocks and no member of the Compensation Committee serves, or has in the past served, as an employee or officer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76200</wp:posOffset>
            </wp:positionV>
            <wp:extent cx="7003415" cy="1200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003415" cy="120015"/>
                    </a:xfrm>
                    <a:prstGeom prst="rect">
                      <a:avLst/>
                    </a:prstGeom>
                    <a:noFill/>
                  </pic:spPr>
                </pic:pic>
              </a:graphicData>
            </a:graphic>
          </wp:anchor>
        </w:drawing>
      </w:r>
    </w:p>
    <w:p>
      <w:pPr>
        <w:spacing w:after="0" w:line="105" w:lineRule="exact"/>
        <w:rPr>
          <w:sz w:val="20"/>
          <w:szCs w:val="20"/>
          <w:color w:val="auto"/>
        </w:rPr>
      </w:pPr>
    </w:p>
    <w:p>
      <w:pPr>
        <w:ind w:left="8160"/>
        <w:spacing w:after="0"/>
        <w:rPr>
          <w:sz w:val="20"/>
          <w:szCs w:val="20"/>
          <w:color w:val="auto"/>
        </w:rPr>
      </w:pPr>
      <w:r>
        <w:rPr>
          <w:rFonts w:ascii="Arial" w:cs="Arial" w:eastAsia="Arial" w:hAnsi="Arial"/>
          <w:sz w:val="14"/>
          <w:szCs w:val="14"/>
          <w:color w:val="FF160F"/>
        </w:rPr>
        <w:t>Federal Realty</w:t>
      </w:r>
      <w:r>
        <w:rPr>
          <w:rFonts w:ascii="Arial" w:cs="Arial" w:eastAsia="Arial" w:hAnsi="Arial"/>
          <w:sz w:val="14"/>
          <w:szCs w:val="14"/>
          <w:color w:val="000000"/>
        </w:rPr>
        <w:t xml:space="preserve">      2024 Proxy Statement   9</w:t>
      </w:r>
    </w:p>
    <w:p>
      <w:pPr>
        <w:sectPr>
          <w:pgSz w:w="11900" w:h="16838" w:orient="portrait"/>
          <w:cols w:equalWidth="0" w:num="1">
            <w:col w:w="11120"/>
          </w:cols>
          <w:pgMar w:left="320" w:top="482" w:right="45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540" w:hanging="424"/>
        <w:spacing w:after="0"/>
        <w:tabs>
          <w:tab w:leader="none" w:pos="540" w:val="left"/>
        </w:tabs>
        <w:numPr>
          <w:ilvl w:val="0"/>
          <w:numId w:val="31"/>
        </w:numPr>
        <w:rPr>
          <w:rFonts w:ascii="Wingdings" w:cs="Wingdings" w:eastAsia="Wingdings" w:hAnsi="Wingdings"/>
          <w:sz w:val="18"/>
          <w:szCs w:val="18"/>
          <w:b w:val="1"/>
          <w:bCs w:val="1"/>
          <w:color w:val="FF160F"/>
        </w:rPr>
      </w:pPr>
      <w:r>
        <w:rPr>
          <w:rFonts w:ascii="Arial" w:cs="Arial" w:eastAsia="Arial" w:hAnsi="Arial"/>
          <w:sz w:val="18"/>
          <w:szCs w:val="18"/>
          <w:b w:val="1"/>
          <w:bCs w:val="1"/>
          <w:color w:val="auto"/>
        </w:rPr>
        <w:t>RELATED PARTY TRANSACTIONS</w:t>
      </w:r>
    </w:p>
    <w:p>
      <w:pPr>
        <w:spacing w:after="0" w:line="212" w:lineRule="exact"/>
        <w:rPr>
          <w:sz w:val="20"/>
          <w:szCs w:val="20"/>
          <w:color w:val="auto"/>
        </w:rPr>
      </w:pPr>
    </w:p>
    <w:p>
      <w:pPr>
        <w:jc w:val="both"/>
        <w:ind w:left="120" w:right="20"/>
        <w:spacing w:after="0" w:line="247" w:lineRule="auto"/>
        <w:rPr>
          <w:sz w:val="20"/>
          <w:szCs w:val="20"/>
          <w:color w:val="auto"/>
        </w:rPr>
      </w:pPr>
      <w:r>
        <w:rPr>
          <w:rFonts w:ascii="Arial" w:cs="Arial" w:eastAsia="Arial" w:hAnsi="Arial"/>
          <w:sz w:val="18"/>
          <w:szCs w:val="18"/>
          <w:color w:val="auto"/>
        </w:rPr>
        <w:t>Our Trustees and employees are required to deal with the Company on an arms-length basis in any related party transaction. Transactions between us and any of our Trustees or corporate officers must be approved in advance by the Audit Committee. Audit Committee approval is not required for us to enter into a lease with an entity in which any of our Trustees is a director, employee or owner so long as the lease is entered into in the ordinary course of business and is negotiated at arms-length and on market terms.</w:t>
      </w:r>
    </w:p>
    <w:p>
      <w:pPr>
        <w:spacing w:after="0" w:line="174" w:lineRule="exact"/>
        <w:rPr>
          <w:sz w:val="20"/>
          <w:szCs w:val="20"/>
          <w:color w:val="auto"/>
        </w:rPr>
      </w:pPr>
    </w:p>
    <w:p>
      <w:pPr>
        <w:jc w:val="both"/>
        <w:ind w:left="120"/>
        <w:spacing w:after="0" w:line="247" w:lineRule="auto"/>
        <w:rPr>
          <w:sz w:val="20"/>
          <w:szCs w:val="20"/>
          <w:color w:val="auto"/>
        </w:rPr>
      </w:pPr>
      <w:r>
        <w:rPr>
          <w:rFonts w:ascii="Arial" w:cs="Arial" w:eastAsia="Arial" w:hAnsi="Arial"/>
          <w:sz w:val="18"/>
          <w:szCs w:val="18"/>
          <w:color w:val="auto"/>
        </w:rPr>
        <w:t>We have no related party transactions with any of our Trustees that are required to be disclosed. None of our named executive officers (“NEOs”) has any indebtedness to the Company or any relationship with the Company other than as an employee and shareholder. Employment and change-in-control arrangements between the Company and the NEOs are described in the “Potential Payments on Termination of Employment and Change-in-Control” section below.</w:t>
      </w:r>
    </w:p>
    <w:p>
      <w:pPr>
        <w:spacing w:after="0" w:line="201" w:lineRule="exact"/>
        <w:rPr>
          <w:sz w:val="20"/>
          <w:szCs w:val="20"/>
          <w:color w:val="auto"/>
        </w:rPr>
      </w:pPr>
    </w:p>
    <w:p>
      <w:pPr>
        <w:ind w:left="540" w:hanging="424"/>
        <w:spacing w:after="0"/>
        <w:tabs>
          <w:tab w:leader="none" w:pos="540" w:val="left"/>
        </w:tabs>
        <w:numPr>
          <w:ilvl w:val="0"/>
          <w:numId w:val="32"/>
        </w:numPr>
        <w:rPr>
          <w:rFonts w:ascii="Wingdings" w:cs="Wingdings" w:eastAsia="Wingdings" w:hAnsi="Wingdings"/>
          <w:sz w:val="18"/>
          <w:szCs w:val="18"/>
          <w:b w:val="1"/>
          <w:bCs w:val="1"/>
          <w:color w:val="FF160F"/>
        </w:rPr>
      </w:pPr>
      <w:r>
        <w:rPr>
          <w:rFonts w:ascii="Arial" w:cs="Arial" w:eastAsia="Arial" w:hAnsi="Arial"/>
          <w:sz w:val="18"/>
          <w:szCs w:val="18"/>
          <w:b w:val="1"/>
          <w:bCs w:val="1"/>
          <w:color w:val="auto"/>
        </w:rPr>
        <w:t>TRUSTEE INDEPENDENCE</w:t>
      </w:r>
    </w:p>
    <w:p>
      <w:pPr>
        <w:spacing w:after="0" w:line="212" w:lineRule="exact"/>
        <w:rPr>
          <w:sz w:val="20"/>
          <w:szCs w:val="20"/>
          <w:color w:val="auto"/>
        </w:rPr>
      </w:pPr>
    </w:p>
    <w:p>
      <w:pPr>
        <w:jc w:val="both"/>
        <w:ind w:left="120" w:right="20"/>
        <w:spacing w:after="0" w:line="239" w:lineRule="auto"/>
        <w:rPr>
          <w:sz w:val="20"/>
          <w:szCs w:val="20"/>
          <w:color w:val="auto"/>
        </w:rPr>
      </w:pPr>
      <w:r>
        <w:rPr>
          <w:rFonts w:ascii="Arial" w:cs="Arial" w:eastAsia="Arial" w:hAnsi="Arial"/>
          <w:sz w:val="18"/>
          <w:szCs w:val="18"/>
          <w:color w:val="auto"/>
        </w:rPr>
        <w:t>The Board has adopted a standard designed to assist the Board in assessing trustee independence. This standard, included in our Corporate Governance Guidelines, states that a Trustee’s position as a director, officer or owner of a company with which we do business does not constitute a material relationship impacting independence so long as payments made by that company do not account for more than five percent (5%) of our gross revenues or more than ten percent (10%) of the gross revenues of that company. The Board performs an annual review of independence of all trustees and nominees. In order to make a determination that an individual is independent, the Board has to affirmatively conclude that the individual does not have any direct or indirect material relationship with the Company. This independence determination takes into account the requirements of our Corporate Governance Guidelines and any additional requirements imposed by law, regulation or the New York Stock Exchange (“NYSE”) listing standards and is only made after a thorough review of all relationships that exist between the Company and a trustee.</w:t>
      </w:r>
    </w:p>
    <w:p>
      <w:pPr>
        <w:spacing w:after="0" w:line="183" w:lineRule="exact"/>
        <w:rPr>
          <w:sz w:val="20"/>
          <w:szCs w:val="20"/>
          <w:color w:val="auto"/>
        </w:rPr>
      </w:pPr>
    </w:p>
    <w:p>
      <w:pPr>
        <w:jc w:val="both"/>
        <w:ind w:left="120"/>
        <w:spacing w:after="0" w:line="244" w:lineRule="auto"/>
        <w:rPr>
          <w:sz w:val="20"/>
          <w:szCs w:val="20"/>
          <w:color w:val="auto"/>
        </w:rPr>
      </w:pPr>
      <w:r>
        <w:rPr>
          <w:rFonts w:ascii="Arial" w:cs="Arial" w:eastAsia="Arial" w:hAnsi="Arial"/>
          <w:sz w:val="18"/>
          <w:szCs w:val="18"/>
          <w:color w:val="auto"/>
        </w:rPr>
        <w:t>Based on this review process, the Nominating Committee recommended, and the Board concluded, that all of our Trustees, other than Mr. Wood, our chief executive officer, are independent under all applicable standards for service on the Board and each of its committees. In making this determination, the Board considered certain indirect passive investments Mr. Nader has directly and indirectly in three of the Company’s small shop tenants. The Board determined that Mr. Nader’s passive investment in these three small shop tenants did not constitute a material relationship with the Company and would not interfere with Mr. Nader’s ability to exercise independent judgment.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175260</wp:posOffset>
            </wp:positionV>
            <wp:extent cx="6995160" cy="342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995160" cy="34290"/>
                    </a:xfrm>
                    <a:prstGeom prst="rect">
                      <a:avLst/>
                    </a:prstGeom>
                    <a:noFill/>
                  </pic:spPr>
                </pic:pic>
              </a:graphicData>
            </a:graphic>
          </wp:anchor>
        </w:drawing>
      </w:r>
    </w:p>
    <w:p>
      <w:pPr>
        <w:spacing w:after="0" w:line="320" w:lineRule="exact"/>
        <w:rPr>
          <w:sz w:val="20"/>
          <w:szCs w:val="20"/>
          <w:color w:val="auto"/>
        </w:rPr>
      </w:pPr>
    </w:p>
    <w:p>
      <w:pPr>
        <w:ind w:left="220"/>
        <w:spacing w:after="0"/>
        <w:rPr>
          <w:sz w:val="20"/>
          <w:szCs w:val="20"/>
          <w:color w:val="auto"/>
        </w:rPr>
      </w:pPr>
      <w:r>
        <w:rPr>
          <w:rFonts w:ascii="Arial" w:cs="Arial" w:eastAsia="Arial" w:hAnsi="Arial"/>
          <w:sz w:val="32"/>
          <w:szCs w:val="32"/>
          <w:b w:val="1"/>
          <w:bCs w:val="1"/>
          <w:color w:val="auto"/>
        </w:rPr>
        <w:t>Proposal 1: Election of Trustees</w:t>
      </w:r>
    </w:p>
    <w:p>
      <w:pPr>
        <w:spacing w:after="0" w:line="278" w:lineRule="exact"/>
        <w:rPr>
          <w:sz w:val="20"/>
          <w:szCs w:val="20"/>
          <w:color w:val="auto"/>
        </w:rPr>
      </w:pPr>
    </w:p>
    <w:p>
      <w:pPr>
        <w:jc w:val="both"/>
        <w:ind w:left="120" w:right="20"/>
        <w:spacing w:after="0" w:line="253" w:lineRule="auto"/>
        <w:rPr>
          <w:sz w:val="20"/>
          <w:szCs w:val="20"/>
          <w:color w:val="auto"/>
        </w:rPr>
      </w:pPr>
      <w:r>
        <w:rPr>
          <w:rFonts w:ascii="Arial" w:cs="Arial" w:eastAsia="Arial" w:hAnsi="Arial"/>
          <w:sz w:val="18"/>
          <w:szCs w:val="18"/>
          <w:color w:val="auto"/>
        </w:rPr>
        <w:t>On recommendation of the Nominating Committee, our Board has nominated seven (7) candidates for election as trustees at the Annual Meeting. All of the nominees are incumbent trustees and were elected as trustees by our shareholders in May 2023. More detailed biographical information on each nominee can be found beginning on page 14.</w:t>
      </w:r>
    </w:p>
    <w:p>
      <w:pPr>
        <w:spacing w:after="0" w:line="169" w:lineRule="exact"/>
        <w:rPr>
          <w:sz w:val="20"/>
          <w:szCs w:val="20"/>
          <w:color w:val="auto"/>
        </w:rPr>
      </w:pPr>
    </w:p>
    <w:p>
      <w:pPr>
        <w:jc w:val="both"/>
        <w:ind w:left="120" w:right="20"/>
        <w:spacing w:after="0" w:line="271" w:lineRule="auto"/>
        <w:rPr>
          <w:sz w:val="20"/>
          <w:szCs w:val="20"/>
          <w:color w:val="auto"/>
        </w:rPr>
      </w:pPr>
      <w:r>
        <w:rPr>
          <w:rFonts w:ascii="Arial" w:cs="Arial" w:eastAsia="Arial" w:hAnsi="Arial"/>
          <w:sz w:val="18"/>
          <w:szCs w:val="18"/>
          <w:color w:val="auto"/>
        </w:rPr>
        <w:t>At the Annual Meeting, each trustee will be elected to hold office for a one-year term expiring at the 2025 annual meeting of shareholders and until his or her successor is elected and qualified.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66675</wp:posOffset>
            </wp:positionV>
            <wp:extent cx="7003415" cy="1200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003415" cy="120015"/>
                    </a:xfrm>
                    <a:prstGeom prst="rect">
                      <a:avLst/>
                    </a:prstGeom>
                    <a:noFill/>
                  </pic:spPr>
                </pic:pic>
              </a:graphicData>
            </a:graphic>
          </wp:anchor>
        </w:drawing>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4"/>
          <w:szCs w:val="14"/>
          <w:color w:val="FF160F"/>
        </w:rPr>
        <w:t>Federal Realty</w:t>
      </w:r>
      <w:r>
        <w:rPr>
          <w:rFonts w:ascii="Arial" w:cs="Arial" w:eastAsia="Arial" w:hAnsi="Arial"/>
          <w:sz w:val="14"/>
          <w:szCs w:val="14"/>
          <w:color w:val="000000"/>
        </w:rPr>
        <w:t xml:space="preserve">      2024 Proxy Statement   10</w:t>
      </w:r>
    </w:p>
    <w:p>
      <w:pPr>
        <w:sectPr>
          <w:pgSz w:w="11900" w:h="16838" w:orient="portrait"/>
          <w:cols w:equalWidth="0" w:num="1">
            <w:col w:w="11140"/>
          </w:cols>
          <w:pgMar w:left="320" w:top="482" w:right="4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540" w:hanging="424"/>
        <w:spacing w:after="0"/>
        <w:tabs>
          <w:tab w:leader="none" w:pos="540" w:val="left"/>
        </w:tabs>
        <w:numPr>
          <w:ilvl w:val="0"/>
          <w:numId w:val="33"/>
        </w:numPr>
        <w:rPr>
          <w:rFonts w:ascii="Wingdings" w:cs="Wingdings" w:eastAsia="Wingdings" w:hAnsi="Wingdings"/>
          <w:sz w:val="18"/>
          <w:szCs w:val="18"/>
          <w:b w:val="1"/>
          <w:bCs w:val="1"/>
          <w:color w:val="FF160F"/>
        </w:rPr>
      </w:pPr>
      <w:r>
        <w:rPr>
          <w:rFonts w:ascii="Arial" w:cs="Arial" w:eastAsia="Arial" w:hAnsi="Arial"/>
          <w:sz w:val="18"/>
          <w:szCs w:val="18"/>
          <w:b w:val="1"/>
          <w:bCs w:val="1"/>
          <w:color w:val="auto"/>
        </w:rPr>
        <w:t>VOTE REQUIRED AND MAJORITY VOTING STANDARD</w:t>
      </w:r>
    </w:p>
    <w:p>
      <w:pPr>
        <w:spacing w:after="0" w:line="212" w:lineRule="exact"/>
        <w:rPr>
          <w:sz w:val="20"/>
          <w:szCs w:val="20"/>
          <w:color w:val="auto"/>
        </w:rPr>
      </w:pPr>
    </w:p>
    <w:p>
      <w:pPr>
        <w:jc w:val="both"/>
        <w:ind w:left="120"/>
        <w:spacing w:after="0" w:line="242" w:lineRule="auto"/>
        <w:rPr>
          <w:sz w:val="20"/>
          <w:szCs w:val="20"/>
          <w:color w:val="auto"/>
        </w:rPr>
      </w:pPr>
      <w:r>
        <w:rPr>
          <w:rFonts w:ascii="Arial" w:cs="Arial" w:eastAsia="Arial" w:hAnsi="Arial"/>
          <w:sz w:val="18"/>
          <w:szCs w:val="18"/>
          <w:color w:val="auto"/>
        </w:rPr>
        <w:t>You are entitled to cast one vote per share for each of the seven nominees. Proxies may not be voted for more than seven individuals. In an uncontested election such as this one, our Bylaws require that a nominee receive a majority of votes cast with respect to that nominee in order to be elected. Accordingly, any nominee who does not receive a majority of votes cast will be required to resign from the Board within ninety (90) days. Broker non-votes and abstentions, if any, will not be treated as votes cast and as a result, will have no effect on the outcome of the vote for this proposal. Over the past 5 years, our nominees who have stood for election have received, on average, nearly 98% votes “for” at each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305435</wp:posOffset>
            </wp:positionV>
            <wp:extent cx="6858000" cy="44577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00"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220"/>
        <w:spacing w:after="0"/>
        <w:rPr>
          <w:sz w:val="20"/>
          <w:szCs w:val="20"/>
          <w:color w:val="auto"/>
        </w:rPr>
      </w:pPr>
      <w:r>
        <w:rPr>
          <w:rFonts w:ascii="Arial" w:cs="Arial" w:eastAsia="Arial" w:hAnsi="Arial"/>
          <w:sz w:val="25"/>
          <w:szCs w:val="25"/>
          <w:color w:val="auto"/>
        </w:rPr>
        <w:t xml:space="preserve">Our Board recommends a vote </w:t>
      </w:r>
      <w:r>
        <w:rPr>
          <w:rFonts w:ascii="Arial" w:cs="Arial" w:eastAsia="Arial" w:hAnsi="Arial"/>
          <w:sz w:val="25"/>
          <w:szCs w:val="25"/>
          <w:b w:val="1"/>
          <w:bCs w:val="1"/>
          <w:color w:val="auto"/>
        </w:rPr>
        <w:t>FOR</w:t>
      </w:r>
      <w:r>
        <w:rPr>
          <w:rFonts w:ascii="Arial" w:cs="Arial" w:eastAsia="Arial" w:hAnsi="Arial"/>
          <w:sz w:val="25"/>
          <w:szCs w:val="25"/>
          <w:color w:val="auto"/>
        </w:rPr>
        <w:t xml:space="preserve"> each of the seven nominees</w:t>
      </w:r>
    </w:p>
    <w:p>
      <w:pPr>
        <w:spacing w:after="0" w:line="200" w:lineRule="exact"/>
        <w:rPr>
          <w:sz w:val="20"/>
          <w:szCs w:val="20"/>
          <w:color w:val="auto"/>
        </w:rPr>
      </w:pPr>
    </w:p>
    <w:p>
      <w:pPr>
        <w:spacing w:after="0" w:line="247" w:lineRule="exact"/>
        <w:rPr>
          <w:sz w:val="20"/>
          <w:szCs w:val="20"/>
          <w:color w:val="auto"/>
        </w:rPr>
      </w:pPr>
    </w:p>
    <w:p>
      <w:pPr>
        <w:ind w:left="540" w:hanging="424"/>
        <w:spacing w:after="0"/>
        <w:tabs>
          <w:tab w:leader="none" w:pos="540" w:val="left"/>
        </w:tabs>
        <w:numPr>
          <w:ilvl w:val="0"/>
          <w:numId w:val="34"/>
        </w:numPr>
        <w:rPr>
          <w:rFonts w:ascii="MS PGothic" w:cs="MS PGothic" w:eastAsia="MS PGothic" w:hAnsi="MS PGothic"/>
          <w:sz w:val="18"/>
          <w:szCs w:val="18"/>
          <w:color w:val="FF160F"/>
        </w:rPr>
      </w:pPr>
      <w:r>
        <w:rPr>
          <w:rFonts w:ascii="Arial" w:cs="Arial" w:eastAsia="Arial" w:hAnsi="Arial"/>
          <w:sz w:val="18"/>
          <w:szCs w:val="18"/>
          <w:b w:val="1"/>
          <w:bCs w:val="1"/>
          <w:color w:val="auto"/>
        </w:rPr>
        <w:t>NOMINEE CHARACTERISTICS AND SELECTION</w:t>
      </w:r>
    </w:p>
    <w:p>
      <w:pPr>
        <w:spacing w:after="0" w:line="225" w:lineRule="exact"/>
        <w:rPr>
          <w:sz w:val="20"/>
          <w:szCs w:val="20"/>
          <w:color w:val="auto"/>
        </w:rPr>
      </w:pPr>
    </w:p>
    <w:p>
      <w:pPr>
        <w:jc w:val="both"/>
        <w:ind w:left="120" w:right="20"/>
        <w:spacing w:after="0" w:line="242" w:lineRule="auto"/>
        <w:rPr>
          <w:sz w:val="20"/>
          <w:szCs w:val="20"/>
          <w:color w:val="auto"/>
        </w:rPr>
      </w:pPr>
      <w:r>
        <w:rPr>
          <w:rFonts w:ascii="Arial" w:cs="Arial" w:eastAsia="Arial" w:hAnsi="Arial"/>
          <w:sz w:val="18"/>
          <w:szCs w:val="18"/>
          <w:color w:val="auto"/>
        </w:rPr>
        <w:t>The Nominating Committee has primary responsibility for identifying and recommending individuals to be added to the Board and to stand for election by shareholders. Individuals identified must have the highest personal and professional integrity, demonstrated exceptional intelligence and judgment, have proven leadership skills, be committed to our success, have the requisite skills necessary to advance our long-term strategy, and have the ability to work effectively with our Chief Executive Officer and other members of the Board. In addition, the Nominating Committee assesses the contribution that a particular candidate’s skills and expertise will make with respect to guiding our strategy and management when considered as a whole with the skills and expertise of other trustees.</w:t>
      </w:r>
    </w:p>
    <w:p>
      <w:pPr>
        <w:spacing w:after="0" w:line="179" w:lineRule="exact"/>
        <w:rPr>
          <w:sz w:val="20"/>
          <w:szCs w:val="20"/>
          <w:color w:val="auto"/>
        </w:rPr>
      </w:pPr>
    </w:p>
    <w:p>
      <w:pPr>
        <w:jc w:val="both"/>
        <w:ind w:left="120" w:right="20"/>
        <w:spacing w:after="0" w:line="242" w:lineRule="auto"/>
        <w:rPr>
          <w:sz w:val="20"/>
          <w:szCs w:val="20"/>
          <w:color w:val="auto"/>
        </w:rPr>
      </w:pPr>
      <w:r>
        <w:rPr>
          <w:rFonts w:ascii="Arial" w:cs="Arial" w:eastAsia="Arial" w:hAnsi="Arial"/>
          <w:sz w:val="18"/>
          <w:szCs w:val="18"/>
          <w:color w:val="auto"/>
        </w:rPr>
        <w:t>The chart below highlights some of the key qualifications and experience that our Board believes are relevant to the effective oversight of the Company and the execution of our long-term strategy and were considered as relevant for each nominee. The absence of a mark for an attribute for any nominee does not necessarily mean that the nominee does not possess that attribute; it means only that when the Board considered that nominee in the overall context of the composition of our Board, that attribute was not a key factor in the determination to nominate that individual. Further information on each nominee’s qualifications and relevant experience is provided in the individual biographical descriptions below starting on page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82550</wp:posOffset>
            </wp:positionV>
            <wp:extent cx="7003415" cy="1200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003415" cy="120015"/>
                    </a:xfrm>
                    <a:prstGeom prst="rect">
                      <a:avLst/>
                    </a:prstGeom>
                    <a:noFill/>
                  </pic:spPr>
                </pic:pic>
              </a:graphicData>
            </a:graphic>
          </wp:anchor>
        </w:drawing>
      </w:r>
    </w:p>
    <w:p>
      <w:pPr>
        <w:spacing w:after="0" w:line="114" w:lineRule="exact"/>
        <w:rPr>
          <w:sz w:val="20"/>
          <w:szCs w:val="20"/>
          <w:color w:val="auto"/>
        </w:rPr>
      </w:pPr>
    </w:p>
    <w:p>
      <w:pPr>
        <w:ind w:left="8080"/>
        <w:spacing w:after="0"/>
        <w:rPr>
          <w:sz w:val="20"/>
          <w:szCs w:val="20"/>
          <w:color w:val="auto"/>
        </w:rPr>
      </w:pPr>
      <w:r>
        <w:rPr>
          <w:rFonts w:ascii="Arial" w:cs="Arial" w:eastAsia="Arial" w:hAnsi="Arial"/>
          <w:sz w:val="14"/>
          <w:szCs w:val="14"/>
          <w:color w:val="FF160F"/>
        </w:rPr>
        <w:t>Federal Realty</w:t>
      </w:r>
      <w:r>
        <w:rPr>
          <w:rFonts w:ascii="Arial" w:cs="Arial" w:eastAsia="Arial" w:hAnsi="Arial"/>
          <w:sz w:val="14"/>
          <w:szCs w:val="14"/>
          <w:color w:val="000000"/>
        </w:rPr>
        <w:t xml:space="preserve">      2024 Proxy Statement   11</w:t>
      </w:r>
    </w:p>
    <w:p>
      <w:pPr>
        <w:sectPr>
          <w:pgSz w:w="11900" w:h="16838" w:orient="portrait"/>
          <w:cols w:equalWidth="0" w:num="1">
            <w:col w:w="11140"/>
          </w:cols>
          <w:pgMar w:left="320" w:top="482" w:right="4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8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780" w:type="dxa"/>
            <w:vAlign w:val="bottom"/>
            <w:gridSpan w:val="2"/>
          </w:tcPr>
          <w:p>
            <w:pPr>
              <w:jc w:val="center"/>
              <w:ind w:right="20"/>
              <w:spacing w:after="0"/>
              <w:rPr>
                <w:sz w:val="20"/>
                <w:szCs w:val="20"/>
                <w:color w:val="auto"/>
              </w:rPr>
            </w:pPr>
            <w:r>
              <w:rPr>
                <w:rFonts w:ascii="Arial" w:cs="Arial" w:eastAsia="Arial" w:hAnsi="Arial"/>
                <w:sz w:val="14"/>
                <w:szCs w:val="14"/>
                <w:color w:val="auto"/>
                <w:w w:val="97"/>
              </w:rPr>
              <w:t>Faeder    </w:t>
            </w:r>
          </w:p>
        </w:tc>
        <w:tc>
          <w:tcPr>
            <w:tcW w:w="600" w:type="dxa"/>
            <w:vAlign w:val="bottom"/>
          </w:tcPr>
          <w:p>
            <w:pPr>
              <w:jc w:val="center"/>
              <w:spacing w:after="0"/>
              <w:rPr>
                <w:sz w:val="20"/>
                <w:szCs w:val="20"/>
                <w:color w:val="auto"/>
              </w:rPr>
            </w:pPr>
            <w:r>
              <w:rPr>
                <w:rFonts w:ascii="Arial" w:cs="Arial" w:eastAsia="Arial" w:hAnsi="Arial"/>
                <w:sz w:val="14"/>
                <w:szCs w:val="14"/>
                <w:color w:val="auto"/>
              </w:rPr>
              <w:t>Holland</w:t>
            </w:r>
          </w:p>
        </w:tc>
        <w:tc>
          <w:tcPr>
            <w:tcW w:w="820" w:type="dxa"/>
            <w:vAlign w:val="bottom"/>
          </w:tcPr>
          <w:p>
            <w:pPr>
              <w:jc w:val="center"/>
              <w:spacing w:after="0"/>
              <w:rPr>
                <w:sz w:val="20"/>
                <w:szCs w:val="20"/>
                <w:color w:val="auto"/>
              </w:rPr>
            </w:pPr>
            <w:r>
              <w:rPr>
                <w:rFonts w:ascii="Arial" w:cs="Arial" w:eastAsia="Arial" w:hAnsi="Arial"/>
                <w:sz w:val="14"/>
                <w:szCs w:val="14"/>
                <w:color w:val="auto"/>
              </w:rPr>
              <w:t>Lamb-Hale</w:t>
            </w:r>
          </w:p>
        </w:tc>
        <w:tc>
          <w:tcPr>
            <w:tcW w:w="740" w:type="dxa"/>
            <w:vAlign w:val="bottom"/>
          </w:tcPr>
          <w:p>
            <w:pPr>
              <w:jc w:val="center"/>
              <w:spacing w:after="0"/>
              <w:rPr>
                <w:sz w:val="20"/>
                <w:szCs w:val="20"/>
                <w:color w:val="auto"/>
              </w:rPr>
            </w:pPr>
            <w:r>
              <w:rPr>
                <w:rFonts w:ascii="Arial" w:cs="Arial" w:eastAsia="Arial" w:hAnsi="Arial"/>
                <w:sz w:val="14"/>
                <w:szCs w:val="14"/>
                <w:color w:val="auto"/>
              </w:rPr>
              <w:t>McEachin</w:t>
            </w:r>
          </w:p>
        </w:tc>
        <w:tc>
          <w:tcPr>
            <w:tcW w:w="520" w:type="dxa"/>
            <w:vAlign w:val="bottom"/>
          </w:tcPr>
          <w:p>
            <w:pPr>
              <w:jc w:val="center"/>
              <w:spacing w:after="0"/>
              <w:rPr>
                <w:sz w:val="20"/>
                <w:szCs w:val="20"/>
                <w:color w:val="auto"/>
              </w:rPr>
            </w:pPr>
            <w:r>
              <w:rPr>
                <w:rFonts w:ascii="Arial" w:cs="Arial" w:eastAsia="Arial" w:hAnsi="Arial"/>
                <w:sz w:val="14"/>
                <w:szCs w:val="14"/>
                <w:color w:val="auto"/>
                <w:w w:val="99"/>
              </w:rPr>
              <w:t>Nader</w:t>
            </w:r>
          </w:p>
        </w:tc>
        <w:tc>
          <w:tcPr>
            <w:tcW w:w="660" w:type="dxa"/>
            <w:vAlign w:val="bottom"/>
          </w:tcPr>
          <w:p>
            <w:pPr>
              <w:jc w:val="center"/>
              <w:ind w:left="100"/>
              <w:spacing w:after="0"/>
              <w:rPr>
                <w:sz w:val="20"/>
                <w:szCs w:val="20"/>
                <w:color w:val="auto"/>
              </w:rPr>
            </w:pPr>
            <w:r>
              <w:rPr>
                <w:rFonts w:ascii="Arial" w:cs="Arial" w:eastAsia="Arial" w:hAnsi="Arial"/>
                <w:sz w:val="14"/>
                <w:szCs w:val="14"/>
                <w:color w:val="auto"/>
              </w:rPr>
              <w:t>Steinel</w:t>
            </w:r>
          </w:p>
        </w:tc>
        <w:tc>
          <w:tcPr>
            <w:tcW w:w="580" w:type="dxa"/>
            <w:vAlign w:val="bottom"/>
          </w:tcPr>
          <w:p>
            <w:pPr>
              <w:jc w:val="center"/>
              <w:ind w:left="100"/>
              <w:spacing w:after="0"/>
              <w:rPr>
                <w:sz w:val="20"/>
                <w:szCs w:val="20"/>
                <w:color w:val="auto"/>
              </w:rPr>
            </w:pPr>
            <w:r>
              <w:rPr>
                <w:rFonts w:ascii="Arial" w:cs="Arial" w:eastAsia="Arial" w:hAnsi="Arial"/>
                <w:sz w:val="14"/>
                <w:szCs w:val="14"/>
                <w:color w:val="auto"/>
                <w:w w:val="98"/>
              </w:rPr>
              <w:t>Wood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180" w:type="dxa"/>
            <w:vAlign w:val="bottom"/>
            <w:tcBorders>
              <w:bottom w:val="single" w:sz="8" w:color="FF160F"/>
            </w:tcBorders>
            <w:shd w:val="clear" w:color="auto" w:fill="FF160F"/>
          </w:tcPr>
          <w:p>
            <w:pPr>
              <w:spacing w:after="0"/>
              <w:rPr>
                <w:sz w:val="24"/>
                <w:szCs w:val="24"/>
                <w:color w:val="auto"/>
              </w:rPr>
            </w:pPr>
          </w:p>
        </w:tc>
        <w:tc>
          <w:tcPr>
            <w:tcW w:w="3400" w:type="dxa"/>
            <w:vAlign w:val="bottom"/>
            <w:tcBorders>
              <w:bottom w:val="single" w:sz="8" w:color="FF160F"/>
            </w:tcBorders>
            <w:shd w:val="clear" w:color="auto" w:fill="FF160F"/>
          </w:tcPr>
          <w:p>
            <w:pPr>
              <w:spacing w:after="0"/>
              <w:rPr>
                <w:sz w:val="24"/>
                <w:szCs w:val="24"/>
                <w:color w:val="auto"/>
              </w:rPr>
            </w:pPr>
          </w:p>
        </w:tc>
        <w:tc>
          <w:tcPr>
            <w:tcW w:w="4940" w:type="dxa"/>
            <w:vAlign w:val="bottom"/>
            <w:tcBorders>
              <w:bottom w:val="single" w:sz="8" w:color="FF160F"/>
              <w:right w:val="single" w:sz="8" w:color="FF160F"/>
            </w:tcBorders>
            <w:gridSpan w:val="5"/>
            <w:shd w:val="clear" w:color="auto" w:fill="FF160F"/>
          </w:tcPr>
          <w:p>
            <w:pPr>
              <w:ind w:left="300"/>
              <w:spacing w:after="0"/>
              <w:rPr>
                <w:sz w:val="20"/>
                <w:szCs w:val="20"/>
                <w:color w:val="auto"/>
              </w:rPr>
            </w:pPr>
            <w:r>
              <w:rPr>
                <w:rFonts w:ascii="Arial" w:cs="Arial" w:eastAsia="Arial" w:hAnsi="Arial"/>
                <w:sz w:val="18"/>
                <w:szCs w:val="18"/>
                <w:b w:val="1"/>
                <w:bCs w:val="1"/>
                <w:color w:val="FFFFFF"/>
              </w:rPr>
              <w:t>NOMINEE QUALIFICATIONS AND EXPERIENCE</w:t>
            </w:r>
          </w:p>
        </w:tc>
        <w:tc>
          <w:tcPr>
            <w:tcW w:w="740" w:type="dxa"/>
            <w:vAlign w:val="bottom"/>
            <w:tcBorders>
              <w:bottom w:val="single" w:sz="8" w:color="FF160F"/>
              <w:right w:val="single" w:sz="8" w:color="FF160F"/>
            </w:tcBorders>
            <w:shd w:val="clear" w:color="auto" w:fill="FF160F"/>
          </w:tcPr>
          <w:p>
            <w:pPr>
              <w:spacing w:after="0"/>
              <w:rPr>
                <w:sz w:val="24"/>
                <w:szCs w:val="24"/>
                <w:color w:val="auto"/>
              </w:rPr>
            </w:pPr>
          </w:p>
        </w:tc>
        <w:tc>
          <w:tcPr>
            <w:tcW w:w="520" w:type="dxa"/>
            <w:vAlign w:val="bottom"/>
            <w:tcBorders>
              <w:bottom w:val="single" w:sz="8" w:color="FF160F"/>
              <w:right w:val="single" w:sz="8" w:color="FF160F"/>
            </w:tcBorders>
            <w:shd w:val="clear" w:color="auto" w:fill="FF160F"/>
          </w:tcPr>
          <w:p>
            <w:pPr>
              <w:spacing w:after="0"/>
              <w:rPr>
                <w:sz w:val="24"/>
                <w:szCs w:val="24"/>
                <w:color w:val="auto"/>
              </w:rPr>
            </w:pPr>
          </w:p>
        </w:tc>
        <w:tc>
          <w:tcPr>
            <w:tcW w:w="660" w:type="dxa"/>
            <w:vAlign w:val="bottom"/>
            <w:tcBorders>
              <w:bottom w:val="single" w:sz="8" w:color="FF160F"/>
              <w:right w:val="single" w:sz="8" w:color="FF160F"/>
            </w:tcBorders>
            <w:shd w:val="clear" w:color="auto" w:fill="FF160F"/>
          </w:tcPr>
          <w:p>
            <w:pPr>
              <w:spacing w:after="0"/>
              <w:rPr>
                <w:sz w:val="24"/>
                <w:szCs w:val="24"/>
                <w:color w:val="auto"/>
              </w:rPr>
            </w:pPr>
          </w:p>
        </w:tc>
        <w:tc>
          <w:tcPr>
            <w:tcW w:w="580" w:type="dxa"/>
            <w:vAlign w:val="bottom"/>
            <w:tcBorders>
              <w:bottom w:val="single" w:sz="8" w:color="FF160F"/>
            </w:tcBorders>
            <w:shd w:val="clear" w:color="auto" w:fill="FF160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580" w:type="dxa"/>
            <w:vAlign w:val="bottom"/>
            <w:tcBorders>
              <w:bottom w:val="single" w:sz="8" w:color="auto"/>
            </w:tcBorders>
            <w:gridSpan w:val="2"/>
            <w:shd w:val="clear" w:color="auto" w:fill="D8D8D8"/>
          </w:tcPr>
          <w:p>
            <w:pPr>
              <w:spacing w:after="0"/>
              <w:rPr>
                <w:sz w:val="20"/>
                <w:szCs w:val="20"/>
                <w:color w:val="auto"/>
              </w:rPr>
            </w:pPr>
            <w:r>
              <w:rPr>
                <w:rFonts w:ascii="Arial" w:cs="Arial" w:eastAsia="Arial" w:hAnsi="Arial"/>
                <w:sz w:val="16"/>
                <w:szCs w:val="16"/>
                <w:b w:val="1"/>
                <w:bCs w:val="1"/>
                <w:color w:val="auto"/>
              </w:rPr>
              <w:t> Qualification/Experience</w:t>
            </w:r>
          </w:p>
        </w:tc>
        <w:tc>
          <w:tcPr>
            <w:tcW w:w="2740" w:type="dxa"/>
            <w:vAlign w:val="bottom"/>
            <w:tcBorders>
              <w:bottom w:val="single" w:sz="8" w:color="auto"/>
              <w:right w:val="single" w:sz="8" w:color="D8D8D8"/>
            </w:tcBorders>
            <w:shd w:val="clear" w:color="auto" w:fill="D8D8D8"/>
          </w:tcPr>
          <w:p>
            <w:pPr>
              <w:spacing w:after="0"/>
              <w:rPr>
                <w:sz w:val="21"/>
                <w:szCs w:val="21"/>
                <w:color w:val="auto"/>
              </w:rPr>
            </w:pPr>
          </w:p>
        </w:tc>
        <w:tc>
          <w:tcPr>
            <w:tcW w:w="660" w:type="dxa"/>
            <w:vAlign w:val="bottom"/>
            <w:tcBorders>
              <w:bottom w:val="single" w:sz="8" w:color="auto"/>
              <w:right w:val="single" w:sz="8" w:color="D8D8D8"/>
            </w:tcBorders>
            <w:shd w:val="clear" w:color="auto" w:fill="D8D8D8"/>
          </w:tcPr>
          <w:p>
            <w:pPr>
              <w:spacing w:after="0"/>
              <w:rPr>
                <w:sz w:val="21"/>
                <w:szCs w:val="21"/>
                <w:color w:val="auto"/>
              </w:rPr>
            </w:pPr>
          </w:p>
        </w:tc>
        <w:tc>
          <w:tcPr>
            <w:tcW w:w="120" w:type="dxa"/>
            <w:vAlign w:val="bottom"/>
            <w:tcBorders>
              <w:bottom w:val="single" w:sz="8" w:color="auto"/>
            </w:tcBorders>
            <w:shd w:val="clear" w:color="auto" w:fill="D8D8D8"/>
          </w:tcPr>
          <w:p>
            <w:pPr>
              <w:spacing w:after="0"/>
              <w:rPr>
                <w:sz w:val="21"/>
                <w:szCs w:val="21"/>
                <w:color w:val="auto"/>
              </w:rPr>
            </w:pPr>
          </w:p>
        </w:tc>
        <w:tc>
          <w:tcPr>
            <w:tcW w:w="600" w:type="dxa"/>
            <w:vAlign w:val="bottom"/>
            <w:tcBorders>
              <w:bottom w:val="single" w:sz="8" w:color="auto"/>
              <w:right w:val="single" w:sz="8" w:color="D8D8D8"/>
            </w:tcBorders>
            <w:shd w:val="clear" w:color="auto" w:fill="D8D8D8"/>
          </w:tcPr>
          <w:p>
            <w:pPr>
              <w:spacing w:after="0"/>
              <w:rPr>
                <w:sz w:val="21"/>
                <w:szCs w:val="21"/>
                <w:color w:val="auto"/>
              </w:rPr>
            </w:pPr>
          </w:p>
        </w:tc>
        <w:tc>
          <w:tcPr>
            <w:tcW w:w="820" w:type="dxa"/>
            <w:vAlign w:val="bottom"/>
            <w:tcBorders>
              <w:bottom w:val="single" w:sz="8" w:color="auto"/>
              <w:right w:val="single" w:sz="8" w:color="D8D8D8"/>
            </w:tcBorders>
            <w:shd w:val="clear" w:color="auto" w:fill="D8D8D8"/>
          </w:tcPr>
          <w:p>
            <w:pPr>
              <w:spacing w:after="0"/>
              <w:rPr>
                <w:sz w:val="21"/>
                <w:szCs w:val="21"/>
                <w:color w:val="auto"/>
              </w:rPr>
            </w:pPr>
          </w:p>
        </w:tc>
        <w:tc>
          <w:tcPr>
            <w:tcW w:w="740" w:type="dxa"/>
            <w:vAlign w:val="bottom"/>
            <w:tcBorders>
              <w:bottom w:val="single" w:sz="8" w:color="auto"/>
              <w:right w:val="single" w:sz="8" w:color="D8D8D8"/>
            </w:tcBorders>
            <w:shd w:val="clear" w:color="auto" w:fill="D8D8D8"/>
          </w:tcPr>
          <w:p>
            <w:pPr>
              <w:spacing w:after="0"/>
              <w:rPr>
                <w:sz w:val="21"/>
                <w:szCs w:val="21"/>
                <w:color w:val="auto"/>
              </w:rPr>
            </w:pPr>
          </w:p>
        </w:tc>
        <w:tc>
          <w:tcPr>
            <w:tcW w:w="520" w:type="dxa"/>
            <w:vAlign w:val="bottom"/>
            <w:tcBorders>
              <w:bottom w:val="single" w:sz="8" w:color="auto"/>
              <w:right w:val="single" w:sz="8" w:color="D8D8D8"/>
            </w:tcBorders>
            <w:shd w:val="clear" w:color="auto" w:fill="D8D8D8"/>
          </w:tcPr>
          <w:p>
            <w:pPr>
              <w:spacing w:after="0"/>
              <w:rPr>
                <w:sz w:val="21"/>
                <w:szCs w:val="21"/>
                <w:color w:val="auto"/>
              </w:rPr>
            </w:pPr>
          </w:p>
        </w:tc>
        <w:tc>
          <w:tcPr>
            <w:tcW w:w="660" w:type="dxa"/>
            <w:vAlign w:val="bottom"/>
            <w:tcBorders>
              <w:bottom w:val="single" w:sz="8" w:color="auto"/>
              <w:right w:val="single" w:sz="8" w:color="D8D8D8"/>
            </w:tcBorders>
            <w:shd w:val="clear" w:color="auto" w:fill="D8D8D8"/>
          </w:tcPr>
          <w:p>
            <w:pPr>
              <w:spacing w:after="0"/>
              <w:rPr>
                <w:sz w:val="21"/>
                <w:szCs w:val="21"/>
                <w:color w:val="auto"/>
              </w:rPr>
            </w:pPr>
          </w:p>
        </w:tc>
        <w:tc>
          <w:tcPr>
            <w:tcW w:w="580" w:type="dxa"/>
            <w:vAlign w:val="bottom"/>
            <w:tcBorders>
              <w:bottom w:val="single" w:sz="8" w:color="auto"/>
            </w:tcBorders>
            <w:shd w:val="clear" w:color="auto" w:fill="D8D8D8"/>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8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 xml:space="preserve">  </w:t>
            </w:r>
          </w:p>
        </w:tc>
        <w:tc>
          <w:tcPr>
            <w:tcW w:w="3400" w:type="dxa"/>
            <w:vAlign w:val="bottom"/>
            <w:tcBorders>
              <w:bottom w:val="single" w:sz="8" w:color="auto"/>
            </w:tcBorders>
          </w:tcPr>
          <w:p>
            <w:pPr>
              <w:ind w:left="620"/>
              <w:spacing w:after="0"/>
              <w:rPr>
                <w:sz w:val="20"/>
                <w:szCs w:val="20"/>
                <w:color w:val="auto"/>
              </w:rPr>
            </w:pPr>
            <w:r>
              <w:rPr>
                <w:rFonts w:ascii="Arial" w:cs="Arial" w:eastAsia="Arial" w:hAnsi="Arial"/>
                <w:sz w:val="16"/>
                <w:szCs w:val="16"/>
                <w:color w:val="auto"/>
              </w:rPr>
              <w:t>Strategic Planning and Leadership</w:t>
            </w:r>
          </w:p>
        </w:tc>
        <w:tc>
          <w:tcPr>
            <w:tcW w:w="274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auto"/>
              <w:right w:val="single" w:sz="8" w:color="auto"/>
            </w:tcBorders>
          </w:tcPr>
          <w:p>
            <w:pPr>
              <w:jc w:val="center"/>
              <w:ind w:left="8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bottom w:val="single" w:sz="8" w:color="auto"/>
            </w:tcBorders>
          </w:tcPr>
          <w:p>
            <w:pPr>
              <w:jc w:val="center"/>
              <w:ind w:left="1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auto"/>
            </w:tcBorders>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8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 xml:space="preserve">  </w:t>
            </w:r>
          </w:p>
        </w:tc>
        <w:tc>
          <w:tcPr>
            <w:tcW w:w="3400" w:type="dxa"/>
            <w:vAlign w:val="bottom"/>
            <w:tcBorders>
              <w:bottom w:val="single" w:sz="8" w:color="auto"/>
            </w:tcBorders>
          </w:tcPr>
          <w:p>
            <w:pPr>
              <w:ind w:left="620"/>
              <w:spacing w:after="0"/>
              <w:rPr>
                <w:sz w:val="20"/>
                <w:szCs w:val="20"/>
                <w:color w:val="auto"/>
              </w:rPr>
            </w:pPr>
            <w:r>
              <w:rPr>
                <w:rFonts w:ascii="Arial" w:cs="Arial" w:eastAsia="Arial" w:hAnsi="Arial"/>
                <w:sz w:val="16"/>
                <w:szCs w:val="16"/>
                <w:color w:val="auto"/>
              </w:rPr>
              <w:t>CEO/Executive Management</w:t>
            </w:r>
          </w:p>
        </w:tc>
        <w:tc>
          <w:tcPr>
            <w:tcW w:w="274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auto"/>
              <w:right w:val="single" w:sz="8" w:color="auto"/>
            </w:tcBorders>
          </w:tcPr>
          <w:p>
            <w:pPr>
              <w:jc w:val="center"/>
              <w:ind w:left="8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bottom w:val="single" w:sz="8" w:color="auto"/>
            </w:tcBorders>
          </w:tcPr>
          <w:p>
            <w:pPr>
              <w:jc w:val="center"/>
              <w:ind w:left="1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auto"/>
            </w:tcBorders>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180" w:type="dxa"/>
            <w:vAlign w:val="bottom"/>
            <w:vMerge w:val="restart"/>
          </w:tcPr>
          <w:p>
            <w:pPr>
              <w:ind w:left="60"/>
              <w:spacing w:after="0"/>
              <w:rPr>
                <w:sz w:val="20"/>
                <w:szCs w:val="20"/>
                <w:color w:val="auto"/>
              </w:rPr>
            </w:pPr>
            <w:r>
              <w:rPr>
                <w:rFonts w:ascii="Arial" w:cs="Arial" w:eastAsia="Arial" w:hAnsi="Arial"/>
                <w:sz w:val="16"/>
                <w:szCs w:val="16"/>
                <w:color w:val="auto"/>
              </w:rPr>
              <w:t xml:space="preserve">  </w:t>
            </w:r>
          </w:p>
        </w:tc>
        <w:tc>
          <w:tcPr>
            <w:tcW w:w="3400" w:type="dxa"/>
            <w:vAlign w:val="bottom"/>
          </w:tcPr>
          <w:p>
            <w:pPr>
              <w:ind w:left="620"/>
              <w:spacing w:after="0"/>
              <w:rPr>
                <w:sz w:val="20"/>
                <w:szCs w:val="20"/>
                <w:color w:val="auto"/>
              </w:rPr>
            </w:pPr>
            <w:r>
              <w:rPr>
                <w:rFonts w:ascii="Arial" w:cs="Arial" w:eastAsia="Arial" w:hAnsi="Arial"/>
                <w:sz w:val="16"/>
                <w:szCs w:val="16"/>
                <w:color w:val="auto"/>
              </w:rPr>
              <w:t>REIT/Public Company Executive</w:t>
            </w:r>
          </w:p>
        </w:tc>
        <w:tc>
          <w:tcPr>
            <w:tcW w:w="2740" w:type="dxa"/>
            <w:vAlign w:val="bottom"/>
            <w:tcBorders>
              <w:right w:val="single" w:sz="8" w:color="auto"/>
            </w:tcBorders>
          </w:tcPr>
          <w:p>
            <w:pPr>
              <w:spacing w:after="0"/>
              <w:rPr>
                <w:sz w:val="22"/>
                <w:szCs w:val="22"/>
                <w:color w:val="auto"/>
              </w:rPr>
            </w:pPr>
          </w:p>
        </w:tc>
        <w:tc>
          <w:tcPr>
            <w:tcW w:w="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2"/>
                <w:szCs w:val="22"/>
                <w:color w:val="auto"/>
              </w:rPr>
            </w:pPr>
          </w:p>
        </w:tc>
        <w:tc>
          <w:tcPr>
            <w:tcW w:w="600" w:type="dxa"/>
            <w:vAlign w:val="bottom"/>
            <w:tcBorders>
              <w:right w:val="single" w:sz="8" w:color="auto"/>
            </w:tcBorders>
          </w:tcPr>
          <w:p>
            <w:pPr>
              <w:spacing w:after="0"/>
              <w:rPr>
                <w:sz w:val="22"/>
                <w:szCs w:val="22"/>
                <w:color w:val="auto"/>
              </w:rPr>
            </w:pPr>
          </w:p>
        </w:tc>
        <w:tc>
          <w:tcPr>
            <w:tcW w:w="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right w:val="single" w:sz="8" w:color="auto"/>
            </w:tcBorders>
          </w:tcPr>
          <w:p>
            <w:pPr>
              <w:spacing w:after="0"/>
              <w:rPr>
                <w:sz w:val="22"/>
                <w:szCs w:val="22"/>
                <w:color w:val="auto"/>
              </w:rPr>
            </w:pPr>
          </w:p>
        </w:tc>
        <w:tc>
          <w:tcPr>
            <w:tcW w:w="520" w:type="dxa"/>
            <w:vAlign w:val="bottom"/>
            <w:tcBorders>
              <w:right w:val="single" w:sz="8" w:color="auto"/>
            </w:tcBorders>
          </w:tcPr>
          <w:p>
            <w:pPr>
              <w:spacing w:after="0"/>
              <w:rPr>
                <w:sz w:val="22"/>
                <w:szCs w:val="22"/>
                <w:color w:val="auto"/>
              </w:rPr>
            </w:pPr>
          </w:p>
        </w:tc>
        <w:tc>
          <w:tcPr>
            <w:tcW w:w="660" w:type="dxa"/>
            <w:vAlign w:val="bottom"/>
            <w:tcBorders>
              <w:right w:val="single" w:sz="8" w:color="auto"/>
            </w:tcBorders>
          </w:tcPr>
          <w:p>
            <w:pPr>
              <w:spacing w:after="0"/>
              <w:rPr>
                <w:sz w:val="22"/>
                <w:szCs w:val="22"/>
                <w:color w:val="auto"/>
              </w:rPr>
            </w:pPr>
          </w:p>
        </w:tc>
        <w:tc>
          <w:tcPr>
            <w:tcW w:w="580" w:type="dxa"/>
            <w:vAlign w:val="bottom"/>
          </w:tcPr>
          <w:p>
            <w:pPr>
              <w:jc w:val="center"/>
              <w:ind w:left="1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000000"/>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180" w:type="dxa"/>
            <w:vAlign w:val="bottom"/>
            <w:tcBorders>
              <w:bottom w:val="single" w:sz="8" w:color="auto"/>
            </w:tcBorders>
            <w:vMerge w:val="continue"/>
          </w:tcPr>
          <w:p>
            <w:pPr>
              <w:spacing w:after="0"/>
              <w:rPr>
                <w:sz w:val="4"/>
                <w:szCs w:val="4"/>
                <w:color w:val="auto"/>
              </w:rPr>
            </w:pPr>
          </w:p>
        </w:tc>
        <w:tc>
          <w:tcPr>
            <w:tcW w:w="3400" w:type="dxa"/>
            <w:vAlign w:val="bottom"/>
            <w:tcBorders>
              <w:bottom w:val="single" w:sz="8" w:color="auto"/>
            </w:tcBorders>
          </w:tcPr>
          <w:p>
            <w:pPr>
              <w:spacing w:after="0"/>
              <w:rPr>
                <w:sz w:val="4"/>
                <w:szCs w:val="4"/>
                <w:color w:val="auto"/>
              </w:rPr>
            </w:pPr>
          </w:p>
        </w:tc>
        <w:tc>
          <w:tcPr>
            <w:tcW w:w="2740" w:type="dxa"/>
            <w:vAlign w:val="bottom"/>
            <w:tcBorders>
              <w:bottom w:val="single" w:sz="8" w:color="auto"/>
              <w:right w:val="single" w:sz="8" w:color="auto"/>
            </w:tcBorders>
          </w:tcPr>
          <w:p>
            <w:pPr>
              <w:spacing w:after="0"/>
              <w:rPr>
                <w:sz w:val="4"/>
                <w:szCs w:val="4"/>
                <w:color w:val="auto"/>
              </w:rPr>
            </w:pPr>
          </w:p>
        </w:tc>
        <w:tc>
          <w:tcPr>
            <w:tcW w:w="660" w:type="dxa"/>
            <w:vAlign w:val="bottom"/>
            <w:tcBorders>
              <w:bottom w:val="single" w:sz="8" w:color="auto"/>
              <w:right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00" w:type="dxa"/>
            <w:vAlign w:val="bottom"/>
            <w:tcBorders>
              <w:bottom w:val="single" w:sz="8" w:color="auto"/>
              <w:right w:val="single" w:sz="8" w:color="auto"/>
            </w:tcBorders>
          </w:tcPr>
          <w:p>
            <w:pPr>
              <w:spacing w:after="0"/>
              <w:rPr>
                <w:sz w:val="4"/>
                <w:szCs w:val="4"/>
                <w:color w:val="auto"/>
              </w:rPr>
            </w:pPr>
          </w:p>
        </w:tc>
        <w:tc>
          <w:tcPr>
            <w:tcW w:w="820" w:type="dxa"/>
            <w:vAlign w:val="bottom"/>
            <w:tcBorders>
              <w:bottom w:val="single" w:sz="8" w:color="auto"/>
              <w:right w:val="single" w:sz="8" w:color="auto"/>
            </w:tcBorders>
          </w:tcPr>
          <w:p>
            <w:pPr>
              <w:spacing w:after="0"/>
              <w:rPr>
                <w:sz w:val="4"/>
                <w:szCs w:val="4"/>
                <w:color w:val="auto"/>
              </w:rPr>
            </w:pPr>
          </w:p>
        </w:tc>
        <w:tc>
          <w:tcPr>
            <w:tcW w:w="740" w:type="dxa"/>
            <w:vAlign w:val="bottom"/>
            <w:tcBorders>
              <w:bottom w:val="single" w:sz="8" w:color="auto"/>
              <w:right w:val="single" w:sz="8" w:color="auto"/>
            </w:tcBorders>
          </w:tcPr>
          <w:p>
            <w:pPr>
              <w:spacing w:after="0"/>
              <w:rPr>
                <w:sz w:val="4"/>
                <w:szCs w:val="4"/>
                <w:color w:val="auto"/>
              </w:rPr>
            </w:pPr>
          </w:p>
        </w:tc>
        <w:tc>
          <w:tcPr>
            <w:tcW w:w="520" w:type="dxa"/>
            <w:vAlign w:val="bottom"/>
            <w:tcBorders>
              <w:bottom w:val="single" w:sz="8" w:color="auto"/>
              <w:right w:val="single" w:sz="8" w:color="auto"/>
            </w:tcBorders>
          </w:tcPr>
          <w:p>
            <w:pPr>
              <w:spacing w:after="0"/>
              <w:rPr>
                <w:sz w:val="4"/>
                <w:szCs w:val="4"/>
                <w:color w:val="auto"/>
              </w:rPr>
            </w:pPr>
          </w:p>
        </w:tc>
        <w:tc>
          <w:tcPr>
            <w:tcW w:w="660" w:type="dxa"/>
            <w:vAlign w:val="bottom"/>
            <w:tcBorders>
              <w:bottom w:val="single" w:sz="8" w:color="auto"/>
              <w:right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shd w:val="clear" w:color="auto" w:fill="000000"/>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8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 xml:space="preserve">  </w:t>
            </w:r>
          </w:p>
        </w:tc>
        <w:tc>
          <w:tcPr>
            <w:tcW w:w="3400" w:type="dxa"/>
            <w:vAlign w:val="bottom"/>
            <w:tcBorders>
              <w:bottom w:val="single" w:sz="8" w:color="auto"/>
            </w:tcBorders>
          </w:tcPr>
          <w:p>
            <w:pPr>
              <w:ind w:left="620"/>
              <w:spacing w:after="0"/>
              <w:rPr>
                <w:sz w:val="20"/>
                <w:szCs w:val="20"/>
                <w:color w:val="auto"/>
              </w:rPr>
            </w:pPr>
            <w:r>
              <w:rPr>
                <w:rFonts w:ascii="Arial" w:cs="Arial" w:eastAsia="Arial" w:hAnsi="Arial"/>
                <w:sz w:val="16"/>
                <w:szCs w:val="16"/>
                <w:color w:val="auto"/>
              </w:rPr>
              <w:t>Public Company Board Service</w:t>
            </w:r>
          </w:p>
        </w:tc>
        <w:tc>
          <w:tcPr>
            <w:tcW w:w="2740" w:type="dxa"/>
            <w:vAlign w:val="bottom"/>
            <w:tcBorders>
              <w:bottom w:val="single" w:sz="8" w:color="auto"/>
              <w:right w:val="single" w:sz="8" w:color="auto"/>
            </w:tcBorders>
          </w:tcPr>
          <w:p>
            <w:pPr>
              <w:spacing w:after="0"/>
              <w:rPr>
                <w:sz w:val="21"/>
                <w:szCs w:val="21"/>
                <w:color w:val="auto"/>
              </w:rPr>
            </w:pP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auto"/>
            </w:tcBorders>
          </w:tcPr>
          <w:p>
            <w:pPr>
              <w:spacing w:after="0"/>
              <w:rPr>
                <w:sz w:val="21"/>
                <w:szCs w:val="21"/>
                <w:color w:val="auto"/>
              </w:rPr>
            </w:pPr>
          </w:p>
        </w:tc>
        <w:tc>
          <w:tcPr>
            <w:tcW w:w="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auto"/>
              <w:right w:val="single" w:sz="8" w:color="auto"/>
            </w:tcBorders>
          </w:tcPr>
          <w:p>
            <w:pPr>
              <w:jc w:val="center"/>
              <w:ind w:left="8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bottom w:val="single" w:sz="8" w:color="auto"/>
            </w:tcBorders>
          </w:tcPr>
          <w:p>
            <w:pPr>
              <w:jc w:val="center"/>
              <w:ind w:left="1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auto"/>
            </w:tcBorders>
            <w:shd w:val="clear" w:color="auto" w:fill="000000"/>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80" w:type="dxa"/>
            <w:vAlign w:val="bottom"/>
            <w:vMerge w:val="restart"/>
          </w:tcPr>
          <w:p>
            <w:pPr>
              <w:ind w:left="80"/>
              <w:spacing w:after="0"/>
              <w:rPr>
                <w:sz w:val="20"/>
                <w:szCs w:val="20"/>
                <w:color w:val="auto"/>
              </w:rPr>
            </w:pPr>
            <w:r>
              <w:rPr>
                <w:rFonts w:ascii="Arial" w:cs="Arial" w:eastAsia="Arial" w:hAnsi="Arial"/>
                <w:sz w:val="16"/>
                <w:szCs w:val="16"/>
                <w:color w:val="auto"/>
              </w:rPr>
              <w:t xml:space="preserve">  </w:t>
            </w:r>
          </w:p>
        </w:tc>
        <w:tc>
          <w:tcPr>
            <w:tcW w:w="3400" w:type="dxa"/>
            <w:vAlign w:val="bottom"/>
          </w:tcPr>
          <w:p>
            <w:pPr>
              <w:ind w:left="620"/>
              <w:spacing w:after="0"/>
              <w:rPr>
                <w:sz w:val="20"/>
                <w:szCs w:val="20"/>
                <w:color w:val="auto"/>
              </w:rPr>
            </w:pPr>
            <w:r>
              <w:rPr>
                <w:rFonts w:ascii="Arial" w:cs="Arial" w:eastAsia="Arial" w:hAnsi="Arial"/>
                <w:sz w:val="16"/>
                <w:szCs w:val="16"/>
                <w:color w:val="auto"/>
              </w:rPr>
              <w:t>Financial Expertise/Literacy</w:t>
            </w:r>
          </w:p>
        </w:tc>
        <w:tc>
          <w:tcPr>
            <w:tcW w:w="2740" w:type="dxa"/>
            <w:vAlign w:val="bottom"/>
            <w:tcBorders>
              <w:right w:val="single" w:sz="8" w:color="auto"/>
            </w:tcBorders>
          </w:tcPr>
          <w:p>
            <w:pPr>
              <w:spacing w:after="0"/>
              <w:rPr>
                <w:sz w:val="24"/>
                <w:szCs w:val="24"/>
                <w:color w:val="auto"/>
              </w:rPr>
            </w:pPr>
          </w:p>
        </w:tc>
        <w:tc>
          <w:tcPr>
            <w:tcW w:w="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right w:val="single" w:sz="8" w:color="auto"/>
            </w:tcBorders>
          </w:tcPr>
          <w:p>
            <w:pPr>
              <w:spacing w:after="0"/>
              <w:rPr>
                <w:sz w:val="24"/>
                <w:szCs w:val="24"/>
                <w:color w:val="auto"/>
              </w:rPr>
            </w:pPr>
          </w:p>
        </w:tc>
        <w:tc>
          <w:tcPr>
            <w:tcW w:w="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right w:val="single" w:sz="8" w:color="auto"/>
            </w:tcBorders>
          </w:tcPr>
          <w:p>
            <w:pPr>
              <w:jc w:val="center"/>
              <w:ind w:left="8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center"/>
              <w:ind w:left="1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63"/>
        </w:trPr>
        <w:tc>
          <w:tcPr>
            <w:tcW w:w="180" w:type="dxa"/>
            <w:vAlign w:val="bottom"/>
            <w:tcBorders>
              <w:bottom w:val="single" w:sz="8" w:color="auto"/>
            </w:tcBorders>
            <w:vMerge w:val="continue"/>
          </w:tcPr>
          <w:p>
            <w:pPr>
              <w:spacing w:after="0"/>
              <w:rPr>
                <w:sz w:val="5"/>
                <w:szCs w:val="5"/>
                <w:color w:val="auto"/>
              </w:rPr>
            </w:pPr>
          </w:p>
        </w:tc>
        <w:tc>
          <w:tcPr>
            <w:tcW w:w="3400" w:type="dxa"/>
            <w:vAlign w:val="bottom"/>
            <w:tcBorders>
              <w:bottom w:val="single" w:sz="8" w:color="auto"/>
            </w:tcBorders>
          </w:tcPr>
          <w:p>
            <w:pPr>
              <w:spacing w:after="0"/>
              <w:rPr>
                <w:sz w:val="5"/>
                <w:szCs w:val="5"/>
                <w:color w:val="auto"/>
              </w:rPr>
            </w:pPr>
          </w:p>
        </w:tc>
        <w:tc>
          <w:tcPr>
            <w:tcW w:w="2740" w:type="dxa"/>
            <w:vAlign w:val="bottom"/>
            <w:tcBorders>
              <w:bottom w:val="single" w:sz="8" w:color="auto"/>
              <w:right w:val="single" w:sz="8" w:color="auto"/>
            </w:tcBorders>
          </w:tcPr>
          <w:p>
            <w:pPr>
              <w:spacing w:after="0"/>
              <w:rPr>
                <w:sz w:val="5"/>
                <w:szCs w:val="5"/>
                <w:color w:val="auto"/>
              </w:rPr>
            </w:pPr>
          </w:p>
        </w:tc>
        <w:tc>
          <w:tcPr>
            <w:tcW w:w="660" w:type="dxa"/>
            <w:vAlign w:val="bottom"/>
            <w:tcBorders>
              <w:bottom w:val="single" w:sz="8" w:color="auto"/>
              <w:right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600" w:type="dxa"/>
            <w:vAlign w:val="bottom"/>
            <w:tcBorders>
              <w:bottom w:val="single" w:sz="8" w:color="auto"/>
              <w:right w:val="single" w:sz="8" w:color="auto"/>
            </w:tcBorders>
          </w:tcPr>
          <w:p>
            <w:pPr>
              <w:spacing w:after="0"/>
              <w:rPr>
                <w:sz w:val="5"/>
                <w:szCs w:val="5"/>
                <w:color w:val="auto"/>
              </w:rPr>
            </w:pPr>
          </w:p>
        </w:tc>
        <w:tc>
          <w:tcPr>
            <w:tcW w:w="820" w:type="dxa"/>
            <w:vAlign w:val="bottom"/>
            <w:tcBorders>
              <w:bottom w:val="single" w:sz="8" w:color="auto"/>
              <w:right w:val="single" w:sz="8" w:color="auto"/>
            </w:tcBorders>
          </w:tcPr>
          <w:p>
            <w:pPr>
              <w:spacing w:after="0"/>
              <w:rPr>
                <w:sz w:val="5"/>
                <w:szCs w:val="5"/>
                <w:color w:val="auto"/>
              </w:rPr>
            </w:pPr>
          </w:p>
        </w:tc>
        <w:tc>
          <w:tcPr>
            <w:tcW w:w="740" w:type="dxa"/>
            <w:vAlign w:val="bottom"/>
            <w:tcBorders>
              <w:bottom w:val="single" w:sz="8" w:color="auto"/>
              <w:right w:val="single" w:sz="8" w:color="auto"/>
            </w:tcBorders>
          </w:tcPr>
          <w:p>
            <w:pPr>
              <w:spacing w:after="0"/>
              <w:rPr>
                <w:sz w:val="5"/>
                <w:szCs w:val="5"/>
                <w:color w:val="auto"/>
              </w:rPr>
            </w:pPr>
          </w:p>
        </w:tc>
        <w:tc>
          <w:tcPr>
            <w:tcW w:w="520" w:type="dxa"/>
            <w:vAlign w:val="bottom"/>
            <w:tcBorders>
              <w:bottom w:val="single" w:sz="8" w:color="auto"/>
              <w:right w:val="single" w:sz="8" w:color="auto"/>
            </w:tcBorders>
          </w:tcPr>
          <w:p>
            <w:pPr>
              <w:spacing w:after="0"/>
              <w:rPr>
                <w:sz w:val="5"/>
                <w:szCs w:val="5"/>
                <w:color w:val="auto"/>
              </w:rPr>
            </w:pPr>
          </w:p>
        </w:tc>
        <w:tc>
          <w:tcPr>
            <w:tcW w:w="660" w:type="dxa"/>
            <w:vAlign w:val="bottom"/>
            <w:tcBorders>
              <w:bottom w:val="single" w:sz="8" w:color="auto"/>
              <w:right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shd w:val="clear" w:color="auto" w:fill="000000"/>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180" w:type="dxa"/>
            <w:vAlign w:val="bottom"/>
            <w:vMerge w:val="restart"/>
          </w:tcPr>
          <w:p>
            <w:pPr>
              <w:ind w:left="80"/>
              <w:spacing w:after="0"/>
              <w:rPr>
                <w:sz w:val="20"/>
                <w:szCs w:val="20"/>
                <w:color w:val="auto"/>
              </w:rPr>
            </w:pPr>
            <w:r>
              <w:rPr>
                <w:rFonts w:ascii="Arial" w:cs="Arial" w:eastAsia="Arial" w:hAnsi="Arial"/>
                <w:sz w:val="16"/>
                <w:szCs w:val="16"/>
                <w:color w:val="auto"/>
              </w:rPr>
              <w:t xml:space="preserve">  </w:t>
            </w:r>
          </w:p>
        </w:tc>
        <w:tc>
          <w:tcPr>
            <w:tcW w:w="3400" w:type="dxa"/>
            <w:vAlign w:val="bottom"/>
          </w:tcPr>
          <w:p>
            <w:pPr>
              <w:ind w:left="620"/>
              <w:spacing w:after="0"/>
              <w:rPr>
                <w:sz w:val="20"/>
                <w:szCs w:val="20"/>
                <w:color w:val="auto"/>
              </w:rPr>
            </w:pPr>
            <w:r>
              <w:rPr>
                <w:rFonts w:ascii="Arial" w:cs="Arial" w:eastAsia="Arial" w:hAnsi="Arial"/>
                <w:sz w:val="16"/>
                <w:szCs w:val="16"/>
                <w:color w:val="auto"/>
              </w:rPr>
              <w:t>Real Estate Investing/Finance</w:t>
            </w:r>
          </w:p>
        </w:tc>
        <w:tc>
          <w:tcPr>
            <w:tcW w:w="2740" w:type="dxa"/>
            <w:vAlign w:val="bottom"/>
            <w:tcBorders>
              <w:right w:val="single" w:sz="8" w:color="auto"/>
            </w:tcBorders>
          </w:tcPr>
          <w:p>
            <w:pPr>
              <w:spacing w:after="0"/>
              <w:rPr>
                <w:sz w:val="23"/>
                <w:szCs w:val="23"/>
                <w:color w:val="auto"/>
              </w:rPr>
            </w:pPr>
          </w:p>
        </w:tc>
        <w:tc>
          <w:tcPr>
            <w:tcW w:w="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3"/>
                <w:szCs w:val="23"/>
                <w:color w:val="auto"/>
              </w:rPr>
            </w:pPr>
          </w:p>
        </w:tc>
        <w:tc>
          <w:tcPr>
            <w:tcW w:w="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right w:val="single" w:sz="8" w:color="auto"/>
            </w:tcBorders>
          </w:tcPr>
          <w:p>
            <w:pPr>
              <w:spacing w:after="0"/>
              <w:rPr>
                <w:sz w:val="23"/>
                <w:szCs w:val="23"/>
                <w:color w:val="auto"/>
              </w:rPr>
            </w:pPr>
          </w:p>
        </w:tc>
        <w:tc>
          <w:tcPr>
            <w:tcW w:w="740" w:type="dxa"/>
            <w:vAlign w:val="bottom"/>
            <w:tcBorders>
              <w:right w:val="single" w:sz="8" w:color="auto"/>
            </w:tcBorders>
          </w:tcPr>
          <w:p>
            <w:pPr>
              <w:spacing w:after="0"/>
              <w:rPr>
                <w:sz w:val="23"/>
                <w:szCs w:val="23"/>
                <w:color w:val="auto"/>
              </w:rPr>
            </w:pPr>
          </w:p>
        </w:tc>
        <w:tc>
          <w:tcPr>
            <w:tcW w:w="5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right w:val="single" w:sz="8" w:color="auto"/>
            </w:tcBorders>
          </w:tcPr>
          <w:p>
            <w:pPr>
              <w:spacing w:after="0"/>
              <w:rPr>
                <w:sz w:val="23"/>
                <w:szCs w:val="23"/>
                <w:color w:val="auto"/>
              </w:rPr>
            </w:pPr>
          </w:p>
        </w:tc>
        <w:tc>
          <w:tcPr>
            <w:tcW w:w="580" w:type="dxa"/>
            <w:vAlign w:val="bottom"/>
          </w:tcPr>
          <w:p>
            <w:pPr>
              <w:jc w:val="center"/>
              <w:ind w:left="1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000000"/>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180" w:type="dxa"/>
            <w:vAlign w:val="bottom"/>
            <w:tcBorders>
              <w:bottom w:val="single" w:sz="8" w:color="auto"/>
            </w:tcBorders>
            <w:vMerge w:val="continue"/>
          </w:tcPr>
          <w:p>
            <w:pPr>
              <w:spacing w:after="0"/>
              <w:rPr>
                <w:sz w:val="5"/>
                <w:szCs w:val="5"/>
                <w:color w:val="auto"/>
              </w:rPr>
            </w:pPr>
          </w:p>
        </w:tc>
        <w:tc>
          <w:tcPr>
            <w:tcW w:w="3400" w:type="dxa"/>
            <w:vAlign w:val="bottom"/>
            <w:tcBorders>
              <w:bottom w:val="single" w:sz="8" w:color="auto"/>
            </w:tcBorders>
          </w:tcPr>
          <w:p>
            <w:pPr>
              <w:spacing w:after="0"/>
              <w:rPr>
                <w:sz w:val="5"/>
                <w:szCs w:val="5"/>
                <w:color w:val="auto"/>
              </w:rPr>
            </w:pPr>
          </w:p>
        </w:tc>
        <w:tc>
          <w:tcPr>
            <w:tcW w:w="2740" w:type="dxa"/>
            <w:vAlign w:val="bottom"/>
            <w:tcBorders>
              <w:bottom w:val="single" w:sz="8" w:color="auto"/>
              <w:right w:val="single" w:sz="8" w:color="auto"/>
            </w:tcBorders>
          </w:tcPr>
          <w:p>
            <w:pPr>
              <w:spacing w:after="0"/>
              <w:rPr>
                <w:sz w:val="5"/>
                <w:szCs w:val="5"/>
                <w:color w:val="auto"/>
              </w:rPr>
            </w:pPr>
          </w:p>
        </w:tc>
        <w:tc>
          <w:tcPr>
            <w:tcW w:w="660" w:type="dxa"/>
            <w:vAlign w:val="bottom"/>
            <w:tcBorders>
              <w:bottom w:val="single" w:sz="8" w:color="auto"/>
              <w:right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600" w:type="dxa"/>
            <w:vAlign w:val="bottom"/>
            <w:tcBorders>
              <w:bottom w:val="single" w:sz="8" w:color="auto"/>
              <w:right w:val="single" w:sz="8" w:color="auto"/>
            </w:tcBorders>
          </w:tcPr>
          <w:p>
            <w:pPr>
              <w:spacing w:after="0"/>
              <w:rPr>
                <w:sz w:val="5"/>
                <w:szCs w:val="5"/>
                <w:color w:val="auto"/>
              </w:rPr>
            </w:pPr>
          </w:p>
        </w:tc>
        <w:tc>
          <w:tcPr>
            <w:tcW w:w="820" w:type="dxa"/>
            <w:vAlign w:val="bottom"/>
            <w:tcBorders>
              <w:bottom w:val="single" w:sz="8" w:color="auto"/>
              <w:right w:val="single" w:sz="8" w:color="auto"/>
            </w:tcBorders>
          </w:tcPr>
          <w:p>
            <w:pPr>
              <w:spacing w:after="0"/>
              <w:rPr>
                <w:sz w:val="5"/>
                <w:szCs w:val="5"/>
                <w:color w:val="auto"/>
              </w:rPr>
            </w:pPr>
          </w:p>
        </w:tc>
        <w:tc>
          <w:tcPr>
            <w:tcW w:w="740" w:type="dxa"/>
            <w:vAlign w:val="bottom"/>
            <w:tcBorders>
              <w:bottom w:val="single" w:sz="8" w:color="auto"/>
              <w:right w:val="single" w:sz="8" w:color="auto"/>
            </w:tcBorders>
          </w:tcPr>
          <w:p>
            <w:pPr>
              <w:spacing w:after="0"/>
              <w:rPr>
                <w:sz w:val="5"/>
                <w:szCs w:val="5"/>
                <w:color w:val="auto"/>
              </w:rPr>
            </w:pPr>
          </w:p>
        </w:tc>
        <w:tc>
          <w:tcPr>
            <w:tcW w:w="520" w:type="dxa"/>
            <w:vAlign w:val="bottom"/>
            <w:tcBorders>
              <w:bottom w:val="single" w:sz="8" w:color="auto"/>
              <w:right w:val="single" w:sz="8" w:color="auto"/>
            </w:tcBorders>
          </w:tcPr>
          <w:p>
            <w:pPr>
              <w:spacing w:after="0"/>
              <w:rPr>
                <w:sz w:val="5"/>
                <w:szCs w:val="5"/>
                <w:color w:val="auto"/>
              </w:rPr>
            </w:pPr>
          </w:p>
        </w:tc>
        <w:tc>
          <w:tcPr>
            <w:tcW w:w="660" w:type="dxa"/>
            <w:vAlign w:val="bottom"/>
            <w:tcBorders>
              <w:bottom w:val="single" w:sz="8" w:color="auto"/>
              <w:right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shd w:val="clear" w:color="auto" w:fill="000000"/>
          </w:tcPr>
          <w:p>
            <w:pPr>
              <w:spacing w:after="0"/>
              <w:rPr>
                <w:sz w:val="5"/>
                <w:szCs w:val="5"/>
                <w:color w:val="auto"/>
              </w:rPr>
            </w:pPr>
          </w:p>
        </w:tc>
        <w:tc>
          <w:tcPr>
            <w:tcW w:w="0" w:type="dxa"/>
            <w:vAlign w:val="bottom"/>
          </w:tcPr>
          <w:p>
            <w:pPr>
              <w:spacing w:after="0"/>
              <w:rPr>
                <w:sz w:val="1"/>
                <w:szCs w:val="1"/>
                <w:color w:val="auto"/>
              </w:rPr>
            </w:pPr>
          </w:p>
        </w:tc>
      </w:tr>
      <w:tr>
        <w:trPr>
          <w:trHeight w:val="281"/>
        </w:trPr>
        <w:tc>
          <w:tcPr>
            <w:tcW w:w="180" w:type="dxa"/>
            <w:vAlign w:val="bottom"/>
            <w:vMerge w:val="restart"/>
          </w:tcPr>
          <w:p>
            <w:pPr>
              <w:ind w:left="60"/>
              <w:spacing w:after="0"/>
              <w:rPr>
                <w:sz w:val="20"/>
                <w:szCs w:val="20"/>
                <w:color w:val="auto"/>
              </w:rPr>
            </w:pPr>
            <w:r>
              <w:rPr>
                <w:rFonts w:ascii="Arial" w:cs="Arial" w:eastAsia="Arial" w:hAnsi="Arial"/>
                <w:sz w:val="16"/>
                <w:szCs w:val="16"/>
                <w:color w:val="auto"/>
              </w:rPr>
              <w:t xml:space="preserve">  </w:t>
            </w:r>
          </w:p>
        </w:tc>
        <w:tc>
          <w:tcPr>
            <w:tcW w:w="3400" w:type="dxa"/>
            <w:vAlign w:val="bottom"/>
          </w:tcPr>
          <w:p>
            <w:pPr>
              <w:ind w:left="620"/>
              <w:spacing w:after="0"/>
              <w:rPr>
                <w:sz w:val="20"/>
                <w:szCs w:val="20"/>
                <w:color w:val="auto"/>
              </w:rPr>
            </w:pPr>
            <w:r>
              <w:rPr>
                <w:rFonts w:ascii="Arial" w:cs="Arial" w:eastAsia="Arial" w:hAnsi="Arial"/>
                <w:sz w:val="16"/>
                <w:szCs w:val="16"/>
                <w:color w:val="auto"/>
              </w:rPr>
              <w:t>Retail Industry</w:t>
            </w:r>
          </w:p>
        </w:tc>
        <w:tc>
          <w:tcPr>
            <w:tcW w:w="2740" w:type="dxa"/>
            <w:vAlign w:val="bottom"/>
            <w:tcBorders>
              <w:righ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right w:val="single" w:sz="8" w:color="auto"/>
            </w:tcBorders>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5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right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77"/>
        </w:trPr>
        <w:tc>
          <w:tcPr>
            <w:tcW w:w="180" w:type="dxa"/>
            <w:vAlign w:val="bottom"/>
            <w:tcBorders>
              <w:bottom w:val="single" w:sz="8" w:color="auto"/>
            </w:tcBorders>
            <w:vMerge w:val="continue"/>
          </w:tcPr>
          <w:p>
            <w:pPr>
              <w:spacing w:after="0"/>
              <w:rPr>
                <w:sz w:val="6"/>
                <w:szCs w:val="6"/>
                <w:color w:val="auto"/>
              </w:rPr>
            </w:pPr>
          </w:p>
        </w:tc>
        <w:tc>
          <w:tcPr>
            <w:tcW w:w="3400" w:type="dxa"/>
            <w:vAlign w:val="bottom"/>
            <w:tcBorders>
              <w:bottom w:val="single" w:sz="8" w:color="auto"/>
            </w:tcBorders>
          </w:tcPr>
          <w:p>
            <w:pPr>
              <w:spacing w:after="0"/>
              <w:rPr>
                <w:sz w:val="6"/>
                <w:szCs w:val="6"/>
                <w:color w:val="auto"/>
              </w:rPr>
            </w:pPr>
          </w:p>
        </w:tc>
        <w:tc>
          <w:tcPr>
            <w:tcW w:w="2740" w:type="dxa"/>
            <w:vAlign w:val="bottom"/>
            <w:tcBorders>
              <w:bottom w:val="single" w:sz="8" w:color="auto"/>
              <w:right w:val="single" w:sz="8" w:color="auto"/>
            </w:tcBorders>
          </w:tcPr>
          <w:p>
            <w:pPr>
              <w:spacing w:after="0"/>
              <w:rPr>
                <w:sz w:val="6"/>
                <w:szCs w:val="6"/>
                <w:color w:val="auto"/>
              </w:rPr>
            </w:pPr>
          </w:p>
        </w:tc>
        <w:tc>
          <w:tcPr>
            <w:tcW w:w="660" w:type="dxa"/>
            <w:vAlign w:val="bottom"/>
            <w:tcBorders>
              <w:bottom w:val="single" w:sz="8" w:color="auto"/>
              <w:right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00" w:type="dxa"/>
            <w:vAlign w:val="bottom"/>
            <w:tcBorders>
              <w:bottom w:val="single" w:sz="8" w:color="auto"/>
              <w:right w:val="single" w:sz="8" w:color="auto"/>
            </w:tcBorders>
          </w:tcPr>
          <w:p>
            <w:pPr>
              <w:spacing w:after="0"/>
              <w:rPr>
                <w:sz w:val="6"/>
                <w:szCs w:val="6"/>
                <w:color w:val="auto"/>
              </w:rPr>
            </w:pPr>
          </w:p>
        </w:tc>
        <w:tc>
          <w:tcPr>
            <w:tcW w:w="820" w:type="dxa"/>
            <w:vAlign w:val="bottom"/>
            <w:tcBorders>
              <w:bottom w:val="single" w:sz="8" w:color="auto"/>
              <w:right w:val="single" w:sz="8" w:color="auto"/>
            </w:tcBorders>
          </w:tcPr>
          <w:p>
            <w:pPr>
              <w:spacing w:after="0"/>
              <w:rPr>
                <w:sz w:val="6"/>
                <w:szCs w:val="6"/>
                <w:color w:val="auto"/>
              </w:rPr>
            </w:pPr>
          </w:p>
        </w:tc>
        <w:tc>
          <w:tcPr>
            <w:tcW w:w="740" w:type="dxa"/>
            <w:vAlign w:val="bottom"/>
            <w:tcBorders>
              <w:bottom w:val="single" w:sz="8" w:color="auto"/>
              <w:right w:val="single" w:sz="8" w:color="auto"/>
            </w:tcBorders>
          </w:tcPr>
          <w:p>
            <w:pPr>
              <w:spacing w:after="0"/>
              <w:rPr>
                <w:sz w:val="6"/>
                <w:szCs w:val="6"/>
                <w:color w:val="auto"/>
              </w:rPr>
            </w:pPr>
          </w:p>
        </w:tc>
        <w:tc>
          <w:tcPr>
            <w:tcW w:w="520" w:type="dxa"/>
            <w:vAlign w:val="bottom"/>
            <w:tcBorders>
              <w:bottom w:val="single" w:sz="8" w:color="auto"/>
              <w:right w:val="single" w:sz="8" w:color="auto"/>
            </w:tcBorders>
          </w:tcPr>
          <w:p>
            <w:pPr>
              <w:spacing w:after="0"/>
              <w:rPr>
                <w:sz w:val="6"/>
                <w:szCs w:val="6"/>
                <w:color w:val="auto"/>
              </w:rPr>
            </w:pPr>
          </w:p>
        </w:tc>
        <w:tc>
          <w:tcPr>
            <w:tcW w:w="660" w:type="dxa"/>
            <w:vAlign w:val="bottom"/>
            <w:tcBorders>
              <w:bottom w:val="single" w:sz="8" w:color="auto"/>
              <w:right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shd w:val="clear" w:color="auto" w:fill="000000"/>
          </w:tcPr>
          <w:p>
            <w:pPr>
              <w:spacing w:after="0"/>
              <w:rPr>
                <w:sz w:val="6"/>
                <w:szCs w:val="6"/>
                <w:color w:val="auto"/>
              </w:rPr>
            </w:pPr>
          </w:p>
        </w:tc>
        <w:tc>
          <w:tcPr>
            <w:tcW w:w="0" w:type="dxa"/>
            <w:vAlign w:val="bottom"/>
          </w:tcPr>
          <w:p>
            <w:pPr>
              <w:spacing w:after="0"/>
              <w:rPr>
                <w:sz w:val="1"/>
                <w:szCs w:val="1"/>
                <w:color w:val="auto"/>
              </w:rPr>
            </w:pPr>
          </w:p>
        </w:tc>
      </w:tr>
      <w:tr>
        <w:trPr>
          <w:trHeight w:val="282"/>
        </w:trPr>
        <w:tc>
          <w:tcPr>
            <w:tcW w:w="180" w:type="dxa"/>
            <w:vAlign w:val="bottom"/>
            <w:vMerge w:val="restart"/>
          </w:tcPr>
          <w:p>
            <w:pPr>
              <w:ind w:left="60"/>
              <w:spacing w:after="0"/>
              <w:rPr>
                <w:sz w:val="20"/>
                <w:szCs w:val="20"/>
                <w:color w:val="auto"/>
              </w:rPr>
            </w:pPr>
            <w:r>
              <w:rPr>
                <w:rFonts w:ascii="Arial" w:cs="Arial" w:eastAsia="Arial" w:hAnsi="Arial"/>
                <w:sz w:val="16"/>
                <w:szCs w:val="16"/>
                <w:color w:val="auto"/>
              </w:rPr>
              <w:t xml:space="preserve">  </w:t>
            </w:r>
          </w:p>
        </w:tc>
        <w:tc>
          <w:tcPr>
            <w:tcW w:w="3400" w:type="dxa"/>
            <w:vAlign w:val="bottom"/>
          </w:tcPr>
          <w:p>
            <w:pPr>
              <w:ind w:left="620"/>
              <w:spacing w:after="0"/>
              <w:rPr>
                <w:sz w:val="20"/>
                <w:szCs w:val="20"/>
                <w:color w:val="auto"/>
              </w:rPr>
            </w:pPr>
            <w:r>
              <w:rPr>
                <w:rFonts w:ascii="Arial" w:cs="Arial" w:eastAsia="Arial" w:hAnsi="Arial"/>
                <w:sz w:val="16"/>
                <w:szCs w:val="16"/>
                <w:color w:val="auto"/>
              </w:rPr>
              <w:t>Risk Management</w:t>
            </w:r>
          </w:p>
        </w:tc>
        <w:tc>
          <w:tcPr>
            <w:tcW w:w="2740" w:type="dxa"/>
            <w:vAlign w:val="bottom"/>
            <w:tcBorders>
              <w:right w:val="single" w:sz="8" w:color="auto"/>
            </w:tcBorders>
          </w:tcPr>
          <w:p>
            <w:pPr>
              <w:spacing w:after="0"/>
              <w:rPr>
                <w:sz w:val="24"/>
                <w:szCs w:val="24"/>
                <w:color w:val="auto"/>
              </w:rPr>
            </w:pPr>
          </w:p>
        </w:tc>
        <w:tc>
          <w:tcPr>
            <w:tcW w:w="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right w:val="single" w:sz="8" w:color="auto"/>
            </w:tcBorders>
          </w:tcPr>
          <w:p>
            <w:pPr>
              <w:jc w:val="center"/>
              <w:ind w:left="8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center"/>
              <w:ind w:left="1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77"/>
        </w:trPr>
        <w:tc>
          <w:tcPr>
            <w:tcW w:w="180" w:type="dxa"/>
            <w:vAlign w:val="bottom"/>
            <w:tcBorders>
              <w:bottom w:val="single" w:sz="8" w:color="auto"/>
            </w:tcBorders>
            <w:vMerge w:val="continue"/>
          </w:tcPr>
          <w:p>
            <w:pPr>
              <w:spacing w:after="0"/>
              <w:rPr>
                <w:sz w:val="6"/>
                <w:szCs w:val="6"/>
                <w:color w:val="auto"/>
              </w:rPr>
            </w:pPr>
          </w:p>
        </w:tc>
        <w:tc>
          <w:tcPr>
            <w:tcW w:w="3400" w:type="dxa"/>
            <w:vAlign w:val="bottom"/>
            <w:tcBorders>
              <w:bottom w:val="single" w:sz="8" w:color="auto"/>
            </w:tcBorders>
          </w:tcPr>
          <w:p>
            <w:pPr>
              <w:spacing w:after="0"/>
              <w:rPr>
                <w:sz w:val="6"/>
                <w:szCs w:val="6"/>
                <w:color w:val="auto"/>
              </w:rPr>
            </w:pPr>
          </w:p>
        </w:tc>
        <w:tc>
          <w:tcPr>
            <w:tcW w:w="2740" w:type="dxa"/>
            <w:vAlign w:val="bottom"/>
            <w:tcBorders>
              <w:bottom w:val="single" w:sz="8" w:color="auto"/>
              <w:right w:val="single" w:sz="8" w:color="auto"/>
            </w:tcBorders>
          </w:tcPr>
          <w:p>
            <w:pPr>
              <w:spacing w:after="0"/>
              <w:rPr>
                <w:sz w:val="6"/>
                <w:szCs w:val="6"/>
                <w:color w:val="auto"/>
              </w:rPr>
            </w:pPr>
          </w:p>
        </w:tc>
        <w:tc>
          <w:tcPr>
            <w:tcW w:w="660" w:type="dxa"/>
            <w:vAlign w:val="bottom"/>
            <w:tcBorders>
              <w:bottom w:val="single" w:sz="8" w:color="auto"/>
              <w:right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00" w:type="dxa"/>
            <w:vAlign w:val="bottom"/>
            <w:tcBorders>
              <w:bottom w:val="single" w:sz="8" w:color="auto"/>
              <w:right w:val="single" w:sz="8" w:color="auto"/>
            </w:tcBorders>
          </w:tcPr>
          <w:p>
            <w:pPr>
              <w:spacing w:after="0"/>
              <w:rPr>
                <w:sz w:val="6"/>
                <w:szCs w:val="6"/>
                <w:color w:val="auto"/>
              </w:rPr>
            </w:pPr>
          </w:p>
        </w:tc>
        <w:tc>
          <w:tcPr>
            <w:tcW w:w="820" w:type="dxa"/>
            <w:vAlign w:val="bottom"/>
            <w:tcBorders>
              <w:bottom w:val="single" w:sz="8" w:color="auto"/>
              <w:right w:val="single" w:sz="8" w:color="auto"/>
            </w:tcBorders>
          </w:tcPr>
          <w:p>
            <w:pPr>
              <w:spacing w:after="0"/>
              <w:rPr>
                <w:sz w:val="6"/>
                <w:szCs w:val="6"/>
                <w:color w:val="auto"/>
              </w:rPr>
            </w:pPr>
          </w:p>
        </w:tc>
        <w:tc>
          <w:tcPr>
            <w:tcW w:w="740" w:type="dxa"/>
            <w:vAlign w:val="bottom"/>
            <w:tcBorders>
              <w:bottom w:val="single" w:sz="8" w:color="auto"/>
              <w:right w:val="single" w:sz="8" w:color="auto"/>
            </w:tcBorders>
          </w:tcPr>
          <w:p>
            <w:pPr>
              <w:spacing w:after="0"/>
              <w:rPr>
                <w:sz w:val="6"/>
                <w:szCs w:val="6"/>
                <w:color w:val="auto"/>
              </w:rPr>
            </w:pPr>
          </w:p>
        </w:tc>
        <w:tc>
          <w:tcPr>
            <w:tcW w:w="520" w:type="dxa"/>
            <w:vAlign w:val="bottom"/>
            <w:tcBorders>
              <w:bottom w:val="single" w:sz="8" w:color="auto"/>
              <w:right w:val="single" w:sz="8" w:color="auto"/>
            </w:tcBorders>
          </w:tcPr>
          <w:p>
            <w:pPr>
              <w:spacing w:after="0"/>
              <w:rPr>
                <w:sz w:val="6"/>
                <w:szCs w:val="6"/>
                <w:color w:val="auto"/>
              </w:rPr>
            </w:pPr>
          </w:p>
        </w:tc>
        <w:tc>
          <w:tcPr>
            <w:tcW w:w="660" w:type="dxa"/>
            <w:vAlign w:val="bottom"/>
            <w:tcBorders>
              <w:bottom w:val="single" w:sz="8" w:color="auto"/>
              <w:right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shd w:val="clear" w:color="auto" w:fill="000000"/>
          </w:tcPr>
          <w:p>
            <w:pPr>
              <w:spacing w:after="0"/>
              <w:rPr>
                <w:sz w:val="6"/>
                <w:szCs w:val="6"/>
                <w:color w:val="auto"/>
              </w:rPr>
            </w:pPr>
          </w:p>
        </w:tc>
        <w:tc>
          <w:tcPr>
            <w:tcW w:w="0" w:type="dxa"/>
            <w:vAlign w:val="bottom"/>
          </w:tcPr>
          <w:p>
            <w:pPr>
              <w:spacing w:after="0"/>
              <w:rPr>
                <w:sz w:val="1"/>
                <w:szCs w:val="1"/>
                <w:color w:val="auto"/>
              </w:rPr>
            </w:pPr>
          </w:p>
        </w:tc>
      </w:tr>
      <w:tr>
        <w:trPr>
          <w:trHeight w:val="281"/>
        </w:trPr>
        <w:tc>
          <w:tcPr>
            <w:tcW w:w="180" w:type="dxa"/>
            <w:vAlign w:val="bottom"/>
            <w:vMerge w:val="restart"/>
          </w:tcPr>
          <w:p>
            <w:pPr>
              <w:ind w:left="100"/>
              <w:spacing w:after="0"/>
              <w:rPr>
                <w:sz w:val="20"/>
                <w:szCs w:val="20"/>
                <w:color w:val="auto"/>
              </w:rPr>
            </w:pPr>
            <w:r>
              <w:rPr>
                <w:rFonts w:ascii="Arial" w:cs="Arial" w:eastAsia="Arial" w:hAnsi="Arial"/>
                <w:sz w:val="16"/>
                <w:szCs w:val="16"/>
                <w:color w:val="auto"/>
              </w:rPr>
              <w:t xml:space="preserve">  </w:t>
            </w:r>
          </w:p>
        </w:tc>
        <w:tc>
          <w:tcPr>
            <w:tcW w:w="3400" w:type="dxa"/>
            <w:vAlign w:val="bottom"/>
          </w:tcPr>
          <w:p>
            <w:pPr>
              <w:ind w:left="620"/>
              <w:spacing w:after="0"/>
              <w:rPr>
                <w:sz w:val="20"/>
                <w:szCs w:val="20"/>
                <w:color w:val="auto"/>
              </w:rPr>
            </w:pPr>
            <w:r>
              <w:rPr>
                <w:rFonts w:ascii="Arial" w:cs="Arial" w:eastAsia="Arial" w:hAnsi="Arial"/>
                <w:sz w:val="16"/>
                <w:szCs w:val="16"/>
                <w:color w:val="auto"/>
              </w:rPr>
              <w:t>Human Capital Management</w:t>
            </w:r>
          </w:p>
        </w:tc>
        <w:tc>
          <w:tcPr>
            <w:tcW w:w="2740" w:type="dxa"/>
            <w:vAlign w:val="bottom"/>
            <w:tcBorders>
              <w:right w:val="single" w:sz="8" w:color="auto"/>
            </w:tcBorders>
          </w:tcPr>
          <w:p>
            <w:pPr>
              <w:spacing w:after="0"/>
              <w:rPr>
                <w:sz w:val="24"/>
                <w:szCs w:val="24"/>
                <w:color w:val="auto"/>
              </w:rPr>
            </w:pPr>
          </w:p>
        </w:tc>
        <w:tc>
          <w:tcPr>
            <w:tcW w:w="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right w:val="single" w:sz="8" w:color="auto"/>
            </w:tcBorders>
          </w:tcPr>
          <w:p>
            <w:pPr>
              <w:jc w:val="center"/>
              <w:ind w:left="8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center"/>
              <w:ind w:left="1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63"/>
        </w:trPr>
        <w:tc>
          <w:tcPr>
            <w:tcW w:w="180" w:type="dxa"/>
            <w:vAlign w:val="bottom"/>
            <w:tcBorders>
              <w:bottom w:val="single" w:sz="8" w:color="auto"/>
            </w:tcBorders>
            <w:vMerge w:val="continue"/>
          </w:tcPr>
          <w:p>
            <w:pPr>
              <w:spacing w:after="0"/>
              <w:rPr>
                <w:sz w:val="5"/>
                <w:szCs w:val="5"/>
                <w:color w:val="auto"/>
              </w:rPr>
            </w:pPr>
          </w:p>
        </w:tc>
        <w:tc>
          <w:tcPr>
            <w:tcW w:w="3400" w:type="dxa"/>
            <w:vAlign w:val="bottom"/>
            <w:tcBorders>
              <w:bottom w:val="single" w:sz="8" w:color="auto"/>
            </w:tcBorders>
          </w:tcPr>
          <w:p>
            <w:pPr>
              <w:spacing w:after="0"/>
              <w:rPr>
                <w:sz w:val="5"/>
                <w:szCs w:val="5"/>
                <w:color w:val="auto"/>
              </w:rPr>
            </w:pPr>
          </w:p>
        </w:tc>
        <w:tc>
          <w:tcPr>
            <w:tcW w:w="2740" w:type="dxa"/>
            <w:vAlign w:val="bottom"/>
            <w:tcBorders>
              <w:bottom w:val="single" w:sz="8" w:color="auto"/>
              <w:right w:val="single" w:sz="8" w:color="auto"/>
            </w:tcBorders>
          </w:tcPr>
          <w:p>
            <w:pPr>
              <w:spacing w:after="0"/>
              <w:rPr>
                <w:sz w:val="5"/>
                <w:szCs w:val="5"/>
                <w:color w:val="auto"/>
              </w:rPr>
            </w:pPr>
          </w:p>
        </w:tc>
        <w:tc>
          <w:tcPr>
            <w:tcW w:w="660" w:type="dxa"/>
            <w:vAlign w:val="bottom"/>
            <w:tcBorders>
              <w:bottom w:val="single" w:sz="8" w:color="auto"/>
              <w:right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600" w:type="dxa"/>
            <w:vAlign w:val="bottom"/>
            <w:tcBorders>
              <w:bottom w:val="single" w:sz="8" w:color="auto"/>
              <w:right w:val="single" w:sz="8" w:color="auto"/>
            </w:tcBorders>
          </w:tcPr>
          <w:p>
            <w:pPr>
              <w:spacing w:after="0"/>
              <w:rPr>
                <w:sz w:val="5"/>
                <w:szCs w:val="5"/>
                <w:color w:val="auto"/>
              </w:rPr>
            </w:pPr>
          </w:p>
        </w:tc>
        <w:tc>
          <w:tcPr>
            <w:tcW w:w="820" w:type="dxa"/>
            <w:vAlign w:val="bottom"/>
            <w:tcBorders>
              <w:bottom w:val="single" w:sz="8" w:color="auto"/>
              <w:right w:val="single" w:sz="8" w:color="auto"/>
            </w:tcBorders>
          </w:tcPr>
          <w:p>
            <w:pPr>
              <w:spacing w:after="0"/>
              <w:rPr>
                <w:sz w:val="5"/>
                <w:szCs w:val="5"/>
                <w:color w:val="auto"/>
              </w:rPr>
            </w:pPr>
          </w:p>
        </w:tc>
        <w:tc>
          <w:tcPr>
            <w:tcW w:w="740" w:type="dxa"/>
            <w:vAlign w:val="bottom"/>
            <w:tcBorders>
              <w:bottom w:val="single" w:sz="8" w:color="auto"/>
              <w:right w:val="single" w:sz="8" w:color="auto"/>
            </w:tcBorders>
          </w:tcPr>
          <w:p>
            <w:pPr>
              <w:spacing w:after="0"/>
              <w:rPr>
                <w:sz w:val="5"/>
                <w:szCs w:val="5"/>
                <w:color w:val="auto"/>
              </w:rPr>
            </w:pPr>
          </w:p>
        </w:tc>
        <w:tc>
          <w:tcPr>
            <w:tcW w:w="520" w:type="dxa"/>
            <w:vAlign w:val="bottom"/>
            <w:tcBorders>
              <w:bottom w:val="single" w:sz="8" w:color="auto"/>
              <w:right w:val="single" w:sz="8" w:color="auto"/>
            </w:tcBorders>
          </w:tcPr>
          <w:p>
            <w:pPr>
              <w:spacing w:after="0"/>
              <w:rPr>
                <w:sz w:val="5"/>
                <w:szCs w:val="5"/>
                <w:color w:val="auto"/>
              </w:rPr>
            </w:pPr>
          </w:p>
        </w:tc>
        <w:tc>
          <w:tcPr>
            <w:tcW w:w="660" w:type="dxa"/>
            <w:vAlign w:val="bottom"/>
            <w:tcBorders>
              <w:bottom w:val="single" w:sz="8" w:color="auto"/>
              <w:right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shd w:val="clear" w:color="auto" w:fill="000000"/>
          </w:tcPr>
          <w:p>
            <w:pPr>
              <w:spacing w:after="0"/>
              <w:rPr>
                <w:sz w:val="5"/>
                <w:szCs w:val="5"/>
                <w:color w:val="auto"/>
              </w:rPr>
            </w:pPr>
          </w:p>
        </w:tc>
        <w:tc>
          <w:tcPr>
            <w:tcW w:w="0" w:type="dxa"/>
            <w:vAlign w:val="bottom"/>
          </w:tcPr>
          <w:p>
            <w:pPr>
              <w:spacing w:after="0"/>
              <w:rPr>
                <w:sz w:val="1"/>
                <w:szCs w:val="1"/>
                <w:color w:val="auto"/>
              </w:rPr>
            </w:pPr>
          </w:p>
        </w:tc>
      </w:tr>
      <w:tr>
        <w:trPr>
          <w:trHeight w:val="291"/>
        </w:trPr>
        <w:tc>
          <w:tcPr>
            <w:tcW w:w="18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 xml:space="preserve">  </w:t>
            </w:r>
          </w:p>
        </w:tc>
        <w:tc>
          <w:tcPr>
            <w:tcW w:w="3400" w:type="dxa"/>
            <w:vAlign w:val="bottom"/>
            <w:tcBorders>
              <w:bottom w:val="single" w:sz="8" w:color="auto"/>
            </w:tcBorders>
          </w:tcPr>
          <w:p>
            <w:pPr>
              <w:ind w:left="620"/>
              <w:spacing w:after="0"/>
              <w:rPr>
                <w:sz w:val="20"/>
                <w:szCs w:val="20"/>
                <w:color w:val="auto"/>
              </w:rPr>
            </w:pPr>
            <w:r>
              <w:rPr>
                <w:rFonts w:ascii="Arial" w:cs="Arial" w:eastAsia="Arial" w:hAnsi="Arial"/>
                <w:sz w:val="16"/>
                <w:szCs w:val="16"/>
                <w:color w:val="auto"/>
              </w:rPr>
              <w:t>Corporate Governance</w:t>
            </w:r>
          </w:p>
        </w:tc>
        <w:tc>
          <w:tcPr>
            <w:tcW w:w="274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auto"/>
              <w:right w:val="single" w:sz="8" w:color="auto"/>
            </w:tcBorders>
          </w:tcPr>
          <w:p>
            <w:pPr>
              <w:jc w:val="center"/>
              <w:ind w:left="8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bottom w:val="single" w:sz="8" w:color="auto"/>
            </w:tcBorders>
          </w:tcPr>
          <w:p>
            <w:pPr>
              <w:jc w:val="center"/>
              <w:ind w:left="1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auto"/>
            </w:tcBorders>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180" w:type="dxa"/>
            <w:vAlign w:val="bottom"/>
            <w:vMerge w:val="restart"/>
          </w:tcPr>
          <w:p>
            <w:pPr>
              <w:ind w:left="40"/>
              <w:spacing w:after="0"/>
              <w:rPr>
                <w:sz w:val="20"/>
                <w:szCs w:val="20"/>
                <w:color w:val="auto"/>
              </w:rPr>
            </w:pPr>
            <w:r>
              <w:rPr>
                <w:rFonts w:ascii="Arial" w:cs="Arial" w:eastAsia="Arial" w:hAnsi="Arial"/>
                <w:sz w:val="16"/>
                <w:szCs w:val="16"/>
                <w:color w:val="auto"/>
              </w:rPr>
              <w:t xml:space="preserve">  </w:t>
            </w:r>
          </w:p>
        </w:tc>
        <w:tc>
          <w:tcPr>
            <w:tcW w:w="3400" w:type="dxa"/>
            <w:vAlign w:val="bottom"/>
          </w:tcPr>
          <w:p>
            <w:pPr>
              <w:ind w:left="620"/>
              <w:spacing w:after="0"/>
              <w:rPr>
                <w:sz w:val="20"/>
                <w:szCs w:val="20"/>
                <w:color w:val="auto"/>
              </w:rPr>
            </w:pPr>
            <w:r>
              <w:rPr>
                <w:rFonts w:ascii="Arial" w:cs="Arial" w:eastAsia="Arial" w:hAnsi="Arial"/>
                <w:sz w:val="16"/>
                <w:szCs w:val="16"/>
                <w:color w:val="auto"/>
              </w:rPr>
              <w:t>Sustainability</w:t>
            </w:r>
          </w:p>
        </w:tc>
        <w:tc>
          <w:tcPr>
            <w:tcW w:w="2740" w:type="dxa"/>
            <w:vAlign w:val="bottom"/>
            <w:tcBorders>
              <w:right w:val="single" w:sz="8" w:color="auto"/>
            </w:tcBorders>
          </w:tcPr>
          <w:p>
            <w:pPr>
              <w:spacing w:after="0"/>
              <w:rPr>
                <w:sz w:val="24"/>
                <w:szCs w:val="24"/>
                <w:color w:val="auto"/>
              </w:rPr>
            </w:pPr>
          </w:p>
        </w:tc>
        <w:tc>
          <w:tcPr>
            <w:tcW w:w="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right w:val="single" w:sz="8" w:color="auto"/>
            </w:tcBorders>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580" w:type="dxa"/>
            <w:vAlign w:val="bottom"/>
          </w:tcPr>
          <w:p>
            <w:pPr>
              <w:jc w:val="center"/>
              <w:ind w:left="1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77"/>
        </w:trPr>
        <w:tc>
          <w:tcPr>
            <w:tcW w:w="180" w:type="dxa"/>
            <w:vAlign w:val="bottom"/>
            <w:tcBorders>
              <w:bottom w:val="single" w:sz="8" w:color="FF160F"/>
            </w:tcBorders>
            <w:vMerge w:val="continue"/>
          </w:tcPr>
          <w:p>
            <w:pPr>
              <w:spacing w:after="0"/>
              <w:rPr>
                <w:sz w:val="6"/>
                <w:szCs w:val="6"/>
                <w:color w:val="auto"/>
              </w:rPr>
            </w:pPr>
          </w:p>
        </w:tc>
        <w:tc>
          <w:tcPr>
            <w:tcW w:w="3400" w:type="dxa"/>
            <w:vAlign w:val="bottom"/>
            <w:tcBorders>
              <w:bottom w:val="single" w:sz="8" w:color="FF160F"/>
            </w:tcBorders>
          </w:tcPr>
          <w:p>
            <w:pPr>
              <w:spacing w:after="0"/>
              <w:rPr>
                <w:sz w:val="6"/>
                <w:szCs w:val="6"/>
                <w:color w:val="auto"/>
              </w:rPr>
            </w:pPr>
          </w:p>
        </w:tc>
        <w:tc>
          <w:tcPr>
            <w:tcW w:w="2740" w:type="dxa"/>
            <w:vAlign w:val="bottom"/>
            <w:tcBorders>
              <w:bottom w:val="single" w:sz="8" w:color="FF160F"/>
              <w:right w:val="single" w:sz="8" w:color="auto"/>
            </w:tcBorders>
          </w:tcPr>
          <w:p>
            <w:pPr>
              <w:spacing w:after="0"/>
              <w:rPr>
                <w:sz w:val="6"/>
                <w:szCs w:val="6"/>
                <w:color w:val="auto"/>
              </w:rPr>
            </w:pPr>
          </w:p>
        </w:tc>
        <w:tc>
          <w:tcPr>
            <w:tcW w:w="660" w:type="dxa"/>
            <w:vAlign w:val="bottom"/>
            <w:tcBorders>
              <w:bottom w:val="single" w:sz="8" w:color="auto"/>
              <w:right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00" w:type="dxa"/>
            <w:vAlign w:val="bottom"/>
            <w:tcBorders>
              <w:bottom w:val="single" w:sz="8" w:color="auto"/>
              <w:right w:val="single" w:sz="8" w:color="auto"/>
            </w:tcBorders>
          </w:tcPr>
          <w:p>
            <w:pPr>
              <w:spacing w:after="0"/>
              <w:rPr>
                <w:sz w:val="6"/>
                <w:szCs w:val="6"/>
                <w:color w:val="auto"/>
              </w:rPr>
            </w:pPr>
          </w:p>
        </w:tc>
        <w:tc>
          <w:tcPr>
            <w:tcW w:w="820" w:type="dxa"/>
            <w:vAlign w:val="bottom"/>
            <w:tcBorders>
              <w:bottom w:val="single" w:sz="8" w:color="auto"/>
              <w:right w:val="single" w:sz="8" w:color="auto"/>
            </w:tcBorders>
          </w:tcPr>
          <w:p>
            <w:pPr>
              <w:spacing w:after="0"/>
              <w:rPr>
                <w:sz w:val="6"/>
                <w:szCs w:val="6"/>
                <w:color w:val="auto"/>
              </w:rPr>
            </w:pPr>
          </w:p>
        </w:tc>
        <w:tc>
          <w:tcPr>
            <w:tcW w:w="740" w:type="dxa"/>
            <w:vAlign w:val="bottom"/>
            <w:tcBorders>
              <w:bottom w:val="single" w:sz="8" w:color="auto"/>
              <w:right w:val="single" w:sz="8" w:color="auto"/>
            </w:tcBorders>
          </w:tcPr>
          <w:p>
            <w:pPr>
              <w:spacing w:after="0"/>
              <w:rPr>
                <w:sz w:val="6"/>
                <w:szCs w:val="6"/>
                <w:color w:val="auto"/>
              </w:rPr>
            </w:pPr>
          </w:p>
        </w:tc>
        <w:tc>
          <w:tcPr>
            <w:tcW w:w="520" w:type="dxa"/>
            <w:vAlign w:val="bottom"/>
            <w:tcBorders>
              <w:bottom w:val="single" w:sz="8" w:color="auto"/>
              <w:right w:val="single" w:sz="8" w:color="auto"/>
            </w:tcBorders>
          </w:tcPr>
          <w:p>
            <w:pPr>
              <w:spacing w:after="0"/>
              <w:rPr>
                <w:sz w:val="6"/>
                <w:szCs w:val="6"/>
                <w:color w:val="auto"/>
              </w:rPr>
            </w:pPr>
          </w:p>
        </w:tc>
        <w:tc>
          <w:tcPr>
            <w:tcW w:w="660" w:type="dxa"/>
            <w:vAlign w:val="bottom"/>
            <w:tcBorders>
              <w:bottom w:val="single" w:sz="8" w:color="auto"/>
              <w:right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shd w:val="clear" w:color="auto" w:fill="000000"/>
          </w:tcPr>
          <w:p>
            <w:pPr>
              <w:spacing w:after="0"/>
              <w:rPr>
                <w:sz w:val="6"/>
                <w:szCs w:val="6"/>
                <w:color w:val="auto"/>
              </w:rPr>
            </w:pPr>
          </w:p>
        </w:tc>
        <w:tc>
          <w:tcPr>
            <w:tcW w:w="0" w:type="dxa"/>
            <w:vAlign w:val="bottom"/>
          </w:tcPr>
          <w:p>
            <w:pPr>
              <w:spacing w:after="0"/>
              <w:rPr>
                <w:sz w:val="1"/>
                <w:szCs w:val="1"/>
                <w:color w:val="auto"/>
              </w:rPr>
            </w:pPr>
          </w:p>
        </w:tc>
      </w:tr>
      <w:tr>
        <w:trPr>
          <w:trHeight w:val="264"/>
        </w:trPr>
        <w:tc>
          <w:tcPr>
            <w:tcW w:w="180" w:type="dxa"/>
            <w:vAlign w:val="bottom"/>
            <w:tcBorders>
              <w:bottom w:val="single" w:sz="8" w:color="FF160F"/>
            </w:tcBorders>
            <w:shd w:val="clear" w:color="auto" w:fill="FF160F"/>
          </w:tcPr>
          <w:p>
            <w:pPr>
              <w:spacing w:after="0"/>
              <w:rPr>
                <w:sz w:val="22"/>
                <w:szCs w:val="22"/>
                <w:color w:val="auto"/>
              </w:rPr>
            </w:pPr>
          </w:p>
        </w:tc>
        <w:tc>
          <w:tcPr>
            <w:tcW w:w="3400" w:type="dxa"/>
            <w:vAlign w:val="bottom"/>
            <w:tcBorders>
              <w:bottom w:val="single" w:sz="8" w:color="FF160F"/>
            </w:tcBorders>
            <w:shd w:val="clear" w:color="auto" w:fill="FF160F"/>
          </w:tcPr>
          <w:p>
            <w:pPr>
              <w:spacing w:after="0"/>
              <w:rPr>
                <w:sz w:val="22"/>
                <w:szCs w:val="22"/>
                <w:color w:val="auto"/>
              </w:rPr>
            </w:pPr>
          </w:p>
        </w:tc>
        <w:tc>
          <w:tcPr>
            <w:tcW w:w="2740" w:type="dxa"/>
            <w:vAlign w:val="bottom"/>
            <w:tcBorders>
              <w:bottom w:val="single" w:sz="8" w:color="FF160F"/>
              <w:right w:val="single" w:sz="8" w:color="FF160F"/>
            </w:tcBorders>
            <w:shd w:val="clear" w:color="auto" w:fill="FF160F"/>
          </w:tcPr>
          <w:p>
            <w:pPr>
              <w:ind w:left="1580"/>
              <w:spacing w:after="0"/>
              <w:rPr>
                <w:sz w:val="20"/>
                <w:szCs w:val="20"/>
                <w:color w:val="auto"/>
              </w:rPr>
            </w:pPr>
            <w:r>
              <w:rPr>
                <w:rFonts w:ascii="Arial" w:cs="Arial" w:eastAsia="Arial" w:hAnsi="Arial"/>
                <w:sz w:val="18"/>
                <w:szCs w:val="18"/>
                <w:b w:val="1"/>
                <w:bCs w:val="1"/>
                <w:color w:val="FFFFFF"/>
                <w:w w:val="75"/>
              </w:rPr>
              <w:t>DEMOGRAPHICS</w:t>
            </w:r>
          </w:p>
        </w:tc>
        <w:tc>
          <w:tcPr>
            <w:tcW w:w="780" w:type="dxa"/>
            <w:vAlign w:val="bottom"/>
            <w:tcBorders>
              <w:bottom w:val="single" w:sz="8" w:color="FF160F"/>
            </w:tcBorders>
            <w:gridSpan w:val="2"/>
            <w:shd w:val="clear" w:color="auto" w:fill="FF160F"/>
          </w:tcPr>
          <w:p>
            <w:pPr>
              <w:spacing w:after="0"/>
              <w:rPr>
                <w:sz w:val="22"/>
                <w:szCs w:val="22"/>
                <w:color w:val="auto"/>
              </w:rPr>
            </w:pPr>
          </w:p>
        </w:tc>
        <w:tc>
          <w:tcPr>
            <w:tcW w:w="600" w:type="dxa"/>
            <w:vAlign w:val="bottom"/>
            <w:tcBorders>
              <w:bottom w:val="single" w:sz="8" w:color="FF160F"/>
              <w:right w:val="single" w:sz="8" w:color="FF160F"/>
            </w:tcBorders>
            <w:shd w:val="clear" w:color="auto" w:fill="FF160F"/>
          </w:tcPr>
          <w:p>
            <w:pPr>
              <w:spacing w:after="0"/>
              <w:rPr>
                <w:sz w:val="22"/>
                <w:szCs w:val="22"/>
                <w:color w:val="auto"/>
              </w:rPr>
            </w:pPr>
          </w:p>
        </w:tc>
        <w:tc>
          <w:tcPr>
            <w:tcW w:w="820" w:type="dxa"/>
            <w:vAlign w:val="bottom"/>
            <w:tcBorders>
              <w:bottom w:val="single" w:sz="8" w:color="FF160F"/>
              <w:right w:val="single" w:sz="8" w:color="FF160F"/>
            </w:tcBorders>
            <w:shd w:val="clear" w:color="auto" w:fill="FF160F"/>
          </w:tcPr>
          <w:p>
            <w:pPr>
              <w:spacing w:after="0"/>
              <w:rPr>
                <w:sz w:val="22"/>
                <w:szCs w:val="22"/>
                <w:color w:val="auto"/>
              </w:rPr>
            </w:pPr>
          </w:p>
        </w:tc>
        <w:tc>
          <w:tcPr>
            <w:tcW w:w="740" w:type="dxa"/>
            <w:vAlign w:val="bottom"/>
            <w:tcBorders>
              <w:bottom w:val="single" w:sz="8" w:color="FF160F"/>
              <w:right w:val="single" w:sz="8" w:color="FF160F"/>
            </w:tcBorders>
            <w:shd w:val="clear" w:color="auto" w:fill="FF160F"/>
          </w:tcPr>
          <w:p>
            <w:pPr>
              <w:spacing w:after="0"/>
              <w:rPr>
                <w:sz w:val="22"/>
                <w:szCs w:val="22"/>
                <w:color w:val="auto"/>
              </w:rPr>
            </w:pPr>
          </w:p>
        </w:tc>
        <w:tc>
          <w:tcPr>
            <w:tcW w:w="520" w:type="dxa"/>
            <w:vAlign w:val="bottom"/>
            <w:tcBorders>
              <w:bottom w:val="single" w:sz="8" w:color="FF160F"/>
              <w:right w:val="single" w:sz="8" w:color="FF160F"/>
            </w:tcBorders>
            <w:shd w:val="clear" w:color="auto" w:fill="FF160F"/>
          </w:tcPr>
          <w:p>
            <w:pPr>
              <w:spacing w:after="0"/>
              <w:rPr>
                <w:sz w:val="22"/>
                <w:szCs w:val="22"/>
                <w:color w:val="auto"/>
              </w:rPr>
            </w:pPr>
          </w:p>
        </w:tc>
        <w:tc>
          <w:tcPr>
            <w:tcW w:w="660" w:type="dxa"/>
            <w:vAlign w:val="bottom"/>
            <w:tcBorders>
              <w:bottom w:val="single" w:sz="8" w:color="FF160F"/>
              <w:right w:val="single" w:sz="8" w:color="FF160F"/>
            </w:tcBorders>
            <w:shd w:val="clear" w:color="auto" w:fill="FF160F"/>
          </w:tcPr>
          <w:p>
            <w:pPr>
              <w:spacing w:after="0"/>
              <w:rPr>
                <w:sz w:val="22"/>
                <w:szCs w:val="22"/>
                <w:color w:val="auto"/>
              </w:rPr>
            </w:pPr>
          </w:p>
        </w:tc>
        <w:tc>
          <w:tcPr>
            <w:tcW w:w="580" w:type="dxa"/>
            <w:vAlign w:val="bottom"/>
            <w:tcBorders>
              <w:bottom w:val="single" w:sz="8" w:color="FF160F"/>
            </w:tcBorders>
            <w:shd w:val="clear" w:color="auto" w:fill="FF160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80" w:type="dxa"/>
            <w:vAlign w:val="bottom"/>
            <w:tcBorders>
              <w:bottom w:val="single" w:sz="8" w:color="auto"/>
            </w:tcBorders>
            <w:gridSpan w:val="2"/>
            <w:shd w:val="clear" w:color="auto" w:fill="D8D8D8"/>
          </w:tcPr>
          <w:p>
            <w:pPr>
              <w:spacing w:after="0"/>
              <w:rPr>
                <w:sz w:val="20"/>
                <w:szCs w:val="20"/>
                <w:color w:val="auto"/>
              </w:rPr>
            </w:pPr>
            <w:r>
              <w:rPr>
                <w:rFonts w:ascii="Arial" w:cs="Arial" w:eastAsia="Arial" w:hAnsi="Arial"/>
                <w:sz w:val="16"/>
                <w:szCs w:val="16"/>
                <w:b w:val="1"/>
                <w:bCs w:val="1"/>
                <w:color w:val="auto"/>
              </w:rPr>
              <w:t> Race/Ethnicity</w:t>
            </w:r>
          </w:p>
        </w:tc>
        <w:tc>
          <w:tcPr>
            <w:tcW w:w="2740" w:type="dxa"/>
            <w:vAlign w:val="bottom"/>
            <w:tcBorders>
              <w:bottom w:val="single" w:sz="8" w:color="auto"/>
              <w:right w:val="single" w:sz="8" w:color="D8D8D8"/>
            </w:tcBorders>
            <w:shd w:val="clear" w:color="auto" w:fill="D8D8D8"/>
          </w:tcPr>
          <w:p>
            <w:pPr>
              <w:spacing w:after="0"/>
              <w:rPr>
                <w:sz w:val="21"/>
                <w:szCs w:val="21"/>
                <w:color w:val="auto"/>
              </w:rPr>
            </w:pPr>
          </w:p>
        </w:tc>
        <w:tc>
          <w:tcPr>
            <w:tcW w:w="660" w:type="dxa"/>
            <w:vAlign w:val="bottom"/>
            <w:tcBorders>
              <w:bottom w:val="single" w:sz="8" w:color="auto"/>
              <w:right w:val="single" w:sz="8" w:color="D8D8D8"/>
            </w:tcBorders>
            <w:shd w:val="clear" w:color="auto" w:fill="D8D8D8"/>
          </w:tcPr>
          <w:p>
            <w:pPr>
              <w:spacing w:after="0"/>
              <w:rPr>
                <w:sz w:val="21"/>
                <w:szCs w:val="21"/>
                <w:color w:val="auto"/>
              </w:rPr>
            </w:pPr>
          </w:p>
        </w:tc>
        <w:tc>
          <w:tcPr>
            <w:tcW w:w="120" w:type="dxa"/>
            <w:vAlign w:val="bottom"/>
            <w:tcBorders>
              <w:bottom w:val="single" w:sz="8" w:color="auto"/>
            </w:tcBorders>
            <w:shd w:val="clear" w:color="auto" w:fill="D8D8D8"/>
          </w:tcPr>
          <w:p>
            <w:pPr>
              <w:spacing w:after="0"/>
              <w:rPr>
                <w:sz w:val="21"/>
                <w:szCs w:val="21"/>
                <w:color w:val="auto"/>
              </w:rPr>
            </w:pPr>
          </w:p>
        </w:tc>
        <w:tc>
          <w:tcPr>
            <w:tcW w:w="600" w:type="dxa"/>
            <w:vAlign w:val="bottom"/>
            <w:tcBorders>
              <w:bottom w:val="single" w:sz="8" w:color="auto"/>
              <w:right w:val="single" w:sz="8" w:color="D8D8D8"/>
            </w:tcBorders>
            <w:shd w:val="clear" w:color="auto" w:fill="D8D8D8"/>
          </w:tcPr>
          <w:p>
            <w:pPr>
              <w:spacing w:after="0"/>
              <w:rPr>
                <w:sz w:val="21"/>
                <w:szCs w:val="21"/>
                <w:color w:val="auto"/>
              </w:rPr>
            </w:pPr>
          </w:p>
        </w:tc>
        <w:tc>
          <w:tcPr>
            <w:tcW w:w="820" w:type="dxa"/>
            <w:vAlign w:val="bottom"/>
            <w:tcBorders>
              <w:bottom w:val="single" w:sz="8" w:color="auto"/>
              <w:right w:val="single" w:sz="8" w:color="D8D8D8"/>
            </w:tcBorders>
            <w:shd w:val="clear" w:color="auto" w:fill="D8D8D8"/>
          </w:tcPr>
          <w:p>
            <w:pPr>
              <w:spacing w:after="0"/>
              <w:rPr>
                <w:sz w:val="21"/>
                <w:szCs w:val="21"/>
                <w:color w:val="auto"/>
              </w:rPr>
            </w:pPr>
          </w:p>
        </w:tc>
        <w:tc>
          <w:tcPr>
            <w:tcW w:w="740" w:type="dxa"/>
            <w:vAlign w:val="bottom"/>
            <w:tcBorders>
              <w:bottom w:val="single" w:sz="8" w:color="auto"/>
              <w:right w:val="single" w:sz="8" w:color="D8D8D8"/>
            </w:tcBorders>
            <w:shd w:val="clear" w:color="auto" w:fill="D8D8D8"/>
          </w:tcPr>
          <w:p>
            <w:pPr>
              <w:spacing w:after="0"/>
              <w:rPr>
                <w:sz w:val="21"/>
                <w:szCs w:val="21"/>
                <w:color w:val="auto"/>
              </w:rPr>
            </w:pPr>
          </w:p>
        </w:tc>
        <w:tc>
          <w:tcPr>
            <w:tcW w:w="520" w:type="dxa"/>
            <w:vAlign w:val="bottom"/>
            <w:tcBorders>
              <w:bottom w:val="single" w:sz="8" w:color="auto"/>
              <w:right w:val="single" w:sz="8" w:color="D8D8D8"/>
            </w:tcBorders>
            <w:shd w:val="clear" w:color="auto" w:fill="D8D8D8"/>
          </w:tcPr>
          <w:p>
            <w:pPr>
              <w:spacing w:after="0"/>
              <w:rPr>
                <w:sz w:val="21"/>
                <w:szCs w:val="21"/>
                <w:color w:val="auto"/>
              </w:rPr>
            </w:pPr>
          </w:p>
        </w:tc>
        <w:tc>
          <w:tcPr>
            <w:tcW w:w="660" w:type="dxa"/>
            <w:vAlign w:val="bottom"/>
            <w:tcBorders>
              <w:bottom w:val="single" w:sz="8" w:color="auto"/>
              <w:right w:val="single" w:sz="8" w:color="D8D8D8"/>
            </w:tcBorders>
            <w:shd w:val="clear" w:color="auto" w:fill="D8D8D8"/>
          </w:tcPr>
          <w:p>
            <w:pPr>
              <w:spacing w:after="0"/>
              <w:rPr>
                <w:sz w:val="21"/>
                <w:szCs w:val="21"/>
                <w:color w:val="auto"/>
              </w:rPr>
            </w:pPr>
          </w:p>
        </w:tc>
        <w:tc>
          <w:tcPr>
            <w:tcW w:w="580" w:type="dxa"/>
            <w:vAlign w:val="bottom"/>
            <w:tcBorders>
              <w:bottom w:val="single" w:sz="8" w:color="auto"/>
            </w:tcBorders>
            <w:shd w:val="clear" w:color="auto" w:fill="D8D8D8"/>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180" w:type="dxa"/>
            <w:vAlign w:val="bottom"/>
          </w:tcPr>
          <w:p>
            <w:pPr>
              <w:spacing w:after="0"/>
              <w:rPr>
                <w:sz w:val="20"/>
                <w:szCs w:val="20"/>
                <w:color w:val="auto"/>
              </w:rPr>
            </w:pPr>
            <w:r>
              <w:rPr>
                <w:rFonts w:ascii="Arial" w:cs="Arial" w:eastAsia="Arial" w:hAnsi="Arial"/>
                <w:sz w:val="16"/>
                <w:szCs w:val="16"/>
                <w:color w:val="auto"/>
                <w:w w:val="83"/>
              </w:rPr>
              <w:t>  </w:t>
            </w:r>
          </w:p>
        </w:tc>
        <w:tc>
          <w:tcPr>
            <w:tcW w:w="3400" w:type="dxa"/>
            <w:vAlign w:val="bottom"/>
          </w:tcPr>
          <w:p>
            <w:pPr>
              <w:ind w:left="20"/>
              <w:spacing w:after="0"/>
              <w:rPr>
                <w:sz w:val="20"/>
                <w:szCs w:val="20"/>
                <w:color w:val="auto"/>
              </w:rPr>
            </w:pPr>
            <w:r>
              <w:rPr>
                <w:rFonts w:ascii="Arial" w:cs="Arial" w:eastAsia="Arial" w:hAnsi="Arial"/>
                <w:sz w:val="16"/>
                <w:szCs w:val="16"/>
                <w:color w:val="auto"/>
              </w:rPr>
              <w:t>Black or African American</w:t>
            </w:r>
          </w:p>
        </w:tc>
        <w:tc>
          <w:tcPr>
            <w:tcW w:w="274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180" w:type="dxa"/>
            <w:vAlign w:val="bottom"/>
            <w:tcBorders>
              <w:bottom w:val="single" w:sz="8" w:color="auto"/>
            </w:tcBorders>
          </w:tcPr>
          <w:p>
            <w:pPr>
              <w:spacing w:after="0"/>
              <w:rPr>
                <w:sz w:val="2"/>
                <w:szCs w:val="2"/>
                <w:color w:val="auto"/>
              </w:rPr>
            </w:pPr>
          </w:p>
        </w:tc>
        <w:tc>
          <w:tcPr>
            <w:tcW w:w="3400" w:type="dxa"/>
            <w:vAlign w:val="bottom"/>
            <w:tcBorders>
              <w:bottom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66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c>
          <w:tcPr>
            <w:tcW w:w="660" w:type="dxa"/>
            <w:vAlign w:val="bottom"/>
            <w:tcBorders>
              <w:bottom w:val="single" w:sz="8" w:color="auto"/>
              <w:right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180" w:type="dxa"/>
            <w:vAlign w:val="bottom"/>
          </w:tcPr>
          <w:p>
            <w:pPr>
              <w:spacing w:after="0"/>
              <w:rPr>
                <w:sz w:val="20"/>
                <w:szCs w:val="20"/>
                <w:color w:val="auto"/>
              </w:rPr>
            </w:pPr>
            <w:r>
              <w:rPr>
                <w:rFonts w:ascii="Arial" w:cs="Arial" w:eastAsia="Arial" w:hAnsi="Arial"/>
                <w:sz w:val="16"/>
                <w:szCs w:val="16"/>
                <w:color w:val="auto"/>
                <w:w w:val="83"/>
              </w:rPr>
              <w:t>  </w:t>
            </w:r>
          </w:p>
        </w:tc>
        <w:tc>
          <w:tcPr>
            <w:tcW w:w="3400" w:type="dxa"/>
            <w:vAlign w:val="bottom"/>
          </w:tcPr>
          <w:p>
            <w:pPr>
              <w:ind w:left="20"/>
              <w:spacing w:after="0"/>
              <w:rPr>
                <w:sz w:val="20"/>
                <w:szCs w:val="20"/>
                <w:color w:val="auto"/>
              </w:rPr>
            </w:pPr>
            <w:r>
              <w:rPr>
                <w:rFonts w:ascii="Arial" w:cs="Arial" w:eastAsia="Arial" w:hAnsi="Arial"/>
                <w:sz w:val="16"/>
                <w:szCs w:val="16"/>
                <w:color w:val="auto"/>
              </w:rPr>
              <w:t>White</w:t>
            </w:r>
          </w:p>
        </w:tc>
        <w:tc>
          <w:tcPr>
            <w:tcW w:w="274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5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right w:val="single" w:sz="8" w:color="auto"/>
            </w:tcBorders>
          </w:tcPr>
          <w:p>
            <w:pPr>
              <w:jc w:val="center"/>
              <w:ind w:left="8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center"/>
              <w:ind w:left="1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3580" w:type="dxa"/>
            <w:vAlign w:val="bottom"/>
            <w:tcBorders>
              <w:bottom w:val="single" w:sz="8" w:color="auto"/>
            </w:tcBorders>
            <w:gridSpan w:val="2"/>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66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c>
          <w:tcPr>
            <w:tcW w:w="660" w:type="dxa"/>
            <w:vAlign w:val="bottom"/>
            <w:tcBorders>
              <w:bottom w:val="single" w:sz="8" w:color="auto"/>
              <w:right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580" w:type="dxa"/>
            <w:vAlign w:val="bottom"/>
            <w:tcBorders>
              <w:bottom w:val="single" w:sz="8" w:color="auto"/>
            </w:tcBorders>
            <w:gridSpan w:val="2"/>
            <w:shd w:val="clear" w:color="auto" w:fill="D8D8D8"/>
          </w:tcPr>
          <w:p>
            <w:pPr>
              <w:spacing w:after="0"/>
              <w:rPr>
                <w:sz w:val="20"/>
                <w:szCs w:val="20"/>
                <w:color w:val="auto"/>
              </w:rPr>
            </w:pPr>
            <w:r>
              <w:rPr>
                <w:rFonts w:ascii="Arial" w:cs="Arial" w:eastAsia="Arial" w:hAnsi="Arial"/>
                <w:sz w:val="16"/>
                <w:szCs w:val="16"/>
                <w:b w:val="1"/>
                <w:bCs w:val="1"/>
                <w:color w:val="auto"/>
              </w:rPr>
              <w:t> Gender</w:t>
            </w:r>
          </w:p>
        </w:tc>
        <w:tc>
          <w:tcPr>
            <w:tcW w:w="2740" w:type="dxa"/>
            <w:vAlign w:val="bottom"/>
            <w:tcBorders>
              <w:bottom w:val="single" w:sz="8" w:color="auto"/>
              <w:right w:val="single" w:sz="8" w:color="D8D8D8"/>
            </w:tcBorders>
            <w:shd w:val="clear" w:color="auto" w:fill="D8D8D8"/>
          </w:tcPr>
          <w:p>
            <w:pPr>
              <w:spacing w:after="0"/>
              <w:rPr>
                <w:sz w:val="19"/>
                <w:szCs w:val="19"/>
                <w:color w:val="auto"/>
              </w:rPr>
            </w:pPr>
          </w:p>
        </w:tc>
        <w:tc>
          <w:tcPr>
            <w:tcW w:w="660" w:type="dxa"/>
            <w:vAlign w:val="bottom"/>
            <w:tcBorders>
              <w:bottom w:val="single" w:sz="8" w:color="auto"/>
              <w:right w:val="single" w:sz="8" w:color="D8D8D8"/>
            </w:tcBorders>
            <w:shd w:val="clear" w:color="auto" w:fill="D8D8D8"/>
          </w:tcPr>
          <w:p>
            <w:pPr>
              <w:spacing w:after="0"/>
              <w:rPr>
                <w:sz w:val="19"/>
                <w:szCs w:val="19"/>
                <w:color w:val="auto"/>
              </w:rPr>
            </w:pPr>
          </w:p>
        </w:tc>
        <w:tc>
          <w:tcPr>
            <w:tcW w:w="120" w:type="dxa"/>
            <w:vAlign w:val="bottom"/>
            <w:tcBorders>
              <w:bottom w:val="single" w:sz="8" w:color="auto"/>
            </w:tcBorders>
            <w:shd w:val="clear" w:color="auto" w:fill="D8D8D8"/>
          </w:tcPr>
          <w:p>
            <w:pPr>
              <w:spacing w:after="0"/>
              <w:rPr>
                <w:sz w:val="19"/>
                <w:szCs w:val="19"/>
                <w:color w:val="auto"/>
              </w:rPr>
            </w:pPr>
          </w:p>
        </w:tc>
        <w:tc>
          <w:tcPr>
            <w:tcW w:w="600" w:type="dxa"/>
            <w:vAlign w:val="bottom"/>
            <w:tcBorders>
              <w:bottom w:val="single" w:sz="8" w:color="auto"/>
              <w:right w:val="single" w:sz="8" w:color="D8D8D8"/>
            </w:tcBorders>
            <w:shd w:val="clear" w:color="auto" w:fill="D8D8D8"/>
          </w:tcPr>
          <w:p>
            <w:pPr>
              <w:spacing w:after="0"/>
              <w:rPr>
                <w:sz w:val="19"/>
                <w:szCs w:val="19"/>
                <w:color w:val="auto"/>
              </w:rPr>
            </w:pPr>
          </w:p>
        </w:tc>
        <w:tc>
          <w:tcPr>
            <w:tcW w:w="820" w:type="dxa"/>
            <w:vAlign w:val="bottom"/>
            <w:tcBorders>
              <w:bottom w:val="single" w:sz="8" w:color="auto"/>
              <w:right w:val="single" w:sz="8" w:color="D8D8D8"/>
            </w:tcBorders>
            <w:shd w:val="clear" w:color="auto" w:fill="D8D8D8"/>
          </w:tcPr>
          <w:p>
            <w:pPr>
              <w:spacing w:after="0"/>
              <w:rPr>
                <w:sz w:val="19"/>
                <w:szCs w:val="19"/>
                <w:color w:val="auto"/>
              </w:rPr>
            </w:pPr>
          </w:p>
        </w:tc>
        <w:tc>
          <w:tcPr>
            <w:tcW w:w="740" w:type="dxa"/>
            <w:vAlign w:val="bottom"/>
            <w:tcBorders>
              <w:bottom w:val="single" w:sz="8" w:color="auto"/>
              <w:right w:val="single" w:sz="8" w:color="D8D8D8"/>
            </w:tcBorders>
            <w:shd w:val="clear" w:color="auto" w:fill="D8D8D8"/>
          </w:tcPr>
          <w:p>
            <w:pPr>
              <w:spacing w:after="0"/>
              <w:rPr>
                <w:sz w:val="19"/>
                <w:szCs w:val="19"/>
                <w:color w:val="auto"/>
              </w:rPr>
            </w:pPr>
          </w:p>
        </w:tc>
        <w:tc>
          <w:tcPr>
            <w:tcW w:w="520" w:type="dxa"/>
            <w:vAlign w:val="bottom"/>
            <w:tcBorders>
              <w:bottom w:val="single" w:sz="8" w:color="auto"/>
              <w:right w:val="single" w:sz="8" w:color="D8D8D8"/>
            </w:tcBorders>
            <w:shd w:val="clear" w:color="auto" w:fill="D8D8D8"/>
          </w:tcPr>
          <w:p>
            <w:pPr>
              <w:spacing w:after="0"/>
              <w:rPr>
                <w:sz w:val="19"/>
                <w:szCs w:val="19"/>
                <w:color w:val="auto"/>
              </w:rPr>
            </w:pPr>
          </w:p>
        </w:tc>
        <w:tc>
          <w:tcPr>
            <w:tcW w:w="660" w:type="dxa"/>
            <w:vAlign w:val="bottom"/>
            <w:tcBorders>
              <w:bottom w:val="single" w:sz="8" w:color="auto"/>
              <w:right w:val="single" w:sz="8" w:color="D8D8D8"/>
            </w:tcBorders>
            <w:shd w:val="clear" w:color="auto" w:fill="D8D8D8"/>
          </w:tcPr>
          <w:p>
            <w:pPr>
              <w:spacing w:after="0"/>
              <w:rPr>
                <w:sz w:val="19"/>
                <w:szCs w:val="19"/>
                <w:color w:val="auto"/>
              </w:rPr>
            </w:pPr>
          </w:p>
        </w:tc>
        <w:tc>
          <w:tcPr>
            <w:tcW w:w="580" w:type="dxa"/>
            <w:vAlign w:val="bottom"/>
            <w:tcBorders>
              <w:bottom w:val="single" w:sz="8" w:color="auto"/>
            </w:tcBorders>
            <w:shd w:val="clear" w:color="auto" w:fill="D8D8D8"/>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180" w:type="dxa"/>
            <w:vAlign w:val="bottom"/>
          </w:tcPr>
          <w:p>
            <w:pPr>
              <w:spacing w:after="0"/>
              <w:rPr>
                <w:sz w:val="20"/>
                <w:szCs w:val="20"/>
                <w:color w:val="auto"/>
              </w:rPr>
            </w:pPr>
            <w:r>
              <w:rPr>
                <w:rFonts w:ascii="Arial" w:cs="Arial" w:eastAsia="Arial" w:hAnsi="Arial"/>
                <w:sz w:val="16"/>
                <w:szCs w:val="16"/>
                <w:color w:val="auto"/>
                <w:w w:val="83"/>
              </w:rPr>
              <w:t>  </w:t>
            </w:r>
          </w:p>
        </w:tc>
        <w:tc>
          <w:tcPr>
            <w:tcW w:w="3400" w:type="dxa"/>
            <w:vAlign w:val="bottom"/>
          </w:tcPr>
          <w:p>
            <w:pPr>
              <w:ind w:left="20"/>
              <w:spacing w:after="0"/>
              <w:rPr>
                <w:sz w:val="20"/>
                <w:szCs w:val="20"/>
                <w:color w:val="auto"/>
              </w:rPr>
            </w:pPr>
            <w:r>
              <w:rPr>
                <w:rFonts w:ascii="Arial" w:cs="Arial" w:eastAsia="Arial" w:hAnsi="Arial"/>
                <w:sz w:val="16"/>
                <w:szCs w:val="16"/>
                <w:color w:val="auto"/>
              </w:rPr>
              <w:t>Female</w:t>
            </w:r>
          </w:p>
        </w:tc>
        <w:tc>
          <w:tcPr>
            <w:tcW w:w="274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righ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jc w:val="center"/>
              <w:ind w:left="8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180" w:type="dxa"/>
            <w:vAlign w:val="bottom"/>
            <w:tcBorders>
              <w:bottom w:val="single" w:sz="8" w:color="auto"/>
            </w:tcBorders>
          </w:tcPr>
          <w:p>
            <w:pPr>
              <w:spacing w:after="0"/>
              <w:rPr>
                <w:sz w:val="2"/>
                <w:szCs w:val="2"/>
                <w:color w:val="auto"/>
              </w:rPr>
            </w:pPr>
          </w:p>
        </w:tc>
        <w:tc>
          <w:tcPr>
            <w:tcW w:w="3400" w:type="dxa"/>
            <w:vAlign w:val="bottom"/>
            <w:tcBorders>
              <w:bottom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66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c>
          <w:tcPr>
            <w:tcW w:w="660" w:type="dxa"/>
            <w:vAlign w:val="bottom"/>
            <w:tcBorders>
              <w:bottom w:val="single" w:sz="8" w:color="auto"/>
              <w:right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180" w:type="dxa"/>
            <w:vAlign w:val="bottom"/>
          </w:tcPr>
          <w:p>
            <w:pPr>
              <w:spacing w:after="0"/>
              <w:rPr>
                <w:sz w:val="20"/>
                <w:szCs w:val="20"/>
                <w:color w:val="auto"/>
              </w:rPr>
            </w:pPr>
            <w:r>
              <w:rPr>
                <w:rFonts w:ascii="Arial" w:cs="Arial" w:eastAsia="Arial" w:hAnsi="Arial"/>
                <w:sz w:val="16"/>
                <w:szCs w:val="16"/>
                <w:color w:val="auto"/>
                <w:w w:val="83"/>
              </w:rPr>
              <w:t>  </w:t>
            </w:r>
          </w:p>
        </w:tc>
        <w:tc>
          <w:tcPr>
            <w:tcW w:w="3400" w:type="dxa"/>
            <w:vAlign w:val="bottom"/>
          </w:tcPr>
          <w:p>
            <w:pPr>
              <w:ind w:left="20"/>
              <w:spacing w:after="0"/>
              <w:rPr>
                <w:sz w:val="20"/>
                <w:szCs w:val="20"/>
                <w:color w:val="auto"/>
              </w:rPr>
            </w:pPr>
            <w:r>
              <w:rPr>
                <w:rFonts w:ascii="Arial" w:cs="Arial" w:eastAsia="Arial" w:hAnsi="Arial"/>
                <w:sz w:val="16"/>
                <w:szCs w:val="16"/>
                <w:color w:val="auto"/>
              </w:rPr>
              <w:t>Male</w:t>
            </w:r>
          </w:p>
        </w:tc>
        <w:tc>
          <w:tcPr>
            <w:tcW w:w="274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right w:val="single" w:sz="8" w:color="auto"/>
            </w:tcBorders>
          </w:tcPr>
          <w:p>
            <w:pPr>
              <w:spacing w:after="0"/>
              <w:rPr>
                <w:sz w:val="18"/>
                <w:szCs w:val="18"/>
                <w:color w:val="auto"/>
              </w:rPr>
            </w:pPr>
          </w:p>
        </w:tc>
        <w:tc>
          <w:tcPr>
            <w:tcW w:w="580" w:type="dxa"/>
            <w:vAlign w:val="bottom"/>
          </w:tcPr>
          <w:p>
            <w:pPr>
              <w:jc w:val="center"/>
              <w:ind w:left="1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35"/>
        </w:trPr>
        <w:tc>
          <w:tcPr>
            <w:tcW w:w="180" w:type="dxa"/>
            <w:vAlign w:val="bottom"/>
            <w:tcBorders>
              <w:bottom w:val="single" w:sz="8" w:color="auto"/>
            </w:tcBorders>
          </w:tcPr>
          <w:p>
            <w:pPr>
              <w:spacing w:after="0"/>
              <w:rPr>
                <w:sz w:val="3"/>
                <w:szCs w:val="3"/>
                <w:color w:val="auto"/>
              </w:rPr>
            </w:pPr>
          </w:p>
        </w:tc>
        <w:tc>
          <w:tcPr>
            <w:tcW w:w="3400" w:type="dxa"/>
            <w:vAlign w:val="bottom"/>
            <w:tcBorders>
              <w:bottom w:val="single" w:sz="8" w:color="auto"/>
            </w:tcBorders>
          </w:tcPr>
          <w:p>
            <w:pPr>
              <w:spacing w:after="0"/>
              <w:rPr>
                <w:sz w:val="3"/>
                <w:szCs w:val="3"/>
                <w:color w:val="auto"/>
              </w:rPr>
            </w:pPr>
          </w:p>
        </w:tc>
        <w:tc>
          <w:tcPr>
            <w:tcW w:w="2740" w:type="dxa"/>
            <w:vAlign w:val="bottom"/>
            <w:tcBorders>
              <w:bottom w:val="single" w:sz="8" w:color="auto"/>
              <w:right w:val="single" w:sz="8" w:color="auto"/>
            </w:tcBorders>
          </w:tcPr>
          <w:p>
            <w:pPr>
              <w:spacing w:after="0"/>
              <w:rPr>
                <w:sz w:val="3"/>
                <w:szCs w:val="3"/>
                <w:color w:val="auto"/>
              </w:rPr>
            </w:pPr>
          </w:p>
        </w:tc>
        <w:tc>
          <w:tcPr>
            <w:tcW w:w="660" w:type="dxa"/>
            <w:vAlign w:val="bottom"/>
            <w:tcBorders>
              <w:bottom w:val="single" w:sz="8" w:color="auto"/>
              <w:right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00" w:type="dxa"/>
            <w:vAlign w:val="bottom"/>
            <w:tcBorders>
              <w:bottom w:val="single" w:sz="8" w:color="auto"/>
              <w:right w:val="single" w:sz="8" w:color="auto"/>
            </w:tcBorders>
          </w:tcPr>
          <w:p>
            <w:pPr>
              <w:spacing w:after="0"/>
              <w:rPr>
                <w:sz w:val="3"/>
                <w:szCs w:val="3"/>
                <w:color w:val="auto"/>
              </w:rPr>
            </w:pPr>
          </w:p>
        </w:tc>
        <w:tc>
          <w:tcPr>
            <w:tcW w:w="820" w:type="dxa"/>
            <w:vAlign w:val="bottom"/>
            <w:tcBorders>
              <w:bottom w:val="single" w:sz="8" w:color="auto"/>
              <w:right w:val="single" w:sz="8" w:color="auto"/>
            </w:tcBorders>
          </w:tcPr>
          <w:p>
            <w:pPr>
              <w:spacing w:after="0"/>
              <w:rPr>
                <w:sz w:val="3"/>
                <w:szCs w:val="3"/>
                <w:color w:val="auto"/>
              </w:rPr>
            </w:pPr>
          </w:p>
        </w:tc>
        <w:tc>
          <w:tcPr>
            <w:tcW w:w="740" w:type="dxa"/>
            <w:vAlign w:val="bottom"/>
            <w:tcBorders>
              <w:bottom w:val="single" w:sz="8" w:color="auto"/>
              <w:right w:val="single" w:sz="8" w:color="auto"/>
            </w:tcBorders>
          </w:tcPr>
          <w:p>
            <w:pPr>
              <w:spacing w:after="0"/>
              <w:rPr>
                <w:sz w:val="3"/>
                <w:szCs w:val="3"/>
                <w:color w:val="auto"/>
              </w:rPr>
            </w:pPr>
          </w:p>
        </w:tc>
        <w:tc>
          <w:tcPr>
            <w:tcW w:w="520" w:type="dxa"/>
            <w:vAlign w:val="bottom"/>
            <w:tcBorders>
              <w:bottom w:val="single" w:sz="8" w:color="auto"/>
              <w:right w:val="single" w:sz="8" w:color="auto"/>
            </w:tcBorders>
          </w:tcPr>
          <w:p>
            <w:pPr>
              <w:spacing w:after="0"/>
              <w:rPr>
                <w:sz w:val="3"/>
                <w:szCs w:val="3"/>
                <w:color w:val="auto"/>
              </w:rPr>
            </w:pPr>
          </w:p>
        </w:tc>
        <w:tc>
          <w:tcPr>
            <w:tcW w:w="660" w:type="dxa"/>
            <w:vAlign w:val="bottom"/>
            <w:tcBorders>
              <w:bottom w:val="single" w:sz="8" w:color="auto"/>
              <w:right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shd w:val="clear" w:color="auto" w:fill="000000"/>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-3548380</wp:posOffset>
            </wp:positionV>
            <wp:extent cx="162560" cy="1543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62560" cy="154305"/>
                    </a:xfrm>
                    <a:prstGeom prst="rect">
                      <a:avLst/>
                    </a:prstGeom>
                    <a:noFill/>
                  </pic:spPr>
                </pic:pic>
              </a:graphicData>
            </a:graphic>
          </wp:anchor>
        </w:drawing>
        <w:drawing>
          <wp:anchor simplePos="0" relativeHeight="251657728" behindDoc="1" locked="0" layoutInCell="0" allowOverlap="1">
            <wp:simplePos x="0" y="0"/>
            <wp:positionH relativeFrom="column">
              <wp:posOffset>184785</wp:posOffset>
            </wp:positionH>
            <wp:positionV relativeFrom="paragraph">
              <wp:posOffset>-3342640</wp:posOffset>
            </wp:positionV>
            <wp:extent cx="154305" cy="1543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54305" cy="154305"/>
                    </a:xfrm>
                    <a:prstGeom prst="rect">
                      <a:avLst/>
                    </a:prstGeom>
                    <a:noFill/>
                  </pic:spPr>
                </pic:pic>
              </a:graphicData>
            </a:graphic>
          </wp:anchor>
        </w:drawing>
        <w:drawing>
          <wp:anchor simplePos="0" relativeHeight="251657728" behindDoc="1" locked="0" layoutInCell="0" allowOverlap="1">
            <wp:simplePos x="0" y="0"/>
            <wp:positionH relativeFrom="column">
              <wp:posOffset>167640</wp:posOffset>
            </wp:positionH>
            <wp:positionV relativeFrom="paragraph">
              <wp:posOffset>-3136900</wp:posOffset>
            </wp:positionV>
            <wp:extent cx="188595" cy="1714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88595" cy="171450"/>
                    </a:xfrm>
                    <a:prstGeom prst="rect">
                      <a:avLst/>
                    </a:prstGeom>
                    <a:noFill/>
                  </pic:spPr>
                </pic:pic>
              </a:graphicData>
            </a:graphic>
          </wp:anchor>
        </w:drawing>
        <w:drawing>
          <wp:anchor simplePos="0" relativeHeight="251657728" behindDoc="1" locked="0" layoutInCell="0" allowOverlap="1">
            <wp:simplePos x="0" y="0"/>
            <wp:positionH relativeFrom="column">
              <wp:posOffset>167640</wp:posOffset>
            </wp:positionH>
            <wp:positionV relativeFrom="paragraph">
              <wp:posOffset>-2931160</wp:posOffset>
            </wp:positionV>
            <wp:extent cx="180340" cy="1200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80340" cy="120015"/>
                    </a:xfrm>
                    <a:prstGeom prst="rect">
                      <a:avLst/>
                    </a:prstGeom>
                    <a:noFill/>
                  </pic:spPr>
                </pic:pic>
              </a:graphicData>
            </a:graphic>
          </wp:anchor>
        </w:drawing>
        <w:drawing>
          <wp:anchor simplePos="0" relativeHeight="251657728" behindDoc="1" locked="0" layoutInCell="0" allowOverlap="1">
            <wp:simplePos x="0" y="0"/>
            <wp:positionH relativeFrom="column">
              <wp:posOffset>167640</wp:posOffset>
            </wp:positionH>
            <wp:positionV relativeFrom="paragraph">
              <wp:posOffset>-2759710</wp:posOffset>
            </wp:positionV>
            <wp:extent cx="180340" cy="1797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80340" cy="179705"/>
                    </a:xfrm>
                    <a:prstGeom prst="rect">
                      <a:avLst/>
                    </a:prstGeom>
                    <a:noFill/>
                  </pic:spPr>
                </pic:pic>
              </a:graphicData>
            </a:graphic>
          </wp:anchor>
        </w:drawing>
        <w:drawing>
          <wp:anchor simplePos="0" relativeHeight="251657728" behindDoc="1" locked="0" layoutInCell="0" allowOverlap="1">
            <wp:simplePos x="0" y="0"/>
            <wp:positionH relativeFrom="column">
              <wp:posOffset>167640</wp:posOffset>
            </wp:positionH>
            <wp:positionV relativeFrom="paragraph">
              <wp:posOffset>-2528570</wp:posOffset>
            </wp:positionV>
            <wp:extent cx="180340" cy="1714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80340" cy="171450"/>
                    </a:xfrm>
                    <a:prstGeom prst="rect">
                      <a:avLst/>
                    </a:prstGeom>
                    <a:noFill/>
                  </pic:spPr>
                </pic:pic>
              </a:graphicData>
            </a:graphic>
          </wp:anchor>
        </w:drawing>
        <w:drawing>
          <wp:anchor simplePos="0" relativeHeight="251657728" behindDoc="1" locked="0" layoutInCell="0" allowOverlap="1">
            <wp:simplePos x="0" y="0"/>
            <wp:positionH relativeFrom="column">
              <wp:posOffset>167640</wp:posOffset>
            </wp:positionH>
            <wp:positionV relativeFrom="paragraph">
              <wp:posOffset>-2305050</wp:posOffset>
            </wp:positionV>
            <wp:extent cx="188595" cy="18859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88595" cy="188595"/>
                    </a:xfrm>
                    <a:prstGeom prst="rect">
                      <a:avLst/>
                    </a:prstGeom>
                    <a:noFill/>
                  </pic:spPr>
                </pic:pic>
              </a:graphicData>
            </a:graphic>
          </wp:anchor>
        </w:drawing>
        <w:drawing>
          <wp:anchor simplePos="0" relativeHeight="251657728" behindDoc="1" locked="0" layoutInCell="0" allowOverlap="1">
            <wp:simplePos x="0" y="0"/>
            <wp:positionH relativeFrom="column">
              <wp:posOffset>167640</wp:posOffset>
            </wp:positionH>
            <wp:positionV relativeFrom="paragraph">
              <wp:posOffset>-2065655</wp:posOffset>
            </wp:positionV>
            <wp:extent cx="188595" cy="18859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88595" cy="188595"/>
                    </a:xfrm>
                    <a:prstGeom prst="rect">
                      <a:avLst/>
                    </a:prstGeom>
                    <a:noFill/>
                  </pic:spPr>
                </pic:pic>
              </a:graphicData>
            </a:graphic>
          </wp:anchor>
        </w:drawing>
        <w:drawing>
          <wp:anchor simplePos="0" relativeHeight="251657728" behindDoc="1" locked="0" layoutInCell="0" allowOverlap="1">
            <wp:simplePos x="0" y="0"/>
            <wp:positionH relativeFrom="column">
              <wp:posOffset>184785</wp:posOffset>
            </wp:positionH>
            <wp:positionV relativeFrom="paragraph">
              <wp:posOffset>-1824990</wp:posOffset>
            </wp:positionV>
            <wp:extent cx="154305" cy="1797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54305" cy="179705"/>
                    </a:xfrm>
                    <a:prstGeom prst="rect">
                      <a:avLst/>
                    </a:prstGeom>
                    <a:noFill/>
                  </pic:spPr>
                </pic:pic>
              </a:graphicData>
            </a:graphic>
          </wp:anchor>
        </w:drawing>
        <w:drawing>
          <wp:anchor simplePos="0" relativeHeight="251657728" behindDoc="1" locked="0" layoutInCell="0" allowOverlap="1">
            <wp:simplePos x="0" y="0"/>
            <wp:positionH relativeFrom="column">
              <wp:posOffset>159385</wp:posOffset>
            </wp:positionH>
            <wp:positionV relativeFrom="paragraph">
              <wp:posOffset>-1593850</wp:posOffset>
            </wp:positionV>
            <wp:extent cx="196850" cy="1460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96850" cy="146050"/>
                    </a:xfrm>
                    <a:prstGeom prst="rect">
                      <a:avLst/>
                    </a:prstGeom>
                    <a:noFill/>
                  </pic:spPr>
                </pic:pic>
              </a:graphicData>
            </a:graphic>
          </wp:anchor>
        </w:drawing>
        <w:drawing>
          <wp:anchor simplePos="0" relativeHeight="251657728" behindDoc="1" locked="0" layoutInCell="0" allowOverlap="1">
            <wp:simplePos x="0" y="0"/>
            <wp:positionH relativeFrom="column">
              <wp:posOffset>150495</wp:posOffset>
            </wp:positionH>
            <wp:positionV relativeFrom="paragraph">
              <wp:posOffset>-1396365</wp:posOffset>
            </wp:positionV>
            <wp:extent cx="222885" cy="18859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22885" cy="188595"/>
                    </a:xfrm>
                    <a:prstGeom prst="rect">
                      <a:avLst/>
                    </a:prstGeom>
                    <a:noFill/>
                  </pic:spPr>
                </pic:pic>
              </a:graphicData>
            </a:graphic>
          </wp:anchor>
        </w:drawing>
      </w:r>
    </w:p>
    <w:p>
      <w:pPr>
        <w:spacing w:after="0" w:line="177" w:lineRule="exact"/>
        <w:rPr>
          <w:sz w:val="20"/>
          <w:szCs w:val="20"/>
          <w:color w:val="auto"/>
        </w:rPr>
      </w:pPr>
    </w:p>
    <w:p>
      <w:pPr>
        <w:jc w:val="both"/>
        <w:ind w:left="120"/>
        <w:spacing w:after="0"/>
        <w:rPr>
          <w:sz w:val="20"/>
          <w:szCs w:val="20"/>
          <w:color w:val="auto"/>
        </w:rPr>
      </w:pPr>
      <w:r>
        <w:rPr>
          <w:rFonts w:ascii="Arial" w:cs="Arial" w:eastAsia="Arial" w:hAnsi="Arial"/>
          <w:sz w:val="18"/>
          <w:szCs w:val="18"/>
          <w:color w:val="auto"/>
        </w:rPr>
        <w:t>To identify, recruit and evaluate qualified candidates for the Board, the Board first looks to individuals known to current Board members through business and other relationships. If the Board is not able to identify qualified candidates in the foregoing way, the services of a professional search firm would be used. In addition, any shareholder, or a group of up to 20 shareholders, that has continuously owned for 3 years at least 3% of the Company’s outstanding Common Shares can nominate and include in the Company’s annual meeting proxy materials up to the greater of two trustees or 20% of the number of trustees serving on the Board, provided that the shareholder(s) and the nominee(s) satisfy the requirements set forth in our Bylaws. For further information regarding submission of a trustee nominee using the Company’s proxy access Bylaw provision or otherwise, see the “Shareholder Proposals for the 2025 Annual Meeting” section starting at page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83185</wp:posOffset>
            </wp:positionV>
            <wp:extent cx="7003415" cy="1200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003415" cy="120015"/>
                    </a:xfrm>
                    <a:prstGeom prst="rect">
                      <a:avLst/>
                    </a:prstGeom>
                    <a:noFill/>
                  </pic:spPr>
                </pic:pic>
              </a:graphicData>
            </a:graphic>
          </wp:anchor>
        </w:drawing>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4"/>
          <w:szCs w:val="14"/>
          <w:color w:val="FF160F"/>
        </w:rPr>
        <w:t>Federal Realty</w:t>
      </w:r>
      <w:r>
        <w:rPr>
          <w:rFonts w:ascii="Arial" w:cs="Arial" w:eastAsia="Arial" w:hAnsi="Arial"/>
          <w:sz w:val="14"/>
          <w:szCs w:val="14"/>
          <w:color w:val="000000"/>
        </w:rPr>
        <w:t xml:space="preserve">      2024 Proxy Statement   12</w:t>
      </w:r>
    </w:p>
    <w:p>
      <w:pPr>
        <w:sectPr>
          <w:pgSz w:w="11900" w:h="16838" w:orient="portrait"/>
          <w:cols w:equalWidth="0" w:num="1">
            <w:col w:w="11140"/>
          </w:cols>
          <w:pgMar w:left="320" w:top="482" w:right="4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540" w:hanging="424"/>
        <w:spacing w:after="0"/>
        <w:tabs>
          <w:tab w:leader="none" w:pos="540" w:val="left"/>
        </w:tabs>
        <w:numPr>
          <w:ilvl w:val="0"/>
          <w:numId w:val="35"/>
        </w:numPr>
        <w:rPr>
          <w:rFonts w:ascii="MS PGothic" w:cs="MS PGothic" w:eastAsia="MS PGothic" w:hAnsi="MS PGothic"/>
          <w:sz w:val="18"/>
          <w:szCs w:val="18"/>
          <w:color w:val="FF160F"/>
        </w:rPr>
      </w:pPr>
      <w:r>
        <w:rPr>
          <w:rFonts w:ascii="Arial" w:cs="Arial" w:eastAsia="Arial" w:hAnsi="Arial"/>
          <w:sz w:val="18"/>
          <w:szCs w:val="18"/>
          <w:b w:val="1"/>
          <w:bCs w:val="1"/>
          <w:color w:val="auto"/>
        </w:rPr>
        <w:t>NOMINEE DIVERSITY AND TENURE</w:t>
      </w:r>
    </w:p>
    <w:p>
      <w:pPr>
        <w:spacing w:after="0" w:line="225" w:lineRule="exact"/>
        <w:rPr>
          <w:sz w:val="20"/>
          <w:szCs w:val="20"/>
          <w:color w:val="auto"/>
        </w:rPr>
      </w:pPr>
    </w:p>
    <w:p>
      <w:pPr>
        <w:jc w:val="both"/>
        <w:ind w:left="120"/>
        <w:spacing w:after="0" w:line="247" w:lineRule="auto"/>
        <w:rPr>
          <w:sz w:val="20"/>
          <w:szCs w:val="20"/>
          <w:color w:val="auto"/>
        </w:rPr>
      </w:pPr>
      <w:r>
        <w:rPr>
          <w:rFonts w:ascii="Arial" w:cs="Arial" w:eastAsia="Arial" w:hAnsi="Arial"/>
          <w:sz w:val="18"/>
          <w:szCs w:val="18"/>
          <w:color w:val="auto"/>
        </w:rPr>
        <w:t>The Board believes that a mix of skills, qualifications, ages, tenure and diversity are important considerations in identifying nominees so that the Board as a whole has the different viewpoints needed to provide appropriate oversight of the Company’s business. Among the many items the Board takes into account, the Board specifically considers the gender and race/ethnicity of prospective nominees in order to ensure diverse representation on the Board.</w:t>
      </w:r>
    </w:p>
    <w:p>
      <w:pPr>
        <w:spacing w:after="0" w:line="201" w:lineRule="exact"/>
        <w:rPr>
          <w:sz w:val="20"/>
          <w:szCs w:val="20"/>
          <w:color w:val="auto"/>
        </w:rPr>
      </w:pPr>
    </w:p>
    <w:p>
      <w:pPr>
        <w:ind w:left="1680"/>
        <w:spacing w:after="0"/>
        <w:tabs>
          <w:tab w:leader="none" w:pos="5260" w:val="left"/>
          <w:tab w:leader="none" w:pos="8060" w:val="left"/>
        </w:tabs>
        <w:rPr>
          <w:sz w:val="20"/>
          <w:szCs w:val="20"/>
          <w:color w:val="auto"/>
        </w:rPr>
      </w:pPr>
      <w:r>
        <w:rPr>
          <w:rFonts w:ascii="Arial" w:cs="Arial" w:eastAsia="Arial" w:hAnsi="Arial"/>
          <w:sz w:val="18"/>
          <w:szCs w:val="18"/>
          <w:color w:val="FF160F"/>
        </w:rPr>
        <w:t>AGE</w:t>
      </w:r>
      <w:r>
        <w:rPr>
          <w:sz w:val="20"/>
          <w:szCs w:val="20"/>
          <w:color w:val="auto"/>
        </w:rPr>
        <w:tab/>
      </w:r>
      <w:r>
        <w:rPr>
          <w:rFonts w:ascii="Arial" w:cs="Arial" w:eastAsia="Arial" w:hAnsi="Arial"/>
          <w:sz w:val="18"/>
          <w:szCs w:val="18"/>
          <w:color w:val="FF160F"/>
        </w:rPr>
        <w:t>TENURE</w:t>
      </w:r>
      <w:r>
        <w:rPr>
          <w:sz w:val="20"/>
          <w:szCs w:val="20"/>
          <w:color w:val="auto"/>
        </w:rPr>
        <w:tab/>
      </w:r>
      <w:r>
        <w:rPr>
          <w:rFonts w:ascii="Arial" w:cs="Arial" w:eastAsia="Arial" w:hAnsi="Arial"/>
          <w:sz w:val="17"/>
          <w:szCs w:val="17"/>
          <w:color w:val="FF160F"/>
        </w:rPr>
        <w:t>GENDER &amp; ETHNIC DIVERSITY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52070</wp:posOffset>
            </wp:positionV>
            <wp:extent cx="6549390" cy="113157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549390" cy="1131570"/>
                    </a:xfrm>
                    <a:prstGeom prst="rect">
                      <a:avLst/>
                    </a:prstGeom>
                    <a:noFill/>
                  </pic:spPr>
                </pic:pic>
              </a:graphicData>
            </a:graphic>
          </wp:anchor>
        </w:drawing>
      </w:r>
    </w:p>
    <w:p>
      <w:pPr>
        <w:sectPr>
          <w:pgSz w:w="11900" w:h="16838" w:orient="portrait"/>
          <w:cols w:equalWidth="0" w:num="1">
            <w:col w:w="11120"/>
          </w:cols>
          <w:pgMar w:left="320" w:top="482"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Average age of independent trustees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6"/>
          <w:szCs w:val="16"/>
          <w:color w:val="auto"/>
        </w:rPr>
        <w:t>Average tenure of independent trustees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6"/>
          <w:szCs w:val="16"/>
          <w:color w:val="auto"/>
        </w:rPr>
        <w:t>Committees chaired by women</w:t>
      </w:r>
    </w:p>
    <w:p>
      <w:pPr>
        <w:spacing w:after="0" w:line="31" w:lineRule="exact"/>
        <w:rPr>
          <w:sz w:val="20"/>
          <w:szCs w:val="20"/>
          <w:color w:val="auto"/>
        </w:rPr>
      </w:pPr>
    </w:p>
    <w:p>
      <w:pPr>
        <w:sectPr>
          <w:pgSz w:w="11900" w:h="16838" w:orient="portrait"/>
          <w:cols w:equalWidth="0" w:num="3">
            <w:col w:w="3520" w:space="720"/>
            <w:col w:w="3340" w:space="720"/>
            <w:col w:w="2820"/>
          </w:cols>
          <w:pgMar w:left="320" w:top="482" w:right="459" w:bottom="1440" w:gutter="0" w:footer="0" w:header="0"/>
          <w:type w:val="continuous"/>
        </w:sectPr>
      </w:pPr>
    </w:p>
    <w:p>
      <w:pPr>
        <w:ind w:left="1480"/>
        <w:spacing w:after="0"/>
        <w:rPr>
          <w:sz w:val="20"/>
          <w:szCs w:val="20"/>
          <w:color w:val="auto"/>
        </w:rPr>
      </w:pPr>
      <w:r>
        <w:rPr>
          <w:rFonts w:ascii="Arial" w:cs="Arial" w:eastAsia="Arial" w:hAnsi="Arial"/>
          <w:sz w:val="16"/>
          <w:szCs w:val="16"/>
          <w:b w:val="1"/>
          <w:bCs w:val="1"/>
          <w:color w:val="FF160F"/>
        </w:rPr>
        <w:t>63.3 years</w:t>
      </w:r>
    </w:p>
    <w:p>
      <w:pPr>
        <w:spacing w:after="0" w:line="20" w:lineRule="exact"/>
        <w:rPr>
          <w:sz w:val="20"/>
          <w:szCs w:val="20"/>
          <w:color w:val="auto"/>
        </w:rPr>
      </w:pPr>
      <w:r>
        <w:rPr>
          <w:sz w:val="20"/>
          <w:szCs w:val="20"/>
          <w:color w:val="auto"/>
        </w:rPr>
        <w:br w:type="column"/>
      </w:r>
    </w:p>
    <w:p>
      <w:pPr>
        <w:jc w:val="center"/>
        <w:ind w:right="2520"/>
        <w:spacing w:after="0"/>
        <w:rPr>
          <w:sz w:val="20"/>
          <w:szCs w:val="20"/>
          <w:color w:val="auto"/>
        </w:rPr>
      </w:pPr>
      <w:r>
        <w:rPr>
          <w:rFonts w:ascii="Arial" w:cs="Arial" w:eastAsia="Arial" w:hAnsi="Arial"/>
          <w:sz w:val="15"/>
          <w:szCs w:val="15"/>
          <w:b w:val="1"/>
          <w:bCs w:val="1"/>
          <w:color w:val="FF160F"/>
        </w:rPr>
        <w:t>9.3 years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FF160F"/>
        </w:rPr>
        <w:t>67%</w:t>
      </w:r>
    </w:p>
    <w:p>
      <w:pPr>
        <w:spacing w:after="0" w:line="211" w:lineRule="exact"/>
        <w:rPr>
          <w:sz w:val="20"/>
          <w:szCs w:val="20"/>
          <w:color w:val="auto"/>
        </w:rPr>
      </w:pPr>
    </w:p>
    <w:p>
      <w:pPr>
        <w:sectPr>
          <w:pgSz w:w="11900" w:h="16838" w:orient="portrait"/>
          <w:cols w:equalWidth="0" w:num="3">
            <w:col w:w="4600" w:space="720"/>
            <w:col w:w="3200" w:space="720"/>
            <w:col w:w="1880"/>
          </w:cols>
          <w:pgMar w:left="320" w:top="482" w:right="459" w:bottom="1440" w:gutter="0" w:footer="0" w:header="0"/>
          <w:type w:val="continuous"/>
        </w:sectPr>
      </w:pPr>
    </w:p>
    <w:p>
      <w:pPr>
        <w:spacing w:after="0" w:line="31" w:lineRule="exact"/>
        <w:rPr>
          <w:sz w:val="20"/>
          <w:szCs w:val="20"/>
          <w:color w:val="auto"/>
        </w:rPr>
      </w:pPr>
    </w:p>
    <w:p>
      <w:pPr>
        <w:ind w:left="540" w:hanging="424"/>
        <w:spacing w:after="0"/>
        <w:tabs>
          <w:tab w:leader="none" w:pos="540" w:val="left"/>
        </w:tabs>
        <w:numPr>
          <w:ilvl w:val="0"/>
          <w:numId w:val="36"/>
        </w:numPr>
        <w:rPr>
          <w:rFonts w:ascii="MS PGothic" w:cs="MS PGothic" w:eastAsia="MS PGothic" w:hAnsi="MS PGothic"/>
          <w:sz w:val="18"/>
          <w:szCs w:val="18"/>
          <w:color w:val="FF160F"/>
        </w:rPr>
      </w:pPr>
      <w:r>
        <w:rPr>
          <w:rFonts w:ascii="Arial" w:cs="Arial" w:eastAsia="Arial" w:hAnsi="Arial"/>
          <w:sz w:val="18"/>
          <w:szCs w:val="18"/>
          <w:b w:val="1"/>
          <w:bCs w:val="1"/>
          <w:color w:val="auto"/>
        </w:rPr>
        <w:t>OUR NOMINEES</w:t>
      </w:r>
    </w:p>
    <w:p>
      <w:pPr>
        <w:spacing w:after="0" w:line="225" w:lineRule="exact"/>
        <w:rPr>
          <w:sz w:val="20"/>
          <w:szCs w:val="20"/>
          <w:color w:val="auto"/>
        </w:rPr>
      </w:pPr>
    </w:p>
    <w:p>
      <w:pPr>
        <w:jc w:val="both"/>
        <w:ind w:left="120"/>
        <w:spacing w:after="0" w:line="253" w:lineRule="auto"/>
        <w:rPr>
          <w:sz w:val="20"/>
          <w:szCs w:val="20"/>
          <w:color w:val="auto"/>
        </w:rPr>
      </w:pPr>
      <w:r>
        <w:rPr>
          <w:rFonts w:ascii="Arial" w:cs="Arial" w:eastAsia="Arial" w:hAnsi="Arial"/>
          <w:sz w:val="18"/>
          <w:szCs w:val="18"/>
          <w:color w:val="auto"/>
        </w:rPr>
        <w:t>The following biographical descriptions set forth certain information with respect to each nominee for election at the Annual Meeting as well as the specific experience, qualifications, attributes and skills that led to our Board’s conclusion that each nominee should serve as a trustee of our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76200</wp:posOffset>
            </wp:positionV>
            <wp:extent cx="7003415" cy="1200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003415" cy="120015"/>
                    </a:xfrm>
                    <a:prstGeom prst="rect">
                      <a:avLst/>
                    </a:prstGeom>
                    <a:noFill/>
                  </pic:spPr>
                </pic:pic>
              </a:graphicData>
            </a:graphic>
          </wp:anchor>
        </w:drawing>
      </w:r>
    </w:p>
    <w:p>
      <w:pPr>
        <w:spacing w:after="0" w:line="105" w:lineRule="exact"/>
        <w:rPr>
          <w:sz w:val="20"/>
          <w:szCs w:val="20"/>
          <w:color w:val="auto"/>
        </w:rPr>
      </w:pPr>
    </w:p>
    <w:p>
      <w:pPr>
        <w:ind w:left="8080"/>
        <w:spacing w:after="0"/>
        <w:rPr>
          <w:sz w:val="20"/>
          <w:szCs w:val="20"/>
          <w:color w:val="auto"/>
        </w:rPr>
      </w:pPr>
      <w:r>
        <w:rPr>
          <w:rFonts w:ascii="Arial" w:cs="Arial" w:eastAsia="Arial" w:hAnsi="Arial"/>
          <w:sz w:val="14"/>
          <w:szCs w:val="14"/>
          <w:color w:val="FF160F"/>
        </w:rPr>
        <w:t>Federal Realty</w:t>
      </w:r>
      <w:r>
        <w:rPr>
          <w:rFonts w:ascii="Arial" w:cs="Arial" w:eastAsia="Arial" w:hAnsi="Arial"/>
          <w:sz w:val="14"/>
          <w:szCs w:val="14"/>
          <w:color w:val="000000"/>
        </w:rPr>
        <w:t xml:space="preserve">      2024 Proxy Statement   13</w:t>
      </w:r>
    </w:p>
    <w:p>
      <w:pPr>
        <w:sectPr>
          <w:pgSz w:w="11900" w:h="16838" w:orient="portrait"/>
          <w:cols w:equalWidth="0" w:num="1">
            <w:col w:w="11120"/>
          </w:cols>
          <w:pgMar w:left="320" w:top="482" w:right="45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DAVID W. FAEDER</w:t>
      </w:r>
    </w:p>
    <w:p>
      <w:pPr>
        <w:spacing w:after="0" w:line="9"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Age: 67</w:t>
      </w:r>
    </w:p>
    <w:p>
      <w:pPr>
        <w:ind w:left="2780"/>
        <w:spacing w:after="0" w:line="234" w:lineRule="auto"/>
        <w:rPr>
          <w:sz w:val="20"/>
          <w:szCs w:val="20"/>
          <w:color w:val="auto"/>
        </w:rPr>
      </w:pPr>
      <w:r>
        <w:rPr>
          <w:rFonts w:ascii="Arial" w:cs="Arial" w:eastAsia="Arial" w:hAnsi="Arial"/>
          <w:sz w:val="18"/>
          <w:szCs w:val="18"/>
          <w:color w:val="auto"/>
        </w:rPr>
        <w:t>Trustee Since: 2003</w:t>
      </w:r>
    </w:p>
    <w:p>
      <w:pPr>
        <w:ind w:left="2780"/>
        <w:spacing w:after="0" w:line="235" w:lineRule="auto"/>
        <w:rPr>
          <w:sz w:val="20"/>
          <w:szCs w:val="20"/>
          <w:color w:val="auto"/>
        </w:rPr>
      </w:pPr>
      <w:r>
        <w:rPr>
          <w:rFonts w:ascii="Arial" w:cs="Arial" w:eastAsia="Arial" w:hAnsi="Arial"/>
          <w:sz w:val="18"/>
          <w:szCs w:val="18"/>
          <w:b w:val="1"/>
          <w:bCs w:val="1"/>
          <w:color w:val="auto"/>
        </w:rPr>
        <w:t>Non-Executive Chairman</w:t>
      </w:r>
    </w:p>
    <w:p>
      <w:pPr>
        <w:ind w:left="2780"/>
        <w:spacing w:after="0" w:line="235" w:lineRule="auto"/>
        <w:rPr>
          <w:sz w:val="20"/>
          <w:szCs w:val="20"/>
          <w:color w:val="auto"/>
        </w:rPr>
      </w:pPr>
      <w:r>
        <w:rPr>
          <w:rFonts w:ascii="Arial" w:cs="Arial" w:eastAsia="Arial" w:hAnsi="Arial"/>
          <w:sz w:val="18"/>
          <w:szCs w:val="18"/>
          <w:color w:val="auto"/>
        </w:rPr>
        <w:t>Managing Partner of Fountain</w:t>
      </w:r>
    </w:p>
    <w:p>
      <w:pPr>
        <w:ind w:left="2780"/>
        <w:spacing w:after="0" w:line="235" w:lineRule="auto"/>
        <w:rPr>
          <w:sz w:val="20"/>
          <w:szCs w:val="20"/>
          <w:color w:val="auto"/>
        </w:rPr>
      </w:pPr>
      <w:r>
        <w:rPr>
          <w:rFonts w:ascii="Arial" w:cs="Arial" w:eastAsia="Arial" w:hAnsi="Arial"/>
          <w:sz w:val="18"/>
          <w:szCs w:val="18"/>
          <w:color w:val="auto"/>
        </w:rPr>
        <w:t>Square Properties and</w:t>
      </w:r>
    </w:p>
    <w:p>
      <w:pPr>
        <w:ind w:left="2780"/>
        <w:spacing w:after="0" w:line="235" w:lineRule="auto"/>
        <w:rPr>
          <w:sz w:val="20"/>
          <w:szCs w:val="20"/>
          <w:color w:val="auto"/>
        </w:rPr>
      </w:pPr>
      <w:r>
        <w:rPr>
          <w:rFonts w:ascii="Arial" w:cs="Arial" w:eastAsia="Arial" w:hAnsi="Arial"/>
          <w:sz w:val="18"/>
          <w:szCs w:val="18"/>
          <w:color w:val="auto"/>
        </w:rPr>
        <w:t>Managing Member of</w:t>
      </w:r>
    </w:p>
    <w:p>
      <w:pPr>
        <w:ind w:left="2780"/>
        <w:spacing w:after="0"/>
        <w:rPr>
          <w:sz w:val="20"/>
          <w:szCs w:val="20"/>
          <w:color w:val="auto"/>
        </w:rPr>
      </w:pPr>
      <w:r>
        <w:rPr>
          <w:rFonts w:ascii="Arial" w:cs="Arial" w:eastAsia="Arial" w:hAnsi="Arial"/>
          <w:sz w:val="18"/>
          <w:szCs w:val="18"/>
          <w:color w:val="auto"/>
        </w:rPr>
        <w:t>Kensington Senior Living</w:t>
      </w:r>
    </w:p>
    <w:p>
      <w:pPr>
        <w:spacing w:after="0" w:line="261" w:lineRule="exact"/>
        <w:rPr>
          <w:sz w:val="20"/>
          <w:szCs w:val="20"/>
          <w:color w:val="auto"/>
        </w:rPr>
      </w:pPr>
    </w:p>
    <w:p>
      <w:pPr>
        <w:jc w:val="both"/>
        <w:ind w:left="580"/>
        <w:spacing w:after="0" w:line="237" w:lineRule="auto"/>
        <w:rPr>
          <w:sz w:val="20"/>
          <w:szCs w:val="20"/>
          <w:color w:val="auto"/>
        </w:rPr>
      </w:pPr>
      <w:r>
        <w:rPr>
          <w:rFonts w:ascii="Arial" w:cs="Arial" w:eastAsia="Arial" w:hAnsi="Arial"/>
          <w:sz w:val="18"/>
          <w:szCs w:val="18"/>
          <w:color w:val="auto"/>
        </w:rPr>
        <w:t>Mr. Faeder has been the managing partner of Fountain Square Properties since 2003 and managing member of Kensington Senior Living since 2011, both of which are focused on the ownership, operation and development of senior housing. Prior to that, he held various positions at Sunrise Senior Living from 1993 to 2003. Those positions included Vice Chairman, President and Executive Vice President-Chief Financial Officer. Mr. Faeder began his career in public accounting before moving into investment banking immediately prior to joining Sunrise. Mr. Faeder received a BS in Business Administration from Old Dominion University and an MBA from the Colgate Darden Graduate School of Business at the University of Virginia. Mr. Faeder has been designated by the Board as an audit committee financial expert in accordance with the SEC definition.</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Skills and Qualifications</w:t>
      </w:r>
    </w:p>
    <w:p>
      <w:pPr>
        <w:spacing w:after="0" w:line="14" w:lineRule="exact"/>
        <w:rPr>
          <w:sz w:val="20"/>
          <w:szCs w:val="20"/>
          <w:color w:val="auto"/>
        </w:rPr>
      </w:pPr>
    </w:p>
    <w:p>
      <w:pPr>
        <w:jc w:val="both"/>
        <w:ind w:left="580"/>
        <w:spacing w:after="0" w:line="236" w:lineRule="auto"/>
        <w:rPr>
          <w:sz w:val="20"/>
          <w:szCs w:val="20"/>
          <w:color w:val="auto"/>
        </w:rPr>
      </w:pPr>
      <w:r>
        <w:rPr>
          <w:rFonts w:ascii="Arial" w:cs="Arial" w:eastAsia="Arial" w:hAnsi="Arial"/>
          <w:sz w:val="18"/>
          <w:szCs w:val="18"/>
          <w:color w:val="auto"/>
        </w:rPr>
        <w:t>Mr. Faeder has deep levels of experience in leadership, real estate investment and development as well as finance and accounting acquired from his time as a private investor and as a public company real estate CFO coupled with his public company and accounting background. This experience provides valuable perspective on our investment decisions, alignment of our capital structure to support those investments and on our financial reporting. His experience in senior living also provides valuable insights for a growing area that could be a source of additional value creation at a number of our properties.</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Prior Public Company Directorships:</w:t>
      </w:r>
    </w:p>
    <w:p>
      <w:pPr>
        <w:spacing w:after="0" w:line="1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Arlington Asset Investment Corp.</w:t>
      </w:r>
    </w:p>
    <w:p>
      <w:pPr>
        <w:spacing w:after="0" w:line="221"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Committees:</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Audit Committee</w:t>
      </w:r>
    </w:p>
    <w:p>
      <w:pPr>
        <w:ind w:left="580"/>
        <w:spacing w:after="0"/>
        <w:rPr>
          <w:sz w:val="20"/>
          <w:szCs w:val="20"/>
          <w:color w:val="auto"/>
        </w:rPr>
      </w:pPr>
      <w:r>
        <w:rPr>
          <w:rFonts w:ascii="Arial" w:cs="Arial" w:eastAsia="Arial" w:hAnsi="Arial"/>
          <w:sz w:val="18"/>
          <w:szCs w:val="18"/>
          <w:color w:val="auto"/>
        </w:rPr>
        <w:t>Nominating Committee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2200"/>
        <w:spacing w:after="0"/>
        <w:rPr>
          <w:sz w:val="20"/>
          <w:szCs w:val="20"/>
          <w:color w:val="auto"/>
        </w:rPr>
      </w:pPr>
      <w:r>
        <w:rPr>
          <w:rFonts w:ascii="Arial" w:cs="Arial" w:eastAsia="Arial" w:hAnsi="Arial"/>
          <w:sz w:val="18"/>
          <w:szCs w:val="18"/>
          <w:b w:val="1"/>
          <w:bCs w:val="1"/>
          <w:color w:val="auto"/>
        </w:rPr>
        <w:t>ELIZABETH I. HOLLAND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-3728085</wp:posOffset>
            </wp:positionH>
            <wp:positionV relativeFrom="paragraph">
              <wp:posOffset>-993140</wp:posOffset>
            </wp:positionV>
            <wp:extent cx="7174865" cy="70548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7054850"/>
                    </a:xfrm>
                    <a:prstGeom prst="rect">
                      <a:avLst/>
                    </a:prstGeom>
                    <a:noFill/>
                  </pic:spPr>
                </pic:pic>
              </a:graphicData>
            </a:graphic>
          </wp:anchor>
        </w:drawing>
      </w:r>
    </w:p>
    <w:p>
      <w:pPr>
        <w:ind w:left="2200"/>
        <w:spacing w:after="0"/>
        <w:rPr>
          <w:sz w:val="20"/>
          <w:szCs w:val="20"/>
          <w:color w:val="auto"/>
        </w:rPr>
      </w:pPr>
      <w:r>
        <w:rPr>
          <w:rFonts w:ascii="Arial" w:cs="Arial" w:eastAsia="Arial" w:hAnsi="Arial"/>
          <w:sz w:val="18"/>
          <w:szCs w:val="18"/>
          <w:color w:val="auto"/>
        </w:rPr>
        <w:t>Age: 58</w:t>
      </w:r>
    </w:p>
    <w:p>
      <w:pPr>
        <w:ind w:left="2200"/>
        <w:spacing w:after="0" w:line="234" w:lineRule="auto"/>
        <w:rPr>
          <w:sz w:val="20"/>
          <w:szCs w:val="20"/>
          <w:color w:val="auto"/>
        </w:rPr>
      </w:pPr>
      <w:r>
        <w:rPr>
          <w:rFonts w:ascii="Arial" w:cs="Arial" w:eastAsia="Arial" w:hAnsi="Arial"/>
          <w:sz w:val="18"/>
          <w:szCs w:val="18"/>
          <w:color w:val="auto"/>
        </w:rPr>
        <w:t>Trustee Since: 2017</w:t>
      </w:r>
    </w:p>
    <w:p>
      <w:pPr>
        <w:ind w:left="2200"/>
        <w:spacing w:after="0" w:line="235" w:lineRule="auto"/>
        <w:rPr>
          <w:sz w:val="20"/>
          <w:szCs w:val="20"/>
          <w:color w:val="auto"/>
        </w:rPr>
      </w:pPr>
      <w:r>
        <w:rPr>
          <w:rFonts w:ascii="Arial" w:cs="Arial" w:eastAsia="Arial" w:hAnsi="Arial"/>
          <w:sz w:val="18"/>
          <w:szCs w:val="18"/>
          <w:color w:val="auto"/>
        </w:rPr>
        <w:t>Chief Executive Officer of Abbell</w:t>
      </w:r>
    </w:p>
    <w:p>
      <w:pPr>
        <w:ind w:left="2200"/>
        <w:spacing w:after="0" w:line="235" w:lineRule="auto"/>
        <w:rPr>
          <w:sz w:val="20"/>
          <w:szCs w:val="20"/>
          <w:color w:val="auto"/>
        </w:rPr>
      </w:pPr>
      <w:r>
        <w:rPr>
          <w:rFonts w:ascii="Arial" w:cs="Arial" w:eastAsia="Arial" w:hAnsi="Arial"/>
          <w:sz w:val="18"/>
          <w:szCs w:val="18"/>
          <w:color w:val="auto"/>
        </w:rPr>
        <w:t>Credit Corporation and Abbell</w:t>
      </w:r>
    </w:p>
    <w:p>
      <w:pPr>
        <w:ind w:left="2200"/>
        <w:spacing w:after="0"/>
        <w:rPr>
          <w:sz w:val="20"/>
          <w:szCs w:val="20"/>
          <w:color w:val="auto"/>
        </w:rPr>
      </w:pPr>
      <w:r>
        <w:rPr>
          <w:rFonts w:ascii="Arial" w:cs="Arial" w:eastAsia="Arial" w:hAnsi="Arial"/>
          <w:sz w:val="18"/>
          <w:szCs w:val="18"/>
          <w:color w:val="auto"/>
        </w:rPr>
        <w:t>Associates, LLC</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Ms. Holland is the Chief Executive Officer of Abbell Credit Corporation and Abbell Associates, LLC, a private retail real estate company. She has held that position since 1997. Prior to that, she served as a senior staff attorney on the Congressional Bankruptcy Review Commission (1996-1997), as a business reorganization attorney at Skadden, Arps, Slate, Meagher &amp; Flom (1993-1996) and as a fixed income portfolio manager at Brown Brothers Harriman &amp; Company from (1989-1990). From 2016-2017, Ms. Holland served as the Chairman of the Board of Trustees for ICSC (f/k/a International Council of Shopping Centers) and has served as a trustee for that organization since 2004. Ms. Holland earned a BA from Hamilton College and a JD from Brooklyn Law School. In addition to her public board service, Ms. Holland serves on the boards of 1000 Friends of Iowa, a non-profit organization focused on responsible land use, and Primo Center for Women &amp; Children whose mission is to provide family shelter and permanent supportive housing and other supportive services to homeless families in Chicago.</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Skills and Qualifications</w:t>
      </w:r>
    </w:p>
    <w:p>
      <w:pPr>
        <w:spacing w:after="0" w:line="1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Ms. Holland brings valuable insights into retailers and the retail industry in general from her time in leadership positions with ICSC and her own investing experience in retail real estate as well as a wealth of business and leadership experience from running a private real estate company. Those perspectives are invaluable for a retail based real estate company.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Public Company Directorships: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VICI Properties,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Audit Committee</w:t>
      </w:r>
    </w:p>
    <w:p>
      <w:pPr>
        <w:spacing w:after="0"/>
        <w:rPr>
          <w:sz w:val="20"/>
          <w:szCs w:val="20"/>
          <w:color w:val="auto"/>
        </w:rPr>
      </w:pPr>
      <w:r>
        <w:rPr>
          <w:rFonts w:ascii="Arial" w:cs="Arial" w:eastAsia="Arial" w:hAnsi="Arial"/>
          <w:sz w:val="18"/>
          <w:szCs w:val="18"/>
          <w:color w:val="auto"/>
        </w:rPr>
        <w:t>Compensation Committee (Chair)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-3646805</wp:posOffset>
            </wp:positionH>
            <wp:positionV relativeFrom="paragraph">
              <wp:posOffset>357505</wp:posOffset>
            </wp:positionV>
            <wp:extent cx="7003415" cy="1200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003415" cy="120015"/>
                    </a:xfrm>
                    <a:prstGeom prst="rect">
                      <a:avLst/>
                    </a:prstGeom>
                    <a:noFill/>
                  </pic:spPr>
                </pic:pic>
              </a:graphicData>
            </a:graphic>
          </wp:anchor>
        </w:drawing>
      </w:r>
    </w:p>
    <w:p>
      <w:pPr>
        <w:spacing w:after="0" w:line="402" w:lineRule="exact"/>
        <w:rPr>
          <w:sz w:val="20"/>
          <w:szCs w:val="20"/>
          <w:color w:val="auto"/>
        </w:rPr>
      </w:pPr>
    </w:p>
    <w:p>
      <w:pPr>
        <w:sectPr>
          <w:pgSz w:w="11900" w:h="16838" w:orient="portrait"/>
          <w:cols w:equalWidth="0" w:num="2">
            <w:col w:w="5200" w:space="660"/>
            <w:col w:w="4840"/>
          </w:cols>
          <w:pgMar w:left="320" w:top="482" w:right="879" w:bottom="1440" w:gutter="0" w:footer="0" w:header="0"/>
        </w:sectPr>
      </w:pPr>
    </w:p>
    <w:p>
      <w:pPr>
        <w:spacing w:after="0" w:line="165" w:lineRule="exact"/>
        <w:rPr>
          <w:sz w:val="20"/>
          <w:szCs w:val="20"/>
          <w:color w:val="auto"/>
        </w:rPr>
      </w:pPr>
    </w:p>
    <w:p>
      <w:pPr>
        <w:ind w:left="340"/>
        <w:spacing w:after="0"/>
        <w:rPr>
          <w:sz w:val="20"/>
          <w:szCs w:val="20"/>
          <w:color w:val="auto"/>
        </w:rPr>
      </w:pPr>
      <w:r>
        <w:rPr>
          <w:rFonts w:ascii="Arial" w:cs="Arial" w:eastAsia="Arial" w:hAnsi="Arial"/>
          <w:sz w:val="14"/>
          <w:szCs w:val="14"/>
          <w:color w:val="FF160F"/>
        </w:rPr>
        <w:t>Federal Realty</w:t>
      </w:r>
      <w:r>
        <w:rPr>
          <w:rFonts w:ascii="Arial" w:cs="Arial" w:eastAsia="Arial" w:hAnsi="Arial"/>
          <w:sz w:val="14"/>
          <w:szCs w:val="14"/>
          <w:color w:val="000000"/>
        </w:rPr>
        <w:t xml:space="preserve">      2024 Proxy Statement   14</w:t>
      </w:r>
    </w:p>
    <w:p>
      <w:pPr>
        <w:sectPr>
          <w:pgSz w:w="11900" w:h="16838" w:orient="portrait"/>
          <w:cols w:equalWidth="0" w:num="1">
            <w:col w:w="10700"/>
          </w:cols>
          <w:pgMar w:left="320" w:top="482" w:right="87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6995160" cy="742378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995160" cy="7423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NICOLE Y. LAMB HALE</w:t>
      </w:r>
    </w:p>
    <w:p>
      <w:pPr>
        <w:spacing w:after="0" w:line="9"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Age: 57</w:t>
      </w:r>
    </w:p>
    <w:p>
      <w:pPr>
        <w:ind w:left="2920"/>
        <w:spacing w:after="0" w:line="234" w:lineRule="auto"/>
        <w:rPr>
          <w:sz w:val="20"/>
          <w:szCs w:val="20"/>
          <w:color w:val="auto"/>
        </w:rPr>
      </w:pPr>
      <w:r>
        <w:rPr>
          <w:rFonts w:ascii="Arial" w:cs="Arial" w:eastAsia="Arial" w:hAnsi="Arial"/>
          <w:sz w:val="18"/>
          <w:szCs w:val="18"/>
          <w:color w:val="auto"/>
        </w:rPr>
        <w:t>Trustee Since: 2020</w:t>
      </w:r>
    </w:p>
    <w:p>
      <w:pPr>
        <w:ind w:left="2920"/>
        <w:spacing w:after="0" w:line="235" w:lineRule="auto"/>
        <w:rPr>
          <w:sz w:val="20"/>
          <w:szCs w:val="20"/>
          <w:color w:val="auto"/>
        </w:rPr>
      </w:pPr>
      <w:r>
        <w:rPr>
          <w:rFonts w:ascii="Arial" w:cs="Arial" w:eastAsia="Arial" w:hAnsi="Arial"/>
          <w:sz w:val="18"/>
          <w:szCs w:val="18"/>
          <w:color w:val="auto"/>
        </w:rPr>
        <w:t>Vice President, Chief Legal</w:t>
      </w:r>
    </w:p>
    <w:p>
      <w:pPr>
        <w:ind w:left="2920"/>
        <w:spacing w:after="0" w:line="235" w:lineRule="auto"/>
        <w:rPr>
          <w:sz w:val="20"/>
          <w:szCs w:val="20"/>
          <w:color w:val="auto"/>
        </w:rPr>
      </w:pPr>
      <w:r>
        <w:rPr>
          <w:rFonts w:ascii="Arial" w:cs="Arial" w:eastAsia="Arial" w:hAnsi="Arial"/>
          <w:sz w:val="18"/>
          <w:szCs w:val="18"/>
          <w:color w:val="auto"/>
        </w:rPr>
        <w:t>Officer and Corporate</w:t>
      </w:r>
    </w:p>
    <w:p>
      <w:pPr>
        <w:ind w:left="2920"/>
        <w:spacing w:after="0"/>
        <w:rPr>
          <w:sz w:val="20"/>
          <w:szCs w:val="20"/>
          <w:color w:val="auto"/>
        </w:rPr>
      </w:pPr>
      <w:r>
        <w:rPr>
          <w:rFonts w:ascii="Arial" w:cs="Arial" w:eastAsia="Arial" w:hAnsi="Arial"/>
          <w:sz w:val="18"/>
          <w:szCs w:val="18"/>
          <w:color w:val="auto"/>
        </w:rPr>
        <w:t>Secretary of Cummins, Inc.</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left="580"/>
        <w:spacing w:after="0" w:line="236" w:lineRule="auto"/>
        <w:rPr>
          <w:sz w:val="20"/>
          <w:szCs w:val="20"/>
          <w:color w:val="auto"/>
        </w:rPr>
      </w:pPr>
      <w:r>
        <w:rPr>
          <w:rFonts w:ascii="Arial" w:cs="Arial" w:eastAsia="Arial" w:hAnsi="Arial"/>
          <w:sz w:val="18"/>
          <w:szCs w:val="18"/>
          <w:color w:val="auto"/>
        </w:rPr>
        <w:t>Ms. Lamb-Hale currently serves as the Vice President, Chief Legal Officer and Corporate Secretary of Cummins Inc., a position she has held since 2023 overseeing all legal affairs and related risk management. While at Cummins Inc., Ms. Lamb-Hale has also held the titles Vice President and Chief Legal Officer (2023) and Vice President and General Counsel (2021-2022). Prior to that time, she was a Managing Director at Kroll, a global governance, risk and transparency consultant (2016-2021), a Senior Vice President at Albright Stonebridge Group (2013-2016), a global strategy consultancy, and served as the Assistant Secretary of Commerce for Manufacturing and Services in the International Trade Administration of the U.S. Department of Commerce (2010-2013) and as the Deputy General Counsel for the U.S. Department of Commerce (2009-2010). Ms. Lamb-Hale is a licensed attorney who began her career at law firms (1991-2009) where she practiced in the areas of business restructuring and public finance. Ms. Lamb-Hale earned an AB in Political Science from the University of Michigan and a JD from Harvard Law School. In addition to her service on Federal’s Board, Ms. Lamb-Hale serves on the board of Delta Parent Holdings, Inc. as well as the boards of various non-profit groups including the American Leadership Initiative and the Center for International Private Enterprise.</w:t>
      </w:r>
    </w:p>
    <w:p>
      <w:pPr>
        <w:spacing w:after="0" w:line="217"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Skills and Qualifications</w:t>
      </w:r>
    </w:p>
    <w:p>
      <w:pPr>
        <w:spacing w:after="0" w:line="14" w:lineRule="exact"/>
        <w:rPr>
          <w:sz w:val="20"/>
          <w:szCs w:val="20"/>
          <w:color w:val="auto"/>
        </w:rPr>
      </w:pPr>
    </w:p>
    <w:p>
      <w:pPr>
        <w:jc w:val="both"/>
        <w:ind w:left="580"/>
        <w:spacing w:after="0" w:line="237" w:lineRule="auto"/>
        <w:rPr>
          <w:sz w:val="20"/>
          <w:szCs w:val="20"/>
          <w:color w:val="auto"/>
        </w:rPr>
      </w:pPr>
      <w:r>
        <w:rPr>
          <w:rFonts w:ascii="Arial" w:cs="Arial" w:eastAsia="Arial" w:hAnsi="Arial"/>
          <w:sz w:val="18"/>
          <w:szCs w:val="18"/>
          <w:color w:val="auto"/>
        </w:rPr>
        <w:t>Ms. Lamb-Hale’s 30 years of experience, spanning the private and public sectors, in law, executive level risk management and mitigation, and restructuring, coupled with her leadership skills gained from her varied executive roles, provides the company with diverse and valuable insights as it develops and implements its current and long-term business strategies.</w:t>
      </w:r>
    </w:p>
    <w:p>
      <w:pPr>
        <w:spacing w:after="0" w:line="212"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Committees:</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Compensation Committee</w:t>
      </w:r>
    </w:p>
    <w:p>
      <w:pPr>
        <w:ind w:left="580"/>
        <w:spacing w:after="0"/>
        <w:rPr>
          <w:sz w:val="20"/>
          <w:szCs w:val="20"/>
          <w:color w:val="auto"/>
        </w:rPr>
      </w:pPr>
      <w:r>
        <w:rPr>
          <w:rFonts w:ascii="Arial" w:cs="Arial" w:eastAsia="Arial" w:hAnsi="Arial"/>
          <w:sz w:val="18"/>
          <w:szCs w:val="18"/>
          <w:color w:val="auto"/>
        </w:rPr>
        <w:t>Nominating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1052195</wp:posOffset>
            </wp:positionV>
            <wp:extent cx="7003415" cy="1200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003415" cy="1200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2200"/>
        <w:spacing w:after="0"/>
        <w:rPr>
          <w:sz w:val="20"/>
          <w:szCs w:val="20"/>
          <w:color w:val="auto"/>
        </w:rPr>
      </w:pPr>
      <w:r>
        <w:rPr>
          <w:rFonts w:ascii="Arial" w:cs="Arial" w:eastAsia="Arial" w:hAnsi="Arial"/>
          <w:sz w:val="18"/>
          <w:szCs w:val="18"/>
          <w:b w:val="1"/>
          <w:bCs w:val="1"/>
          <w:color w:val="auto"/>
        </w:rPr>
        <w:t>THOMAS A. McEACHIN</w:t>
      </w:r>
    </w:p>
    <w:p>
      <w:pPr>
        <w:spacing w:after="0" w:line="9"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Age: 71</w:t>
      </w:r>
    </w:p>
    <w:p>
      <w:pPr>
        <w:ind w:left="2200"/>
        <w:spacing w:after="0" w:line="234" w:lineRule="auto"/>
        <w:rPr>
          <w:sz w:val="20"/>
          <w:szCs w:val="20"/>
          <w:color w:val="auto"/>
        </w:rPr>
      </w:pPr>
      <w:r>
        <w:rPr>
          <w:rFonts w:ascii="Arial" w:cs="Arial" w:eastAsia="Arial" w:hAnsi="Arial"/>
          <w:sz w:val="18"/>
          <w:szCs w:val="18"/>
          <w:color w:val="auto"/>
        </w:rPr>
        <w:t>Trustee Since: 2022</w:t>
      </w:r>
    </w:p>
    <w:p>
      <w:pPr>
        <w:ind w:left="2200"/>
        <w:spacing w:after="0" w:line="235" w:lineRule="auto"/>
        <w:rPr>
          <w:sz w:val="20"/>
          <w:szCs w:val="20"/>
          <w:color w:val="auto"/>
        </w:rPr>
      </w:pPr>
      <w:r>
        <w:rPr>
          <w:rFonts w:ascii="Arial" w:cs="Arial" w:eastAsia="Arial" w:hAnsi="Arial"/>
          <w:sz w:val="18"/>
          <w:szCs w:val="18"/>
          <w:color w:val="auto"/>
        </w:rPr>
        <w:t>Retired Vice President and</w:t>
      </w:r>
    </w:p>
    <w:p>
      <w:pPr>
        <w:spacing w:after="0" w:line="1" w:lineRule="exact"/>
        <w:rPr>
          <w:sz w:val="20"/>
          <w:szCs w:val="20"/>
          <w:color w:val="auto"/>
        </w:rPr>
      </w:pPr>
    </w:p>
    <w:p>
      <w:pPr>
        <w:ind w:left="2200"/>
        <w:spacing w:after="0"/>
        <w:rPr>
          <w:sz w:val="20"/>
          <w:szCs w:val="20"/>
          <w:color w:val="auto"/>
        </w:rPr>
      </w:pPr>
      <w:r>
        <w:rPr>
          <w:rFonts w:ascii="Arial" w:cs="Arial" w:eastAsia="Arial" w:hAnsi="Arial"/>
          <w:sz w:val="17"/>
          <w:szCs w:val="17"/>
          <w:color w:val="auto"/>
        </w:rPr>
        <w:t>Group Chief Financial Officer of</w:t>
      </w:r>
    </w:p>
    <w:p>
      <w:pPr>
        <w:spacing w:after="0" w:line="7"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Covidien Surgical Solutions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right="320"/>
        <w:spacing w:after="0" w:line="236" w:lineRule="auto"/>
        <w:rPr>
          <w:sz w:val="20"/>
          <w:szCs w:val="20"/>
          <w:color w:val="auto"/>
        </w:rPr>
      </w:pPr>
      <w:r>
        <w:rPr>
          <w:rFonts w:ascii="Arial" w:cs="Arial" w:eastAsia="Arial" w:hAnsi="Arial"/>
          <w:sz w:val="18"/>
          <w:szCs w:val="18"/>
          <w:color w:val="auto"/>
        </w:rPr>
        <w:t>Mr. McEachin has served as Vice President and Group Chief Financial Officer (2008-2012) at Covidien Surgical Solutions, a division of Covidien plc, a global health care products company and manufacturer of medical devices and supplies. From 1997 to 2008, Mr. McEachin served in various finance capacities at United Technologies Corporation, a global leader in the aerospace and building industries, and its subsidiaries, including as chief Investor Relations officer, Vice President and Controller of Pratt &amp; Whitney, and Vice President and Chief Financial Officer of UTC Power. Prior to that, he held several executive positions with Digital Equipment Corporation, a vendor of computer systems, including computers, software, and peripherals, from 1986 to 1997. Mr. McEachin was with Xerox Corporation, a global corporation that sells print and digital document products and services, from 1975 to 1986, serving as Controller of the procurement organization. Mr. McEachin formerly served as a trustee and officer of the Wadsworth Atheneum (Hartford, CT), the oldest public art institution in the United States, serving on their executive, finance and investment committees. He also is a past board member of the Connecticut Science Center and chair of the audit committee. Mr. McEachin holds a B.S. from New York University School of Engineering, an MBA from Stanford University and completed the Advance Management Program at University of Pennsylvania’s Wharton School.</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Skills and Qualifications</w:t>
      </w:r>
    </w:p>
    <w:p>
      <w:pPr>
        <w:spacing w:after="0" w:line="14" w:lineRule="exact"/>
        <w:rPr>
          <w:sz w:val="20"/>
          <w:szCs w:val="20"/>
          <w:color w:val="auto"/>
        </w:rPr>
      </w:pPr>
    </w:p>
    <w:p>
      <w:pPr>
        <w:jc w:val="both"/>
        <w:ind w:right="320"/>
        <w:spacing w:after="0" w:line="256" w:lineRule="auto"/>
        <w:rPr>
          <w:sz w:val="20"/>
          <w:szCs w:val="20"/>
          <w:color w:val="auto"/>
        </w:rPr>
      </w:pPr>
      <w:r>
        <w:rPr>
          <w:rFonts w:ascii="Arial" w:cs="Arial" w:eastAsia="Arial" w:hAnsi="Arial"/>
          <w:sz w:val="17"/>
          <w:szCs w:val="17"/>
          <w:color w:val="auto"/>
        </w:rPr>
        <w:t>Mr. McEachin’s history as a CFO plus his extensive finance and executive management experience and in-depth knowledge as a CFO of financial reporting, compliance, accounting and controls and corporate governance matters provides the company with important skills.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Public Company Directorships: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Pediatrix Medical Group,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Prior Public Company Directorships: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Surgalign Holdings,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Compensation Committee</w:t>
      </w:r>
    </w:p>
    <w:p>
      <w:pPr>
        <w:spacing w:after="0"/>
        <w:rPr>
          <w:sz w:val="20"/>
          <w:szCs w:val="20"/>
          <w:color w:val="auto"/>
        </w:rPr>
      </w:pPr>
      <w:r>
        <w:rPr>
          <w:rFonts w:ascii="Arial" w:cs="Arial" w:eastAsia="Arial" w:hAnsi="Arial"/>
          <w:sz w:val="18"/>
          <w:szCs w:val="18"/>
          <w:color w:val="auto"/>
        </w:rPr>
        <w:t>Nominating Committee</w:t>
      </w:r>
    </w:p>
    <w:p>
      <w:pPr>
        <w:spacing w:after="0" w:line="200" w:lineRule="exact"/>
        <w:rPr>
          <w:sz w:val="20"/>
          <w:szCs w:val="20"/>
          <w:color w:val="auto"/>
        </w:rPr>
      </w:pPr>
    </w:p>
    <w:p>
      <w:pPr>
        <w:sectPr>
          <w:pgSz w:w="11900" w:h="16838" w:orient="portrait"/>
          <w:cols w:equalWidth="0" w:num="2">
            <w:col w:w="5320" w:space="660"/>
            <w:col w:w="5040"/>
          </w:cols>
          <w:pgMar w:left="320" w:top="482" w:right="559" w:bottom="1440" w:gutter="0" w:footer="0" w:header="0"/>
        </w:sectPr>
      </w:pPr>
    </w:p>
    <w:p>
      <w:pPr>
        <w:spacing w:after="0" w:line="165" w:lineRule="exact"/>
        <w:rPr>
          <w:sz w:val="20"/>
          <w:szCs w:val="20"/>
          <w:color w:val="auto"/>
        </w:rPr>
      </w:pPr>
    </w:p>
    <w:p>
      <w:pPr>
        <w:ind w:left="8080"/>
        <w:spacing w:after="0"/>
        <w:rPr>
          <w:sz w:val="20"/>
          <w:szCs w:val="20"/>
          <w:color w:val="auto"/>
        </w:rPr>
      </w:pPr>
      <w:r>
        <w:rPr>
          <w:rFonts w:ascii="Arial" w:cs="Arial" w:eastAsia="Arial" w:hAnsi="Arial"/>
          <w:sz w:val="14"/>
          <w:szCs w:val="14"/>
          <w:color w:val="FF160F"/>
        </w:rPr>
        <w:t>Federal Realty</w:t>
      </w:r>
      <w:r>
        <w:rPr>
          <w:rFonts w:ascii="Arial" w:cs="Arial" w:eastAsia="Arial" w:hAnsi="Arial"/>
          <w:sz w:val="14"/>
          <w:szCs w:val="14"/>
          <w:color w:val="000000"/>
        </w:rPr>
        <w:t xml:space="preserve">      2024 Proxy Statement   15</w:t>
      </w:r>
    </w:p>
    <w:p>
      <w:pPr>
        <w:sectPr>
          <w:pgSz w:w="11900" w:h="16838" w:orient="portrait"/>
          <w:cols w:equalWidth="0" w:num="1">
            <w:col w:w="11020"/>
          </w:cols>
          <w:pgMar w:left="320" w:top="482" w:right="55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6995160" cy="662622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995160" cy="6626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ANTHONY P. NADER, III</w:t>
      </w:r>
    </w:p>
    <w:p>
      <w:pPr>
        <w:spacing w:after="0" w:line="9"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Age: 60</w:t>
      </w:r>
    </w:p>
    <w:p>
      <w:pPr>
        <w:ind w:left="2800"/>
        <w:spacing w:after="0" w:line="234" w:lineRule="auto"/>
        <w:rPr>
          <w:sz w:val="20"/>
          <w:szCs w:val="20"/>
          <w:color w:val="auto"/>
        </w:rPr>
      </w:pPr>
      <w:r>
        <w:rPr>
          <w:rFonts w:ascii="Arial" w:cs="Arial" w:eastAsia="Arial" w:hAnsi="Arial"/>
          <w:sz w:val="18"/>
          <w:szCs w:val="18"/>
          <w:color w:val="auto"/>
        </w:rPr>
        <w:t>Trustee Since: 2020</w:t>
      </w:r>
    </w:p>
    <w:p>
      <w:pPr>
        <w:ind w:left="2800"/>
        <w:spacing w:after="0" w:line="235" w:lineRule="auto"/>
        <w:rPr>
          <w:sz w:val="20"/>
          <w:szCs w:val="20"/>
          <w:color w:val="auto"/>
        </w:rPr>
      </w:pPr>
      <w:r>
        <w:rPr>
          <w:rFonts w:ascii="Arial" w:cs="Arial" w:eastAsia="Arial" w:hAnsi="Arial"/>
          <w:sz w:val="18"/>
          <w:szCs w:val="18"/>
          <w:color w:val="auto"/>
        </w:rPr>
        <w:t>Managing Director of SWaN &amp;</w:t>
      </w:r>
    </w:p>
    <w:p>
      <w:pPr>
        <w:spacing w:after="0" w:line="1"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Legend Venture Partners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ind w:left="580"/>
        <w:spacing w:after="0" w:line="236" w:lineRule="auto"/>
        <w:rPr>
          <w:sz w:val="20"/>
          <w:szCs w:val="20"/>
          <w:color w:val="auto"/>
        </w:rPr>
      </w:pPr>
      <w:r>
        <w:rPr>
          <w:rFonts w:ascii="Arial" w:cs="Arial" w:eastAsia="Arial" w:hAnsi="Arial"/>
          <w:sz w:val="18"/>
          <w:szCs w:val="18"/>
          <w:color w:val="auto"/>
        </w:rPr>
        <w:t>Mr. Nader is a Managing Director of SWaN &amp; Legend Venture Partners, an investment firm that Mr. Nader co-founded in 2006, making investments in growth-oriented companies. Mr. Nader also serves as Vice Chairman of Asurion, a privately held company with over 19,000 employees that provides technology protection to approximately 300 million customers worldwide. In 2008, Mr. Nader successfully merged his prior company, National Electronics Warranty (“NEW”) with Asurion. Mr. Nader joined NEW in 1990 as Chief Operating Officer, was named President in 1999 and Chief Executive Officer in 2006, a position he held until 2013. Under his leadership, NEW grew to be the largest global provider of extended service plans for the consumer electronics and appliance industry. Mr. Nader earned a BSBA in Finance from John Carroll University and an MBA from Weatherhead School of Management at Case Western Reserve University. Mr. Nader also served as the Chairman of the Inova Health System Board of Trustees until December 31 2023. Mr. Nader has been designated by the Board as an audit committee financial expert in accordance with the SEC definition.</w:t>
      </w:r>
    </w:p>
    <w:p>
      <w:pPr>
        <w:spacing w:after="0" w:line="220"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Skills and Qualifications</w:t>
      </w:r>
    </w:p>
    <w:p>
      <w:pPr>
        <w:spacing w:after="0" w:line="14" w:lineRule="exact"/>
        <w:rPr>
          <w:sz w:val="20"/>
          <w:szCs w:val="20"/>
          <w:color w:val="auto"/>
        </w:rPr>
      </w:pPr>
    </w:p>
    <w:p>
      <w:pPr>
        <w:jc w:val="both"/>
        <w:ind w:left="580"/>
        <w:spacing w:after="0" w:line="237" w:lineRule="auto"/>
        <w:rPr>
          <w:sz w:val="20"/>
          <w:szCs w:val="20"/>
          <w:color w:val="auto"/>
        </w:rPr>
      </w:pPr>
      <w:r>
        <w:rPr>
          <w:rFonts w:ascii="Arial" w:cs="Arial" w:eastAsia="Arial" w:hAnsi="Arial"/>
          <w:sz w:val="18"/>
          <w:szCs w:val="18"/>
          <w:color w:val="auto"/>
        </w:rPr>
        <w:t>Mr. Nader provides our Board with more than 30 years of business and leadership experience as well as a deep investment background in both real estate and growth-oriented companies including retailers. This background complements others on our Board and adds to our depth of financial and investing expertise that is so critical to the success of the Company.</w:t>
      </w:r>
    </w:p>
    <w:p>
      <w:pPr>
        <w:spacing w:after="0" w:line="212"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Prior Public Company Directorships:</w:t>
      </w:r>
    </w:p>
    <w:p>
      <w:pPr>
        <w:spacing w:after="0" w:line="1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Arlington Asset Investment Corp.</w:t>
      </w:r>
    </w:p>
    <w:p>
      <w:pPr>
        <w:spacing w:after="0" w:line="221"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Committees:</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Audit Committee</w:t>
      </w:r>
    </w:p>
    <w:p>
      <w:pPr>
        <w:ind w:left="580"/>
        <w:spacing w:after="0"/>
        <w:rPr>
          <w:sz w:val="20"/>
          <w:szCs w:val="20"/>
          <w:color w:val="auto"/>
        </w:rPr>
      </w:pPr>
      <w:r>
        <w:rPr>
          <w:rFonts w:ascii="Arial" w:cs="Arial" w:eastAsia="Arial" w:hAnsi="Arial"/>
          <w:sz w:val="18"/>
          <w:szCs w:val="18"/>
          <w:color w:val="auto"/>
        </w:rPr>
        <w:t>Nominating Committee (Chair)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229235</wp:posOffset>
            </wp:positionV>
            <wp:extent cx="7003415" cy="1200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003415" cy="1200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2200"/>
        <w:spacing w:after="0"/>
        <w:rPr>
          <w:sz w:val="20"/>
          <w:szCs w:val="20"/>
          <w:color w:val="auto"/>
        </w:rPr>
      </w:pPr>
      <w:r>
        <w:rPr>
          <w:rFonts w:ascii="Arial" w:cs="Arial" w:eastAsia="Arial" w:hAnsi="Arial"/>
          <w:sz w:val="18"/>
          <w:szCs w:val="18"/>
          <w:b w:val="1"/>
          <w:bCs w:val="1"/>
          <w:color w:val="auto"/>
        </w:rPr>
        <w:t>GAIL P. STEINEL</w:t>
      </w:r>
    </w:p>
    <w:p>
      <w:pPr>
        <w:spacing w:after="0" w:line="9"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Age: 67</w:t>
      </w:r>
    </w:p>
    <w:p>
      <w:pPr>
        <w:ind w:left="2200"/>
        <w:spacing w:after="0" w:line="234" w:lineRule="auto"/>
        <w:rPr>
          <w:sz w:val="20"/>
          <w:szCs w:val="20"/>
          <w:color w:val="auto"/>
        </w:rPr>
      </w:pPr>
      <w:r>
        <w:rPr>
          <w:rFonts w:ascii="Arial" w:cs="Arial" w:eastAsia="Arial" w:hAnsi="Arial"/>
          <w:sz w:val="18"/>
          <w:szCs w:val="18"/>
          <w:color w:val="auto"/>
        </w:rPr>
        <w:t>Trustee Since: 2006</w:t>
      </w:r>
    </w:p>
    <w:p>
      <w:pPr>
        <w:spacing w:after="0" w:line="1"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Owner of Executive Advisors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Ms. Steinel is the owner of Executive Advisors (2007-present), a business that provides consulting services to chief executives and senior officers and leadership seminars/speeches to various organizations. Prior to creating her own consulting firm, Ms. Steinel was the Executive Vice President of Global Commercial Services of Bearing Point (2002-2007) and a global managing partner for Arthur Andersen’s Business Consulting Practice (1984-2002) after beginning her career as an auditor at Arthur Andersen (1977-1984). Ms. Steinel received a BA in Accounting from Rutgers University. Ms. Steinel’s public company board service experience includes MTS Systems Corporation (2009-2020). In addition, Ms. Steinel serves on the boards of Invesque, Inc., a Toronto stock exchange company that invests in a highly diversified portfolio of properties across the health care spectrum throughout the US and Canada, DAI, an international development company that tackles fundamental social and economic development problems caused by inefficient markets, ineffective governance, and instability, and the Center for Hope &amp; Safety, a nonprofit that assists women and children suffering from domestic violence. Ms. Steinel has been designated by the Board as an audit committee financial expert in accordance with the SEC definition.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Skills and Qualifications</w:t>
      </w:r>
    </w:p>
    <w:p>
      <w:pPr>
        <w:spacing w:after="0" w:line="1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Ms. Steinel’s history as a CPA combined with her more than 35 years of experience in auditing, leadership, leadership development and financial systems provides us with valuable insights on leadership, leadership development, risk management and systems operations.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Prior Public Company Directorships: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MTS Systems Corporation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Audit Committee (Chair)</w:t>
      </w:r>
    </w:p>
    <w:p>
      <w:pPr>
        <w:spacing w:after="0"/>
        <w:rPr>
          <w:sz w:val="20"/>
          <w:szCs w:val="20"/>
          <w:color w:val="auto"/>
        </w:rPr>
      </w:pPr>
      <w:r>
        <w:rPr>
          <w:rFonts w:ascii="Arial" w:cs="Arial" w:eastAsia="Arial" w:hAnsi="Arial"/>
          <w:sz w:val="18"/>
          <w:szCs w:val="18"/>
          <w:color w:val="auto"/>
        </w:rPr>
        <w:t>Compensation Committee</w:t>
      </w:r>
    </w:p>
    <w:p>
      <w:pPr>
        <w:spacing w:after="0" w:line="200" w:lineRule="exact"/>
        <w:rPr>
          <w:sz w:val="20"/>
          <w:szCs w:val="20"/>
          <w:color w:val="auto"/>
        </w:rPr>
      </w:pPr>
    </w:p>
    <w:p>
      <w:pPr>
        <w:sectPr>
          <w:pgSz w:w="11900" w:h="16838" w:orient="portrait"/>
          <w:cols w:equalWidth="0" w:num="2">
            <w:col w:w="5320" w:space="660"/>
            <w:col w:w="4720"/>
          </w:cols>
          <w:pgMar w:left="320" w:top="482" w:right="879" w:bottom="1440" w:gutter="0" w:footer="0" w:header="0"/>
        </w:sectPr>
      </w:pPr>
    </w:p>
    <w:p>
      <w:pPr>
        <w:spacing w:after="0" w:line="165" w:lineRule="exact"/>
        <w:rPr>
          <w:sz w:val="20"/>
          <w:szCs w:val="20"/>
          <w:color w:val="auto"/>
        </w:rPr>
      </w:pPr>
    </w:p>
    <w:p>
      <w:pPr>
        <w:ind w:left="340"/>
        <w:spacing w:after="0"/>
        <w:rPr>
          <w:sz w:val="20"/>
          <w:szCs w:val="20"/>
          <w:color w:val="auto"/>
        </w:rPr>
      </w:pPr>
      <w:r>
        <w:rPr>
          <w:rFonts w:ascii="Arial" w:cs="Arial" w:eastAsia="Arial" w:hAnsi="Arial"/>
          <w:sz w:val="14"/>
          <w:szCs w:val="14"/>
          <w:color w:val="FF160F"/>
        </w:rPr>
        <w:t>Federal Realty</w:t>
      </w:r>
      <w:r>
        <w:rPr>
          <w:rFonts w:ascii="Arial" w:cs="Arial" w:eastAsia="Arial" w:hAnsi="Arial"/>
          <w:sz w:val="14"/>
          <w:szCs w:val="14"/>
          <w:color w:val="000000"/>
        </w:rPr>
        <w:t xml:space="preserve">      2024 Proxy Statement   16</w:t>
      </w:r>
    </w:p>
    <w:p>
      <w:pPr>
        <w:sectPr>
          <w:pgSz w:w="11900" w:h="16838" w:orient="portrait"/>
          <w:cols w:equalWidth="0" w:num="1">
            <w:col w:w="10700"/>
          </w:cols>
          <w:pgMar w:left="320" w:top="482" w:right="87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6995160" cy="390017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995160" cy="3900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DONALD C. WOOD</w:t>
      </w:r>
    </w:p>
    <w:p>
      <w:pPr>
        <w:spacing w:after="0" w:line="9"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Age: 63</w:t>
      </w:r>
    </w:p>
    <w:p>
      <w:pPr>
        <w:ind w:left="2780"/>
        <w:spacing w:after="0" w:line="234" w:lineRule="auto"/>
        <w:rPr>
          <w:sz w:val="20"/>
          <w:szCs w:val="20"/>
          <w:color w:val="auto"/>
        </w:rPr>
      </w:pPr>
      <w:r>
        <w:rPr>
          <w:rFonts w:ascii="Arial" w:cs="Arial" w:eastAsia="Arial" w:hAnsi="Arial"/>
          <w:sz w:val="18"/>
          <w:szCs w:val="18"/>
          <w:color w:val="auto"/>
        </w:rPr>
        <w:t>Trustee Since: 2003</w:t>
      </w:r>
    </w:p>
    <w:p>
      <w:pPr>
        <w:spacing w:after="0" w:line="1"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Chief Executive Officer of Federal Realty Investment Trust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580" w:right="320"/>
        <w:spacing w:after="0" w:line="239" w:lineRule="auto"/>
        <w:rPr>
          <w:sz w:val="20"/>
          <w:szCs w:val="20"/>
          <w:color w:val="auto"/>
        </w:rPr>
      </w:pPr>
      <w:r>
        <w:rPr>
          <w:rFonts w:ascii="Arial" w:cs="Arial" w:eastAsia="Arial" w:hAnsi="Arial"/>
          <w:sz w:val="18"/>
          <w:szCs w:val="18"/>
          <w:color w:val="auto"/>
        </w:rPr>
        <w:t>Mr. Wood currently serves as our Chief Executive Officer, a role he has held since 2003. Before assuming that role, he served as our President (2001-2003) and held the titles of Chief Operating Officer and Chief Financial Officer at various points from 1998-2003. Prior to joining Federal, Mr. Wood served as the Chief Financial Officer for Caesers World, Inc. (1996-1998), the Assistant/Deputy Controller of ITT Corporation (1990-1996), the VP of Finance for Trump Taj Mahal Associates (1989-1990) and as an audit manager with Arthur Andersen (1982-1989). Mr. Wood is a CPA and received a BS in Business Administration from Montclair State College. Mr. Wood previously served as a director of public companies Quality Care Properties (2016-2018) and Post Properties (2011-2016). In addition to his public company board service, Mr. Wood served as Chairman of the Board of Trustees of the National Association of Real Estate Investment Trusts (2011-2012) and previously served on the Board of Governors of ICSC (f/k/a International Council of Shopping Centers).</w:t>
      </w:r>
    </w:p>
    <w:p>
      <w:pPr>
        <w:spacing w:after="0" w:line="210"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Skills and Qualifications</w:t>
      </w:r>
    </w:p>
    <w:p>
      <w:pPr>
        <w:spacing w:after="0" w:line="14" w:lineRule="exact"/>
        <w:rPr>
          <w:sz w:val="20"/>
          <w:szCs w:val="20"/>
          <w:color w:val="auto"/>
        </w:rPr>
      </w:pPr>
    </w:p>
    <w:p>
      <w:pPr>
        <w:jc w:val="both"/>
        <w:ind w:left="580" w:right="320"/>
        <w:spacing w:after="0" w:line="250" w:lineRule="auto"/>
        <w:rPr>
          <w:sz w:val="20"/>
          <w:szCs w:val="20"/>
          <w:color w:val="auto"/>
        </w:rPr>
      </w:pPr>
      <w:r>
        <w:rPr>
          <w:rFonts w:ascii="Arial" w:cs="Arial" w:eastAsia="Arial" w:hAnsi="Arial"/>
          <w:sz w:val="18"/>
          <w:szCs w:val="18"/>
          <w:color w:val="auto"/>
        </w:rPr>
        <w:t>Mr. Wood’s 25 years of experience with Federal, including his responsibilities as chief executive officer and as a REIT CFO, provide the Board with familiarity and details on all aspects of the operations and financial condition of the Company.</w:t>
      </w:r>
    </w:p>
    <w:p>
      <w:pPr>
        <w:spacing w:after="0" w:line="199"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Prior Public Company Directorships:</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Quality Care Properties</w:t>
      </w:r>
    </w:p>
    <w:p>
      <w:pPr>
        <w:ind w:left="580"/>
        <w:spacing w:after="0"/>
        <w:rPr>
          <w:sz w:val="20"/>
          <w:szCs w:val="20"/>
          <w:color w:val="auto"/>
        </w:rPr>
      </w:pPr>
      <w:r>
        <w:rPr>
          <w:rFonts w:ascii="Arial" w:cs="Arial" w:eastAsia="Arial" w:hAnsi="Arial"/>
          <w:sz w:val="18"/>
          <w:szCs w:val="18"/>
          <w:color w:val="auto"/>
        </w:rPr>
        <w:t>Post Properties</w:t>
      </w:r>
    </w:p>
    <w:p>
      <w:pPr>
        <w:spacing w:after="0" w:line="200" w:lineRule="exact"/>
        <w:rPr>
          <w:sz w:val="20"/>
          <w:szCs w:val="20"/>
          <w:color w:val="auto"/>
        </w:rPr>
      </w:pPr>
    </w:p>
    <w:p>
      <w:pPr>
        <w:spacing w:after="0" w:line="237" w:lineRule="exact"/>
        <w:rPr>
          <w:sz w:val="20"/>
          <w:szCs w:val="20"/>
          <w:color w:val="auto"/>
        </w:rPr>
      </w:pPr>
    </w:p>
    <w:p>
      <w:pPr>
        <w:ind w:left="540" w:hanging="424"/>
        <w:spacing w:after="0"/>
        <w:tabs>
          <w:tab w:leader="none" w:pos="540" w:val="left"/>
        </w:tabs>
        <w:numPr>
          <w:ilvl w:val="0"/>
          <w:numId w:val="37"/>
        </w:numPr>
        <w:rPr>
          <w:rFonts w:ascii="Wingdings" w:cs="Wingdings" w:eastAsia="Wingdings" w:hAnsi="Wingdings"/>
          <w:sz w:val="18"/>
          <w:szCs w:val="18"/>
          <w:b w:val="1"/>
          <w:bCs w:val="1"/>
          <w:color w:val="FF160F"/>
        </w:rPr>
      </w:pPr>
      <w:r>
        <w:rPr>
          <w:rFonts w:ascii="Arial" w:cs="Arial" w:eastAsia="Arial" w:hAnsi="Arial"/>
          <w:sz w:val="18"/>
          <w:szCs w:val="18"/>
          <w:b w:val="1"/>
          <w:bCs w:val="1"/>
          <w:color w:val="auto"/>
        </w:rPr>
        <w:t>TRUSTEE COMPENSATION</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 of December 31, 2023, our standard arrangement for compensation for our non-management trustees included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163195</wp:posOffset>
            </wp:positionV>
            <wp:extent cx="17145" cy="2057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7145" cy="205740"/>
                    </a:xfrm>
                    <a:prstGeom prst="rect">
                      <a:avLst/>
                    </a:prstGeom>
                    <a:noFill/>
                  </pic:spPr>
                </pic:pic>
              </a:graphicData>
            </a:graphic>
          </wp:anchor>
        </w:drawing>
        <w:drawing>
          <wp:anchor simplePos="0" relativeHeight="251657728" behindDoc="1" locked="0" layoutInCell="0" allowOverlap="1">
            <wp:simplePos x="0" y="0"/>
            <wp:positionH relativeFrom="column">
              <wp:posOffset>2868295</wp:posOffset>
            </wp:positionH>
            <wp:positionV relativeFrom="paragraph">
              <wp:posOffset>163195</wp:posOffset>
            </wp:positionV>
            <wp:extent cx="17145" cy="2057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7145" cy="205740"/>
                    </a:xfrm>
                    <a:prstGeom prst="rect">
                      <a:avLst/>
                    </a:prstGeom>
                    <a:noFill/>
                  </pic:spPr>
                </pic:pic>
              </a:graphicData>
            </a:graphic>
          </wp:anchor>
        </w:drawing>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304"/>
        </w:trPr>
        <w:tc>
          <w:tcPr>
            <w:tcW w:w="4420" w:type="dxa"/>
            <w:vAlign w:val="bottom"/>
            <w:tcBorders>
              <w:bottom w:val="single" w:sz="8" w:color="FF160F"/>
            </w:tcBorders>
            <w:shd w:val="clear" w:color="auto" w:fill="FF160F"/>
          </w:tcPr>
          <w:p>
            <w:pPr>
              <w:ind w:left="140"/>
              <w:spacing w:after="0"/>
              <w:rPr>
                <w:sz w:val="20"/>
                <w:szCs w:val="20"/>
                <w:color w:val="auto"/>
              </w:rPr>
            </w:pPr>
            <w:r>
              <w:rPr>
                <w:rFonts w:ascii="Arial" w:cs="Arial" w:eastAsia="Arial" w:hAnsi="Arial"/>
                <w:sz w:val="16"/>
                <w:szCs w:val="16"/>
                <w:b w:val="1"/>
                <w:bCs w:val="1"/>
                <w:color w:val="FFFFFF"/>
              </w:rPr>
              <w:t> Trustee Compensation Element</w:t>
            </w:r>
          </w:p>
        </w:tc>
        <w:tc>
          <w:tcPr>
            <w:tcW w:w="1180" w:type="dxa"/>
            <w:vAlign w:val="bottom"/>
            <w:tcBorders>
              <w:bottom w:val="single" w:sz="8" w:color="FF160F"/>
            </w:tcBorders>
            <w:gridSpan w:val="2"/>
            <w:shd w:val="clear" w:color="auto" w:fill="FF160F"/>
          </w:tcPr>
          <w:p>
            <w:pPr>
              <w:ind w:left="100"/>
              <w:spacing w:after="0"/>
              <w:rPr>
                <w:sz w:val="20"/>
                <w:szCs w:val="20"/>
                <w:color w:val="auto"/>
              </w:rPr>
            </w:pPr>
            <w:r>
              <w:rPr>
                <w:rFonts w:ascii="Arial" w:cs="Arial" w:eastAsia="Arial" w:hAnsi="Arial"/>
                <w:sz w:val="16"/>
                <w:szCs w:val="16"/>
                <w:b w:val="1"/>
                <w:bCs w:val="1"/>
                <w:color w:val="FFFFFF"/>
              </w:rPr>
              <w:t>Amount </w:t>
            </w:r>
          </w:p>
        </w:tc>
        <w:tc>
          <w:tcPr>
            <w:tcW w:w="2420" w:type="dxa"/>
            <w:vAlign w:val="bottom"/>
            <w:tcBorders>
              <w:bottom w:val="single" w:sz="8" w:color="FF160F"/>
            </w:tcBorders>
            <w:shd w:val="clear" w:color="auto" w:fill="FF160F"/>
          </w:tcPr>
          <w:p>
            <w:pPr>
              <w:ind w:left="100"/>
              <w:spacing w:after="0"/>
              <w:rPr>
                <w:sz w:val="20"/>
                <w:szCs w:val="20"/>
                <w:color w:val="auto"/>
              </w:rPr>
            </w:pPr>
            <w:r>
              <w:rPr>
                <w:rFonts w:ascii="Arial" w:cs="Arial" w:eastAsia="Arial" w:hAnsi="Arial"/>
                <w:sz w:val="16"/>
                <w:szCs w:val="16"/>
                <w:b w:val="1"/>
                <w:bCs w:val="1"/>
                <w:color w:val="FFFFFF"/>
              </w:rPr>
              <w:t>Payment Form</w:t>
            </w:r>
          </w:p>
        </w:tc>
      </w:tr>
      <w:tr>
        <w:trPr>
          <w:trHeight w:val="280"/>
        </w:trPr>
        <w:tc>
          <w:tcPr>
            <w:tcW w:w="44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 Board Service</w:t>
            </w:r>
          </w:p>
        </w:tc>
        <w:tc>
          <w:tcPr>
            <w:tcW w:w="4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r>
      <w:tr>
        <w:trPr>
          <w:trHeight w:val="252"/>
        </w:trPr>
        <w:tc>
          <w:tcPr>
            <w:tcW w:w="4420" w:type="dxa"/>
            <w:vAlign w:val="bottom"/>
          </w:tcPr>
          <w:p>
            <w:pPr>
              <w:spacing w:after="0"/>
              <w:rPr>
                <w:sz w:val="20"/>
                <w:szCs w:val="20"/>
                <w:color w:val="auto"/>
              </w:rPr>
            </w:pPr>
            <w:r>
              <w:rPr>
                <w:rFonts w:ascii="Arial" w:cs="Arial" w:eastAsia="Arial" w:hAnsi="Arial"/>
                <w:sz w:val="16"/>
                <w:szCs w:val="16"/>
                <w:color w:val="auto"/>
              </w:rPr>
              <w:t> Annual Retainer</w:t>
            </w:r>
          </w:p>
        </w:tc>
        <w:tc>
          <w:tcPr>
            <w:tcW w:w="420" w:type="dxa"/>
            <w:vAlign w:val="bottom"/>
          </w:tcPr>
          <w:p>
            <w:pPr>
              <w:ind w:left="160"/>
              <w:spacing w:after="0"/>
              <w:rPr>
                <w:sz w:val="20"/>
                <w:szCs w:val="20"/>
                <w:color w:val="auto"/>
              </w:rPr>
            </w:pPr>
            <w:r>
              <w:rPr>
                <w:rFonts w:ascii="Arial" w:cs="Arial" w:eastAsia="Arial" w:hAnsi="Arial"/>
                <w:sz w:val="16"/>
                <w:szCs w:val="16"/>
                <w:color w:val="auto"/>
              </w:rPr>
              <w:t xml:space="preserve">$   </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200,000</w:t>
            </w:r>
          </w:p>
        </w:tc>
        <w:tc>
          <w:tcPr>
            <w:tcW w:w="2420" w:type="dxa"/>
            <w:vAlign w:val="bottom"/>
          </w:tcPr>
          <w:p>
            <w:pPr>
              <w:ind w:left="100"/>
              <w:spacing w:after="0"/>
              <w:rPr>
                <w:sz w:val="20"/>
                <w:szCs w:val="20"/>
                <w:color w:val="auto"/>
              </w:rPr>
            </w:pPr>
            <w:r>
              <w:rPr>
                <w:rFonts w:ascii="Arial" w:cs="Arial" w:eastAsia="Arial" w:hAnsi="Arial"/>
                <w:sz w:val="16"/>
                <w:szCs w:val="16"/>
                <w:color w:val="auto"/>
              </w:rPr>
              <w:t>40% cash; 60% equity</w:t>
            </w:r>
          </w:p>
        </w:tc>
      </w:tr>
      <w:tr>
        <w:trPr>
          <w:trHeight w:val="293"/>
        </w:trPr>
        <w:tc>
          <w:tcPr>
            <w:tcW w:w="44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 Annual Retainer Non-Executive Chairman</w:t>
            </w:r>
          </w:p>
        </w:tc>
        <w:tc>
          <w:tcPr>
            <w:tcW w:w="42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 xml:space="preserve">$   </w:t>
            </w:r>
          </w:p>
        </w:tc>
        <w:tc>
          <w:tcPr>
            <w:tcW w:w="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225,000</w:t>
            </w:r>
          </w:p>
        </w:tc>
        <w:tc>
          <w:tcPr>
            <w:tcW w:w="242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60% cash; 40% equity</w:t>
            </w:r>
          </w:p>
        </w:tc>
      </w:tr>
      <w:tr>
        <w:trPr>
          <w:trHeight w:val="334"/>
        </w:trPr>
        <w:tc>
          <w:tcPr>
            <w:tcW w:w="44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 Committee Chairs</w:t>
            </w:r>
          </w:p>
        </w:tc>
        <w:tc>
          <w:tcPr>
            <w:tcW w:w="4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r>
      <w:tr>
        <w:trPr>
          <w:trHeight w:val="252"/>
        </w:trPr>
        <w:tc>
          <w:tcPr>
            <w:tcW w:w="4420" w:type="dxa"/>
            <w:vAlign w:val="bottom"/>
          </w:tcPr>
          <w:p>
            <w:pPr>
              <w:spacing w:after="0"/>
              <w:rPr>
                <w:sz w:val="20"/>
                <w:szCs w:val="20"/>
                <w:color w:val="auto"/>
              </w:rPr>
            </w:pPr>
            <w:r>
              <w:rPr>
                <w:rFonts w:ascii="Arial" w:cs="Arial" w:eastAsia="Arial" w:hAnsi="Arial"/>
                <w:sz w:val="16"/>
                <w:szCs w:val="16"/>
                <w:color w:val="auto"/>
              </w:rPr>
              <w:t> Audit Committee</w:t>
            </w:r>
          </w:p>
        </w:tc>
        <w:tc>
          <w:tcPr>
            <w:tcW w:w="420" w:type="dxa"/>
            <w:vAlign w:val="bottom"/>
          </w:tcPr>
          <w:p>
            <w:pPr>
              <w:ind w:left="160"/>
              <w:spacing w:after="0"/>
              <w:rPr>
                <w:sz w:val="20"/>
                <w:szCs w:val="20"/>
                <w:color w:val="auto"/>
              </w:rPr>
            </w:pPr>
            <w:r>
              <w:rPr>
                <w:rFonts w:ascii="Arial" w:cs="Arial" w:eastAsia="Arial" w:hAnsi="Arial"/>
                <w:sz w:val="16"/>
                <w:szCs w:val="16"/>
                <w:color w:val="auto"/>
              </w:rPr>
              <w:t xml:space="preserve">$   </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  25,000</w:t>
            </w:r>
          </w:p>
        </w:tc>
        <w:tc>
          <w:tcPr>
            <w:tcW w:w="2420" w:type="dxa"/>
            <w:vAlign w:val="bottom"/>
          </w:tcPr>
          <w:p>
            <w:pPr>
              <w:ind w:left="100"/>
              <w:spacing w:after="0"/>
              <w:rPr>
                <w:sz w:val="20"/>
                <w:szCs w:val="20"/>
                <w:color w:val="auto"/>
              </w:rPr>
            </w:pPr>
            <w:r>
              <w:rPr>
                <w:rFonts w:ascii="Arial" w:cs="Arial" w:eastAsia="Arial" w:hAnsi="Arial"/>
                <w:sz w:val="16"/>
                <w:szCs w:val="16"/>
                <w:color w:val="auto"/>
              </w:rPr>
              <w:t>Cash</w:t>
            </w:r>
          </w:p>
        </w:tc>
      </w:tr>
      <w:tr>
        <w:trPr>
          <w:trHeight w:val="283"/>
        </w:trPr>
        <w:tc>
          <w:tcPr>
            <w:tcW w:w="4420" w:type="dxa"/>
            <w:vAlign w:val="bottom"/>
          </w:tcPr>
          <w:p>
            <w:pPr>
              <w:spacing w:after="0"/>
              <w:rPr>
                <w:sz w:val="20"/>
                <w:szCs w:val="20"/>
                <w:color w:val="auto"/>
              </w:rPr>
            </w:pPr>
            <w:r>
              <w:rPr>
                <w:rFonts w:ascii="Arial" w:cs="Arial" w:eastAsia="Arial" w:hAnsi="Arial"/>
                <w:sz w:val="16"/>
                <w:szCs w:val="16"/>
                <w:color w:val="auto"/>
              </w:rPr>
              <w:t> Compensation Committee</w:t>
            </w:r>
          </w:p>
        </w:tc>
        <w:tc>
          <w:tcPr>
            <w:tcW w:w="420" w:type="dxa"/>
            <w:vAlign w:val="bottom"/>
          </w:tcPr>
          <w:p>
            <w:pPr>
              <w:ind w:left="160"/>
              <w:spacing w:after="0"/>
              <w:rPr>
                <w:sz w:val="20"/>
                <w:szCs w:val="20"/>
                <w:color w:val="auto"/>
              </w:rPr>
            </w:pPr>
            <w:r>
              <w:rPr>
                <w:rFonts w:ascii="Arial" w:cs="Arial" w:eastAsia="Arial" w:hAnsi="Arial"/>
                <w:sz w:val="16"/>
                <w:szCs w:val="16"/>
                <w:color w:val="auto"/>
              </w:rPr>
              <w:t xml:space="preserve">$   </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  15,000</w:t>
            </w:r>
          </w:p>
        </w:tc>
        <w:tc>
          <w:tcPr>
            <w:tcW w:w="2420" w:type="dxa"/>
            <w:vAlign w:val="bottom"/>
          </w:tcPr>
          <w:p>
            <w:pPr>
              <w:ind w:left="100"/>
              <w:spacing w:after="0"/>
              <w:rPr>
                <w:sz w:val="20"/>
                <w:szCs w:val="20"/>
                <w:color w:val="auto"/>
              </w:rPr>
            </w:pPr>
            <w:r>
              <w:rPr>
                <w:rFonts w:ascii="Arial" w:cs="Arial" w:eastAsia="Arial" w:hAnsi="Arial"/>
                <w:sz w:val="16"/>
                <w:szCs w:val="16"/>
                <w:color w:val="auto"/>
              </w:rPr>
              <w:t>Cash</w:t>
            </w:r>
          </w:p>
        </w:tc>
      </w:tr>
      <w:tr>
        <w:trPr>
          <w:trHeight w:val="284"/>
        </w:trPr>
        <w:tc>
          <w:tcPr>
            <w:tcW w:w="4420" w:type="dxa"/>
            <w:vAlign w:val="bottom"/>
          </w:tcPr>
          <w:p>
            <w:pPr>
              <w:spacing w:after="0"/>
              <w:rPr>
                <w:sz w:val="20"/>
                <w:szCs w:val="20"/>
                <w:color w:val="auto"/>
              </w:rPr>
            </w:pPr>
            <w:r>
              <w:rPr>
                <w:rFonts w:ascii="Arial" w:cs="Arial" w:eastAsia="Arial" w:hAnsi="Arial"/>
                <w:sz w:val="16"/>
                <w:szCs w:val="16"/>
                <w:color w:val="auto"/>
              </w:rPr>
              <w:t> Nominating Committee</w:t>
            </w:r>
          </w:p>
        </w:tc>
        <w:tc>
          <w:tcPr>
            <w:tcW w:w="420" w:type="dxa"/>
            <w:vAlign w:val="bottom"/>
          </w:tcPr>
          <w:p>
            <w:pPr>
              <w:ind w:left="160"/>
              <w:spacing w:after="0"/>
              <w:rPr>
                <w:sz w:val="20"/>
                <w:szCs w:val="20"/>
                <w:color w:val="auto"/>
              </w:rPr>
            </w:pPr>
            <w:r>
              <w:rPr>
                <w:rFonts w:ascii="Arial" w:cs="Arial" w:eastAsia="Arial" w:hAnsi="Arial"/>
                <w:sz w:val="16"/>
                <w:szCs w:val="16"/>
                <w:color w:val="auto"/>
              </w:rPr>
              <w:t xml:space="preserve">$   </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  15,000</w:t>
            </w:r>
          </w:p>
        </w:tc>
        <w:tc>
          <w:tcPr>
            <w:tcW w:w="2420" w:type="dxa"/>
            <w:vAlign w:val="bottom"/>
          </w:tcPr>
          <w:p>
            <w:pPr>
              <w:ind w:left="100"/>
              <w:spacing w:after="0"/>
              <w:rPr>
                <w:sz w:val="20"/>
                <w:szCs w:val="20"/>
                <w:color w:val="auto"/>
              </w:rPr>
            </w:pPr>
            <w:r>
              <w:rPr>
                <w:rFonts w:ascii="Arial" w:cs="Arial" w:eastAsia="Arial" w:hAnsi="Arial"/>
                <w:sz w:val="16"/>
                <w:szCs w:val="16"/>
                <w:color w:val="auto"/>
              </w:rPr>
              <w:t>Cash</w:t>
            </w:r>
          </w:p>
        </w:tc>
      </w:tr>
    </w:tbl>
    <w:p>
      <w:pPr>
        <w:spacing w:after="0" w:line="21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All amounts are prorated for any partial years of service and shares issued are fully vested on the 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103505</wp:posOffset>
            </wp:positionV>
            <wp:extent cx="7003415" cy="1200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003415" cy="120015"/>
                    </a:xfrm>
                    <a:prstGeom prst="rect">
                      <a:avLst/>
                    </a:prstGeom>
                    <a:noFill/>
                  </pic:spPr>
                </pic:pic>
              </a:graphicData>
            </a:graphic>
          </wp:anchor>
        </w:drawing>
      </w:r>
    </w:p>
    <w:p>
      <w:pPr>
        <w:spacing w:after="0" w:line="147" w:lineRule="exact"/>
        <w:rPr>
          <w:sz w:val="20"/>
          <w:szCs w:val="20"/>
          <w:color w:val="auto"/>
        </w:rPr>
      </w:pPr>
    </w:p>
    <w:p>
      <w:pPr>
        <w:jc w:val="right"/>
        <w:spacing w:after="0"/>
        <w:rPr>
          <w:sz w:val="20"/>
          <w:szCs w:val="20"/>
          <w:color w:val="auto"/>
        </w:rPr>
      </w:pPr>
      <w:r>
        <w:rPr>
          <w:rFonts w:ascii="Arial" w:cs="Arial" w:eastAsia="Arial" w:hAnsi="Arial"/>
          <w:sz w:val="14"/>
          <w:szCs w:val="14"/>
          <w:color w:val="FF160F"/>
        </w:rPr>
        <w:t>Federal Realty</w:t>
      </w:r>
      <w:r>
        <w:rPr>
          <w:rFonts w:ascii="Arial" w:cs="Arial" w:eastAsia="Arial" w:hAnsi="Arial"/>
          <w:sz w:val="14"/>
          <w:szCs w:val="14"/>
          <w:color w:val="000000"/>
        </w:rPr>
        <w:t xml:space="preserve">      2024 Proxy Statement   17</w:t>
      </w:r>
    </w:p>
    <w:p>
      <w:pPr>
        <w:sectPr>
          <w:pgSz w:w="11900" w:h="16838" w:orient="portrait"/>
          <w:cols w:equalWidth="0" w:num="1">
            <w:col w:w="11020"/>
          </w:cols>
          <w:pgMar w:left="320" w:top="482" w:right="5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0"/>
        <w:spacing w:after="0" w:line="247" w:lineRule="auto"/>
        <w:rPr>
          <w:sz w:val="20"/>
          <w:szCs w:val="20"/>
          <w:color w:val="auto"/>
        </w:rPr>
      </w:pPr>
      <w:r>
        <w:rPr>
          <w:rFonts w:ascii="Arial" w:cs="Arial" w:eastAsia="Arial" w:hAnsi="Arial"/>
          <w:sz w:val="18"/>
          <w:szCs w:val="18"/>
          <w:color w:val="auto"/>
        </w:rPr>
        <w:t>Our non-management Trustees are required to maintain ownership of our shares having a value equal to at least 5 times the amount of their annual cash retainer. This requirement must be met within 5 years after joining the Board. As of December 31, 2023, all of our Trustees who have been on the Board for 5 or more years were in full compliance with this ownership requirement. We expect our newest Trustees who joined the Board in 2020 and 2022 to be in compliance with this equity ownership requirement within the 5-year time frame.</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actual compensation awarded to our Trustees for service in 2023 was as follows:</w:t>
      </w:r>
    </w:p>
    <w:p>
      <w:pPr>
        <w:spacing w:after="0" w:line="257" w:lineRule="exact"/>
        <w:rPr>
          <w:sz w:val="20"/>
          <w:szCs w:val="20"/>
          <w:color w:val="auto"/>
        </w:rPr>
      </w:pPr>
    </w:p>
    <w:tbl>
      <w:tblPr>
        <w:tblLayout w:type="fixed"/>
        <w:tblInd w:w="120" w:type="dxa"/>
        <w:tblCellMar>
          <w:top w:w="0" w:type="dxa"/>
          <w:left w:w="0" w:type="dxa"/>
          <w:bottom w:w="0" w:type="dxa"/>
          <w:right w:w="0" w:type="dxa"/>
        </w:tblCellMar>
      </w:tblPr>
      <w:tr>
        <w:trPr>
          <w:trHeight w:val="336"/>
        </w:trPr>
        <w:tc>
          <w:tcPr>
            <w:tcW w:w="4400" w:type="dxa"/>
            <w:vAlign w:val="bottom"/>
            <w:shd w:val="clear" w:color="auto" w:fill="FF160F"/>
          </w:tcPr>
          <w:p>
            <w:pPr>
              <w:spacing w:after="0"/>
              <w:rPr>
                <w:sz w:val="24"/>
                <w:szCs w:val="24"/>
                <w:color w:val="auto"/>
              </w:rPr>
            </w:pPr>
          </w:p>
        </w:tc>
        <w:tc>
          <w:tcPr>
            <w:tcW w:w="240" w:type="dxa"/>
            <w:vAlign w:val="bottom"/>
            <w:shd w:val="clear" w:color="auto" w:fill="FF160F"/>
          </w:tcPr>
          <w:p>
            <w:pPr>
              <w:spacing w:after="0"/>
              <w:rPr>
                <w:sz w:val="24"/>
                <w:szCs w:val="24"/>
                <w:color w:val="auto"/>
              </w:rPr>
            </w:pPr>
          </w:p>
        </w:tc>
        <w:tc>
          <w:tcPr>
            <w:tcW w:w="160" w:type="dxa"/>
            <w:vAlign w:val="bottom"/>
            <w:shd w:val="clear" w:color="auto" w:fill="FF160F"/>
          </w:tcPr>
          <w:p>
            <w:pPr>
              <w:spacing w:after="0"/>
              <w:rPr>
                <w:sz w:val="24"/>
                <w:szCs w:val="24"/>
                <w:color w:val="auto"/>
              </w:rPr>
            </w:pPr>
          </w:p>
        </w:tc>
        <w:tc>
          <w:tcPr>
            <w:tcW w:w="2060" w:type="dxa"/>
            <w:vAlign w:val="bottom"/>
            <w:gridSpan w:val="3"/>
            <w:shd w:val="clear" w:color="auto" w:fill="FF160F"/>
          </w:tcPr>
          <w:p>
            <w:pPr>
              <w:ind w:left="580"/>
              <w:spacing w:after="0"/>
              <w:rPr>
                <w:sz w:val="20"/>
                <w:szCs w:val="20"/>
                <w:color w:val="auto"/>
              </w:rPr>
            </w:pPr>
            <w:r>
              <w:rPr>
                <w:rFonts w:ascii="Arial" w:cs="Arial" w:eastAsia="Arial" w:hAnsi="Arial"/>
                <w:sz w:val="18"/>
                <w:szCs w:val="18"/>
                <w:b w:val="1"/>
                <w:bCs w:val="1"/>
                <w:color w:val="FFFFFF"/>
              </w:rPr>
              <w:t>Annual Retainer</w:t>
            </w:r>
          </w:p>
        </w:tc>
        <w:tc>
          <w:tcPr>
            <w:tcW w:w="880" w:type="dxa"/>
            <w:vAlign w:val="bottom"/>
            <w:shd w:val="clear" w:color="auto" w:fill="FF160F"/>
          </w:tcPr>
          <w:p>
            <w:pPr>
              <w:spacing w:after="0"/>
              <w:rPr>
                <w:sz w:val="24"/>
                <w:szCs w:val="24"/>
                <w:color w:val="auto"/>
              </w:rPr>
            </w:pPr>
          </w:p>
        </w:tc>
        <w:tc>
          <w:tcPr>
            <w:tcW w:w="200" w:type="dxa"/>
            <w:vAlign w:val="bottom"/>
            <w:shd w:val="clear" w:color="auto" w:fill="FF160F"/>
          </w:tcPr>
          <w:p>
            <w:pPr>
              <w:spacing w:after="0"/>
              <w:rPr>
                <w:sz w:val="24"/>
                <w:szCs w:val="24"/>
                <w:color w:val="auto"/>
              </w:rPr>
            </w:pPr>
          </w:p>
        </w:tc>
        <w:tc>
          <w:tcPr>
            <w:tcW w:w="300" w:type="dxa"/>
            <w:vAlign w:val="bottom"/>
            <w:shd w:val="clear" w:color="auto" w:fill="FF160F"/>
          </w:tcPr>
          <w:p>
            <w:pPr>
              <w:spacing w:after="0"/>
              <w:rPr>
                <w:sz w:val="24"/>
                <w:szCs w:val="24"/>
                <w:color w:val="auto"/>
              </w:rPr>
            </w:pPr>
          </w:p>
        </w:tc>
        <w:tc>
          <w:tcPr>
            <w:tcW w:w="1140" w:type="dxa"/>
            <w:vAlign w:val="bottom"/>
            <w:shd w:val="clear" w:color="auto" w:fill="FF160F"/>
          </w:tcPr>
          <w:p>
            <w:pPr>
              <w:jc w:val="right"/>
              <w:ind w:right="10"/>
              <w:spacing w:after="0"/>
              <w:rPr>
                <w:sz w:val="20"/>
                <w:szCs w:val="20"/>
                <w:color w:val="auto"/>
              </w:rPr>
            </w:pPr>
            <w:r>
              <w:rPr>
                <w:rFonts w:ascii="Arial" w:cs="Arial" w:eastAsia="Arial" w:hAnsi="Arial"/>
                <w:sz w:val="18"/>
                <w:szCs w:val="18"/>
                <w:b w:val="1"/>
                <w:bCs w:val="1"/>
                <w:color w:val="FFFFFF"/>
              </w:rPr>
              <w:t>Committee</w:t>
            </w:r>
          </w:p>
        </w:tc>
        <w:tc>
          <w:tcPr>
            <w:tcW w:w="220" w:type="dxa"/>
            <w:vAlign w:val="bottom"/>
            <w:shd w:val="clear" w:color="auto" w:fill="FF160F"/>
          </w:tcPr>
          <w:p>
            <w:pPr>
              <w:spacing w:after="0"/>
              <w:rPr>
                <w:sz w:val="24"/>
                <w:szCs w:val="24"/>
                <w:color w:val="auto"/>
              </w:rPr>
            </w:pPr>
          </w:p>
        </w:tc>
        <w:tc>
          <w:tcPr>
            <w:tcW w:w="180" w:type="dxa"/>
            <w:vAlign w:val="bottom"/>
            <w:shd w:val="clear" w:color="auto" w:fill="FF160F"/>
          </w:tcPr>
          <w:p>
            <w:pPr>
              <w:spacing w:after="0"/>
              <w:rPr>
                <w:sz w:val="24"/>
                <w:szCs w:val="24"/>
                <w:color w:val="auto"/>
              </w:rPr>
            </w:pPr>
          </w:p>
        </w:tc>
        <w:tc>
          <w:tcPr>
            <w:tcW w:w="1240" w:type="dxa"/>
            <w:vAlign w:val="bottom"/>
            <w:shd w:val="clear" w:color="auto" w:fill="FF160F"/>
          </w:tcPr>
          <w:p>
            <w:pPr>
              <w:spacing w:after="0"/>
              <w:rPr>
                <w:sz w:val="24"/>
                <w:szCs w:val="24"/>
                <w:color w:val="auto"/>
              </w:rPr>
            </w:pPr>
          </w:p>
        </w:tc>
      </w:tr>
      <w:tr>
        <w:trPr>
          <w:trHeight w:val="258"/>
        </w:trPr>
        <w:tc>
          <w:tcPr>
            <w:tcW w:w="4400" w:type="dxa"/>
            <w:vAlign w:val="bottom"/>
            <w:shd w:val="clear" w:color="auto" w:fill="FF160F"/>
          </w:tcPr>
          <w:p>
            <w:pPr>
              <w:spacing w:after="0"/>
              <w:rPr>
                <w:sz w:val="20"/>
                <w:szCs w:val="20"/>
                <w:color w:val="auto"/>
              </w:rPr>
            </w:pPr>
            <w:r>
              <w:rPr>
                <w:rFonts w:ascii="Arial" w:cs="Arial" w:eastAsia="Arial" w:hAnsi="Arial"/>
                <w:sz w:val="18"/>
                <w:szCs w:val="18"/>
                <w:b w:val="1"/>
                <w:bCs w:val="1"/>
                <w:color w:val="FFFFFF"/>
              </w:rPr>
              <w:t> Name</w:t>
            </w:r>
          </w:p>
        </w:tc>
        <w:tc>
          <w:tcPr>
            <w:tcW w:w="240" w:type="dxa"/>
            <w:vAlign w:val="bottom"/>
            <w:shd w:val="clear" w:color="auto" w:fill="FF160F"/>
          </w:tcPr>
          <w:p>
            <w:pPr>
              <w:spacing w:after="0"/>
              <w:rPr>
                <w:sz w:val="22"/>
                <w:szCs w:val="22"/>
                <w:color w:val="auto"/>
              </w:rPr>
            </w:pPr>
          </w:p>
        </w:tc>
        <w:tc>
          <w:tcPr>
            <w:tcW w:w="160" w:type="dxa"/>
            <w:vAlign w:val="bottom"/>
            <w:shd w:val="clear" w:color="auto" w:fill="FF160F"/>
          </w:tcPr>
          <w:p>
            <w:pPr>
              <w:spacing w:after="0"/>
              <w:rPr>
                <w:sz w:val="22"/>
                <w:szCs w:val="22"/>
                <w:color w:val="auto"/>
              </w:rPr>
            </w:pPr>
          </w:p>
        </w:tc>
        <w:tc>
          <w:tcPr>
            <w:tcW w:w="1280" w:type="dxa"/>
            <w:vAlign w:val="bottom"/>
            <w:shd w:val="clear" w:color="auto" w:fill="FF160F"/>
          </w:tcPr>
          <w:p>
            <w:pPr>
              <w:jc w:val="right"/>
              <w:ind w:right="10"/>
              <w:spacing w:after="0"/>
              <w:rPr>
                <w:sz w:val="20"/>
                <w:szCs w:val="20"/>
                <w:color w:val="auto"/>
              </w:rPr>
            </w:pPr>
            <w:r>
              <w:rPr>
                <w:rFonts w:ascii="Arial" w:cs="Arial" w:eastAsia="Arial" w:hAnsi="Arial"/>
                <w:sz w:val="18"/>
                <w:szCs w:val="18"/>
                <w:b w:val="1"/>
                <w:bCs w:val="1"/>
                <w:color w:val="FFFFFF"/>
              </w:rPr>
              <w:t>Paid in Cash</w:t>
            </w:r>
          </w:p>
        </w:tc>
        <w:tc>
          <w:tcPr>
            <w:tcW w:w="1660" w:type="dxa"/>
            <w:vAlign w:val="bottom"/>
            <w:gridSpan w:val="3"/>
            <w:shd w:val="clear" w:color="auto" w:fill="FF160F"/>
          </w:tcPr>
          <w:p>
            <w:pPr>
              <w:jc w:val="right"/>
              <w:ind w:right="10"/>
              <w:spacing w:after="0" w:line="258" w:lineRule="exact"/>
              <w:rPr>
                <w:sz w:val="20"/>
                <w:szCs w:val="20"/>
                <w:color w:val="auto"/>
              </w:rPr>
            </w:pPr>
            <w:r>
              <w:rPr>
                <w:rFonts w:ascii="Arial" w:cs="Arial" w:eastAsia="Arial" w:hAnsi="Arial"/>
                <w:sz w:val="18"/>
                <w:szCs w:val="18"/>
                <w:b w:val="1"/>
                <w:bCs w:val="1"/>
                <w:color w:val="FFFFFF"/>
              </w:rPr>
              <w:t>Paid in Shares</w:t>
            </w:r>
            <w:r>
              <w:rPr>
                <w:rFonts w:ascii="Arial" w:cs="Arial" w:eastAsia="Arial" w:hAnsi="Arial"/>
                <w:sz w:val="26"/>
                <w:szCs w:val="26"/>
                <w:b w:val="1"/>
                <w:bCs w:val="1"/>
                <w:color w:val="FFFFFF"/>
                <w:vertAlign w:val="superscript"/>
              </w:rPr>
              <w:t>(1)</w:t>
            </w:r>
          </w:p>
        </w:tc>
        <w:tc>
          <w:tcPr>
            <w:tcW w:w="200" w:type="dxa"/>
            <w:vAlign w:val="bottom"/>
            <w:shd w:val="clear" w:color="auto" w:fill="FF160F"/>
          </w:tcPr>
          <w:p>
            <w:pPr>
              <w:spacing w:after="0"/>
              <w:rPr>
                <w:sz w:val="22"/>
                <w:szCs w:val="22"/>
                <w:color w:val="auto"/>
              </w:rPr>
            </w:pPr>
          </w:p>
        </w:tc>
        <w:tc>
          <w:tcPr>
            <w:tcW w:w="300" w:type="dxa"/>
            <w:vAlign w:val="bottom"/>
            <w:shd w:val="clear" w:color="auto" w:fill="FF160F"/>
          </w:tcPr>
          <w:p>
            <w:pPr>
              <w:spacing w:after="0"/>
              <w:rPr>
                <w:sz w:val="22"/>
                <w:szCs w:val="22"/>
                <w:color w:val="auto"/>
              </w:rPr>
            </w:pPr>
          </w:p>
        </w:tc>
        <w:tc>
          <w:tcPr>
            <w:tcW w:w="1140" w:type="dxa"/>
            <w:vAlign w:val="bottom"/>
            <w:shd w:val="clear" w:color="auto" w:fill="FF160F"/>
          </w:tcPr>
          <w:p>
            <w:pPr>
              <w:jc w:val="right"/>
              <w:ind w:right="10"/>
              <w:spacing w:after="0"/>
              <w:rPr>
                <w:sz w:val="20"/>
                <w:szCs w:val="20"/>
                <w:color w:val="auto"/>
              </w:rPr>
            </w:pPr>
            <w:r>
              <w:rPr>
                <w:rFonts w:ascii="Arial" w:cs="Arial" w:eastAsia="Arial" w:hAnsi="Arial"/>
                <w:sz w:val="18"/>
                <w:szCs w:val="18"/>
                <w:b w:val="1"/>
                <w:bCs w:val="1"/>
                <w:color w:val="FFFFFF"/>
              </w:rPr>
              <w:t>Chair Fees</w:t>
            </w:r>
          </w:p>
        </w:tc>
        <w:tc>
          <w:tcPr>
            <w:tcW w:w="220" w:type="dxa"/>
            <w:vAlign w:val="bottom"/>
            <w:shd w:val="clear" w:color="auto" w:fill="FF160F"/>
          </w:tcPr>
          <w:p>
            <w:pPr>
              <w:spacing w:after="0"/>
              <w:rPr>
                <w:sz w:val="22"/>
                <w:szCs w:val="22"/>
                <w:color w:val="auto"/>
              </w:rPr>
            </w:pPr>
          </w:p>
        </w:tc>
        <w:tc>
          <w:tcPr>
            <w:tcW w:w="180" w:type="dxa"/>
            <w:vAlign w:val="bottom"/>
            <w:shd w:val="clear" w:color="auto" w:fill="FF160F"/>
          </w:tcPr>
          <w:p>
            <w:pPr>
              <w:spacing w:after="0"/>
              <w:rPr>
                <w:sz w:val="22"/>
                <w:szCs w:val="22"/>
                <w:color w:val="auto"/>
              </w:rPr>
            </w:pPr>
          </w:p>
        </w:tc>
        <w:tc>
          <w:tcPr>
            <w:tcW w:w="1240" w:type="dxa"/>
            <w:vAlign w:val="bottom"/>
            <w:shd w:val="clear" w:color="auto" w:fill="FF160F"/>
          </w:tcPr>
          <w:p>
            <w:pPr>
              <w:jc w:val="right"/>
              <w:spacing w:after="0"/>
              <w:rPr>
                <w:sz w:val="20"/>
                <w:szCs w:val="20"/>
                <w:color w:val="auto"/>
              </w:rPr>
            </w:pPr>
            <w:r>
              <w:rPr>
                <w:rFonts w:ascii="Arial" w:cs="Arial" w:eastAsia="Arial" w:hAnsi="Arial"/>
                <w:sz w:val="18"/>
                <w:szCs w:val="18"/>
                <w:b w:val="1"/>
                <w:bCs w:val="1"/>
                <w:color w:val="FFFFFF"/>
              </w:rPr>
              <w:t>Total </w:t>
            </w:r>
          </w:p>
        </w:tc>
      </w:tr>
      <w:tr>
        <w:trPr>
          <w:trHeight w:val="288"/>
        </w:trPr>
        <w:tc>
          <w:tcPr>
            <w:tcW w:w="4400" w:type="dxa"/>
            <w:vAlign w:val="bottom"/>
          </w:tcPr>
          <w:p>
            <w:pPr>
              <w:spacing w:after="0"/>
              <w:rPr>
                <w:sz w:val="20"/>
                <w:szCs w:val="20"/>
                <w:color w:val="auto"/>
              </w:rPr>
            </w:pPr>
            <w:r>
              <w:rPr>
                <w:rFonts w:ascii="Arial" w:cs="Arial" w:eastAsia="Arial" w:hAnsi="Arial"/>
                <w:sz w:val="18"/>
                <w:szCs w:val="18"/>
                <w:color w:val="auto"/>
              </w:rPr>
              <w:t> David W. Faeder</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135,000  </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90,000  </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-  </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225,000 </w:t>
            </w:r>
          </w:p>
        </w:tc>
      </w:tr>
      <w:tr>
        <w:trPr>
          <w:trHeight w:val="297"/>
        </w:trPr>
        <w:tc>
          <w:tcPr>
            <w:tcW w:w="4400" w:type="dxa"/>
            <w:vAlign w:val="bottom"/>
          </w:tcPr>
          <w:p>
            <w:pPr>
              <w:spacing w:after="0"/>
              <w:rPr>
                <w:sz w:val="20"/>
                <w:szCs w:val="20"/>
                <w:color w:val="auto"/>
              </w:rPr>
            </w:pPr>
            <w:r>
              <w:rPr>
                <w:rFonts w:ascii="Arial" w:cs="Arial" w:eastAsia="Arial" w:hAnsi="Arial"/>
                <w:sz w:val="18"/>
                <w:szCs w:val="18"/>
                <w:color w:val="auto"/>
              </w:rPr>
              <w:t> Elizabeth I. Holland</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80,000  </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120,000  </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15,000  </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215,000 </w:t>
            </w:r>
          </w:p>
        </w:tc>
      </w:tr>
      <w:tr>
        <w:trPr>
          <w:trHeight w:val="297"/>
        </w:trPr>
        <w:tc>
          <w:tcPr>
            <w:tcW w:w="4400" w:type="dxa"/>
            <w:vAlign w:val="bottom"/>
          </w:tcPr>
          <w:p>
            <w:pPr>
              <w:spacing w:after="0"/>
              <w:rPr>
                <w:sz w:val="20"/>
                <w:szCs w:val="20"/>
                <w:color w:val="auto"/>
              </w:rPr>
            </w:pPr>
            <w:r>
              <w:rPr>
                <w:rFonts w:ascii="Arial" w:cs="Arial" w:eastAsia="Arial" w:hAnsi="Arial"/>
                <w:sz w:val="18"/>
                <w:szCs w:val="18"/>
                <w:color w:val="auto"/>
              </w:rPr>
              <w:t> Nicole Y. Lamb-Hale</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80,000  </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120,000  </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-  </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200,000 </w:t>
            </w:r>
          </w:p>
        </w:tc>
      </w:tr>
      <w:tr>
        <w:trPr>
          <w:trHeight w:val="297"/>
        </w:trPr>
        <w:tc>
          <w:tcPr>
            <w:tcW w:w="4400" w:type="dxa"/>
            <w:vAlign w:val="bottom"/>
          </w:tcPr>
          <w:p>
            <w:pPr>
              <w:spacing w:after="0"/>
              <w:rPr>
                <w:sz w:val="20"/>
                <w:szCs w:val="20"/>
                <w:color w:val="auto"/>
              </w:rPr>
            </w:pPr>
            <w:r>
              <w:rPr>
                <w:rFonts w:ascii="Arial" w:cs="Arial" w:eastAsia="Arial" w:hAnsi="Arial"/>
                <w:sz w:val="18"/>
                <w:szCs w:val="18"/>
                <w:color w:val="auto"/>
              </w:rPr>
              <w:t> Thomas A. McEachin</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80,000  </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120,000  </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-  </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200,000 </w:t>
            </w:r>
          </w:p>
        </w:tc>
      </w:tr>
      <w:tr>
        <w:trPr>
          <w:trHeight w:val="297"/>
        </w:trPr>
        <w:tc>
          <w:tcPr>
            <w:tcW w:w="4400" w:type="dxa"/>
            <w:vAlign w:val="bottom"/>
          </w:tcPr>
          <w:p>
            <w:pPr>
              <w:spacing w:after="0"/>
              <w:rPr>
                <w:sz w:val="20"/>
                <w:szCs w:val="20"/>
                <w:color w:val="auto"/>
              </w:rPr>
            </w:pPr>
            <w:r>
              <w:rPr>
                <w:rFonts w:ascii="Arial" w:cs="Arial" w:eastAsia="Arial" w:hAnsi="Arial"/>
                <w:sz w:val="18"/>
                <w:szCs w:val="18"/>
                <w:color w:val="auto"/>
              </w:rPr>
              <w:t> Anthony P. Nader, III</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80,000  </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120,000  </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15,000  </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215,000 </w:t>
            </w:r>
          </w:p>
        </w:tc>
      </w:tr>
      <w:tr>
        <w:trPr>
          <w:trHeight w:val="302"/>
        </w:trPr>
        <w:tc>
          <w:tcPr>
            <w:tcW w:w="4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 Gail P. Steinel</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80,000  </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120,000  </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25,000  </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225,000 </w:t>
            </w:r>
          </w:p>
        </w:tc>
      </w:tr>
      <w:tr>
        <w:trPr>
          <w:trHeight w:val="280"/>
        </w:trPr>
        <w:tc>
          <w:tcPr>
            <w:tcW w:w="4400" w:type="dxa"/>
            <w:vAlign w:val="bottom"/>
          </w:tcPr>
          <w:p>
            <w:pPr>
              <w:spacing w:after="0"/>
              <w:rPr>
                <w:sz w:val="20"/>
                <w:szCs w:val="20"/>
                <w:color w:val="auto"/>
              </w:rPr>
            </w:pPr>
            <w:r>
              <w:rPr>
                <w:rFonts w:ascii="Arial" w:cs="Arial" w:eastAsia="Arial" w:hAnsi="Arial"/>
                <w:sz w:val="18"/>
                <w:szCs w:val="18"/>
                <w:b w:val="1"/>
                <w:bCs w:val="1"/>
                <w:color w:val="auto"/>
              </w:rPr>
              <w:t> Total</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ind w:left="60"/>
              <w:spacing w:after="0"/>
              <w:rPr>
                <w:sz w:val="20"/>
                <w:szCs w:val="20"/>
                <w:color w:val="auto"/>
              </w:rPr>
            </w:pPr>
            <w:r>
              <w:rPr>
                <w:rFonts w:ascii="Arial" w:cs="Arial" w:eastAsia="Arial" w:hAnsi="Arial"/>
                <w:sz w:val="11"/>
                <w:szCs w:val="11"/>
                <w:b w:val="1"/>
                <w:bCs w:val="1"/>
                <w:color w:val="auto"/>
                <w:w w:val="72"/>
              </w:rPr>
              <w:t> </w:t>
            </w: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w w:val="97"/>
              </w:rPr>
              <w:t>       535,000  </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560" w:type="dxa"/>
            <w:vAlign w:val="bottom"/>
          </w:tcPr>
          <w:p>
            <w:pPr>
              <w:ind w:left="60"/>
              <w:spacing w:after="0"/>
              <w:rPr>
                <w:sz w:val="20"/>
                <w:szCs w:val="20"/>
                <w:color w:val="auto"/>
              </w:rPr>
            </w:pPr>
            <w:r>
              <w:rPr>
                <w:rFonts w:ascii="Arial" w:cs="Arial" w:eastAsia="Arial" w:hAnsi="Arial"/>
                <w:sz w:val="18"/>
                <w:szCs w:val="18"/>
                <w:b w:val="1"/>
                <w:bCs w:val="1"/>
                <w:color w:val="auto"/>
                <w:w w:val="94"/>
              </w:rPr>
              <w:t xml:space="preserve">         </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690,000  </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ind w:left="60"/>
              <w:spacing w:after="0"/>
              <w:rPr>
                <w:sz w:val="20"/>
                <w:szCs w:val="20"/>
                <w:color w:val="auto"/>
              </w:rPr>
            </w:pPr>
            <w:r>
              <w:rPr>
                <w:rFonts w:ascii="Arial" w:cs="Arial" w:eastAsia="Arial" w:hAnsi="Arial"/>
                <w:sz w:val="15"/>
                <w:szCs w:val="15"/>
                <w:b w:val="1"/>
                <w:bCs w:val="1"/>
                <w:color w:val="auto"/>
                <w:w w:val="73"/>
              </w:rPr>
              <w:t>    </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w w:val="97"/>
              </w:rPr>
              <w:t>      55,000  </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ind w:left="60"/>
              <w:spacing w:after="0"/>
              <w:rPr>
                <w:sz w:val="20"/>
                <w:szCs w:val="20"/>
                <w:color w:val="auto"/>
              </w:rPr>
            </w:pPr>
            <w:r>
              <w:rPr>
                <w:rFonts w:ascii="Arial" w:cs="Arial" w:eastAsia="Arial" w:hAnsi="Arial"/>
                <w:sz w:val="13"/>
                <w:szCs w:val="13"/>
                <w:b w:val="1"/>
                <w:bCs w:val="1"/>
                <w:color w:val="auto"/>
                <w:w w:val="76"/>
              </w:rPr>
              <w:t> </w:t>
            </w:r>
          </w:p>
        </w:tc>
        <w:tc>
          <w:tcPr>
            <w:tcW w:w="1240" w:type="dxa"/>
            <w:vAlign w:val="bottom"/>
          </w:tcPr>
          <w:p>
            <w:pPr>
              <w:jc w:val="right"/>
              <w:ind w:right="30"/>
              <w:spacing w:after="0"/>
              <w:rPr>
                <w:sz w:val="20"/>
                <w:szCs w:val="20"/>
                <w:color w:val="auto"/>
              </w:rPr>
            </w:pPr>
            <w:r>
              <w:rPr>
                <w:rFonts w:ascii="Arial" w:cs="Arial" w:eastAsia="Arial" w:hAnsi="Arial"/>
                <w:sz w:val="18"/>
                <w:szCs w:val="18"/>
                <w:b w:val="1"/>
                <w:bCs w:val="1"/>
                <w:color w:val="auto"/>
                <w:w w:val="91"/>
              </w:rPr>
              <w:t>     1,280,000 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95250</wp:posOffset>
            </wp:positionV>
            <wp:extent cx="77152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0" w:lineRule="exact"/>
        <w:rPr>
          <w:sz w:val="20"/>
          <w:szCs w:val="20"/>
          <w:color w:val="auto"/>
        </w:rPr>
      </w:pPr>
    </w:p>
    <w:p>
      <w:pPr>
        <w:ind w:left="540" w:hanging="424"/>
        <w:spacing w:after="0" w:line="210" w:lineRule="auto"/>
        <w:tabs>
          <w:tab w:leader="none" w:pos="540" w:val="left"/>
        </w:tabs>
        <w:numPr>
          <w:ilvl w:val="0"/>
          <w:numId w:val="38"/>
        </w:numPr>
        <w:rPr>
          <w:rFonts w:ascii="Arial" w:cs="Arial" w:eastAsia="Arial" w:hAnsi="Arial"/>
          <w:sz w:val="24"/>
          <w:szCs w:val="24"/>
          <w:color w:val="auto"/>
          <w:vertAlign w:val="superscript"/>
        </w:rPr>
      </w:pPr>
      <w:r>
        <w:rPr>
          <w:rFonts w:ascii="Arial" w:cs="Arial" w:eastAsia="Arial" w:hAnsi="Arial"/>
          <w:sz w:val="16"/>
          <w:szCs w:val="16"/>
          <w:color w:val="auto"/>
        </w:rPr>
        <w:t>Shares were issued on January 2, 2024 with the number of shares received by each Trustee determined by dividing the amount to be paid in shares by $103.05, the closing price of our shares on the NYSE on December 29,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344805</wp:posOffset>
            </wp:positionV>
            <wp:extent cx="6995160" cy="342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995160" cy="34290"/>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p>
      <w:pPr>
        <w:ind w:left="220"/>
        <w:spacing w:after="0"/>
        <w:rPr>
          <w:sz w:val="20"/>
          <w:szCs w:val="20"/>
          <w:color w:val="auto"/>
        </w:rPr>
      </w:pPr>
      <w:r>
        <w:rPr>
          <w:rFonts w:ascii="Arial" w:cs="Arial" w:eastAsia="Arial" w:hAnsi="Arial"/>
          <w:sz w:val="32"/>
          <w:szCs w:val="32"/>
          <w:b w:val="1"/>
          <w:bCs w:val="1"/>
          <w:color w:val="auto"/>
        </w:rPr>
        <w:t>Proposal 2: Approving our Executive Compensation</w:t>
      </w:r>
    </w:p>
    <w:p>
      <w:pPr>
        <w:spacing w:after="0" w:line="278" w:lineRule="exact"/>
        <w:rPr>
          <w:sz w:val="20"/>
          <w:szCs w:val="20"/>
          <w:color w:val="auto"/>
        </w:rPr>
      </w:pPr>
    </w:p>
    <w:p>
      <w:pPr>
        <w:jc w:val="both"/>
        <w:ind w:left="120"/>
        <w:spacing w:after="0" w:line="247" w:lineRule="auto"/>
        <w:rPr>
          <w:sz w:val="20"/>
          <w:szCs w:val="20"/>
          <w:color w:val="auto"/>
        </w:rPr>
      </w:pPr>
      <w:r>
        <w:rPr>
          <w:rFonts w:ascii="Arial" w:cs="Arial" w:eastAsia="Arial" w:hAnsi="Arial"/>
          <w:sz w:val="18"/>
          <w:szCs w:val="18"/>
          <w:color w:val="auto"/>
        </w:rPr>
        <w:t>We are seeking an advisory vote to approve our executive compensation for 2023. We have always held our “Say on Pay” vote annually and in 2023, a majority of our shareholders voted to continue to hold this vote annually. Although this “Say on Pay” vote is advisory and is not binding on our Board, our Compensation Committee will take into consideration the outcome of this vote when making future executive compensation decisions.</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text of the resolution if Proposal 2 is passed is:</w:t>
      </w:r>
    </w:p>
    <w:p>
      <w:pPr>
        <w:spacing w:after="0" w:line="212" w:lineRule="exact"/>
        <w:rPr>
          <w:sz w:val="20"/>
          <w:szCs w:val="20"/>
          <w:color w:val="auto"/>
        </w:rPr>
      </w:pPr>
    </w:p>
    <w:p>
      <w:pPr>
        <w:ind w:left="440" w:right="20"/>
        <w:spacing w:after="0" w:line="271" w:lineRule="auto"/>
        <w:rPr>
          <w:sz w:val="20"/>
          <w:szCs w:val="20"/>
          <w:color w:val="auto"/>
        </w:rPr>
      </w:pPr>
      <w:r>
        <w:rPr>
          <w:rFonts w:ascii="Arial" w:cs="Arial" w:eastAsia="Arial" w:hAnsi="Arial"/>
          <w:sz w:val="18"/>
          <w:szCs w:val="18"/>
          <w:color w:val="auto"/>
        </w:rPr>
        <w:t>RESOLVED, that the shareholders of the Company hereby approve, on an advisory basis, the compensation of our NEOs as described in the CD&amp;A and the Executive Compensation section that follows as required by Item 402 of Regulation S-K.</w:t>
      </w:r>
    </w:p>
    <w:p>
      <w:pPr>
        <w:spacing w:after="0" w:line="154" w:lineRule="exact"/>
        <w:rPr>
          <w:sz w:val="20"/>
          <w:szCs w:val="20"/>
          <w:color w:val="auto"/>
        </w:rPr>
      </w:pPr>
    </w:p>
    <w:p>
      <w:pPr>
        <w:jc w:val="both"/>
        <w:ind w:left="120" w:right="20"/>
        <w:spacing w:after="0" w:line="271" w:lineRule="auto"/>
        <w:rPr>
          <w:sz w:val="20"/>
          <w:szCs w:val="20"/>
          <w:color w:val="auto"/>
        </w:rPr>
      </w:pPr>
      <w:r>
        <w:rPr>
          <w:rFonts w:ascii="Arial" w:cs="Arial" w:eastAsia="Arial" w:hAnsi="Arial"/>
          <w:sz w:val="18"/>
          <w:szCs w:val="18"/>
          <w:color w:val="auto"/>
        </w:rPr>
        <w:t>The affirmative vote of a majority of votes cast at the Annual Meeting, in person or by proxy, is required to approve this proposal. An “abstention” or “broker non-vote” will have no effect on the outcome of the vote for this proposal.</w:t>
      </w:r>
    </w:p>
    <w:p>
      <w:pPr>
        <w:spacing w:after="0" w:line="154" w:lineRule="exact"/>
        <w:rPr>
          <w:sz w:val="20"/>
          <w:szCs w:val="20"/>
          <w:color w:val="auto"/>
        </w:rPr>
      </w:pPr>
    </w:p>
    <w:p>
      <w:pPr>
        <w:jc w:val="both"/>
        <w:ind w:left="120"/>
        <w:spacing w:after="0" w:line="253" w:lineRule="auto"/>
        <w:rPr>
          <w:sz w:val="20"/>
          <w:szCs w:val="20"/>
          <w:color w:val="auto"/>
        </w:rPr>
      </w:pPr>
      <w:r>
        <w:rPr>
          <w:rFonts w:ascii="Arial" w:cs="Arial" w:eastAsia="Arial" w:hAnsi="Arial"/>
          <w:sz w:val="18"/>
          <w:szCs w:val="18"/>
          <w:color w:val="auto"/>
        </w:rPr>
        <w:t>Our Board has designed our current executive compensation program to appropriately link compensation realized by our NEOs to our performance and properly align the interests of our NEOs with those of our shareholders. The details of this compensation for 2023, and the reasons we awarded it, are described in the “Compensation Discussion and Analysis,” starting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136525</wp:posOffset>
            </wp:positionV>
            <wp:extent cx="6858000" cy="44577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00" cy="445770"/>
                    </a:xfrm>
                    <a:prstGeom prst="rect">
                      <a:avLst/>
                    </a:prstGeom>
                    <a:noFill/>
                  </pic:spPr>
                </pic:pic>
              </a:graphicData>
            </a:graphic>
          </wp:anchor>
        </w:drawing>
      </w:r>
    </w:p>
    <w:p>
      <w:pPr>
        <w:spacing w:after="0" w:line="386" w:lineRule="exact"/>
        <w:rPr>
          <w:sz w:val="20"/>
          <w:szCs w:val="20"/>
          <w:color w:val="auto"/>
        </w:rPr>
      </w:pPr>
    </w:p>
    <w:p>
      <w:pPr>
        <w:ind w:left="1080"/>
        <w:spacing w:after="0"/>
        <w:rPr>
          <w:sz w:val="20"/>
          <w:szCs w:val="20"/>
          <w:color w:val="auto"/>
        </w:rPr>
      </w:pPr>
      <w:r>
        <w:rPr>
          <w:rFonts w:ascii="Arial" w:cs="Arial" w:eastAsia="Arial" w:hAnsi="Arial"/>
          <w:sz w:val="25"/>
          <w:szCs w:val="25"/>
          <w:color w:val="auto"/>
        </w:rPr>
        <w:t xml:space="preserve">  Our Board recommends a vote </w:t>
      </w:r>
      <w:r>
        <w:rPr>
          <w:rFonts w:ascii="Arial" w:cs="Arial" w:eastAsia="Arial" w:hAnsi="Arial"/>
          <w:sz w:val="25"/>
          <w:szCs w:val="25"/>
          <w:b w:val="1"/>
          <w:bCs w:val="1"/>
          <w:color w:val="auto"/>
        </w:rPr>
        <w:t>FOR</w:t>
      </w:r>
      <w:r>
        <w:rPr>
          <w:rFonts w:ascii="Arial" w:cs="Arial" w:eastAsia="Arial" w:hAnsi="Arial"/>
          <w:sz w:val="25"/>
          <w:szCs w:val="25"/>
          <w:color w:val="auto"/>
        </w:rPr>
        <w:t xml:space="preserve"> the compensation of our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236220</wp:posOffset>
            </wp:positionV>
            <wp:extent cx="7003415" cy="1200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003415" cy="120015"/>
                    </a:xfrm>
                    <a:prstGeom prst="rect">
                      <a:avLst/>
                    </a:prstGeom>
                    <a:noFill/>
                  </pic:spPr>
                </pic:pic>
              </a:graphicData>
            </a:graphic>
          </wp:anchor>
        </w:drawing>
      </w:r>
    </w:p>
    <w:p>
      <w:pPr>
        <w:spacing w:after="0" w:line="356" w:lineRule="exact"/>
        <w:rPr>
          <w:sz w:val="20"/>
          <w:szCs w:val="20"/>
          <w:color w:val="auto"/>
        </w:rPr>
      </w:pPr>
    </w:p>
    <w:p>
      <w:pPr>
        <w:ind w:left="340"/>
        <w:spacing w:after="0"/>
        <w:rPr>
          <w:sz w:val="20"/>
          <w:szCs w:val="20"/>
          <w:color w:val="auto"/>
        </w:rPr>
      </w:pPr>
      <w:r>
        <w:rPr>
          <w:rFonts w:ascii="Arial" w:cs="Arial" w:eastAsia="Arial" w:hAnsi="Arial"/>
          <w:sz w:val="14"/>
          <w:szCs w:val="14"/>
          <w:color w:val="FF160F"/>
        </w:rPr>
        <w:t>Federal Realty</w:t>
      </w:r>
      <w:r>
        <w:rPr>
          <w:rFonts w:ascii="Arial" w:cs="Arial" w:eastAsia="Arial" w:hAnsi="Arial"/>
          <w:sz w:val="14"/>
          <w:szCs w:val="14"/>
          <w:color w:val="000000"/>
        </w:rPr>
        <w:t xml:space="preserve">      2024 Proxy Statement   18</w:t>
      </w:r>
    </w:p>
    <w:p>
      <w:pPr>
        <w:sectPr>
          <w:pgSz w:w="11900" w:h="16838" w:orient="portrait"/>
          <w:cols w:equalWidth="0" w:num="1">
            <w:col w:w="11140"/>
          </w:cols>
          <w:pgMar w:left="320" w:top="482" w:right="4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249555</wp:posOffset>
            </wp:positionV>
            <wp:extent cx="6995160" cy="342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995160" cy="34290"/>
                    </a:xfrm>
                    <a:prstGeom prst="rect">
                      <a:avLst/>
                    </a:prstGeom>
                    <a:noFill/>
                  </pic:spPr>
                </pic:pic>
              </a:graphicData>
            </a:graphic>
          </wp:anchor>
        </w:drawing>
      </w:r>
    </w:p>
    <w:p>
      <w:pPr>
        <w:sectPr>
          <w:pgSz w:w="11900" w:h="16838" w:orient="portrait"/>
          <w:cols w:equalWidth="0" w:num="1">
            <w:col w:w="11020"/>
          </w:cols>
          <w:pgMar w:left="320" w:top="482" w:right="559" w:bottom="1440" w:gutter="0" w:footer="0" w:header="0"/>
        </w:sectPr>
      </w:pPr>
    </w:p>
    <w:p>
      <w:pPr>
        <w:spacing w:after="0" w:line="200" w:lineRule="exact"/>
        <w:rPr>
          <w:sz w:val="20"/>
          <w:szCs w:val="20"/>
          <w:color w:val="auto"/>
        </w:rPr>
      </w:pPr>
    </w:p>
    <w:p>
      <w:pPr>
        <w:spacing w:after="0" w:line="258" w:lineRule="exact"/>
        <w:rPr>
          <w:sz w:val="20"/>
          <w:szCs w:val="20"/>
          <w:color w:val="auto"/>
        </w:rPr>
      </w:pPr>
    </w:p>
    <w:p>
      <w:pPr>
        <w:ind w:left="240"/>
        <w:spacing w:after="0"/>
        <w:rPr>
          <w:sz w:val="20"/>
          <w:szCs w:val="20"/>
          <w:color w:val="auto"/>
        </w:rPr>
      </w:pPr>
      <w:r>
        <w:rPr>
          <w:rFonts w:ascii="Arial" w:cs="Arial" w:eastAsia="Arial" w:hAnsi="Arial"/>
          <w:sz w:val="32"/>
          <w:szCs w:val="32"/>
          <w:b w:val="1"/>
          <w:bCs w:val="1"/>
          <w:color w:val="auto"/>
        </w:rPr>
        <w:t>Compensation Discussion and Analysis</w:t>
      </w:r>
    </w:p>
    <w:p>
      <w:pPr>
        <w:spacing w:after="0" w:line="351" w:lineRule="exact"/>
        <w:rPr>
          <w:sz w:val="20"/>
          <w:szCs w:val="20"/>
          <w:color w:val="auto"/>
        </w:rPr>
      </w:pPr>
    </w:p>
    <w:tbl>
      <w:tblPr>
        <w:tblLayout w:type="fixed"/>
        <w:tblInd w:w="120" w:type="dxa"/>
        <w:tblCellMar>
          <w:top w:w="0" w:type="dxa"/>
          <w:left w:w="0" w:type="dxa"/>
          <w:bottom w:w="0" w:type="dxa"/>
          <w:right w:w="0" w:type="dxa"/>
        </w:tblCellMar>
      </w:tblPr>
      <w:tr>
        <w:trPr>
          <w:trHeight w:val="257"/>
        </w:trPr>
        <w:tc>
          <w:tcPr>
            <w:tcW w:w="4100" w:type="dxa"/>
            <w:vAlign w:val="bottom"/>
            <w:gridSpan w:val="29"/>
            <w:shd w:val="clear" w:color="auto" w:fill="FF160F"/>
          </w:tcPr>
          <w:p>
            <w:pPr>
              <w:spacing w:after="0"/>
              <w:rPr>
                <w:sz w:val="20"/>
                <w:szCs w:val="20"/>
                <w:color w:val="auto"/>
              </w:rPr>
            </w:pPr>
            <w:r>
              <w:rPr>
                <w:rFonts w:ascii="Arial" w:cs="Arial" w:eastAsia="Arial" w:hAnsi="Arial"/>
                <w:sz w:val="18"/>
                <w:szCs w:val="18"/>
                <w:b w:val="1"/>
                <w:bCs w:val="1"/>
                <w:color w:val="FFFFFF"/>
              </w:rPr>
              <w:t>CD&amp;A TABLE OF CONTENTS</w:t>
            </w:r>
          </w:p>
        </w:tc>
        <w:tc>
          <w:tcPr>
            <w:tcW w:w="1180" w:type="dxa"/>
            <w:vAlign w:val="bottom"/>
            <w:shd w:val="clear" w:color="auto" w:fill="FF160F"/>
          </w:tcPr>
          <w:p>
            <w:pPr>
              <w:jc w:val="right"/>
              <w:ind w:right="210"/>
              <w:spacing w:after="0"/>
              <w:rPr>
                <w:sz w:val="20"/>
                <w:szCs w:val="20"/>
                <w:color w:val="auto"/>
              </w:rPr>
            </w:pPr>
            <w:r>
              <w:rPr>
                <w:rFonts w:ascii="Arial" w:cs="Arial" w:eastAsia="Arial" w:hAnsi="Arial"/>
                <w:sz w:val="18"/>
                <w:szCs w:val="18"/>
                <w:b w:val="1"/>
                <w:bCs w:val="1"/>
                <w:color w:val="FFFFFF"/>
              </w:rPr>
              <w:t>Page #</w:t>
            </w:r>
          </w:p>
        </w:tc>
        <w:tc>
          <w:tcPr>
            <w:tcW w:w="0" w:type="dxa"/>
            <w:vAlign w:val="bottom"/>
          </w:tcPr>
          <w:p>
            <w:pPr>
              <w:spacing w:after="0"/>
              <w:rPr>
                <w:sz w:val="1"/>
                <w:szCs w:val="1"/>
                <w:color w:val="auto"/>
              </w:rPr>
            </w:pPr>
          </w:p>
        </w:tc>
      </w:tr>
      <w:tr>
        <w:trPr>
          <w:trHeight w:val="310"/>
        </w:trPr>
        <w:tc>
          <w:tcPr>
            <w:tcW w:w="4100" w:type="dxa"/>
            <w:vAlign w:val="bottom"/>
            <w:gridSpan w:val="29"/>
          </w:tcPr>
          <w:p>
            <w:pPr>
              <w:spacing w:after="0"/>
              <w:rPr>
                <w:sz w:val="20"/>
                <w:szCs w:val="20"/>
                <w:color w:val="auto"/>
              </w:rPr>
            </w:pPr>
            <w:r>
              <w:rPr>
                <w:rFonts w:ascii="Arial" w:cs="Arial" w:eastAsia="Arial" w:hAnsi="Arial"/>
                <w:sz w:val="18"/>
                <w:szCs w:val="18"/>
                <w:b w:val="1"/>
                <w:bCs w:val="1"/>
                <w:color w:val="0000EE"/>
              </w:rPr>
              <w:t>Introduction</w:t>
            </w:r>
          </w:p>
        </w:tc>
        <w:tc>
          <w:tcPr>
            <w:tcW w:w="1180" w:type="dxa"/>
            <w:vAlign w:val="bottom"/>
          </w:tcPr>
          <w:p>
            <w:pPr>
              <w:jc w:val="right"/>
              <w:ind w:right="210"/>
              <w:spacing w:after="0"/>
              <w:rPr>
                <w:sz w:val="20"/>
                <w:szCs w:val="20"/>
                <w:color w:val="auto"/>
              </w:rPr>
            </w:pPr>
            <w:r>
              <w:rPr>
                <w:rFonts w:ascii="Arial" w:cs="Arial" w:eastAsia="Arial" w:hAnsi="Arial"/>
                <w:sz w:val="18"/>
                <w:szCs w:val="18"/>
                <w:b w:val="1"/>
                <w:bCs w:val="1"/>
                <w:color w:val="auto"/>
              </w:rPr>
              <w:t>20</w:t>
            </w:r>
          </w:p>
        </w:tc>
        <w:tc>
          <w:tcPr>
            <w:tcW w:w="0" w:type="dxa"/>
            <w:vAlign w:val="bottom"/>
          </w:tcPr>
          <w:p>
            <w:pPr>
              <w:spacing w:after="0"/>
              <w:rPr>
                <w:sz w:val="1"/>
                <w:szCs w:val="1"/>
                <w:color w:val="auto"/>
              </w:rPr>
            </w:pPr>
          </w:p>
        </w:tc>
      </w:tr>
      <w:tr>
        <w:trPr>
          <w:trHeight w:val="20"/>
        </w:trPr>
        <w:tc>
          <w:tcPr>
            <w:tcW w:w="180" w:type="dxa"/>
            <w:vAlign w:val="bottom"/>
            <w:tcBorders>
              <w:top w:val="single" w:sz="8" w:color="0000EE"/>
              <w:bottom w:val="single" w:sz="8" w:color="FF160F"/>
            </w:tcBorders>
          </w:tcPr>
          <w:p>
            <w:pPr>
              <w:spacing w:after="0" w:line="20" w:lineRule="exact"/>
              <w:rPr>
                <w:sz w:val="1"/>
                <w:szCs w:val="1"/>
                <w:color w:val="auto"/>
              </w:rPr>
            </w:pPr>
          </w:p>
        </w:tc>
        <w:tc>
          <w:tcPr>
            <w:tcW w:w="180" w:type="dxa"/>
            <w:vAlign w:val="bottom"/>
            <w:tcBorders>
              <w:top w:val="single" w:sz="8" w:color="0000EE"/>
              <w:bottom w:val="single" w:sz="8" w:color="FF160F"/>
            </w:tcBorders>
          </w:tcPr>
          <w:p>
            <w:pPr>
              <w:spacing w:after="0" w:line="20" w:lineRule="exact"/>
              <w:rPr>
                <w:sz w:val="1"/>
                <w:szCs w:val="1"/>
                <w:color w:val="auto"/>
              </w:rPr>
            </w:pPr>
          </w:p>
        </w:tc>
        <w:tc>
          <w:tcPr>
            <w:tcW w:w="680" w:type="dxa"/>
            <w:vAlign w:val="bottom"/>
            <w:tcBorders>
              <w:top w:val="single" w:sz="8" w:color="0000EE"/>
              <w:bottom w:val="single" w:sz="8" w:color="FF160F"/>
            </w:tcBorders>
          </w:tcPr>
          <w:p>
            <w:pPr>
              <w:spacing w:after="0" w:line="20" w:lineRule="exact"/>
              <w:rPr>
                <w:sz w:val="1"/>
                <w:szCs w:val="1"/>
                <w:color w:val="auto"/>
              </w:rPr>
            </w:pPr>
          </w:p>
        </w:tc>
        <w:tc>
          <w:tcPr>
            <w:tcW w:w="100" w:type="dxa"/>
            <w:vAlign w:val="bottom"/>
            <w:tcBorders>
              <w:bottom w:val="single" w:sz="8" w:color="FF160F"/>
            </w:tcBorders>
          </w:tcPr>
          <w:p>
            <w:pPr>
              <w:spacing w:after="0" w:line="20" w:lineRule="exact"/>
              <w:rPr>
                <w:sz w:val="1"/>
                <w:szCs w:val="1"/>
                <w:color w:val="auto"/>
              </w:rPr>
            </w:pPr>
          </w:p>
        </w:tc>
        <w:tc>
          <w:tcPr>
            <w:tcW w:w="180" w:type="dxa"/>
            <w:vAlign w:val="bottom"/>
            <w:tcBorders>
              <w:bottom w:val="single" w:sz="8" w:color="FF160F"/>
            </w:tcBorders>
          </w:tcPr>
          <w:p>
            <w:pPr>
              <w:spacing w:after="0" w:line="20" w:lineRule="exact"/>
              <w:rPr>
                <w:sz w:val="1"/>
                <w:szCs w:val="1"/>
                <w:color w:val="auto"/>
              </w:rPr>
            </w:pPr>
          </w:p>
        </w:tc>
        <w:tc>
          <w:tcPr>
            <w:tcW w:w="360" w:type="dxa"/>
            <w:vAlign w:val="bottom"/>
            <w:tcBorders>
              <w:bottom w:val="single" w:sz="8" w:color="FF160F"/>
            </w:tcBorders>
          </w:tcPr>
          <w:p>
            <w:pPr>
              <w:spacing w:after="0" w:line="20" w:lineRule="exact"/>
              <w:rPr>
                <w:sz w:val="1"/>
                <w:szCs w:val="1"/>
                <w:color w:val="auto"/>
              </w:rPr>
            </w:pPr>
          </w:p>
        </w:tc>
        <w:tc>
          <w:tcPr>
            <w:tcW w:w="120" w:type="dxa"/>
            <w:vAlign w:val="bottom"/>
            <w:tcBorders>
              <w:bottom w:val="single" w:sz="8" w:color="FF160F"/>
            </w:tcBorders>
          </w:tcPr>
          <w:p>
            <w:pPr>
              <w:spacing w:after="0" w:line="20" w:lineRule="exact"/>
              <w:rPr>
                <w:sz w:val="1"/>
                <w:szCs w:val="1"/>
                <w:color w:val="auto"/>
              </w:rPr>
            </w:pPr>
          </w:p>
        </w:tc>
        <w:tc>
          <w:tcPr>
            <w:tcW w:w="380" w:type="dxa"/>
            <w:vAlign w:val="bottom"/>
            <w:tcBorders>
              <w:bottom w:val="single" w:sz="8" w:color="FF160F"/>
            </w:tcBorders>
          </w:tcPr>
          <w:p>
            <w:pPr>
              <w:spacing w:after="0" w:line="20" w:lineRule="exact"/>
              <w:rPr>
                <w:sz w:val="1"/>
                <w:szCs w:val="1"/>
                <w:color w:val="auto"/>
              </w:rPr>
            </w:pPr>
          </w:p>
        </w:tc>
        <w:tc>
          <w:tcPr>
            <w:tcW w:w="40" w:type="dxa"/>
            <w:vAlign w:val="bottom"/>
            <w:tcBorders>
              <w:bottom w:val="single" w:sz="8" w:color="FF160F"/>
            </w:tcBorders>
          </w:tcPr>
          <w:p>
            <w:pPr>
              <w:spacing w:after="0" w:line="20" w:lineRule="exact"/>
              <w:rPr>
                <w:sz w:val="1"/>
                <w:szCs w:val="1"/>
                <w:color w:val="auto"/>
              </w:rPr>
            </w:pPr>
          </w:p>
        </w:tc>
        <w:tc>
          <w:tcPr>
            <w:tcW w:w="20" w:type="dxa"/>
            <w:vAlign w:val="bottom"/>
            <w:tcBorders>
              <w:bottom w:val="single" w:sz="8" w:color="FF160F"/>
            </w:tcBorders>
          </w:tcPr>
          <w:p>
            <w:pPr>
              <w:spacing w:after="0" w:line="20" w:lineRule="exact"/>
              <w:rPr>
                <w:sz w:val="1"/>
                <w:szCs w:val="1"/>
                <w:color w:val="auto"/>
              </w:rPr>
            </w:pPr>
          </w:p>
        </w:tc>
        <w:tc>
          <w:tcPr>
            <w:tcW w:w="60" w:type="dxa"/>
            <w:vAlign w:val="bottom"/>
            <w:tcBorders>
              <w:bottom w:val="single" w:sz="8" w:color="FF160F"/>
            </w:tcBorders>
          </w:tcPr>
          <w:p>
            <w:pPr>
              <w:spacing w:after="0" w:line="20" w:lineRule="exact"/>
              <w:rPr>
                <w:sz w:val="1"/>
                <w:szCs w:val="1"/>
                <w:color w:val="auto"/>
              </w:rPr>
            </w:pPr>
          </w:p>
        </w:tc>
        <w:tc>
          <w:tcPr>
            <w:tcW w:w="140" w:type="dxa"/>
            <w:vAlign w:val="bottom"/>
            <w:tcBorders>
              <w:bottom w:val="single" w:sz="8" w:color="FF160F"/>
            </w:tcBorders>
          </w:tcPr>
          <w:p>
            <w:pPr>
              <w:spacing w:after="0" w:line="20" w:lineRule="exact"/>
              <w:rPr>
                <w:sz w:val="1"/>
                <w:szCs w:val="1"/>
                <w:color w:val="auto"/>
              </w:rPr>
            </w:pPr>
          </w:p>
        </w:tc>
        <w:tc>
          <w:tcPr>
            <w:tcW w:w="140" w:type="dxa"/>
            <w:vAlign w:val="bottom"/>
            <w:tcBorders>
              <w:bottom w:val="single" w:sz="8" w:color="FF160F"/>
            </w:tcBorders>
          </w:tcPr>
          <w:p>
            <w:pPr>
              <w:spacing w:after="0" w:line="20" w:lineRule="exact"/>
              <w:rPr>
                <w:sz w:val="1"/>
                <w:szCs w:val="1"/>
                <w:color w:val="auto"/>
              </w:rPr>
            </w:pPr>
          </w:p>
        </w:tc>
        <w:tc>
          <w:tcPr>
            <w:tcW w:w="20" w:type="dxa"/>
            <w:vAlign w:val="bottom"/>
            <w:tcBorders>
              <w:bottom w:val="single" w:sz="8" w:color="FF160F"/>
            </w:tcBorders>
          </w:tcPr>
          <w:p>
            <w:pPr>
              <w:spacing w:after="0" w:line="20" w:lineRule="exact"/>
              <w:rPr>
                <w:sz w:val="1"/>
                <w:szCs w:val="1"/>
                <w:color w:val="auto"/>
              </w:rPr>
            </w:pPr>
          </w:p>
        </w:tc>
        <w:tc>
          <w:tcPr>
            <w:tcW w:w="60" w:type="dxa"/>
            <w:vAlign w:val="bottom"/>
            <w:tcBorders>
              <w:bottom w:val="single" w:sz="8" w:color="FF160F"/>
            </w:tcBorders>
          </w:tcPr>
          <w:p>
            <w:pPr>
              <w:spacing w:after="0" w:line="20" w:lineRule="exact"/>
              <w:rPr>
                <w:sz w:val="1"/>
                <w:szCs w:val="1"/>
                <w:color w:val="auto"/>
              </w:rPr>
            </w:pPr>
          </w:p>
        </w:tc>
        <w:tc>
          <w:tcPr>
            <w:tcW w:w="40" w:type="dxa"/>
            <w:vAlign w:val="bottom"/>
            <w:tcBorders>
              <w:bottom w:val="single" w:sz="8" w:color="FF160F"/>
            </w:tcBorders>
          </w:tcPr>
          <w:p>
            <w:pPr>
              <w:spacing w:after="0" w:line="20" w:lineRule="exact"/>
              <w:rPr>
                <w:sz w:val="1"/>
                <w:szCs w:val="1"/>
                <w:color w:val="auto"/>
              </w:rPr>
            </w:pPr>
          </w:p>
        </w:tc>
        <w:tc>
          <w:tcPr>
            <w:tcW w:w="40" w:type="dxa"/>
            <w:vAlign w:val="bottom"/>
            <w:tcBorders>
              <w:bottom w:val="single" w:sz="8" w:color="FF160F"/>
            </w:tcBorders>
          </w:tcPr>
          <w:p>
            <w:pPr>
              <w:spacing w:after="0" w:line="20" w:lineRule="exact"/>
              <w:rPr>
                <w:sz w:val="1"/>
                <w:szCs w:val="1"/>
                <w:color w:val="auto"/>
              </w:rPr>
            </w:pPr>
          </w:p>
        </w:tc>
        <w:tc>
          <w:tcPr>
            <w:tcW w:w="40" w:type="dxa"/>
            <w:vAlign w:val="bottom"/>
            <w:tcBorders>
              <w:bottom w:val="single" w:sz="8" w:color="FF160F"/>
            </w:tcBorders>
          </w:tcPr>
          <w:p>
            <w:pPr>
              <w:spacing w:after="0" w:line="20" w:lineRule="exact"/>
              <w:rPr>
                <w:sz w:val="1"/>
                <w:szCs w:val="1"/>
                <w:color w:val="auto"/>
              </w:rPr>
            </w:pPr>
          </w:p>
        </w:tc>
        <w:tc>
          <w:tcPr>
            <w:tcW w:w="20" w:type="dxa"/>
            <w:vAlign w:val="bottom"/>
            <w:tcBorders>
              <w:bottom w:val="single" w:sz="8" w:color="FF160F"/>
            </w:tcBorders>
          </w:tcPr>
          <w:p>
            <w:pPr>
              <w:spacing w:after="0" w:line="20" w:lineRule="exact"/>
              <w:rPr>
                <w:sz w:val="1"/>
                <w:szCs w:val="1"/>
                <w:color w:val="auto"/>
              </w:rPr>
            </w:pPr>
          </w:p>
        </w:tc>
        <w:tc>
          <w:tcPr>
            <w:tcW w:w="60" w:type="dxa"/>
            <w:vAlign w:val="bottom"/>
            <w:tcBorders>
              <w:bottom w:val="single" w:sz="8" w:color="FF160F"/>
            </w:tcBorders>
          </w:tcPr>
          <w:p>
            <w:pPr>
              <w:spacing w:after="0" w:line="20" w:lineRule="exact"/>
              <w:rPr>
                <w:sz w:val="1"/>
                <w:szCs w:val="1"/>
                <w:color w:val="auto"/>
              </w:rPr>
            </w:pPr>
          </w:p>
        </w:tc>
        <w:tc>
          <w:tcPr>
            <w:tcW w:w="80" w:type="dxa"/>
            <w:vAlign w:val="bottom"/>
            <w:tcBorders>
              <w:bottom w:val="single" w:sz="8" w:color="FF160F"/>
            </w:tcBorders>
          </w:tcPr>
          <w:p>
            <w:pPr>
              <w:spacing w:after="0" w:line="20" w:lineRule="exact"/>
              <w:rPr>
                <w:sz w:val="1"/>
                <w:szCs w:val="1"/>
                <w:color w:val="auto"/>
              </w:rPr>
            </w:pPr>
          </w:p>
        </w:tc>
        <w:tc>
          <w:tcPr>
            <w:tcW w:w="60" w:type="dxa"/>
            <w:vAlign w:val="bottom"/>
            <w:tcBorders>
              <w:bottom w:val="single" w:sz="8" w:color="FF160F"/>
            </w:tcBorders>
          </w:tcPr>
          <w:p>
            <w:pPr>
              <w:spacing w:after="0" w:line="20" w:lineRule="exact"/>
              <w:rPr>
                <w:sz w:val="1"/>
                <w:szCs w:val="1"/>
                <w:color w:val="auto"/>
              </w:rPr>
            </w:pPr>
          </w:p>
        </w:tc>
        <w:tc>
          <w:tcPr>
            <w:tcW w:w="80" w:type="dxa"/>
            <w:vAlign w:val="bottom"/>
            <w:tcBorders>
              <w:bottom w:val="single" w:sz="8" w:color="FF160F"/>
            </w:tcBorders>
          </w:tcPr>
          <w:p>
            <w:pPr>
              <w:spacing w:after="0" w:line="20" w:lineRule="exact"/>
              <w:rPr>
                <w:sz w:val="1"/>
                <w:szCs w:val="1"/>
                <w:color w:val="auto"/>
              </w:rPr>
            </w:pPr>
          </w:p>
        </w:tc>
        <w:tc>
          <w:tcPr>
            <w:tcW w:w="60" w:type="dxa"/>
            <w:vAlign w:val="bottom"/>
            <w:tcBorders>
              <w:bottom w:val="single" w:sz="8" w:color="FF160F"/>
            </w:tcBorders>
          </w:tcPr>
          <w:p>
            <w:pPr>
              <w:spacing w:after="0" w:line="20" w:lineRule="exact"/>
              <w:rPr>
                <w:sz w:val="1"/>
                <w:szCs w:val="1"/>
                <w:color w:val="auto"/>
              </w:rPr>
            </w:pPr>
          </w:p>
        </w:tc>
        <w:tc>
          <w:tcPr>
            <w:tcW w:w="400" w:type="dxa"/>
            <w:vAlign w:val="bottom"/>
            <w:tcBorders>
              <w:bottom w:val="single" w:sz="8" w:color="FF160F"/>
            </w:tcBorders>
          </w:tcPr>
          <w:p>
            <w:pPr>
              <w:spacing w:after="0" w:line="20" w:lineRule="exact"/>
              <w:rPr>
                <w:sz w:val="1"/>
                <w:szCs w:val="1"/>
                <w:color w:val="auto"/>
              </w:rPr>
            </w:pPr>
          </w:p>
        </w:tc>
        <w:tc>
          <w:tcPr>
            <w:tcW w:w="80" w:type="dxa"/>
            <w:vAlign w:val="bottom"/>
            <w:tcBorders>
              <w:bottom w:val="single" w:sz="8" w:color="FF160F"/>
            </w:tcBorders>
          </w:tcPr>
          <w:p>
            <w:pPr>
              <w:spacing w:after="0" w:line="20" w:lineRule="exact"/>
              <w:rPr>
                <w:sz w:val="1"/>
                <w:szCs w:val="1"/>
                <w:color w:val="auto"/>
              </w:rPr>
            </w:pPr>
          </w:p>
        </w:tc>
        <w:tc>
          <w:tcPr>
            <w:tcW w:w="120" w:type="dxa"/>
            <w:vAlign w:val="bottom"/>
            <w:tcBorders>
              <w:bottom w:val="single" w:sz="8" w:color="FF160F"/>
            </w:tcBorders>
          </w:tcPr>
          <w:p>
            <w:pPr>
              <w:spacing w:after="0" w:line="20" w:lineRule="exact"/>
              <w:rPr>
                <w:sz w:val="1"/>
                <w:szCs w:val="1"/>
                <w:color w:val="auto"/>
              </w:rPr>
            </w:pPr>
          </w:p>
        </w:tc>
        <w:tc>
          <w:tcPr>
            <w:tcW w:w="180" w:type="dxa"/>
            <w:vAlign w:val="bottom"/>
            <w:tcBorders>
              <w:bottom w:val="single" w:sz="8" w:color="FF160F"/>
            </w:tcBorders>
          </w:tcPr>
          <w:p>
            <w:pPr>
              <w:spacing w:after="0" w:line="20" w:lineRule="exact"/>
              <w:rPr>
                <w:sz w:val="1"/>
                <w:szCs w:val="1"/>
                <w:color w:val="auto"/>
              </w:rPr>
            </w:pPr>
          </w:p>
        </w:tc>
        <w:tc>
          <w:tcPr>
            <w:tcW w:w="180" w:type="dxa"/>
            <w:vAlign w:val="bottom"/>
            <w:tcBorders>
              <w:bottom w:val="single" w:sz="8" w:color="FF160F"/>
            </w:tcBorders>
          </w:tcPr>
          <w:p>
            <w:pPr>
              <w:spacing w:after="0" w:line="20" w:lineRule="exact"/>
              <w:rPr>
                <w:sz w:val="1"/>
                <w:szCs w:val="1"/>
                <w:color w:val="auto"/>
              </w:rPr>
            </w:pPr>
          </w:p>
        </w:tc>
        <w:tc>
          <w:tcPr>
            <w:tcW w:w="1180" w:type="dxa"/>
            <w:vAlign w:val="bottom"/>
            <w:tcBorders>
              <w:bottom w:val="single" w:sz="8" w:color="FF160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100" w:type="dxa"/>
            <w:vAlign w:val="bottom"/>
            <w:gridSpan w:val="29"/>
          </w:tcPr>
          <w:p>
            <w:pPr>
              <w:spacing w:after="0" w:line="156" w:lineRule="exact"/>
              <w:rPr>
                <w:sz w:val="20"/>
                <w:szCs w:val="20"/>
                <w:color w:val="auto"/>
              </w:rPr>
            </w:pPr>
            <w:r>
              <w:rPr>
                <w:rFonts w:ascii="Arial" w:cs="Arial" w:eastAsia="Arial" w:hAnsi="Arial"/>
                <w:sz w:val="18"/>
                <w:szCs w:val="18"/>
                <w:color w:val="0000EE"/>
              </w:rPr>
              <w:t>2023 Business Highlights Supporting</w:t>
            </w:r>
          </w:p>
        </w:tc>
        <w:tc>
          <w:tcPr>
            <w:tcW w:w="1180" w:type="dxa"/>
            <w:vAlign w:val="bottom"/>
            <w:vMerge w:val="restart"/>
          </w:tcPr>
          <w:p>
            <w:pPr>
              <w:jc w:val="right"/>
              <w:ind w:right="21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83"/>
        </w:trPr>
        <w:tc>
          <w:tcPr>
            <w:tcW w:w="180" w:type="dxa"/>
            <w:vAlign w:val="bottom"/>
            <w:tcBorders>
              <w:top w:val="single" w:sz="8" w:color="0000EE"/>
            </w:tcBorders>
          </w:tcPr>
          <w:p>
            <w:pPr>
              <w:spacing w:after="0"/>
              <w:rPr>
                <w:sz w:val="15"/>
                <w:szCs w:val="15"/>
                <w:color w:val="auto"/>
              </w:rPr>
            </w:pPr>
          </w:p>
        </w:tc>
        <w:tc>
          <w:tcPr>
            <w:tcW w:w="2000" w:type="dxa"/>
            <w:vAlign w:val="bottom"/>
            <w:tcBorders>
              <w:top w:val="single" w:sz="8" w:color="0000EE"/>
              <w:bottom w:val="single" w:sz="8" w:color="0000EE"/>
            </w:tcBorders>
            <w:gridSpan w:val="7"/>
          </w:tcPr>
          <w:p>
            <w:pPr>
              <w:spacing w:after="0" w:line="182" w:lineRule="exact"/>
              <w:rPr>
                <w:sz w:val="20"/>
                <w:szCs w:val="20"/>
                <w:color w:val="auto"/>
              </w:rPr>
            </w:pPr>
            <w:r>
              <w:rPr>
                <w:rFonts w:ascii="Arial" w:cs="Arial" w:eastAsia="Arial" w:hAnsi="Arial"/>
                <w:sz w:val="18"/>
                <w:szCs w:val="18"/>
                <w:color w:val="0000EE"/>
                <w:w w:val="99"/>
              </w:rPr>
              <w:t>Compensation Decisions</w:t>
            </w:r>
          </w:p>
        </w:tc>
        <w:tc>
          <w:tcPr>
            <w:tcW w:w="760" w:type="dxa"/>
            <w:vAlign w:val="bottom"/>
            <w:tcBorders>
              <w:top w:val="single" w:sz="8" w:color="0000EE"/>
            </w:tcBorders>
            <w:gridSpan w:val="13"/>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180" w:type="dxa"/>
            <w:vAlign w:val="bottom"/>
            <w:gridSpan w:val="8"/>
          </w:tcPr>
          <w:p>
            <w:pPr>
              <w:spacing w:after="0" w:line="182" w:lineRule="exact"/>
              <w:rPr>
                <w:sz w:val="20"/>
                <w:szCs w:val="20"/>
                <w:color w:val="auto"/>
              </w:rPr>
            </w:pPr>
            <w:r>
              <w:rPr>
                <w:rFonts w:ascii="Arial" w:cs="Arial" w:eastAsia="Arial" w:hAnsi="Arial"/>
                <w:sz w:val="18"/>
                <w:szCs w:val="18"/>
                <w:color w:val="0000EE"/>
              </w:rPr>
              <w:t>Program Philosophy and</w:t>
            </w:r>
          </w:p>
        </w:tc>
        <w:tc>
          <w:tcPr>
            <w:tcW w:w="1920" w:type="dxa"/>
            <w:vAlign w:val="bottom"/>
            <w:gridSpan w:val="21"/>
          </w:tcPr>
          <w:p>
            <w:pPr>
              <w:spacing w:after="0" w:line="182" w:lineRule="exact"/>
              <w:rPr>
                <w:sz w:val="20"/>
                <w:szCs w:val="20"/>
                <w:color w:val="auto"/>
              </w:rPr>
            </w:pPr>
            <w:r>
              <w:rPr>
                <w:rFonts w:ascii="Arial" w:cs="Arial" w:eastAsia="Arial" w:hAnsi="Arial"/>
                <w:sz w:val="18"/>
                <w:szCs w:val="18"/>
                <w:color w:val="0000EE"/>
              </w:rPr>
              <w:t>Objectives</w:t>
            </w:r>
          </w:p>
        </w:tc>
        <w:tc>
          <w:tcPr>
            <w:tcW w:w="1180" w:type="dxa"/>
            <w:vAlign w:val="bottom"/>
          </w:tcPr>
          <w:p>
            <w:pPr>
              <w:jc w:val="right"/>
              <w:ind w:right="210"/>
              <w:spacing w:after="0" w:line="182"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83"/>
        </w:trPr>
        <w:tc>
          <w:tcPr>
            <w:tcW w:w="2860" w:type="dxa"/>
            <w:vAlign w:val="bottom"/>
            <w:tcBorders>
              <w:top w:val="single" w:sz="8" w:color="0000EE"/>
            </w:tcBorders>
            <w:gridSpan w:val="20"/>
          </w:tcPr>
          <w:p>
            <w:pPr>
              <w:spacing w:after="0" w:line="182" w:lineRule="exact"/>
              <w:rPr>
                <w:sz w:val="20"/>
                <w:szCs w:val="20"/>
                <w:color w:val="auto"/>
              </w:rPr>
            </w:pPr>
            <w:r>
              <w:rPr>
                <w:rFonts w:ascii="Arial" w:cs="Arial" w:eastAsia="Arial" w:hAnsi="Arial"/>
                <w:sz w:val="18"/>
                <w:szCs w:val="18"/>
                <w:color w:val="0000EE"/>
              </w:rPr>
              <w:t>Executive Compensation Practices</w:t>
            </w:r>
          </w:p>
        </w:tc>
        <w:tc>
          <w:tcPr>
            <w:tcW w:w="14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right"/>
              <w:ind w:right="210"/>
              <w:spacing w:after="0" w:line="182"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82"/>
        </w:trPr>
        <w:tc>
          <w:tcPr>
            <w:tcW w:w="2440" w:type="dxa"/>
            <w:vAlign w:val="bottom"/>
            <w:tcBorders>
              <w:top w:val="single" w:sz="8" w:color="0000EE"/>
              <w:bottom w:val="single" w:sz="8" w:color="0000EE"/>
            </w:tcBorders>
            <w:gridSpan w:val="12"/>
          </w:tcPr>
          <w:p>
            <w:pPr>
              <w:spacing w:after="0" w:line="182" w:lineRule="exact"/>
              <w:rPr>
                <w:sz w:val="20"/>
                <w:szCs w:val="20"/>
                <w:color w:val="auto"/>
              </w:rPr>
            </w:pPr>
            <w:r>
              <w:rPr>
                <w:rFonts w:ascii="Arial" w:cs="Arial" w:eastAsia="Arial" w:hAnsi="Arial"/>
                <w:sz w:val="18"/>
                <w:szCs w:val="18"/>
                <w:color w:val="0000EE"/>
                <w:w w:val="99"/>
              </w:rPr>
              <w:t>Components of Compensation</w:t>
            </w:r>
          </w:p>
        </w:tc>
        <w:tc>
          <w:tcPr>
            <w:tcW w:w="360" w:type="dxa"/>
            <w:vAlign w:val="bottom"/>
            <w:tcBorders>
              <w:top w:val="single" w:sz="8" w:color="0000EE"/>
            </w:tcBorders>
            <w:gridSpan w:val="7"/>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right"/>
              <w:ind w:right="210"/>
              <w:spacing w:after="0" w:line="182"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318"/>
        </w:trPr>
        <w:tc>
          <w:tcPr>
            <w:tcW w:w="4100" w:type="dxa"/>
            <w:vAlign w:val="bottom"/>
            <w:gridSpan w:val="29"/>
          </w:tcPr>
          <w:p>
            <w:pPr>
              <w:spacing w:after="0"/>
              <w:rPr>
                <w:sz w:val="20"/>
                <w:szCs w:val="20"/>
                <w:color w:val="auto"/>
              </w:rPr>
            </w:pPr>
            <w:r>
              <w:rPr>
                <w:rFonts w:ascii="Arial" w:cs="Arial" w:eastAsia="Arial" w:hAnsi="Arial"/>
                <w:sz w:val="18"/>
                <w:szCs w:val="18"/>
                <w:b w:val="1"/>
                <w:bCs w:val="1"/>
                <w:color w:val="0000EE"/>
              </w:rPr>
              <w:t>Compensation Setting Process</w:t>
            </w:r>
          </w:p>
        </w:tc>
        <w:tc>
          <w:tcPr>
            <w:tcW w:w="1180" w:type="dxa"/>
            <w:vAlign w:val="bottom"/>
          </w:tcPr>
          <w:p>
            <w:pPr>
              <w:jc w:val="right"/>
              <w:ind w:right="210"/>
              <w:spacing w:after="0"/>
              <w:rPr>
                <w:sz w:val="20"/>
                <w:szCs w:val="20"/>
                <w:color w:val="auto"/>
              </w:rPr>
            </w:pPr>
            <w:r>
              <w:rPr>
                <w:rFonts w:ascii="Arial" w:cs="Arial" w:eastAsia="Arial" w:hAnsi="Arial"/>
                <w:sz w:val="18"/>
                <w:szCs w:val="18"/>
                <w:b w:val="1"/>
                <w:bCs w:val="1"/>
                <w:color w:val="auto"/>
              </w:rPr>
              <w:t>22</w:t>
            </w:r>
          </w:p>
        </w:tc>
        <w:tc>
          <w:tcPr>
            <w:tcW w:w="0" w:type="dxa"/>
            <w:vAlign w:val="bottom"/>
          </w:tcPr>
          <w:p>
            <w:pPr>
              <w:spacing w:after="0"/>
              <w:rPr>
                <w:sz w:val="1"/>
                <w:szCs w:val="1"/>
                <w:color w:val="auto"/>
              </w:rPr>
            </w:pPr>
          </w:p>
        </w:tc>
      </w:tr>
      <w:tr>
        <w:trPr>
          <w:trHeight w:val="20"/>
        </w:trPr>
        <w:tc>
          <w:tcPr>
            <w:tcW w:w="180" w:type="dxa"/>
            <w:vAlign w:val="bottom"/>
            <w:tcBorders>
              <w:top w:val="single" w:sz="8" w:color="0000EE"/>
              <w:bottom w:val="single" w:sz="8" w:color="FF160F"/>
            </w:tcBorders>
          </w:tcPr>
          <w:p>
            <w:pPr>
              <w:spacing w:after="0" w:line="20" w:lineRule="exact"/>
              <w:rPr>
                <w:sz w:val="1"/>
                <w:szCs w:val="1"/>
                <w:color w:val="auto"/>
              </w:rPr>
            </w:pPr>
          </w:p>
        </w:tc>
        <w:tc>
          <w:tcPr>
            <w:tcW w:w="180" w:type="dxa"/>
            <w:vAlign w:val="bottom"/>
            <w:tcBorders>
              <w:top w:val="single" w:sz="8" w:color="0000EE"/>
              <w:bottom w:val="single" w:sz="8" w:color="FF160F"/>
            </w:tcBorders>
          </w:tcPr>
          <w:p>
            <w:pPr>
              <w:spacing w:after="0" w:line="20" w:lineRule="exact"/>
              <w:rPr>
                <w:sz w:val="1"/>
                <w:szCs w:val="1"/>
                <w:color w:val="auto"/>
              </w:rPr>
            </w:pPr>
          </w:p>
        </w:tc>
        <w:tc>
          <w:tcPr>
            <w:tcW w:w="680" w:type="dxa"/>
            <w:vAlign w:val="bottom"/>
            <w:tcBorders>
              <w:top w:val="single" w:sz="8" w:color="0000EE"/>
              <w:bottom w:val="single" w:sz="8" w:color="FF160F"/>
            </w:tcBorders>
          </w:tcPr>
          <w:p>
            <w:pPr>
              <w:spacing w:after="0" w:line="20" w:lineRule="exact"/>
              <w:rPr>
                <w:sz w:val="1"/>
                <w:szCs w:val="1"/>
                <w:color w:val="auto"/>
              </w:rPr>
            </w:pPr>
          </w:p>
        </w:tc>
        <w:tc>
          <w:tcPr>
            <w:tcW w:w="100" w:type="dxa"/>
            <w:vAlign w:val="bottom"/>
            <w:tcBorders>
              <w:top w:val="single" w:sz="8" w:color="0000EE"/>
              <w:bottom w:val="single" w:sz="8" w:color="FF160F"/>
            </w:tcBorders>
          </w:tcPr>
          <w:p>
            <w:pPr>
              <w:spacing w:after="0" w:line="20" w:lineRule="exact"/>
              <w:rPr>
                <w:sz w:val="1"/>
                <w:szCs w:val="1"/>
                <w:color w:val="auto"/>
              </w:rPr>
            </w:pPr>
          </w:p>
        </w:tc>
        <w:tc>
          <w:tcPr>
            <w:tcW w:w="180" w:type="dxa"/>
            <w:vAlign w:val="bottom"/>
            <w:tcBorders>
              <w:top w:val="single" w:sz="8" w:color="0000EE"/>
              <w:bottom w:val="single" w:sz="8" w:color="FF160F"/>
            </w:tcBorders>
          </w:tcPr>
          <w:p>
            <w:pPr>
              <w:spacing w:after="0" w:line="20" w:lineRule="exact"/>
              <w:rPr>
                <w:sz w:val="1"/>
                <w:szCs w:val="1"/>
                <w:color w:val="auto"/>
              </w:rPr>
            </w:pPr>
          </w:p>
        </w:tc>
        <w:tc>
          <w:tcPr>
            <w:tcW w:w="360" w:type="dxa"/>
            <w:vAlign w:val="bottom"/>
            <w:tcBorders>
              <w:top w:val="single" w:sz="8" w:color="0000EE"/>
              <w:bottom w:val="single" w:sz="8" w:color="FF160F"/>
            </w:tcBorders>
          </w:tcPr>
          <w:p>
            <w:pPr>
              <w:spacing w:after="0" w:line="20" w:lineRule="exact"/>
              <w:rPr>
                <w:sz w:val="1"/>
                <w:szCs w:val="1"/>
                <w:color w:val="auto"/>
              </w:rPr>
            </w:pPr>
          </w:p>
        </w:tc>
        <w:tc>
          <w:tcPr>
            <w:tcW w:w="120" w:type="dxa"/>
            <w:vAlign w:val="bottom"/>
            <w:tcBorders>
              <w:top w:val="single" w:sz="8" w:color="0000EE"/>
              <w:bottom w:val="single" w:sz="8" w:color="FF160F"/>
            </w:tcBorders>
          </w:tcPr>
          <w:p>
            <w:pPr>
              <w:spacing w:after="0" w:line="20" w:lineRule="exact"/>
              <w:rPr>
                <w:sz w:val="1"/>
                <w:szCs w:val="1"/>
                <w:color w:val="auto"/>
              </w:rPr>
            </w:pPr>
          </w:p>
        </w:tc>
        <w:tc>
          <w:tcPr>
            <w:tcW w:w="380" w:type="dxa"/>
            <w:vAlign w:val="bottom"/>
            <w:tcBorders>
              <w:top w:val="single" w:sz="8" w:color="0000EE"/>
              <w:bottom w:val="single" w:sz="8" w:color="FF160F"/>
            </w:tcBorders>
          </w:tcPr>
          <w:p>
            <w:pPr>
              <w:spacing w:after="0" w:line="20" w:lineRule="exact"/>
              <w:rPr>
                <w:sz w:val="1"/>
                <w:szCs w:val="1"/>
                <w:color w:val="auto"/>
              </w:rPr>
            </w:pPr>
          </w:p>
        </w:tc>
        <w:tc>
          <w:tcPr>
            <w:tcW w:w="40" w:type="dxa"/>
            <w:vAlign w:val="bottom"/>
            <w:tcBorders>
              <w:top w:val="single" w:sz="8" w:color="0000EE"/>
              <w:bottom w:val="single" w:sz="8" w:color="FF160F"/>
            </w:tcBorders>
          </w:tcPr>
          <w:p>
            <w:pPr>
              <w:spacing w:after="0" w:line="20" w:lineRule="exact"/>
              <w:rPr>
                <w:sz w:val="1"/>
                <w:szCs w:val="1"/>
                <w:color w:val="auto"/>
              </w:rPr>
            </w:pPr>
          </w:p>
        </w:tc>
        <w:tc>
          <w:tcPr>
            <w:tcW w:w="20" w:type="dxa"/>
            <w:vAlign w:val="bottom"/>
            <w:tcBorders>
              <w:top w:val="single" w:sz="8" w:color="0000EE"/>
              <w:bottom w:val="single" w:sz="8" w:color="FF160F"/>
            </w:tcBorders>
          </w:tcPr>
          <w:p>
            <w:pPr>
              <w:spacing w:after="0" w:line="20" w:lineRule="exact"/>
              <w:rPr>
                <w:sz w:val="1"/>
                <w:szCs w:val="1"/>
                <w:color w:val="auto"/>
              </w:rPr>
            </w:pPr>
          </w:p>
        </w:tc>
        <w:tc>
          <w:tcPr>
            <w:tcW w:w="60" w:type="dxa"/>
            <w:vAlign w:val="bottom"/>
            <w:tcBorders>
              <w:top w:val="single" w:sz="8" w:color="0000EE"/>
              <w:bottom w:val="single" w:sz="8" w:color="FF160F"/>
            </w:tcBorders>
          </w:tcPr>
          <w:p>
            <w:pPr>
              <w:spacing w:after="0" w:line="20" w:lineRule="exact"/>
              <w:rPr>
                <w:sz w:val="1"/>
                <w:szCs w:val="1"/>
                <w:color w:val="auto"/>
              </w:rPr>
            </w:pPr>
          </w:p>
        </w:tc>
        <w:tc>
          <w:tcPr>
            <w:tcW w:w="140" w:type="dxa"/>
            <w:vAlign w:val="bottom"/>
            <w:tcBorders>
              <w:top w:val="single" w:sz="8" w:color="0000EE"/>
              <w:bottom w:val="single" w:sz="8" w:color="FF160F"/>
            </w:tcBorders>
          </w:tcPr>
          <w:p>
            <w:pPr>
              <w:spacing w:after="0" w:line="20" w:lineRule="exact"/>
              <w:rPr>
                <w:sz w:val="1"/>
                <w:szCs w:val="1"/>
                <w:color w:val="auto"/>
              </w:rPr>
            </w:pPr>
          </w:p>
        </w:tc>
        <w:tc>
          <w:tcPr>
            <w:tcW w:w="140" w:type="dxa"/>
            <w:vAlign w:val="bottom"/>
            <w:tcBorders>
              <w:top w:val="single" w:sz="8" w:color="0000EE"/>
              <w:bottom w:val="single" w:sz="8" w:color="FF160F"/>
            </w:tcBorders>
          </w:tcPr>
          <w:p>
            <w:pPr>
              <w:spacing w:after="0" w:line="20" w:lineRule="exact"/>
              <w:rPr>
                <w:sz w:val="1"/>
                <w:szCs w:val="1"/>
                <w:color w:val="auto"/>
              </w:rPr>
            </w:pPr>
          </w:p>
        </w:tc>
        <w:tc>
          <w:tcPr>
            <w:tcW w:w="20" w:type="dxa"/>
            <w:vAlign w:val="bottom"/>
            <w:tcBorders>
              <w:top w:val="single" w:sz="8" w:color="0000EE"/>
              <w:bottom w:val="single" w:sz="8" w:color="FF160F"/>
            </w:tcBorders>
          </w:tcPr>
          <w:p>
            <w:pPr>
              <w:spacing w:after="0" w:line="20" w:lineRule="exact"/>
              <w:rPr>
                <w:sz w:val="1"/>
                <w:szCs w:val="1"/>
                <w:color w:val="auto"/>
              </w:rPr>
            </w:pPr>
          </w:p>
        </w:tc>
        <w:tc>
          <w:tcPr>
            <w:tcW w:w="60" w:type="dxa"/>
            <w:vAlign w:val="bottom"/>
            <w:tcBorders>
              <w:top w:val="single" w:sz="8" w:color="0000EE"/>
              <w:bottom w:val="single" w:sz="8" w:color="FF160F"/>
            </w:tcBorders>
          </w:tcPr>
          <w:p>
            <w:pPr>
              <w:spacing w:after="0" w:line="20" w:lineRule="exact"/>
              <w:rPr>
                <w:sz w:val="1"/>
                <w:szCs w:val="1"/>
                <w:color w:val="auto"/>
              </w:rPr>
            </w:pPr>
          </w:p>
        </w:tc>
        <w:tc>
          <w:tcPr>
            <w:tcW w:w="40" w:type="dxa"/>
            <w:vAlign w:val="bottom"/>
            <w:tcBorders>
              <w:bottom w:val="single" w:sz="8" w:color="FF160F"/>
            </w:tcBorders>
          </w:tcPr>
          <w:p>
            <w:pPr>
              <w:spacing w:after="0" w:line="20" w:lineRule="exact"/>
              <w:rPr>
                <w:sz w:val="1"/>
                <w:szCs w:val="1"/>
                <w:color w:val="auto"/>
              </w:rPr>
            </w:pPr>
          </w:p>
        </w:tc>
        <w:tc>
          <w:tcPr>
            <w:tcW w:w="40" w:type="dxa"/>
            <w:vAlign w:val="bottom"/>
            <w:tcBorders>
              <w:bottom w:val="single" w:sz="8" w:color="FF160F"/>
            </w:tcBorders>
          </w:tcPr>
          <w:p>
            <w:pPr>
              <w:spacing w:after="0" w:line="20" w:lineRule="exact"/>
              <w:rPr>
                <w:sz w:val="1"/>
                <w:szCs w:val="1"/>
                <w:color w:val="auto"/>
              </w:rPr>
            </w:pPr>
          </w:p>
        </w:tc>
        <w:tc>
          <w:tcPr>
            <w:tcW w:w="40" w:type="dxa"/>
            <w:vAlign w:val="bottom"/>
            <w:tcBorders>
              <w:bottom w:val="single" w:sz="8" w:color="FF160F"/>
            </w:tcBorders>
          </w:tcPr>
          <w:p>
            <w:pPr>
              <w:spacing w:after="0" w:line="20" w:lineRule="exact"/>
              <w:rPr>
                <w:sz w:val="1"/>
                <w:szCs w:val="1"/>
                <w:color w:val="auto"/>
              </w:rPr>
            </w:pPr>
          </w:p>
        </w:tc>
        <w:tc>
          <w:tcPr>
            <w:tcW w:w="20" w:type="dxa"/>
            <w:vAlign w:val="bottom"/>
            <w:tcBorders>
              <w:bottom w:val="single" w:sz="8" w:color="FF160F"/>
            </w:tcBorders>
          </w:tcPr>
          <w:p>
            <w:pPr>
              <w:spacing w:after="0" w:line="20" w:lineRule="exact"/>
              <w:rPr>
                <w:sz w:val="1"/>
                <w:szCs w:val="1"/>
                <w:color w:val="auto"/>
              </w:rPr>
            </w:pPr>
          </w:p>
        </w:tc>
        <w:tc>
          <w:tcPr>
            <w:tcW w:w="60" w:type="dxa"/>
            <w:vAlign w:val="bottom"/>
            <w:tcBorders>
              <w:bottom w:val="single" w:sz="8" w:color="FF160F"/>
            </w:tcBorders>
          </w:tcPr>
          <w:p>
            <w:pPr>
              <w:spacing w:after="0" w:line="20" w:lineRule="exact"/>
              <w:rPr>
                <w:sz w:val="1"/>
                <w:szCs w:val="1"/>
                <w:color w:val="auto"/>
              </w:rPr>
            </w:pPr>
          </w:p>
        </w:tc>
        <w:tc>
          <w:tcPr>
            <w:tcW w:w="80" w:type="dxa"/>
            <w:vAlign w:val="bottom"/>
            <w:tcBorders>
              <w:bottom w:val="single" w:sz="8" w:color="FF160F"/>
            </w:tcBorders>
          </w:tcPr>
          <w:p>
            <w:pPr>
              <w:spacing w:after="0" w:line="20" w:lineRule="exact"/>
              <w:rPr>
                <w:sz w:val="1"/>
                <w:szCs w:val="1"/>
                <w:color w:val="auto"/>
              </w:rPr>
            </w:pPr>
          </w:p>
        </w:tc>
        <w:tc>
          <w:tcPr>
            <w:tcW w:w="60" w:type="dxa"/>
            <w:vAlign w:val="bottom"/>
            <w:tcBorders>
              <w:bottom w:val="single" w:sz="8" w:color="FF160F"/>
            </w:tcBorders>
          </w:tcPr>
          <w:p>
            <w:pPr>
              <w:spacing w:after="0" w:line="20" w:lineRule="exact"/>
              <w:rPr>
                <w:sz w:val="1"/>
                <w:szCs w:val="1"/>
                <w:color w:val="auto"/>
              </w:rPr>
            </w:pPr>
          </w:p>
        </w:tc>
        <w:tc>
          <w:tcPr>
            <w:tcW w:w="80" w:type="dxa"/>
            <w:vAlign w:val="bottom"/>
            <w:tcBorders>
              <w:bottom w:val="single" w:sz="8" w:color="FF160F"/>
            </w:tcBorders>
          </w:tcPr>
          <w:p>
            <w:pPr>
              <w:spacing w:after="0" w:line="20" w:lineRule="exact"/>
              <w:rPr>
                <w:sz w:val="1"/>
                <w:szCs w:val="1"/>
                <w:color w:val="auto"/>
              </w:rPr>
            </w:pPr>
          </w:p>
        </w:tc>
        <w:tc>
          <w:tcPr>
            <w:tcW w:w="60" w:type="dxa"/>
            <w:vAlign w:val="bottom"/>
            <w:tcBorders>
              <w:bottom w:val="single" w:sz="8" w:color="FF160F"/>
            </w:tcBorders>
          </w:tcPr>
          <w:p>
            <w:pPr>
              <w:spacing w:after="0" w:line="20" w:lineRule="exact"/>
              <w:rPr>
                <w:sz w:val="1"/>
                <w:szCs w:val="1"/>
                <w:color w:val="auto"/>
              </w:rPr>
            </w:pPr>
          </w:p>
        </w:tc>
        <w:tc>
          <w:tcPr>
            <w:tcW w:w="400" w:type="dxa"/>
            <w:vAlign w:val="bottom"/>
            <w:tcBorders>
              <w:bottom w:val="single" w:sz="8" w:color="FF160F"/>
            </w:tcBorders>
          </w:tcPr>
          <w:p>
            <w:pPr>
              <w:spacing w:after="0" w:line="20" w:lineRule="exact"/>
              <w:rPr>
                <w:sz w:val="1"/>
                <w:szCs w:val="1"/>
                <w:color w:val="auto"/>
              </w:rPr>
            </w:pPr>
          </w:p>
        </w:tc>
        <w:tc>
          <w:tcPr>
            <w:tcW w:w="80" w:type="dxa"/>
            <w:vAlign w:val="bottom"/>
            <w:tcBorders>
              <w:bottom w:val="single" w:sz="8" w:color="FF160F"/>
            </w:tcBorders>
          </w:tcPr>
          <w:p>
            <w:pPr>
              <w:spacing w:after="0" w:line="20" w:lineRule="exact"/>
              <w:rPr>
                <w:sz w:val="1"/>
                <w:szCs w:val="1"/>
                <w:color w:val="auto"/>
              </w:rPr>
            </w:pPr>
          </w:p>
        </w:tc>
        <w:tc>
          <w:tcPr>
            <w:tcW w:w="120" w:type="dxa"/>
            <w:vAlign w:val="bottom"/>
            <w:tcBorders>
              <w:bottom w:val="single" w:sz="8" w:color="FF160F"/>
            </w:tcBorders>
          </w:tcPr>
          <w:p>
            <w:pPr>
              <w:spacing w:after="0" w:line="20" w:lineRule="exact"/>
              <w:rPr>
                <w:sz w:val="1"/>
                <w:szCs w:val="1"/>
                <w:color w:val="auto"/>
              </w:rPr>
            </w:pPr>
          </w:p>
        </w:tc>
        <w:tc>
          <w:tcPr>
            <w:tcW w:w="180" w:type="dxa"/>
            <w:vAlign w:val="bottom"/>
            <w:tcBorders>
              <w:bottom w:val="single" w:sz="8" w:color="FF160F"/>
            </w:tcBorders>
          </w:tcPr>
          <w:p>
            <w:pPr>
              <w:spacing w:after="0" w:line="20" w:lineRule="exact"/>
              <w:rPr>
                <w:sz w:val="1"/>
                <w:szCs w:val="1"/>
                <w:color w:val="auto"/>
              </w:rPr>
            </w:pPr>
          </w:p>
        </w:tc>
        <w:tc>
          <w:tcPr>
            <w:tcW w:w="180" w:type="dxa"/>
            <w:vAlign w:val="bottom"/>
            <w:tcBorders>
              <w:bottom w:val="single" w:sz="8" w:color="FF160F"/>
            </w:tcBorders>
          </w:tcPr>
          <w:p>
            <w:pPr>
              <w:spacing w:after="0" w:line="20" w:lineRule="exact"/>
              <w:rPr>
                <w:sz w:val="1"/>
                <w:szCs w:val="1"/>
                <w:color w:val="auto"/>
              </w:rPr>
            </w:pPr>
          </w:p>
        </w:tc>
        <w:tc>
          <w:tcPr>
            <w:tcW w:w="1180" w:type="dxa"/>
            <w:vAlign w:val="bottom"/>
            <w:tcBorders>
              <w:bottom w:val="single" w:sz="8" w:color="FF160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100" w:type="dxa"/>
            <w:vAlign w:val="bottom"/>
            <w:gridSpan w:val="29"/>
          </w:tcPr>
          <w:p>
            <w:pPr>
              <w:spacing w:after="0" w:line="156" w:lineRule="exact"/>
              <w:rPr>
                <w:sz w:val="20"/>
                <w:szCs w:val="20"/>
                <w:color w:val="auto"/>
              </w:rPr>
            </w:pPr>
            <w:r>
              <w:rPr>
                <w:rFonts w:ascii="Arial" w:cs="Arial" w:eastAsia="Arial" w:hAnsi="Arial"/>
                <w:sz w:val="18"/>
                <w:szCs w:val="18"/>
                <w:color w:val="0000EE"/>
              </w:rPr>
              <w:t>Annual Compensation Decision Making</w:t>
            </w:r>
          </w:p>
        </w:tc>
        <w:tc>
          <w:tcPr>
            <w:tcW w:w="1180" w:type="dxa"/>
            <w:vAlign w:val="bottom"/>
          </w:tcPr>
          <w:p>
            <w:pPr>
              <w:jc w:val="right"/>
              <w:ind w:right="210"/>
              <w:spacing w:after="0" w:line="15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83"/>
        </w:trPr>
        <w:tc>
          <w:tcPr>
            <w:tcW w:w="3140" w:type="dxa"/>
            <w:vAlign w:val="bottom"/>
            <w:tcBorders>
              <w:top w:val="single" w:sz="8" w:color="0000EE"/>
            </w:tcBorders>
            <w:gridSpan w:val="24"/>
          </w:tcPr>
          <w:p>
            <w:pPr>
              <w:spacing w:after="0" w:line="182" w:lineRule="exact"/>
              <w:rPr>
                <w:sz w:val="20"/>
                <w:szCs w:val="20"/>
                <w:color w:val="auto"/>
              </w:rPr>
            </w:pPr>
            <w:r>
              <w:rPr>
                <w:rFonts w:ascii="Arial" w:cs="Arial" w:eastAsia="Arial" w:hAnsi="Arial"/>
                <w:sz w:val="18"/>
                <w:szCs w:val="18"/>
                <w:color w:val="0000EE"/>
              </w:rPr>
              <w:t>Role of the Compensation Committee</w:t>
            </w: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right"/>
              <w:ind w:right="210"/>
              <w:spacing w:after="0" w:line="182"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83"/>
        </w:trPr>
        <w:tc>
          <w:tcPr>
            <w:tcW w:w="3000" w:type="dxa"/>
            <w:vAlign w:val="bottom"/>
            <w:tcBorders>
              <w:top w:val="single" w:sz="8" w:color="0000EE"/>
            </w:tcBorders>
            <w:gridSpan w:val="22"/>
          </w:tcPr>
          <w:p>
            <w:pPr>
              <w:spacing w:after="0" w:line="182" w:lineRule="exact"/>
              <w:rPr>
                <w:sz w:val="20"/>
                <w:szCs w:val="20"/>
                <w:color w:val="auto"/>
              </w:rPr>
            </w:pPr>
            <w:r>
              <w:rPr>
                <w:rFonts w:ascii="Arial" w:cs="Arial" w:eastAsia="Arial" w:hAnsi="Arial"/>
                <w:sz w:val="18"/>
                <w:szCs w:val="18"/>
                <w:color w:val="0000EE"/>
              </w:rPr>
              <w:t>Role of Management</w:t>
            </w:r>
          </w:p>
        </w:tc>
        <w:tc>
          <w:tcPr>
            <w:tcW w:w="80" w:type="dxa"/>
            <w:vAlign w:val="bottom"/>
          </w:tcPr>
          <w:p>
            <w:pPr>
              <w:spacing w:after="0"/>
              <w:rPr>
                <w:sz w:val="15"/>
                <w:szCs w:val="15"/>
                <w:color w:val="auto"/>
              </w:rPr>
            </w:pPr>
          </w:p>
        </w:tc>
        <w:tc>
          <w:tcPr>
            <w:tcW w:w="46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right"/>
              <w:ind w:right="210"/>
              <w:spacing w:after="0" w:line="182"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83"/>
        </w:trPr>
        <w:tc>
          <w:tcPr>
            <w:tcW w:w="1680" w:type="dxa"/>
            <w:vAlign w:val="bottom"/>
            <w:tcBorders>
              <w:top w:val="single" w:sz="8" w:color="0000EE"/>
            </w:tcBorders>
            <w:gridSpan w:val="6"/>
          </w:tcPr>
          <w:p>
            <w:pPr>
              <w:spacing w:after="0" w:line="182" w:lineRule="exact"/>
              <w:rPr>
                <w:sz w:val="20"/>
                <w:szCs w:val="20"/>
                <w:color w:val="auto"/>
              </w:rPr>
            </w:pPr>
            <w:r>
              <w:rPr>
                <w:rFonts w:ascii="Arial" w:cs="Arial" w:eastAsia="Arial" w:hAnsi="Arial"/>
                <w:sz w:val="18"/>
                <w:szCs w:val="18"/>
                <w:color w:val="0000EE"/>
              </w:rPr>
              <w:t>Role of Independent</w:t>
            </w:r>
          </w:p>
        </w:tc>
        <w:tc>
          <w:tcPr>
            <w:tcW w:w="2420" w:type="dxa"/>
            <w:vAlign w:val="bottom"/>
            <w:gridSpan w:val="23"/>
          </w:tcPr>
          <w:p>
            <w:pPr>
              <w:spacing w:after="0" w:line="182" w:lineRule="exact"/>
              <w:rPr>
                <w:sz w:val="20"/>
                <w:szCs w:val="20"/>
                <w:color w:val="auto"/>
              </w:rPr>
            </w:pPr>
            <w:r>
              <w:rPr>
                <w:rFonts w:ascii="Arial" w:cs="Arial" w:eastAsia="Arial" w:hAnsi="Arial"/>
                <w:sz w:val="18"/>
                <w:szCs w:val="18"/>
                <w:color w:val="0000EE"/>
              </w:rPr>
              <w:t>Compensation Consultant</w:t>
            </w:r>
          </w:p>
        </w:tc>
        <w:tc>
          <w:tcPr>
            <w:tcW w:w="1180" w:type="dxa"/>
            <w:vAlign w:val="bottom"/>
          </w:tcPr>
          <w:p>
            <w:pPr>
              <w:jc w:val="right"/>
              <w:ind w:right="210"/>
              <w:spacing w:after="0" w:line="182"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318"/>
        </w:trPr>
        <w:tc>
          <w:tcPr>
            <w:tcW w:w="3740" w:type="dxa"/>
            <w:vAlign w:val="bottom"/>
            <w:tcBorders>
              <w:top w:val="single" w:sz="8" w:color="0000EE"/>
            </w:tcBorders>
            <w:gridSpan w:val="27"/>
          </w:tcPr>
          <w:p>
            <w:pPr>
              <w:spacing w:after="0"/>
              <w:rPr>
                <w:sz w:val="20"/>
                <w:szCs w:val="20"/>
                <w:color w:val="auto"/>
              </w:rPr>
            </w:pPr>
            <w:r>
              <w:rPr>
                <w:rFonts w:ascii="Arial" w:cs="Arial" w:eastAsia="Arial" w:hAnsi="Arial"/>
                <w:sz w:val="18"/>
                <w:szCs w:val="18"/>
                <w:b w:val="1"/>
                <w:bCs w:val="1"/>
                <w:color w:val="0000EE"/>
              </w:rPr>
              <w:t>2023 Compensation Decisions</w:t>
            </w:r>
          </w:p>
        </w:tc>
        <w:tc>
          <w:tcPr>
            <w:tcW w:w="360" w:type="dxa"/>
            <w:vAlign w:val="bottom"/>
            <w:gridSpan w:val="2"/>
          </w:tcPr>
          <w:p>
            <w:pPr>
              <w:spacing w:after="0"/>
              <w:rPr>
                <w:sz w:val="24"/>
                <w:szCs w:val="24"/>
                <w:color w:val="auto"/>
              </w:rPr>
            </w:pPr>
          </w:p>
        </w:tc>
        <w:tc>
          <w:tcPr>
            <w:tcW w:w="1180" w:type="dxa"/>
            <w:vAlign w:val="bottom"/>
          </w:tcPr>
          <w:p>
            <w:pPr>
              <w:jc w:val="right"/>
              <w:ind w:right="210"/>
              <w:spacing w:after="0"/>
              <w:rPr>
                <w:sz w:val="20"/>
                <w:szCs w:val="20"/>
                <w:color w:val="auto"/>
              </w:rPr>
            </w:pPr>
            <w:r>
              <w:rPr>
                <w:rFonts w:ascii="Arial" w:cs="Arial" w:eastAsia="Arial" w:hAnsi="Arial"/>
                <w:sz w:val="18"/>
                <w:szCs w:val="18"/>
                <w:b w:val="1"/>
                <w:bCs w:val="1"/>
                <w:color w:val="auto"/>
              </w:rPr>
              <w:t>22</w:t>
            </w:r>
          </w:p>
        </w:tc>
        <w:tc>
          <w:tcPr>
            <w:tcW w:w="0" w:type="dxa"/>
            <w:vAlign w:val="bottom"/>
          </w:tcPr>
          <w:p>
            <w:pPr>
              <w:spacing w:after="0"/>
              <w:rPr>
                <w:sz w:val="1"/>
                <w:szCs w:val="1"/>
                <w:color w:val="auto"/>
              </w:rPr>
            </w:pPr>
          </w:p>
        </w:tc>
      </w:tr>
      <w:tr>
        <w:trPr>
          <w:trHeight w:val="20"/>
        </w:trPr>
        <w:tc>
          <w:tcPr>
            <w:tcW w:w="180" w:type="dxa"/>
            <w:vAlign w:val="bottom"/>
            <w:tcBorders>
              <w:top w:val="single" w:sz="8" w:color="0000EE"/>
              <w:bottom w:val="single" w:sz="8" w:color="FF160F"/>
            </w:tcBorders>
          </w:tcPr>
          <w:p>
            <w:pPr>
              <w:spacing w:after="0" w:line="20" w:lineRule="exact"/>
              <w:rPr>
                <w:sz w:val="1"/>
                <w:szCs w:val="1"/>
                <w:color w:val="auto"/>
              </w:rPr>
            </w:pPr>
          </w:p>
        </w:tc>
        <w:tc>
          <w:tcPr>
            <w:tcW w:w="180" w:type="dxa"/>
            <w:vAlign w:val="bottom"/>
            <w:tcBorders>
              <w:top w:val="single" w:sz="8" w:color="0000EE"/>
              <w:bottom w:val="single" w:sz="8" w:color="FF160F"/>
            </w:tcBorders>
          </w:tcPr>
          <w:p>
            <w:pPr>
              <w:spacing w:after="0" w:line="20" w:lineRule="exact"/>
              <w:rPr>
                <w:sz w:val="1"/>
                <w:szCs w:val="1"/>
                <w:color w:val="auto"/>
              </w:rPr>
            </w:pPr>
          </w:p>
        </w:tc>
        <w:tc>
          <w:tcPr>
            <w:tcW w:w="680" w:type="dxa"/>
            <w:vAlign w:val="bottom"/>
            <w:tcBorders>
              <w:top w:val="single" w:sz="8" w:color="0000EE"/>
              <w:bottom w:val="single" w:sz="8" w:color="FF160F"/>
            </w:tcBorders>
          </w:tcPr>
          <w:p>
            <w:pPr>
              <w:spacing w:after="0" w:line="20" w:lineRule="exact"/>
              <w:rPr>
                <w:sz w:val="1"/>
                <w:szCs w:val="1"/>
                <w:color w:val="auto"/>
              </w:rPr>
            </w:pPr>
          </w:p>
        </w:tc>
        <w:tc>
          <w:tcPr>
            <w:tcW w:w="100" w:type="dxa"/>
            <w:vAlign w:val="bottom"/>
            <w:tcBorders>
              <w:top w:val="single" w:sz="8" w:color="0000EE"/>
              <w:bottom w:val="single" w:sz="8" w:color="FF160F"/>
            </w:tcBorders>
          </w:tcPr>
          <w:p>
            <w:pPr>
              <w:spacing w:after="0" w:line="20" w:lineRule="exact"/>
              <w:rPr>
                <w:sz w:val="1"/>
                <w:szCs w:val="1"/>
                <w:color w:val="auto"/>
              </w:rPr>
            </w:pPr>
          </w:p>
        </w:tc>
        <w:tc>
          <w:tcPr>
            <w:tcW w:w="180" w:type="dxa"/>
            <w:vAlign w:val="bottom"/>
            <w:tcBorders>
              <w:top w:val="single" w:sz="8" w:color="0000EE"/>
              <w:bottom w:val="single" w:sz="8" w:color="FF160F"/>
            </w:tcBorders>
          </w:tcPr>
          <w:p>
            <w:pPr>
              <w:spacing w:after="0" w:line="20" w:lineRule="exact"/>
              <w:rPr>
                <w:sz w:val="1"/>
                <w:szCs w:val="1"/>
                <w:color w:val="auto"/>
              </w:rPr>
            </w:pPr>
          </w:p>
        </w:tc>
        <w:tc>
          <w:tcPr>
            <w:tcW w:w="360" w:type="dxa"/>
            <w:vAlign w:val="bottom"/>
            <w:tcBorders>
              <w:top w:val="single" w:sz="8" w:color="0000EE"/>
              <w:bottom w:val="single" w:sz="8" w:color="FF160F"/>
            </w:tcBorders>
          </w:tcPr>
          <w:p>
            <w:pPr>
              <w:spacing w:after="0" w:line="20" w:lineRule="exact"/>
              <w:rPr>
                <w:sz w:val="1"/>
                <w:szCs w:val="1"/>
                <w:color w:val="auto"/>
              </w:rPr>
            </w:pPr>
          </w:p>
        </w:tc>
        <w:tc>
          <w:tcPr>
            <w:tcW w:w="120" w:type="dxa"/>
            <w:vAlign w:val="bottom"/>
            <w:tcBorders>
              <w:top w:val="single" w:sz="8" w:color="0000EE"/>
              <w:bottom w:val="single" w:sz="8" w:color="FF160F"/>
            </w:tcBorders>
          </w:tcPr>
          <w:p>
            <w:pPr>
              <w:spacing w:after="0" w:line="20" w:lineRule="exact"/>
              <w:rPr>
                <w:sz w:val="1"/>
                <w:szCs w:val="1"/>
                <w:color w:val="auto"/>
              </w:rPr>
            </w:pPr>
          </w:p>
        </w:tc>
        <w:tc>
          <w:tcPr>
            <w:tcW w:w="380" w:type="dxa"/>
            <w:vAlign w:val="bottom"/>
            <w:tcBorders>
              <w:top w:val="single" w:sz="8" w:color="0000EE"/>
              <w:bottom w:val="single" w:sz="8" w:color="FF160F"/>
            </w:tcBorders>
          </w:tcPr>
          <w:p>
            <w:pPr>
              <w:spacing w:after="0" w:line="20" w:lineRule="exact"/>
              <w:rPr>
                <w:sz w:val="1"/>
                <w:szCs w:val="1"/>
                <w:color w:val="auto"/>
              </w:rPr>
            </w:pPr>
          </w:p>
        </w:tc>
        <w:tc>
          <w:tcPr>
            <w:tcW w:w="40" w:type="dxa"/>
            <w:vAlign w:val="bottom"/>
            <w:tcBorders>
              <w:top w:val="single" w:sz="8" w:color="0000EE"/>
              <w:bottom w:val="single" w:sz="8" w:color="FF160F"/>
            </w:tcBorders>
          </w:tcPr>
          <w:p>
            <w:pPr>
              <w:spacing w:after="0" w:line="20" w:lineRule="exact"/>
              <w:rPr>
                <w:sz w:val="1"/>
                <w:szCs w:val="1"/>
                <w:color w:val="auto"/>
              </w:rPr>
            </w:pPr>
          </w:p>
        </w:tc>
        <w:tc>
          <w:tcPr>
            <w:tcW w:w="20" w:type="dxa"/>
            <w:vAlign w:val="bottom"/>
            <w:tcBorders>
              <w:top w:val="single" w:sz="8" w:color="0000EE"/>
              <w:bottom w:val="single" w:sz="8" w:color="FF160F"/>
            </w:tcBorders>
          </w:tcPr>
          <w:p>
            <w:pPr>
              <w:spacing w:after="0" w:line="20" w:lineRule="exact"/>
              <w:rPr>
                <w:sz w:val="1"/>
                <w:szCs w:val="1"/>
                <w:color w:val="auto"/>
              </w:rPr>
            </w:pPr>
          </w:p>
        </w:tc>
        <w:tc>
          <w:tcPr>
            <w:tcW w:w="60" w:type="dxa"/>
            <w:vAlign w:val="bottom"/>
            <w:tcBorders>
              <w:top w:val="single" w:sz="8" w:color="0000EE"/>
              <w:bottom w:val="single" w:sz="8" w:color="FF160F"/>
            </w:tcBorders>
          </w:tcPr>
          <w:p>
            <w:pPr>
              <w:spacing w:after="0" w:line="20" w:lineRule="exact"/>
              <w:rPr>
                <w:sz w:val="1"/>
                <w:szCs w:val="1"/>
                <w:color w:val="auto"/>
              </w:rPr>
            </w:pPr>
          </w:p>
        </w:tc>
        <w:tc>
          <w:tcPr>
            <w:tcW w:w="140" w:type="dxa"/>
            <w:vAlign w:val="bottom"/>
            <w:tcBorders>
              <w:top w:val="single" w:sz="8" w:color="0000EE"/>
              <w:bottom w:val="single" w:sz="8" w:color="FF160F"/>
            </w:tcBorders>
          </w:tcPr>
          <w:p>
            <w:pPr>
              <w:spacing w:after="0" w:line="20" w:lineRule="exact"/>
              <w:rPr>
                <w:sz w:val="1"/>
                <w:szCs w:val="1"/>
                <w:color w:val="auto"/>
              </w:rPr>
            </w:pPr>
          </w:p>
        </w:tc>
        <w:tc>
          <w:tcPr>
            <w:tcW w:w="140" w:type="dxa"/>
            <w:vAlign w:val="bottom"/>
            <w:tcBorders>
              <w:top w:val="single" w:sz="8" w:color="0000EE"/>
              <w:bottom w:val="single" w:sz="8" w:color="FF160F"/>
            </w:tcBorders>
          </w:tcPr>
          <w:p>
            <w:pPr>
              <w:spacing w:after="0" w:line="20" w:lineRule="exact"/>
              <w:rPr>
                <w:sz w:val="1"/>
                <w:szCs w:val="1"/>
                <w:color w:val="auto"/>
              </w:rPr>
            </w:pPr>
          </w:p>
        </w:tc>
        <w:tc>
          <w:tcPr>
            <w:tcW w:w="20" w:type="dxa"/>
            <w:vAlign w:val="bottom"/>
            <w:tcBorders>
              <w:top w:val="single" w:sz="8" w:color="0000EE"/>
              <w:bottom w:val="single" w:sz="8" w:color="FF160F"/>
            </w:tcBorders>
          </w:tcPr>
          <w:p>
            <w:pPr>
              <w:spacing w:after="0" w:line="20" w:lineRule="exact"/>
              <w:rPr>
                <w:sz w:val="1"/>
                <w:szCs w:val="1"/>
                <w:color w:val="auto"/>
              </w:rPr>
            </w:pPr>
          </w:p>
        </w:tc>
        <w:tc>
          <w:tcPr>
            <w:tcW w:w="60" w:type="dxa"/>
            <w:vAlign w:val="bottom"/>
            <w:tcBorders>
              <w:bottom w:val="single" w:sz="8" w:color="FF160F"/>
            </w:tcBorders>
          </w:tcPr>
          <w:p>
            <w:pPr>
              <w:spacing w:after="0" w:line="20" w:lineRule="exact"/>
              <w:rPr>
                <w:sz w:val="1"/>
                <w:szCs w:val="1"/>
                <w:color w:val="auto"/>
              </w:rPr>
            </w:pPr>
          </w:p>
        </w:tc>
        <w:tc>
          <w:tcPr>
            <w:tcW w:w="40" w:type="dxa"/>
            <w:vAlign w:val="bottom"/>
            <w:tcBorders>
              <w:bottom w:val="single" w:sz="8" w:color="FF160F"/>
            </w:tcBorders>
          </w:tcPr>
          <w:p>
            <w:pPr>
              <w:spacing w:after="0" w:line="20" w:lineRule="exact"/>
              <w:rPr>
                <w:sz w:val="1"/>
                <w:szCs w:val="1"/>
                <w:color w:val="auto"/>
              </w:rPr>
            </w:pPr>
          </w:p>
        </w:tc>
        <w:tc>
          <w:tcPr>
            <w:tcW w:w="40" w:type="dxa"/>
            <w:vAlign w:val="bottom"/>
            <w:tcBorders>
              <w:bottom w:val="single" w:sz="8" w:color="FF160F"/>
            </w:tcBorders>
          </w:tcPr>
          <w:p>
            <w:pPr>
              <w:spacing w:after="0" w:line="20" w:lineRule="exact"/>
              <w:rPr>
                <w:sz w:val="1"/>
                <w:szCs w:val="1"/>
                <w:color w:val="auto"/>
              </w:rPr>
            </w:pPr>
          </w:p>
        </w:tc>
        <w:tc>
          <w:tcPr>
            <w:tcW w:w="40" w:type="dxa"/>
            <w:vAlign w:val="bottom"/>
            <w:tcBorders>
              <w:bottom w:val="single" w:sz="8" w:color="FF160F"/>
            </w:tcBorders>
          </w:tcPr>
          <w:p>
            <w:pPr>
              <w:spacing w:after="0" w:line="20" w:lineRule="exact"/>
              <w:rPr>
                <w:sz w:val="1"/>
                <w:szCs w:val="1"/>
                <w:color w:val="auto"/>
              </w:rPr>
            </w:pPr>
          </w:p>
        </w:tc>
        <w:tc>
          <w:tcPr>
            <w:tcW w:w="20" w:type="dxa"/>
            <w:vAlign w:val="bottom"/>
            <w:tcBorders>
              <w:bottom w:val="single" w:sz="8" w:color="FF160F"/>
            </w:tcBorders>
          </w:tcPr>
          <w:p>
            <w:pPr>
              <w:spacing w:after="0" w:line="20" w:lineRule="exact"/>
              <w:rPr>
                <w:sz w:val="1"/>
                <w:szCs w:val="1"/>
                <w:color w:val="auto"/>
              </w:rPr>
            </w:pPr>
          </w:p>
        </w:tc>
        <w:tc>
          <w:tcPr>
            <w:tcW w:w="60" w:type="dxa"/>
            <w:vAlign w:val="bottom"/>
            <w:tcBorders>
              <w:bottom w:val="single" w:sz="8" w:color="FF160F"/>
            </w:tcBorders>
          </w:tcPr>
          <w:p>
            <w:pPr>
              <w:spacing w:after="0" w:line="20" w:lineRule="exact"/>
              <w:rPr>
                <w:sz w:val="1"/>
                <w:szCs w:val="1"/>
                <w:color w:val="auto"/>
              </w:rPr>
            </w:pPr>
          </w:p>
        </w:tc>
        <w:tc>
          <w:tcPr>
            <w:tcW w:w="80" w:type="dxa"/>
            <w:vAlign w:val="bottom"/>
            <w:tcBorders>
              <w:bottom w:val="single" w:sz="8" w:color="FF160F"/>
            </w:tcBorders>
          </w:tcPr>
          <w:p>
            <w:pPr>
              <w:spacing w:after="0" w:line="20" w:lineRule="exact"/>
              <w:rPr>
                <w:sz w:val="1"/>
                <w:szCs w:val="1"/>
                <w:color w:val="auto"/>
              </w:rPr>
            </w:pPr>
          </w:p>
        </w:tc>
        <w:tc>
          <w:tcPr>
            <w:tcW w:w="60" w:type="dxa"/>
            <w:vAlign w:val="bottom"/>
            <w:tcBorders>
              <w:bottom w:val="single" w:sz="8" w:color="FF160F"/>
            </w:tcBorders>
          </w:tcPr>
          <w:p>
            <w:pPr>
              <w:spacing w:after="0" w:line="20" w:lineRule="exact"/>
              <w:rPr>
                <w:sz w:val="1"/>
                <w:szCs w:val="1"/>
                <w:color w:val="auto"/>
              </w:rPr>
            </w:pPr>
          </w:p>
        </w:tc>
        <w:tc>
          <w:tcPr>
            <w:tcW w:w="80" w:type="dxa"/>
            <w:vAlign w:val="bottom"/>
            <w:tcBorders>
              <w:bottom w:val="single" w:sz="8" w:color="FF160F"/>
            </w:tcBorders>
          </w:tcPr>
          <w:p>
            <w:pPr>
              <w:spacing w:after="0" w:line="20" w:lineRule="exact"/>
              <w:rPr>
                <w:sz w:val="1"/>
                <w:szCs w:val="1"/>
                <w:color w:val="auto"/>
              </w:rPr>
            </w:pPr>
          </w:p>
        </w:tc>
        <w:tc>
          <w:tcPr>
            <w:tcW w:w="60" w:type="dxa"/>
            <w:vAlign w:val="bottom"/>
            <w:tcBorders>
              <w:bottom w:val="single" w:sz="8" w:color="FF160F"/>
            </w:tcBorders>
          </w:tcPr>
          <w:p>
            <w:pPr>
              <w:spacing w:after="0" w:line="20" w:lineRule="exact"/>
              <w:rPr>
                <w:sz w:val="1"/>
                <w:szCs w:val="1"/>
                <w:color w:val="auto"/>
              </w:rPr>
            </w:pPr>
          </w:p>
        </w:tc>
        <w:tc>
          <w:tcPr>
            <w:tcW w:w="400" w:type="dxa"/>
            <w:vAlign w:val="bottom"/>
            <w:tcBorders>
              <w:bottom w:val="single" w:sz="8" w:color="FF160F"/>
            </w:tcBorders>
          </w:tcPr>
          <w:p>
            <w:pPr>
              <w:spacing w:after="0" w:line="20" w:lineRule="exact"/>
              <w:rPr>
                <w:sz w:val="1"/>
                <w:szCs w:val="1"/>
                <w:color w:val="auto"/>
              </w:rPr>
            </w:pPr>
          </w:p>
        </w:tc>
        <w:tc>
          <w:tcPr>
            <w:tcW w:w="80" w:type="dxa"/>
            <w:vAlign w:val="bottom"/>
            <w:tcBorders>
              <w:bottom w:val="single" w:sz="8" w:color="FF160F"/>
            </w:tcBorders>
          </w:tcPr>
          <w:p>
            <w:pPr>
              <w:spacing w:after="0" w:line="20" w:lineRule="exact"/>
              <w:rPr>
                <w:sz w:val="1"/>
                <w:szCs w:val="1"/>
                <w:color w:val="auto"/>
              </w:rPr>
            </w:pPr>
          </w:p>
        </w:tc>
        <w:tc>
          <w:tcPr>
            <w:tcW w:w="120" w:type="dxa"/>
            <w:vAlign w:val="bottom"/>
            <w:tcBorders>
              <w:bottom w:val="single" w:sz="8" w:color="FF160F"/>
            </w:tcBorders>
          </w:tcPr>
          <w:p>
            <w:pPr>
              <w:spacing w:after="0" w:line="20" w:lineRule="exact"/>
              <w:rPr>
                <w:sz w:val="1"/>
                <w:szCs w:val="1"/>
                <w:color w:val="auto"/>
              </w:rPr>
            </w:pPr>
          </w:p>
        </w:tc>
        <w:tc>
          <w:tcPr>
            <w:tcW w:w="180" w:type="dxa"/>
            <w:vAlign w:val="bottom"/>
            <w:tcBorders>
              <w:bottom w:val="single" w:sz="8" w:color="FF160F"/>
            </w:tcBorders>
          </w:tcPr>
          <w:p>
            <w:pPr>
              <w:spacing w:after="0" w:line="20" w:lineRule="exact"/>
              <w:rPr>
                <w:sz w:val="1"/>
                <w:szCs w:val="1"/>
                <w:color w:val="auto"/>
              </w:rPr>
            </w:pPr>
          </w:p>
        </w:tc>
        <w:tc>
          <w:tcPr>
            <w:tcW w:w="180" w:type="dxa"/>
            <w:vAlign w:val="bottom"/>
            <w:tcBorders>
              <w:bottom w:val="single" w:sz="8" w:color="FF160F"/>
            </w:tcBorders>
          </w:tcPr>
          <w:p>
            <w:pPr>
              <w:spacing w:after="0" w:line="20" w:lineRule="exact"/>
              <w:rPr>
                <w:sz w:val="1"/>
                <w:szCs w:val="1"/>
                <w:color w:val="auto"/>
              </w:rPr>
            </w:pPr>
          </w:p>
        </w:tc>
        <w:tc>
          <w:tcPr>
            <w:tcW w:w="1180" w:type="dxa"/>
            <w:vAlign w:val="bottom"/>
            <w:tcBorders>
              <w:bottom w:val="single" w:sz="8" w:color="FF160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100" w:type="dxa"/>
            <w:vAlign w:val="bottom"/>
            <w:gridSpan w:val="29"/>
          </w:tcPr>
          <w:p>
            <w:pPr>
              <w:spacing w:after="0" w:line="156" w:lineRule="exact"/>
              <w:rPr>
                <w:sz w:val="20"/>
                <w:szCs w:val="20"/>
                <w:color w:val="auto"/>
              </w:rPr>
            </w:pPr>
            <w:r>
              <w:rPr>
                <w:rFonts w:ascii="Arial" w:cs="Arial" w:eastAsia="Arial" w:hAnsi="Arial"/>
                <w:sz w:val="18"/>
                <w:szCs w:val="18"/>
                <w:color w:val="0000EE"/>
              </w:rPr>
              <w:t>Setting 2023 Target Compensation</w:t>
            </w:r>
          </w:p>
        </w:tc>
        <w:tc>
          <w:tcPr>
            <w:tcW w:w="1180" w:type="dxa"/>
            <w:vAlign w:val="bottom"/>
          </w:tcPr>
          <w:p>
            <w:pPr>
              <w:jc w:val="right"/>
              <w:ind w:right="210"/>
              <w:spacing w:after="0" w:line="15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83"/>
        </w:trPr>
        <w:tc>
          <w:tcPr>
            <w:tcW w:w="2780" w:type="dxa"/>
            <w:vAlign w:val="bottom"/>
            <w:tcBorders>
              <w:top w:val="single" w:sz="8" w:color="0000EE"/>
            </w:tcBorders>
            <w:gridSpan w:val="18"/>
          </w:tcPr>
          <w:p>
            <w:pPr>
              <w:spacing w:after="0" w:line="182" w:lineRule="exact"/>
              <w:rPr>
                <w:sz w:val="20"/>
                <w:szCs w:val="20"/>
                <w:color w:val="auto"/>
              </w:rPr>
            </w:pPr>
            <w:r>
              <w:rPr>
                <w:rFonts w:ascii="Arial" w:cs="Arial" w:eastAsia="Arial" w:hAnsi="Arial"/>
                <w:sz w:val="18"/>
                <w:szCs w:val="18"/>
                <w:color w:val="0000EE"/>
              </w:rPr>
              <w:t>Individual Elements of 2023 Pay</w:t>
            </w:r>
          </w:p>
        </w:tc>
        <w:tc>
          <w:tcPr>
            <w:tcW w:w="80" w:type="dxa"/>
            <w:vAlign w:val="bottom"/>
            <w:gridSpan w:val="2"/>
          </w:tcPr>
          <w:p>
            <w:pPr>
              <w:spacing w:after="0"/>
              <w:rPr>
                <w:sz w:val="15"/>
                <w:szCs w:val="15"/>
                <w:color w:val="auto"/>
              </w:rPr>
            </w:pPr>
          </w:p>
        </w:tc>
        <w:tc>
          <w:tcPr>
            <w:tcW w:w="220" w:type="dxa"/>
            <w:vAlign w:val="bottom"/>
            <w:gridSpan w:val="3"/>
          </w:tcPr>
          <w:p>
            <w:pPr>
              <w:spacing w:after="0"/>
              <w:rPr>
                <w:sz w:val="15"/>
                <w:szCs w:val="15"/>
                <w:color w:val="auto"/>
              </w:rPr>
            </w:pPr>
          </w:p>
        </w:tc>
        <w:tc>
          <w:tcPr>
            <w:tcW w:w="46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right"/>
              <w:ind w:right="210"/>
              <w:spacing w:after="0" w:line="182"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83"/>
        </w:trPr>
        <w:tc>
          <w:tcPr>
            <w:tcW w:w="18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780" w:type="dxa"/>
            <w:vAlign w:val="bottom"/>
            <w:tcBorders>
              <w:top w:val="single" w:sz="8" w:color="0000EE"/>
              <w:bottom w:val="single" w:sz="8" w:color="0000EE"/>
            </w:tcBorders>
            <w:gridSpan w:val="2"/>
          </w:tcPr>
          <w:p>
            <w:pPr>
              <w:spacing w:after="0" w:line="182" w:lineRule="exact"/>
              <w:rPr>
                <w:sz w:val="20"/>
                <w:szCs w:val="20"/>
                <w:color w:val="auto"/>
              </w:rPr>
            </w:pPr>
            <w:r>
              <w:rPr>
                <w:rFonts w:ascii="Arial" w:cs="Arial" w:eastAsia="Arial" w:hAnsi="Arial"/>
                <w:sz w:val="18"/>
                <w:szCs w:val="18"/>
                <w:i w:val="1"/>
                <w:iCs w:val="1"/>
                <w:color w:val="0000EE"/>
                <w:w w:val="98"/>
              </w:rPr>
              <w:t>Base Pay</w:t>
            </w:r>
          </w:p>
        </w:tc>
        <w:tc>
          <w:tcPr>
            <w:tcW w:w="1440" w:type="dxa"/>
            <w:vAlign w:val="bottom"/>
            <w:tcBorders>
              <w:top w:val="single" w:sz="8" w:color="0000EE"/>
            </w:tcBorders>
            <w:gridSpan w:val="9"/>
          </w:tcPr>
          <w:p>
            <w:pPr>
              <w:spacing w:after="0"/>
              <w:rPr>
                <w:sz w:val="15"/>
                <w:szCs w:val="15"/>
                <w:color w:val="auto"/>
              </w:rPr>
            </w:pPr>
          </w:p>
        </w:tc>
        <w:tc>
          <w:tcPr>
            <w:tcW w:w="120" w:type="dxa"/>
            <w:vAlign w:val="bottom"/>
            <w:gridSpan w:val="3"/>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gridSpan w:val="3"/>
          </w:tcPr>
          <w:p>
            <w:pPr>
              <w:spacing w:after="0"/>
              <w:rPr>
                <w:sz w:val="15"/>
                <w:szCs w:val="15"/>
                <w:color w:val="auto"/>
              </w:rPr>
            </w:pPr>
          </w:p>
        </w:tc>
        <w:tc>
          <w:tcPr>
            <w:tcW w:w="220" w:type="dxa"/>
            <w:vAlign w:val="bottom"/>
            <w:gridSpan w:val="3"/>
          </w:tcPr>
          <w:p>
            <w:pPr>
              <w:spacing w:after="0"/>
              <w:rPr>
                <w:sz w:val="15"/>
                <w:szCs w:val="15"/>
                <w:color w:val="auto"/>
              </w:rPr>
            </w:pPr>
          </w:p>
        </w:tc>
        <w:tc>
          <w:tcPr>
            <w:tcW w:w="46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right"/>
              <w:ind w:right="210"/>
              <w:spacing w:after="0" w:line="182"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83"/>
        </w:trPr>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740" w:type="dxa"/>
            <w:vAlign w:val="bottom"/>
            <w:gridSpan w:val="27"/>
          </w:tcPr>
          <w:p>
            <w:pPr>
              <w:spacing w:after="0" w:line="182" w:lineRule="exact"/>
              <w:rPr>
                <w:sz w:val="20"/>
                <w:szCs w:val="20"/>
                <w:color w:val="auto"/>
              </w:rPr>
            </w:pPr>
            <w:r>
              <w:rPr>
                <w:rFonts w:ascii="Arial" w:cs="Arial" w:eastAsia="Arial" w:hAnsi="Arial"/>
                <w:sz w:val="18"/>
                <w:szCs w:val="18"/>
                <w:i w:val="1"/>
                <w:iCs w:val="1"/>
                <w:color w:val="0000EE"/>
              </w:rPr>
              <w:t>Annual Bonus Program</w:t>
            </w:r>
          </w:p>
        </w:tc>
        <w:tc>
          <w:tcPr>
            <w:tcW w:w="1180" w:type="dxa"/>
            <w:vAlign w:val="bottom"/>
          </w:tcPr>
          <w:p>
            <w:pPr>
              <w:jc w:val="right"/>
              <w:ind w:right="210"/>
              <w:spacing w:after="0" w:line="182"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vMerge w:val="restart"/>
          </w:tcPr>
          <w:p>
            <w:pPr>
              <w:jc w:val="right"/>
              <w:ind w:right="210"/>
              <w:spacing w:after="0" w:line="202" w:lineRule="exact"/>
              <w:rPr>
                <w:sz w:val="20"/>
                <w:szCs w:val="20"/>
                <w:color w:val="auto"/>
              </w:rPr>
            </w:pPr>
            <w:r>
              <w:rPr>
                <w:rFonts w:ascii="Arial" w:cs="Arial" w:eastAsia="Arial" w:hAnsi="Arial"/>
                <w:sz w:val="18"/>
                <w:szCs w:val="18"/>
                <w:color w:val="auto"/>
              </w:rPr>
              <w:t>24</w:t>
            </w:r>
          </w:p>
        </w:tc>
        <w:tc>
          <w:tcPr>
            <w:tcW w:w="0" w:type="dxa"/>
            <w:vAlign w:val="bottom"/>
          </w:tcPr>
          <w:p>
            <w:pPr>
              <w:spacing w:after="0" w:line="20" w:lineRule="exact"/>
              <w:rPr>
                <w:sz w:val="1"/>
                <w:szCs w:val="1"/>
                <w:color w:val="auto"/>
              </w:rPr>
            </w:pPr>
          </w:p>
        </w:tc>
      </w:tr>
      <w:tr>
        <w:trPr>
          <w:trHeight w:val="183"/>
        </w:trPr>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380" w:type="dxa"/>
            <w:vAlign w:val="bottom"/>
            <w:tcBorders>
              <w:bottom w:val="single" w:sz="8" w:color="0000EE"/>
            </w:tcBorders>
            <w:gridSpan w:val="15"/>
          </w:tcPr>
          <w:p>
            <w:pPr>
              <w:spacing w:after="0" w:line="182" w:lineRule="exact"/>
              <w:rPr>
                <w:sz w:val="20"/>
                <w:szCs w:val="20"/>
                <w:color w:val="auto"/>
              </w:rPr>
            </w:pPr>
            <w:r>
              <w:rPr>
                <w:rFonts w:ascii="Arial" w:cs="Arial" w:eastAsia="Arial" w:hAnsi="Arial"/>
                <w:sz w:val="18"/>
                <w:szCs w:val="18"/>
                <w:i w:val="1"/>
                <w:iCs w:val="1"/>
                <w:color w:val="0000EE"/>
                <w:w w:val="98"/>
              </w:rPr>
              <w:t>Long-Term Incentive Program</w:t>
            </w:r>
          </w:p>
        </w:tc>
        <w:tc>
          <w:tcPr>
            <w:tcW w:w="1360" w:type="dxa"/>
            <w:vAlign w:val="bottom"/>
            <w:gridSpan w:val="12"/>
          </w:tcPr>
          <w:p>
            <w:pPr>
              <w:spacing w:after="0"/>
              <w:rPr>
                <w:sz w:val="15"/>
                <w:szCs w:val="15"/>
                <w:color w:val="auto"/>
              </w:rPr>
            </w:pP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18"/>
        </w:trPr>
        <w:tc>
          <w:tcPr>
            <w:tcW w:w="4100" w:type="dxa"/>
            <w:vAlign w:val="bottom"/>
            <w:gridSpan w:val="29"/>
          </w:tcPr>
          <w:p>
            <w:pPr>
              <w:spacing w:after="0"/>
              <w:rPr>
                <w:sz w:val="20"/>
                <w:szCs w:val="20"/>
                <w:color w:val="auto"/>
              </w:rPr>
            </w:pPr>
            <w:r>
              <w:rPr>
                <w:rFonts w:ascii="Arial" w:cs="Arial" w:eastAsia="Arial" w:hAnsi="Arial"/>
                <w:sz w:val="18"/>
                <w:szCs w:val="18"/>
                <w:b w:val="1"/>
                <w:bCs w:val="1"/>
                <w:color w:val="0000EE"/>
              </w:rPr>
              <w:t>2023 NEO Performance Summary</w:t>
            </w:r>
          </w:p>
        </w:tc>
        <w:tc>
          <w:tcPr>
            <w:tcW w:w="1180" w:type="dxa"/>
            <w:vAlign w:val="bottom"/>
          </w:tcPr>
          <w:p>
            <w:pPr>
              <w:jc w:val="right"/>
              <w:ind w:right="210"/>
              <w:spacing w:after="0"/>
              <w:rPr>
                <w:sz w:val="20"/>
                <w:szCs w:val="20"/>
                <w:color w:val="auto"/>
              </w:rPr>
            </w:pPr>
            <w:r>
              <w:rPr>
                <w:rFonts w:ascii="Arial" w:cs="Arial" w:eastAsia="Arial" w:hAnsi="Arial"/>
                <w:sz w:val="18"/>
                <w:szCs w:val="18"/>
                <w:b w:val="1"/>
                <w:bCs w:val="1"/>
                <w:color w:val="auto"/>
              </w:rPr>
              <w:t>26</w:t>
            </w:r>
          </w:p>
        </w:tc>
        <w:tc>
          <w:tcPr>
            <w:tcW w:w="0" w:type="dxa"/>
            <w:vAlign w:val="bottom"/>
          </w:tcPr>
          <w:p>
            <w:pPr>
              <w:spacing w:after="0"/>
              <w:rPr>
                <w:sz w:val="1"/>
                <w:szCs w:val="1"/>
                <w:color w:val="auto"/>
              </w:rPr>
            </w:pPr>
          </w:p>
        </w:tc>
      </w:tr>
      <w:tr>
        <w:trPr>
          <w:trHeight w:val="20"/>
        </w:trPr>
        <w:tc>
          <w:tcPr>
            <w:tcW w:w="180" w:type="dxa"/>
            <w:vAlign w:val="bottom"/>
            <w:tcBorders>
              <w:top w:val="single" w:sz="8" w:color="0000EE"/>
              <w:bottom w:val="single" w:sz="8" w:color="FF160F"/>
            </w:tcBorders>
          </w:tcPr>
          <w:p>
            <w:pPr>
              <w:spacing w:after="0" w:line="20" w:lineRule="exact"/>
              <w:rPr>
                <w:sz w:val="1"/>
                <w:szCs w:val="1"/>
                <w:color w:val="auto"/>
              </w:rPr>
            </w:pPr>
          </w:p>
        </w:tc>
        <w:tc>
          <w:tcPr>
            <w:tcW w:w="180" w:type="dxa"/>
            <w:vAlign w:val="bottom"/>
            <w:tcBorders>
              <w:top w:val="single" w:sz="8" w:color="0000EE"/>
              <w:bottom w:val="single" w:sz="8" w:color="FF160F"/>
            </w:tcBorders>
          </w:tcPr>
          <w:p>
            <w:pPr>
              <w:spacing w:after="0" w:line="20" w:lineRule="exact"/>
              <w:rPr>
                <w:sz w:val="1"/>
                <w:szCs w:val="1"/>
                <w:color w:val="auto"/>
              </w:rPr>
            </w:pPr>
          </w:p>
        </w:tc>
        <w:tc>
          <w:tcPr>
            <w:tcW w:w="680" w:type="dxa"/>
            <w:vAlign w:val="bottom"/>
            <w:tcBorders>
              <w:top w:val="single" w:sz="8" w:color="0000EE"/>
              <w:bottom w:val="single" w:sz="8" w:color="FF160F"/>
            </w:tcBorders>
          </w:tcPr>
          <w:p>
            <w:pPr>
              <w:spacing w:after="0" w:line="20" w:lineRule="exact"/>
              <w:rPr>
                <w:sz w:val="1"/>
                <w:szCs w:val="1"/>
                <w:color w:val="auto"/>
              </w:rPr>
            </w:pPr>
          </w:p>
        </w:tc>
        <w:tc>
          <w:tcPr>
            <w:tcW w:w="100" w:type="dxa"/>
            <w:vAlign w:val="bottom"/>
            <w:tcBorders>
              <w:top w:val="single" w:sz="8" w:color="0000EE"/>
              <w:bottom w:val="single" w:sz="8" w:color="FF160F"/>
            </w:tcBorders>
          </w:tcPr>
          <w:p>
            <w:pPr>
              <w:spacing w:after="0" w:line="20" w:lineRule="exact"/>
              <w:rPr>
                <w:sz w:val="1"/>
                <w:szCs w:val="1"/>
                <w:color w:val="auto"/>
              </w:rPr>
            </w:pPr>
          </w:p>
        </w:tc>
        <w:tc>
          <w:tcPr>
            <w:tcW w:w="180" w:type="dxa"/>
            <w:vAlign w:val="bottom"/>
            <w:tcBorders>
              <w:top w:val="single" w:sz="8" w:color="0000EE"/>
              <w:bottom w:val="single" w:sz="8" w:color="FF160F"/>
            </w:tcBorders>
          </w:tcPr>
          <w:p>
            <w:pPr>
              <w:spacing w:after="0" w:line="20" w:lineRule="exact"/>
              <w:rPr>
                <w:sz w:val="1"/>
                <w:szCs w:val="1"/>
                <w:color w:val="auto"/>
              </w:rPr>
            </w:pPr>
          </w:p>
        </w:tc>
        <w:tc>
          <w:tcPr>
            <w:tcW w:w="360" w:type="dxa"/>
            <w:vAlign w:val="bottom"/>
            <w:tcBorders>
              <w:top w:val="single" w:sz="8" w:color="0000EE"/>
              <w:bottom w:val="single" w:sz="8" w:color="FF160F"/>
            </w:tcBorders>
          </w:tcPr>
          <w:p>
            <w:pPr>
              <w:spacing w:after="0" w:line="20" w:lineRule="exact"/>
              <w:rPr>
                <w:sz w:val="1"/>
                <w:szCs w:val="1"/>
                <w:color w:val="auto"/>
              </w:rPr>
            </w:pPr>
          </w:p>
        </w:tc>
        <w:tc>
          <w:tcPr>
            <w:tcW w:w="120" w:type="dxa"/>
            <w:vAlign w:val="bottom"/>
            <w:tcBorders>
              <w:top w:val="single" w:sz="8" w:color="0000EE"/>
              <w:bottom w:val="single" w:sz="8" w:color="FF160F"/>
            </w:tcBorders>
          </w:tcPr>
          <w:p>
            <w:pPr>
              <w:spacing w:after="0" w:line="20" w:lineRule="exact"/>
              <w:rPr>
                <w:sz w:val="1"/>
                <w:szCs w:val="1"/>
                <w:color w:val="auto"/>
              </w:rPr>
            </w:pPr>
          </w:p>
        </w:tc>
        <w:tc>
          <w:tcPr>
            <w:tcW w:w="380" w:type="dxa"/>
            <w:vAlign w:val="bottom"/>
            <w:tcBorders>
              <w:top w:val="single" w:sz="8" w:color="0000EE"/>
              <w:bottom w:val="single" w:sz="8" w:color="FF160F"/>
            </w:tcBorders>
          </w:tcPr>
          <w:p>
            <w:pPr>
              <w:spacing w:after="0" w:line="20" w:lineRule="exact"/>
              <w:rPr>
                <w:sz w:val="1"/>
                <w:szCs w:val="1"/>
                <w:color w:val="auto"/>
              </w:rPr>
            </w:pPr>
          </w:p>
        </w:tc>
        <w:tc>
          <w:tcPr>
            <w:tcW w:w="40" w:type="dxa"/>
            <w:vAlign w:val="bottom"/>
            <w:tcBorders>
              <w:top w:val="single" w:sz="8" w:color="0000EE"/>
              <w:bottom w:val="single" w:sz="8" w:color="FF160F"/>
            </w:tcBorders>
          </w:tcPr>
          <w:p>
            <w:pPr>
              <w:spacing w:after="0" w:line="20" w:lineRule="exact"/>
              <w:rPr>
                <w:sz w:val="1"/>
                <w:szCs w:val="1"/>
                <w:color w:val="auto"/>
              </w:rPr>
            </w:pPr>
          </w:p>
        </w:tc>
        <w:tc>
          <w:tcPr>
            <w:tcW w:w="20" w:type="dxa"/>
            <w:vAlign w:val="bottom"/>
            <w:tcBorders>
              <w:top w:val="single" w:sz="8" w:color="0000EE"/>
              <w:bottom w:val="single" w:sz="8" w:color="FF160F"/>
            </w:tcBorders>
          </w:tcPr>
          <w:p>
            <w:pPr>
              <w:spacing w:after="0" w:line="20" w:lineRule="exact"/>
              <w:rPr>
                <w:sz w:val="1"/>
                <w:szCs w:val="1"/>
                <w:color w:val="auto"/>
              </w:rPr>
            </w:pPr>
          </w:p>
        </w:tc>
        <w:tc>
          <w:tcPr>
            <w:tcW w:w="60" w:type="dxa"/>
            <w:vAlign w:val="bottom"/>
            <w:tcBorders>
              <w:top w:val="single" w:sz="8" w:color="0000EE"/>
              <w:bottom w:val="single" w:sz="8" w:color="FF160F"/>
            </w:tcBorders>
          </w:tcPr>
          <w:p>
            <w:pPr>
              <w:spacing w:after="0" w:line="20" w:lineRule="exact"/>
              <w:rPr>
                <w:sz w:val="1"/>
                <w:szCs w:val="1"/>
                <w:color w:val="auto"/>
              </w:rPr>
            </w:pPr>
          </w:p>
        </w:tc>
        <w:tc>
          <w:tcPr>
            <w:tcW w:w="140" w:type="dxa"/>
            <w:vAlign w:val="bottom"/>
            <w:tcBorders>
              <w:top w:val="single" w:sz="8" w:color="0000EE"/>
              <w:bottom w:val="single" w:sz="8" w:color="FF160F"/>
            </w:tcBorders>
          </w:tcPr>
          <w:p>
            <w:pPr>
              <w:spacing w:after="0" w:line="20" w:lineRule="exact"/>
              <w:rPr>
                <w:sz w:val="1"/>
                <w:szCs w:val="1"/>
                <w:color w:val="auto"/>
              </w:rPr>
            </w:pPr>
          </w:p>
        </w:tc>
        <w:tc>
          <w:tcPr>
            <w:tcW w:w="140" w:type="dxa"/>
            <w:vAlign w:val="bottom"/>
            <w:tcBorders>
              <w:top w:val="single" w:sz="8" w:color="0000EE"/>
              <w:bottom w:val="single" w:sz="8" w:color="FF160F"/>
            </w:tcBorders>
          </w:tcPr>
          <w:p>
            <w:pPr>
              <w:spacing w:after="0" w:line="20" w:lineRule="exact"/>
              <w:rPr>
                <w:sz w:val="1"/>
                <w:szCs w:val="1"/>
                <w:color w:val="auto"/>
              </w:rPr>
            </w:pPr>
          </w:p>
        </w:tc>
        <w:tc>
          <w:tcPr>
            <w:tcW w:w="20" w:type="dxa"/>
            <w:vAlign w:val="bottom"/>
            <w:tcBorders>
              <w:top w:val="single" w:sz="8" w:color="0000EE"/>
              <w:bottom w:val="single" w:sz="8" w:color="FF160F"/>
            </w:tcBorders>
          </w:tcPr>
          <w:p>
            <w:pPr>
              <w:spacing w:after="0" w:line="20" w:lineRule="exact"/>
              <w:rPr>
                <w:sz w:val="1"/>
                <w:szCs w:val="1"/>
                <w:color w:val="auto"/>
              </w:rPr>
            </w:pPr>
          </w:p>
        </w:tc>
        <w:tc>
          <w:tcPr>
            <w:tcW w:w="60" w:type="dxa"/>
            <w:vAlign w:val="bottom"/>
            <w:tcBorders>
              <w:top w:val="single" w:sz="8" w:color="0000EE"/>
              <w:bottom w:val="single" w:sz="8" w:color="FF160F"/>
            </w:tcBorders>
          </w:tcPr>
          <w:p>
            <w:pPr>
              <w:spacing w:after="0" w:line="20" w:lineRule="exact"/>
              <w:rPr>
                <w:sz w:val="1"/>
                <w:szCs w:val="1"/>
                <w:color w:val="auto"/>
              </w:rPr>
            </w:pPr>
          </w:p>
        </w:tc>
        <w:tc>
          <w:tcPr>
            <w:tcW w:w="40" w:type="dxa"/>
            <w:vAlign w:val="bottom"/>
            <w:tcBorders>
              <w:top w:val="single" w:sz="8" w:color="0000EE"/>
              <w:bottom w:val="single" w:sz="8" w:color="FF160F"/>
            </w:tcBorders>
          </w:tcPr>
          <w:p>
            <w:pPr>
              <w:spacing w:after="0" w:line="20" w:lineRule="exact"/>
              <w:rPr>
                <w:sz w:val="1"/>
                <w:szCs w:val="1"/>
                <w:color w:val="auto"/>
              </w:rPr>
            </w:pPr>
          </w:p>
        </w:tc>
        <w:tc>
          <w:tcPr>
            <w:tcW w:w="40" w:type="dxa"/>
            <w:vAlign w:val="bottom"/>
            <w:tcBorders>
              <w:top w:val="single" w:sz="8" w:color="0000EE"/>
              <w:bottom w:val="single" w:sz="8" w:color="FF160F"/>
            </w:tcBorders>
          </w:tcPr>
          <w:p>
            <w:pPr>
              <w:spacing w:after="0" w:line="20" w:lineRule="exact"/>
              <w:rPr>
                <w:sz w:val="1"/>
                <w:szCs w:val="1"/>
                <w:color w:val="auto"/>
              </w:rPr>
            </w:pPr>
          </w:p>
        </w:tc>
        <w:tc>
          <w:tcPr>
            <w:tcW w:w="40" w:type="dxa"/>
            <w:vAlign w:val="bottom"/>
            <w:tcBorders>
              <w:top w:val="single" w:sz="8" w:color="0000EE"/>
              <w:bottom w:val="single" w:sz="8" w:color="FF160F"/>
            </w:tcBorders>
          </w:tcPr>
          <w:p>
            <w:pPr>
              <w:spacing w:after="0" w:line="20" w:lineRule="exact"/>
              <w:rPr>
                <w:sz w:val="1"/>
                <w:szCs w:val="1"/>
                <w:color w:val="auto"/>
              </w:rPr>
            </w:pPr>
          </w:p>
        </w:tc>
        <w:tc>
          <w:tcPr>
            <w:tcW w:w="20" w:type="dxa"/>
            <w:vAlign w:val="bottom"/>
            <w:tcBorders>
              <w:top w:val="single" w:sz="8" w:color="0000EE"/>
              <w:bottom w:val="single" w:sz="8" w:color="FF160F"/>
            </w:tcBorders>
          </w:tcPr>
          <w:p>
            <w:pPr>
              <w:spacing w:after="0" w:line="20" w:lineRule="exact"/>
              <w:rPr>
                <w:sz w:val="1"/>
                <w:szCs w:val="1"/>
                <w:color w:val="auto"/>
              </w:rPr>
            </w:pPr>
          </w:p>
        </w:tc>
        <w:tc>
          <w:tcPr>
            <w:tcW w:w="60" w:type="dxa"/>
            <w:vAlign w:val="bottom"/>
            <w:tcBorders>
              <w:top w:val="single" w:sz="8" w:color="0000EE"/>
              <w:bottom w:val="single" w:sz="8" w:color="FF160F"/>
            </w:tcBorders>
          </w:tcPr>
          <w:p>
            <w:pPr>
              <w:spacing w:after="0" w:line="20" w:lineRule="exact"/>
              <w:rPr>
                <w:sz w:val="1"/>
                <w:szCs w:val="1"/>
                <w:color w:val="auto"/>
              </w:rPr>
            </w:pPr>
          </w:p>
        </w:tc>
        <w:tc>
          <w:tcPr>
            <w:tcW w:w="80" w:type="dxa"/>
            <w:vAlign w:val="bottom"/>
            <w:tcBorders>
              <w:bottom w:val="single" w:sz="8" w:color="FF160F"/>
            </w:tcBorders>
          </w:tcPr>
          <w:p>
            <w:pPr>
              <w:spacing w:after="0" w:line="20" w:lineRule="exact"/>
              <w:rPr>
                <w:sz w:val="1"/>
                <w:szCs w:val="1"/>
                <w:color w:val="auto"/>
              </w:rPr>
            </w:pPr>
          </w:p>
        </w:tc>
        <w:tc>
          <w:tcPr>
            <w:tcW w:w="60" w:type="dxa"/>
            <w:vAlign w:val="bottom"/>
            <w:tcBorders>
              <w:bottom w:val="single" w:sz="8" w:color="FF160F"/>
            </w:tcBorders>
          </w:tcPr>
          <w:p>
            <w:pPr>
              <w:spacing w:after="0" w:line="20" w:lineRule="exact"/>
              <w:rPr>
                <w:sz w:val="1"/>
                <w:szCs w:val="1"/>
                <w:color w:val="auto"/>
              </w:rPr>
            </w:pPr>
          </w:p>
        </w:tc>
        <w:tc>
          <w:tcPr>
            <w:tcW w:w="80" w:type="dxa"/>
            <w:vAlign w:val="bottom"/>
            <w:tcBorders>
              <w:bottom w:val="single" w:sz="8" w:color="FF160F"/>
            </w:tcBorders>
          </w:tcPr>
          <w:p>
            <w:pPr>
              <w:spacing w:after="0" w:line="20" w:lineRule="exact"/>
              <w:rPr>
                <w:sz w:val="1"/>
                <w:szCs w:val="1"/>
                <w:color w:val="auto"/>
              </w:rPr>
            </w:pPr>
          </w:p>
        </w:tc>
        <w:tc>
          <w:tcPr>
            <w:tcW w:w="60" w:type="dxa"/>
            <w:vAlign w:val="bottom"/>
            <w:tcBorders>
              <w:bottom w:val="single" w:sz="8" w:color="FF160F"/>
            </w:tcBorders>
          </w:tcPr>
          <w:p>
            <w:pPr>
              <w:spacing w:after="0" w:line="20" w:lineRule="exact"/>
              <w:rPr>
                <w:sz w:val="1"/>
                <w:szCs w:val="1"/>
                <w:color w:val="auto"/>
              </w:rPr>
            </w:pPr>
          </w:p>
        </w:tc>
        <w:tc>
          <w:tcPr>
            <w:tcW w:w="400" w:type="dxa"/>
            <w:vAlign w:val="bottom"/>
            <w:tcBorders>
              <w:bottom w:val="single" w:sz="8" w:color="FF160F"/>
            </w:tcBorders>
          </w:tcPr>
          <w:p>
            <w:pPr>
              <w:spacing w:after="0" w:line="20" w:lineRule="exact"/>
              <w:rPr>
                <w:sz w:val="1"/>
                <w:szCs w:val="1"/>
                <w:color w:val="auto"/>
              </w:rPr>
            </w:pPr>
          </w:p>
        </w:tc>
        <w:tc>
          <w:tcPr>
            <w:tcW w:w="80" w:type="dxa"/>
            <w:vAlign w:val="bottom"/>
            <w:tcBorders>
              <w:bottom w:val="single" w:sz="8" w:color="FF160F"/>
            </w:tcBorders>
          </w:tcPr>
          <w:p>
            <w:pPr>
              <w:spacing w:after="0" w:line="20" w:lineRule="exact"/>
              <w:rPr>
                <w:sz w:val="1"/>
                <w:szCs w:val="1"/>
                <w:color w:val="auto"/>
              </w:rPr>
            </w:pPr>
          </w:p>
        </w:tc>
        <w:tc>
          <w:tcPr>
            <w:tcW w:w="120" w:type="dxa"/>
            <w:vAlign w:val="bottom"/>
            <w:tcBorders>
              <w:bottom w:val="single" w:sz="8" w:color="FF160F"/>
            </w:tcBorders>
          </w:tcPr>
          <w:p>
            <w:pPr>
              <w:spacing w:after="0" w:line="20" w:lineRule="exact"/>
              <w:rPr>
                <w:sz w:val="1"/>
                <w:szCs w:val="1"/>
                <w:color w:val="auto"/>
              </w:rPr>
            </w:pPr>
          </w:p>
        </w:tc>
        <w:tc>
          <w:tcPr>
            <w:tcW w:w="180" w:type="dxa"/>
            <w:vAlign w:val="bottom"/>
            <w:tcBorders>
              <w:bottom w:val="single" w:sz="8" w:color="FF160F"/>
            </w:tcBorders>
          </w:tcPr>
          <w:p>
            <w:pPr>
              <w:spacing w:after="0" w:line="20" w:lineRule="exact"/>
              <w:rPr>
                <w:sz w:val="1"/>
                <w:szCs w:val="1"/>
                <w:color w:val="auto"/>
              </w:rPr>
            </w:pPr>
          </w:p>
        </w:tc>
        <w:tc>
          <w:tcPr>
            <w:tcW w:w="180" w:type="dxa"/>
            <w:vAlign w:val="bottom"/>
            <w:tcBorders>
              <w:bottom w:val="single" w:sz="8" w:color="FF160F"/>
            </w:tcBorders>
          </w:tcPr>
          <w:p>
            <w:pPr>
              <w:spacing w:after="0" w:line="20" w:lineRule="exact"/>
              <w:rPr>
                <w:sz w:val="1"/>
                <w:szCs w:val="1"/>
                <w:color w:val="auto"/>
              </w:rPr>
            </w:pPr>
          </w:p>
        </w:tc>
        <w:tc>
          <w:tcPr>
            <w:tcW w:w="1180" w:type="dxa"/>
            <w:vAlign w:val="bottom"/>
            <w:tcBorders>
              <w:bottom w:val="single" w:sz="8" w:color="FF160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4100" w:type="dxa"/>
            <w:vAlign w:val="bottom"/>
            <w:gridSpan w:val="29"/>
          </w:tcPr>
          <w:p>
            <w:pPr>
              <w:spacing w:after="0"/>
              <w:rPr>
                <w:sz w:val="20"/>
                <w:szCs w:val="20"/>
                <w:color w:val="auto"/>
              </w:rPr>
            </w:pPr>
            <w:r>
              <w:rPr>
                <w:rFonts w:ascii="Arial" w:cs="Arial" w:eastAsia="Arial" w:hAnsi="Arial"/>
                <w:sz w:val="18"/>
                <w:szCs w:val="18"/>
                <w:b w:val="1"/>
                <w:bCs w:val="1"/>
                <w:color w:val="0000EE"/>
              </w:rPr>
              <w:t>Other Compensation Practices and Policies</w:t>
            </w:r>
          </w:p>
        </w:tc>
        <w:tc>
          <w:tcPr>
            <w:tcW w:w="1180" w:type="dxa"/>
            <w:vAlign w:val="bottom"/>
          </w:tcPr>
          <w:p>
            <w:pPr>
              <w:jc w:val="right"/>
              <w:ind w:right="210"/>
              <w:spacing w:after="0"/>
              <w:rPr>
                <w:sz w:val="20"/>
                <w:szCs w:val="20"/>
                <w:color w:val="auto"/>
              </w:rPr>
            </w:pPr>
            <w:r>
              <w:rPr>
                <w:rFonts w:ascii="Arial" w:cs="Arial" w:eastAsia="Arial" w:hAnsi="Arial"/>
                <w:sz w:val="18"/>
                <w:szCs w:val="18"/>
                <w:b w:val="1"/>
                <w:bCs w:val="1"/>
                <w:color w:val="auto"/>
              </w:rPr>
              <w:t>28</w:t>
            </w:r>
          </w:p>
        </w:tc>
        <w:tc>
          <w:tcPr>
            <w:tcW w:w="0" w:type="dxa"/>
            <w:vAlign w:val="bottom"/>
          </w:tcPr>
          <w:p>
            <w:pPr>
              <w:spacing w:after="0"/>
              <w:rPr>
                <w:sz w:val="1"/>
                <w:szCs w:val="1"/>
                <w:color w:val="auto"/>
              </w:rPr>
            </w:pPr>
          </w:p>
        </w:tc>
      </w:tr>
      <w:tr>
        <w:trPr>
          <w:trHeight w:val="20"/>
        </w:trPr>
        <w:tc>
          <w:tcPr>
            <w:tcW w:w="180" w:type="dxa"/>
            <w:vAlign w:val="bottom"/>
            <w:tcBorders>
              <w:top w:val="single" w:sz="8" w:color="0000EE"/>
              <w:bottom w:val="single" w:sz="8" w:color="FF160F"/>
            </w:tcBorders>
          </w:tcPr>
          <w:p>
            <w:pPr>
              <w:spacing w:after="0" w:line="20" w:lineRule="exact"/>
              <w:rPr>
                <w:sz w:val="1"/>
                <w:szCs w:val="1"/>
                <w:color w:val="auto"/>
              </w:rPr>
            </w:pPr>
          </w:p>
        </w:tc>
        <w:tc>
          <w:tcPr>
            <w:tcW w:w="180" w:type="dxa"/>
            <w:vAlign w:val="bottom"/>
            <w:tcBorders>
              <w:top w:val="single" w:sz="8" w:color="0000EE"/>
              <w:bottom w:val="single" w:sz="8" w:color="FF160F"/>
            </w:tcBorders>
          </w:tcPr>
          <w:p>
            <w:pPr>
              <w:spacing w:after="0" w:line="20" w:lineRule="exact"/>
              <w:rPr>
                <w:sz w:val="1"/>
                <w:szCs w:val="1"/>
                <w:color w:val="auto"/>
              </w:rPr>
            </w:pPr>
          </w:p>
        </w:tc>
        <w:tc>
          <w:tcPr>
            <w:tcW w:w="680" w:type="dxa"/>
            <w:vAlign w:val="bottom"/>
            <w:tcBorders>
              <w:top w:val="single" w:sz="8" w:color="0000EE"/>
              <w:bottom w:val="single" w:sz="8" w:color="FF160F"/>
            </w:tcBorders>
          </w:tcPr>
          <w:p>
            <w:pPr>
              <w:spacing w:after="0" w:line="20" w:lineRule="exact"/>
              <w:rPr>
                <w:sz w:val="1"/>
                <w:szCs w:val="1"/>
                <w:color w:val="auto"/>
              </w:rPr>
            </w:pPr>
          </w:p>
        </w:tc>
        <w:tc>
          <w:tcPr>
            <w:tcW w:w="100" w:type="dxa"/>
            <w:vAlign w:val="bottom"/>
            <w:tcBorders>
              <w:top w:val="single" w:sz="8" w:color="0000EE"/>
              <w:bottom w:val="single" w:sz="8" w:color="FF160F"/>
            </w:tcBorders>
          </w:tcPr>
          <w:p>
            <w:pPr>
              <w:spacing w:after="0" w:line="20" w:lineRule="exact"/>
              <w:rPr>
                <w:sz w:val="1"/>
                <w:szCs w:val="1"/>
                <w:color w:val="auto"/>
              </w:rPr>
            </w:pPr>
          </w:p>
        </w:tc>
        <w:tc>
          <w:tcPr>
            <w:tcW w:w="180" w:type="dxa"/>
            <w:vAlign w:val="bottom"/>
            <w:tcBorders>
              <w:top w:val="single" w:sz="8" w:color="0000EE"/>
              <w:bottom w:val="single" w:sz="8" w:color="FF160F"/>
            </w:tcBorders>
          </w:tcPr>
          <w:p>
            <w:pPr>
              <w:spacing w:after="0" w:line="20" w:lineRule="exact"/>
              <w:rPr>
                <w:sz w:val="1"/>
                <w:szCs w:val="1"/>
                <w:color w:val="auto"/>
              </w:rPr>
            </w:pPr>
          </w:p>
        </w:tc>
        <w:tc>
          <w:tcPr>
            <w:tcW w:w="360" w:type="dxa"/>
            <w:vAlign w:val="bottom"/>
            <w:tcBorders>
              <w:top w:val="single" w:sz="8" w:color="0000EE"/>
              <w:bottom w:val="single" w:sz="8" w:color="FF160F"/>
            </w:tcBorders>
          </w:tcPr>
          <w:p>
            <w:pPr>
              <w:spacing w:after="0" w:line="20" w:lineRule="exact"/>
              <w:rPr>
                <w:sz w:val="1"/>
                <w:szCs w:val="1"/>
                <w:color w:val="auto"/>
              </w:rPr>
            </w:pPr>
          </w:p>
        </w:tc>
        <w:tc>
          <w:tcPr>
            <w:tcW w:w="120" w:type="dxa"/>
            <w:vAlign w:val="bottom"/>
            <w:tcBorders>
              <w:top w:val="single" w:sz="8" w:color="0000EE"/>
              <w:bottom w:val="single" w:sz="8" w:color="FF160F"/>
            </w:tcBorders>
          </w:tcPr>
          <w:p>
            <w:pPr>
              <w:spacing w:after="0" w:line="20" w:lineRule="exact"/>
              <w:rPr>
                <w:sz w:val="1"/>
                <w:szCs w:val="1"/>
                <w:color w:val="auto"/>
              </w:rPr>
            </w:pPr>
          </w:p>
        </w:tc>
        <w:tc>
          <w:tcPr>
            <w:tcW w:w="380" w:type="dxa"/>
            <w:vAlign w:val="bottom"/>
            <w:tcBorders>
              <w:top w:val="single" w:sz="8" w:color="0000EE"/>
              <w:bottom w:val="single" w:sz="8" w:color="FF160F"/>
            </w:tcBorders>
          </w:tcPr>
          <w:p>
            <w:pPr>
              <w:spacing w:after="0" w:line="20" w:lineRule="exact"/>
              <w:rPr>
                <w:sz w:val="1"/>
                <w:szCs w:val="1"/>
                <w:color w:val="auto"/>
              </w:rPr>
            </w:pPr>
          </w:p>
        </w:tc>
        <w:tc>
          <w:tcPr>
            <w:tcW w:w="40" w:type="dxa"/>
            <w:vAlign w:val="bottom"/>
            <w:tcBorders>
              <w:top w:val="single" w:sz="8" w:color="0000EE"/>
              <w:bottom w:val="single" w:sz="8" w:color="FF160F"/>
            </w:tcBorders>
          </w:tcPr>
          <w:p>
            <w:pPr>
              <w:spacing w:after="0" w:line="20" w:lineRule="exact"/>
              <w:rPr>
                <w:sz w:val="1"/>
                <w:szCs w:val="1"/>
                <w:color w:val="auto"/>
              </w:rPr>
            </w:pPr>
          </w:p>
        </w:tc>
        <w:tc>
          <w:tcPr>
            <w:tcW w:w="20" w:type="dxa"/>
            <w:vAlign w:val="bottom"/>
            <w:tcBorders>
              <w:top w:val="single" w:sz="8" w:color="0000EE"/>
              <w:bottom w:val="single" w:sz="8" w:color="FF160F"/>
            </w:tcBorders>
          </w:tcPr>
          <w:p>
            <w:pPr>
              <w:spacing w:after="0" w:line="20" w:lineRule="exact"/>
              <w:rPr>
                <w:sz w:val="1"/>
                <w:szCs w:val="1"/>
                <w:color w:val="auto"/>
              </w:rPr>
            </w:pPr>
          </w:p>
        </w:tc>
        <w:tc>
          <w:tcPr>
            <w:tcW w:w="60" w:type="dxa"/>
            <w:vAlign w:val="bottom"/>
            <w:tcBorders>
              <w:top w:val="single" w:sz="8" w:color="0000EE"/>
              <w:bottom w:val="single" w:sz="8" w:color="FF160F"/>
            </w:tcBorders>
          </w:tcPr>
          <w:p>
            <w:pPr>
              <w:spacing w:after="0" w:line="20" w:lineRule="exact"/>
              <w:rPr>
                <w:sz w:val="1"/>
                <w:szCs w:val="1"/>
                <w:color w:val="auto"/>
              </w:rPr>
            </w:pPr>
          </w:p>
        </w:tc>
        <w:tc>
          <w:tcPr>
            <w:tcW w:w="140" w:type="dxa"/>
            <w:vAlign w:val="bottom"/>
            <w:tcBorders>
              <w:top w:val="single" w:sz="8" w:color="0000EE"/>
              <w:bottom w:val="single" w:sz="8" w:color="FF160F"/>
            </w:tcBorders>
          </w:tcPr>
          <w:p>
            <w:pPr>
              <w:spacing w:after="0" w:line="20" w:lineRule="exact"/>
              <w:rPr>
                <w:sz w:val="1"/>
                <w:szCs w:val="1"/>
                <w:color w:val="auto"/>
              </w:rPr>
            </w:pPr>
          </w:p>
        </w:tc>
        <w:tc>
          <w:tcPr>
            <w:tcW w:w="140" w:type="dxa"/>
            <w:vAlign w:val="bottom"/>
            <w:tcBorders>
              <w:top w:val="single" w:sz="8" w:color="0000EE"/>
              <w:bottom w:val="single" w:sz="8" w:color="FF160F"/>
            </w:tcBorders>
          </w:tcPr>
          <w:p>
            <w:pPr>
              <w:spacing w:after="0" w:line="20" w:lineRule="exact"/>
              <w:rPr>
                <w:sz w:val="1"/>
                <w:szCs w:val="1"/>
                <w:color w:val="auto"/>
              </w:rPr>
            </w:pPr>
          </w:p>
        </w:tc>
        <w:tc>
          <w:tcPr>
            <w:tcW w:w="20" w:type="dxa"/>
            <w:vAlign w:val="bottom"/>
            <w:tcBorders>
              <w:top w:val="single" w:sz="8" w:color="0000EE"/>
              <w:bottom w:val="single" w:sz="8" w:color="FF160F"/>
            </w:tcBorders>
          </w:tcPr>
          <w:p>
            <w:pPr>
              <w:spacing w:after="0" w:line="20" w:lineRule="exact"/>
              <w:rPr>
                <w:sz w:val="1"/>
                <w:szCs w:val="1"/>
                <w:color w:val="auto"/>
              </w:rPr>
            </w:pPr>
          </w:p>
        </w:tc>
        <w:tc>
          <w:tcPr>
            <w:tcW w:w="60" w:type="dxa"/>
            <w:vAlign w:val="bottom"/>
            <w:tcBorders>
              <w:top w:val="single" w:sz="8" w:color="0000EE"/>
              <w:bottom w:val="single" w:sz="8" w:color="FF160F"/>
            </w:tcBorders>
          </w:tcPr>
          <w:p>
            <w:pPr>
              <w:spacing w:after="0" w:line="20" w:lineRule="exact"/>
              <w:rPr>
                <w:sz w:val="1"/>
                <w:szCs w:val="1"/>
                <w:color w:val="auto"/>
              </w:rPr>
            </w:pPr>
          </w:p>
        </w:tc>
        <w:tc>
          <w:tcPr>
            <w:tcW w:w="40" w:type="dxa"/>
            <w:vAlign w:val="bottom"/>
            <w:tcBorders>
              <w:top w:val="single" w:sz="8" w:color="0000EE"/>
              <w:bottom w:val="single" w:sz="8" w:color="FF160F"/>
            </w:tcBorders>
          </w:tcPr>
          <w:p>
            <w:pPr>
              <w:spacing w:after="0" w:line="20" w:lineRule="exact"/>
              <w:rPr>
                <w:sz w:val="1"/>
                <w:szCs w:val="1"/>
                <w:color w:val="auto"/>
              </w:rPr>
            </w:pPr>
          </w:p>
        </w:tc>
        <w:tc>
          <w:tcPr>
            <w:tcW w:w="40" w:type="dxa"/>
            <w:vAlign w:val="bottom"/>
            <w:tcBorders>
              <w:top w:val="single" w:sz="8" w:color="0000EE"/>
              <w:bottom w:val="single" w:sz="8" w:color="FF160F"/>
            </w:tcBorders>
          </w:tcPr>
          <w:p>
            <w:pPr>
              <w:spacing w:after="0" w:line="20" w:lineRule="exact"/>
              <w:rPr>
                <w:sz w:val="1"/>
                <w:szCs w:val="1"/>
                <w:color w:val="auto"/>
              </w:rPr>
            </w:pPr>
          </w:p>
        </w:tc>
        <w:tc>
          <w:tcPr>
            <w:tcW w:w="40" w:type="dxa"/>
            <w:vAlign w:val="bottom"/>
            <w:tcBorders>
              <w:top w:val="single" w:sz="8" w:color="0000EE"/>
              <w:bottom w:val="single" w:sz="8" w:color="FF160F"/>
            </w:tcBorders>
          </w:tcPr>
          <w:p>
            <w:pPr>
              <w:spacing w:after="0" w:line="20" w:lineRule="exact"/>
              <w:rPr>
                <w:sz w:val="1"/>
                <w:szCs w:val="1"/>
                <w:color w:val="auto"/>
              </w:rPr>
            </w:pPr>
          </w:p>
        </w:tc>
        <w:tc>
          <w:tcPr>
            <w:tcW w:w="20" w:type="dxa"/>
            <w:vAlign w:val="bottom"/>
            <w:tcBorders>
              <w:top w:val="single" w:sz="8" w:color="0000EE"/>
              <w:bottom w:val="single" w:sz="8" w:color="FF160F"/>
            </w:tcBorders>
          </w:tcPr>
          <w:p>
            <w:pPr>
              <w:spacing w:after="0" w:line="20" w:lineRule="exact"/>
              <w:rPr>
                <w:sz w:val="1"/>
                <w:szCs w:val="1"/>
                <w:color w:val="auto"/>
              </w:rPr>
            </w:pPr>
          </w:p>
        </w:tc>
        <w:tc>
          <w:tcPr>
            <w:tcW w:w="60" w:type="dxa"/>
            <w:vAlign w:val="bottom"/>
            <w:tcBorders>
              <w:top w:val="single" w:sz="8" w:color="0000EE"/>
              <w:bottom w:val="single" w:sz="8" w:color="FF160F"/>
            </w:tcBorders>
          </w:tcPr>
          <w:p>
            <w:pPr>
              <w:spacing w:after="0" w:line="20" w:lineRule="exact"/>
              <w:rPr>
                <w:sz w:val="1"/>
                <w:szCs w:val="1"/>
                <w:color w:val="auto"/>
              </w:rPr>
            </w:pPr>
          </w:p>
        </w:tc>
        <w:tc>
          <w:tcPr>
            <w:tcW w:w="80" w:type="dxa"/>
            <w:vAlign w:val="bottom"/>
            <w:tcBorders>
              <w:top w:val="single" w:sz="8" w:color="0000EE"/>
              <w:bottom w:val="single" w:sz="8" w:color="FF160F"/>
            </w:tcBorders>
          </w:tcPr>
          <w:p>
            <w:pPr>
              <w:spacing w:after="0" w:line="20" w:lineRule="exact"/>
              <w:rPr>
                <w:sz w:val="1"/>
                <w:szCs w:val="1"/>
                <w:color w:val="auto"/>
              </w:rPr>
            </w:pPr>
          </w:p>
        </w:tc>
        <w:tc>
          <w:tcPr>
            <w:tcW w:w="60" w:type="dxa"/>
            <w:vAlign w:val="bottom"/>
            <w:tcBorders>
              <w:top w:val="single" w:sz="8" w:color="0000EE"/>
              <w:bottom w:val="single" w:sz="8" w:color="FF160F"/>
            </w:tcBorders>
          </w:tcPr>
          <w:p>
            <w:pPr>
              <w:spacing w:after="0" w:line="20" w:lineRule="exact"/>
              <w:rPr>
                <w:sz w:val="1"/>
                <w:szCs w:val="1"/>
                <w:color w:val="auto"/>
              </w:rPr>
            </w:pPr>
          </w:p>
        </w:tc>
        <w:tc>
          <w:tcPr>
            <w:tcW w:w="80" w:type="dxa"/>
            <w:vAlign w:val="bottom"/>
            <w:tcBorders>
              <w:top w:val="single" w:sz="8" w:color="0000EE"/>
              <w:bottom w:val="single" w:sz="8" w:color="FF160F"/>
            </w:tcBorders>
          </w:tcPr>
          <w:p>
            <w:pPr>
              <w:spacing w:after="0" w:line="20" w:lineRule="exact"/>
              <w:rPr>
                <w:sz w:val="1"/>
                <w:szCs w:val="1"/>
                <w:color w:val="auto"/>
              </w:rPr>
            </w:pPr>
          </w:p>
        </w:tc>
        <w:tc>
          <w:tcPr>
            <w:tcW w:w="60" w:type="dxa"/>
            <w:vAlign w:val="bottom"/>
            <w:tcBorders>
              <w:top w:val="single" w:sz="8" w:color="0000EE"/>
              <w:bottom w:val="single" w:sz="8" w:color="FF160F"/>
            </w:tcBorders>
          </w:tcPr>
          <w:p>
            <w:pPr>
              <w:spacing w:after="0" w:line="20" w:lineRule="exact"/>
              <w:rPr>
                <w:sz w:val="1"/>
                <w:szCs w:val="1"/>
                <w:color w:val="auto"/>
              </w:rPr>
            </w:pPr>
          </w:p>
        </w:tc>
        <w:tc>
          <w:tcPr>
            <w:tcW w:w="400" w:type="dxa"/>
            <w:vAlign w:val="bottom"/>
            <w:tcBorders>
              <w:top w:val="single" w:sz="8" w:color="0000EE"/>
              <w:bottom w:val="single" w:sz="8" w:color="FF160F"/>
            </w:tcBorders>
          </w:tcPr>
          <w:p>
            <w:pPr>
              <w:spacing w:after="0" w:line="20" w:lineRule="exact"/>
              <w:rPr>
                <w:sz w:val="1"/>
                <w:szCs w:val="1"/>
                <w:color w:val="auto"/>
              </w:rPr>
            </w:pPr>
          </w:p>
        </w:tc>
        <w:tc>
          <w:tcPr>
            <w:tcW w:w="80" w:type="dxa"/>
            <w:vAlign w:val="bottom"/>
            <w:tcBorders>
              <w:top w:val="single" w:sz="8" w:color="0000EE"/>
              <w:bottom w:val="single" w:sz="8" w:color="FF160F"/>
            </w:tcBorders>
          </w:tcPr>
          <w:p>
            <w:pPr>
              <w:spacing w:after="0" w:line="20" w:lineRule="exact"/>
              <w:rPr>
                <w:sz w:val="1"/>
                <w:szCs w:val="1"/>
                <w:color w:val="auto"/>
              </w:rPr>
            </w:pPr>
          </w:p>
        </w:tc>
        <w:tc>
          <w:tcPr>
            <w:tcW w:w="120" w:type="dxa"/>
            <w:vAlign w:val="bottom"/>
            <w:tcBorders>
              <w:top w:val="single" w:sz="8" w:color="0000EE"/>
              <w:bottom w:val="single" w:sz="8" w:color="FF160F"/>
            </w:tcBorders>
          </w:tcPr>
          <w:p>
            <w:pPr>
              <w:spacing w:after="0" w:line="20" w:lineRule="exact"/>
              <w:rPr>
                <w:sz w:val="1"/>
                <w:szCs w:val="1"/>
                <w:color w:val="auto"/>
              </w:rPr>
            </w:pPr>
          </w:p>
        </w:tc>
        <w:tc>
          <w:tcPr>
            <w:tcW w:w="180" w:type="dxa"/>
            <w:vAlign w:val="bottom"/>
            <w:tcBorders>
              <w:bottom w:val="single" w:sz="8" w:color="FF160F"/>
            </w:tcBorders>
          </w:tcPr>
          <w:p>
            <w:pPr>
              <w:spacing w:after="0" w:line="20" w:lineRule="exact"/>
              <w:rPr>
                <w:sz w:val="1"/>
                <w:szCs w:val="1"/>
                <w:color w:val="auto"/>
              </w:rPr>
            </w:pPr>
          </w:p>
        </w:tc>
        <w:tc>
          <w:tcPr>
            <w:tcW w:w="180" w:type="dxa"/>
            <w:vAlign w:val="bottom"/>
            <w:tcBorders>
              <w:bottom w:val="single" w:sz="8" w:color="FF160F"/>
            </w:tcBorders>
          </w:tcPr>
          <w:p>
            <w:pPr>
              <w:spacing w:after="0" w:line="20" w:lineRule="exact"/>
              <w:rPr>
                <w:sz w:val="1"/>
                <w:szCs w:val="1"/>
                <w:color w:val="auto"/>
              </w:rPr>
            </w:pPr>
          </w:p>
        </w:tc>
        <w:tc>
          <w:tcPr>
            <w:tcW w:w="1180" w:type="dxa"/>
            <w:vAlign w:val="bottom"/>
            <w:tcBorders>
              <w:bottom w:val="single" w:sz="8" w:color="FF160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700" w:type="dxa"/>
            <w:vAlign w:val="bottom"/>
            <w:tcBorders>
              <w:bottom w:val="single" w:sz="8" w:color="0000EE"/>
            </w:tcBorders>
            <w:gridSpan w:val="16"/>
          </w:tcPr>
          <w:p>
            <w:pPr>
              <w:spacing w:after="0" w:line="156" w:lineRule="exact"/>
              <w:rPr>
                <w:sz w:val="20"/>
                <w:szCs w:val="20"/>
                <w:color w:val="auto"/>
              </w:rPr>
            </w:pPr>
            <w:r>
              <w:rPr>
                <w:rFonts w:ascii="Arial" w:cs="Arial" w:eastAsia="Arial" w:hAnsi="Arial"/>
                <w:sz w:val="18"/>
                <w:szCs w:val="18"/>
                <w:color w:val="0000EE"/>
                <w:w w:val="99"/>
              </w:rPr>
              <w:t>Consideration of Say on Pay Vote</w:t>
            </w:r>
          </w:p>
        </w:tc>
        <w:tc>
          <w:tcPr>
            <w:tcW w:w="1400" w:type="dxa"/>
            <w:vAlign w:val="bottom"/>
            <w:gridSpan w:val="13"/>
          </w:tcPr>
          <w:p>
            <w:pPr>
              <w:spacing w:after="0"/>
              <w:rPr>
                <w:sz w:val="13"/>
                <w:szCs w:val="13"/>
                <w:color w:val="auto"/>
              </w:rPr>
            </w:pPr>
          </w:p>
        </w:tc>
        <w:tc>
          <w:tcPr>
            <w:tcW w:w="1180" w:type="dxa"/>
            <w:vAlign w:val="bottom"/>
          </w:tcPr>
          <w:p>
            <w:pPr>
              <w:jc w:val="right"/>
              <w:ind w:right="210"/>
              <w:spacing w:after="0" w:line="15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83"/>
        </w:trPr>
        <w:tc>
          <w:tcPr>
            <w:tcW w:w="4100" w:type="dxa"/>
            <w:vAlign w:val="bottom"/>
            <w:gridSpan w:val="29"/>
          </w:tcPr>
          <w:p>
            <w:pPr>
              <w:spacing w:after="0" w:line="182" w:lineRule="exact"/>
              <w:rPr>
                <w:sz w:val="20"/>
                <w:szCs w:val="20"/>
                <w:color w:val="auto"/>
              </w:rPr>
            </w:pPr>
            <w:r>
              <w:rPr>
                <w:rFonts w:ascii="Arial" w:cs="Arial" w:eastAsia="Arial" w:hAnsi="Arial"/>
                <w:sz w:val="18"/>
                <w:szCs w:val="18"/>
                <w:color w:val="0000EE"/>
              </w:rPr>
              <w:t>No Hedging or Pledging of Our Shares</w:t>
            </w:r>
          </w:p>
        </w:tc>
        <w:tc>
          <w:tcPr>
            <w:tcW w:w="1180" w:type="dxa"/>
            <w:vAlign w:val="bottom"/>
          </w:tcPr>
          <w:p>
            <w:pPr>
              <w:jc w:val="right"/>
              <w:ind w:right="210"/>
              <w:spacing w:after="0" w:line="182"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1320" w:type="dxa"/>
            <w:vAlign w:val="bottom"/>
            <w:gridSpan w:val="5"/>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60" w:type="dxa"/>
            <w:vAlign w:val="bottom"/>
            <w:gridSpan w:val="9"/>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vMerge w:val="restart"/>
          </w:tcPr>
          <w:p>
            <w:pPr>
              <w:jc w:val="right"/>
              <w:ind w:right="210"/>
              <w:spacing w:after="0" w:line="202" w:lineRule="exact"/>
              <w:rPr>
                <w:sz w:val="20"/>
                <w:szCs w:val="20"/>
                <w:color w:val="auto"/>
              </w:rPr>
            </w:pPr>
            <w:r>
              <w:rPr>
                <w:rFonts w:ascii="Arial" w:cs="Arial" w:eastAsia="Arial" w:hAnsi="Arial"/>
                <w:sz w:val="18"/>
                <w:szCs w:val="18"/>
                <w:color w:val="auto"/>
              </w:rPr>
              <w:t>28</w:t>
            </w:r>
          </w:p>
        </w:tc>
        <w:tc>
          <w:tcPr>
            <w:tcW w:w="0" w:type="dxa"/>
            <w:vAlign w:val="bottom"/>
          </w:tcPr>
          <w:p>
            <w:pPr>
              <w:spacing w:after="0" w:line="20" w:lineRule="exact"/>
              <w:rPr>
                <w:sz w:val="1"/>
                <w:szCs w:val="1"/>
                <w:color w:val="auto"/>
              </w:rPr>
            </w:pPr>
          </w:p>
        </w:tc>
      </w:tr>
      <w:tr>
        <w:trPr>
          <w:trHeight w:val="182"/>
        </w:trPr>
        <w:tc>
          <w:tcPr>
            <w:tcW w:w="4100" w:type="dxa"/>
            <w:vAlign w:val="bottom"/>
            <w:gridSpan w:val="29"/>
          </w:tcPr>
          <w:p>
            <w:pPr>
              <w:spacing w:after="0" w:line="182" w:lineRule="exact"/>
              <w:rPr>
                <w:sz w:val="20"/>
                <w:szCs w:val="20"/>
                <w:color w:val="auto"/>
              </w:rPr>
            </w:pPr>
            <w:r>
              <w:rPr>
                <w:rFonts w:ascii="Arial" w:cs="Arial" w:eastAsia="Arial" w:hAnsi="Arial"/>
                <w:sz w:val="18"/>
                <w:szCs w:val="18"/>
                <w:color w:val="0000EE"/>
              </w:rPr>
              <w:t>Severance and Change-in-Control Arrangements</w:t>
            </w: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920" w:type="dxa"/>
            <w:vAlign w:val="bottom"/>
            <w:tcBorders>
              <w:top w:val="single" w:sz="8" w:color="0000EE"/>
            </w:tcBorders>
            <w:gridSpan w:val="28"/>
          </w:tcPr>
          <w:p>
            <w:pPr>
              <w:spacing w:after="0" w:line="182" w:lineRule="exact"/>
              <w:rPr>
                <w:sz w:val="20"/>
                <w:szCs w:val="20"/>
                <w:color w:val="auto"/>
              </w:rPr>
            </w:pPr>
            <w:r>
              <w:rPr>
                <w:rFonts w:ascii="Arial" w:cs="Arial" w:eastAsia="Arial" w:hAnsi="Arial"/>
                <w:sz w:val="18"/>
                <w:szCs w:val="18"/>
                <w:color w:val="0000EE"/>
              </w:rPr>
              <w:t>Clawback Policy</w:t>
            </w:r>
          </w:p>
        </w:tc>
        <w:tc>
          <w:tcPr>
            <w:tcW w:w="180" w:type="dxa"/>
            <w:vAlign w:val="bottom"/>
          </w:tcPr>
          <w:p>
            <w:pPr>
              <w:spacing w:after="0"/>
              <w:rPr>
                <w:sz w:val="15"/>
                <w:szCs w:val="15"/>
                <w:color w:val="auto"/>
              </w:rPr>
            </w:pPr>
          </w:p>
        </w:tc>
        <w:tc>
          <w:tcPr>
            <w:tcW w:w="1180" w:type="dxa"/>
            <w:vAlign w:val="bottom"/>
          </w:tcPr>
          <w:p>
            <w:pPr>
              <w:jc w:val="right"/>
              <w:ind w:right="210"/>
              <w:spacing w:after="0" w:line="182"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83"/>
        </w:trPr>
        <w:tc>
          <w:tcPr>
            <w:tcW w:w="1320" w:type="dxa"/>
            <w:vAlign w:val="bottom"/>
            <w:tcBorders>
              <w:top w:val="single" w:sz="8" w:color="0000EE"/>
              <w:bottom w:val="single" w:sz="8" w:color="0000EE"/>
            </w:tcBorders>
            <w:gridSpan w:val="5"/>
          </w:tcPr>
          <w:p>
            <w:pPr>
              <w:spacing w:after="0" w:line="182" w:lineRule="exact"/>
              <w:rPr>
                <w:sz w:val="20"/>
                <w:szCs w:val="20"/>
                <w:color w:val="auto"/>
              </w:rPr>
            </w:pPr>
            <w:r>
              <w:rPr>
                <w:rFonts w:ascii="Arial" w:cs="Arial" w:eastAsia="Arial" w:hAnsi="Arial"/>
                <w:sz w:val="18"/>
                <w:szCs w:val="18"/>
                <w:color w:val="0000EE"/>
                <w:w w:val="93"/>
              </w:rPr>
              <w:t>Share Ownership</w:t>
            </w:r>
          </w:p>
        </w:tc>
        <w:tc>
          <w:tcPr>
            <w:tcW w:w="980" w:type="dxa"/>
            <w:vAlign w:val="bottom"/>
            <w:tcBorders>
              <w:bottom w:val="single" w:sz="8" w:color="0000EE"/>
            </w:tcBorders>
            <w:gridSpan w:val="6"/>
          </w:tcPr>
          <w:p>
            <w:pPr>
              <w:ind w:left="120"/>
              <w:spacing w:after="0" w:line="182" w:lineRule="exact"/>
              <w:rPr>
                <w:sz w:val="20"/>
                <w:szCs w:val="20"/>
                <w:color w:val="auto"/>
              </w:rPr>
            </w:pPr>
            <w:r>
              <w:rPr>
                <w:rFonts w:ascii="Arial" w:cs="Arial" w:eastAsia="Arial" w:hAnsi="Arial"/>
                <w:sz w:val="18"/>
                <w:szCs w:val="18"/>
                <w:color w:val="0000EE"/>
                <w:w w:val="98"/>
              </w:rPr>
              <w:t>Guidelines</w:t>
            </w:r>
          </w:p>
        </w:tc>
        <w:tc>
          <w:tcPr>
            <w:tcW w:w="1800" w:type="dxa"/>
            <w:vAlign w:val="bottom"/>
            <w:gridSpan w:val="18"/>
          </w:tcPr>
          <w:p>
            <w:pPr>
              <w:spacing w:after="0"/>
              <w:rPr>
                <w:sz w:val="15"/>
                <w:szCs w:val="15"/>
                <w:color w:val="auto"/>
              </w:rPr>
            </w:pPr>
          </w:p>
        </w:tc>
        <w:tc>
          <w:tcPr>
            <w:tcW w:w="1180" w:type="dxa"/>
            <w:vAlign w:val="bottom"/>
          </w:tcPr>
          <w:p>
            <w:pPr>
              <w:jc w:val="right"/>
              <w:ind w:right="210"/>
              <w:spacing w:after="0" w:line="182"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83"/>
        </w:trPr>
        <w:tc>
          <w:tcPr>
            <w:tcW w:w="4100" w:type="dxa"/>
            <w:vAlign w:val="bottom"/>
            <w:gridSpan w:val="29"/>
          </w:tcPr>
          <w:p>
            <w:pPr>
              <w:spacing w:after="0" w:line="182" w:lineRule="exact"/>
              <w:rPr>
                <w:sz w:val="20"/>
                <w:szCs w:val="20"/>
                <w:color w:val="auto"/>
              </w:rPr>
            </w:pPr>
            <w:r>
              <w:rPr>
                <w:rFonts w:ascii="Arial" w:cs="Arial" w:eastAsia="Arial" w:hAnsi="Arial"/>
                <w:sz w:val="18"/>
                <w:szCs w:val="18"/>
                <w:color w:val="0000EE"/>
              </w:rPr>
              <w:t>Risk Assessment of Compensation Programs</w:t>
            </w:r>
          </w:p>
        </w:tc>
        <w:tc>
          <w:tcPr>
            <w:tcW w:w="1180" w:type="dxa"/>
            <w:vAlign w:val="bottom"/>
          </w:tcPr>
          <w:p>
            <w:pPr>
              <w:jc w:val="right"/>
              <w:ind w:right="210"/>
              <w:spacing w:after="0" w:line="182"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83"/>
        </w:trPr>
        <w:tc>
          <w:tcPr>
            <w:tcW w:w="1800" w:type="dxa"/>
            <w:vAlign w:val="bottom"/>
            <w:tcBorders>
              <w:top w:val="single" w:sz="8" w:color="0000EE"/>
              <w:bottom w:val="single" w:sz="8" w:color="0000EE"/>
            </w:tcBorders>
            <w:gridSpan w:val="7"/>
          </w:tcPr>
          <w:p>
            <w:pPr>
              <w:spacing w:after="0" w:line="182" w:lineRule="exact"/>
              <w:rPr>
                <w:sz w:val="20"/>
                <w:szCs w:val="20"/>
                <w:color w:val="auto"/>
              </w:rPr>
            </w:pPr>
            <w:r>
              <w:rPr>
                <w:rFonts w:ascii="Arial" w:cs="Arial" w:eastAsia="Arial" w:hAnsi="Arial"/>
                <w:sz w:val="18"/>
                <w:szCs w:val="18"/>
                <w:color w:val="0000EE"/>
                <w:w w:val="99"/>
              </w:rPr>
              <w:t>Equity Grant Practices</w:t>
            </w:r>
          </w:p>
        </w:tc>
        <w:tc>
          <w:tcPr>
            <w:tcW w:w="1820" w:type="dxa"/>
            <w:vAlign w:val="bottom"/>
            <w:tcBorders>
              <w:top w:val="single" w:sz="8" w:color="0000EE"/>
            </w:tcBorders>
            <w:gridSpan w:val="19"/>
          </w:tcPr>
          <w:p>
            <w:pPr>
              <w:spacing w:after="0"/>
              <w:rPr>
                <w:sz w:val="15"/>
                <w:szCs w:val="15"/>
                <w:color w:val="auto"/>
              </w:rPr>
            </w:pPr>
          </w:p>
        </w:tc>
        <w:tc>
          <w:tcPr>
            <w:tcW w:w="480" w:type="dxa"/>
            <w:vAlign w:val="bottom"/>
            <w:gridSpan w:val="3"/>
          </w:tcPr>
          <w:p>
            <w:pPr>
              <w:spacing w:after="0"/>
              <w:rPr>
                <w:sz w:val="15"/>
                <w:szCs w:val="15"/>
                <w:color w:val="auto"/>
              </w:rPr>
            </w:pPr>
          </w:p>
        </w:tc>
        <w:tc>
          <w:tcPr>
            <w:tcW w:w="1180" w:type="dxa"/>
            <w:vAlign w:val="bottom"/>
          </w:tcPr>
          <w:p>
            <w:pPr>
              <w:jc w:val="right"/>
              <w:ind w:right="210"/>
              <w:spacing w:after="0" w:line="182"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83"/>
        </w:trPr>
        <w:tc>
          <w:tcPr>
            <w:tcW w:w="4100" w:type="dxa"/>
            <w:vAlign w:val="bottom"/>
            <w:gridSpan w:val="29"/>
          </w:tcPr>
          <w:p>
            <w:pPr>
              <w:spacing w:after="0" w:line="182" w:lineRule="exact"/>
              <w:rPr>
                <w:sz w:val="20"/>
                <w:szCs w:val="20"/>
                <w:color w:val="auto"/>
              </w:rPr>
            </w:pPr>
            <w:r>
              <w:rPr>
                <w:rFonts w:ascii="Arial" w:cs="Arial" w:eastAsia="Arial" w:hAnsi="Arial"/>
                <w:sz w:val="18"/>
                <w:szCs w:val="18"/>
                <w:color w:val="0000EE"/>
              </w:rPr>
              <w:t>Tax Deductibility of Executive Compensation</w:t>
            </w:r>
          </w:p>
        </w:tc>
        <w:tc>
          <w:tcPr>
            <w:tcW w:w="1180" w:type="dxa"/>
            <w:vAlign w:val="bottom"/>
          </w:tcPr>
          <w:p>
            <w:pPr>
              <w:jc w:val="right"/>
              <w:ind w:right="210"/>
              <w:spacing w:after="0" w:line="182"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83"/>
        </w:trPr>
        <w:tc>
          <w:tcPr>
            <w:tcW w:w="2240" w:type="dxa"/>
            <w:vAlign w:val="bottom"/>
            <w:tcBorders>
              <w:top w:val="single" w:sz="8" w:color="0000EE"/>
              <w:bottom w:val="single" w:sz="8" w:color="0000EE"/>
            </w:tcBorders>
            <w:gridSpan w:val="10"/>
          </w:tcPr>
          <w:p>
            <w:pPr>
              <w:spacing w:after="0" w:line="182" w:lineRule="exact"/>
              <w:rPr>
                <w:sz w:val="20"/>
                <w:szCs w:val="20"/>
                <w:color w:val="auto"/>
              </w:rPr>
            </w:pPr>
            <w:r>
              <w:rPr>
                <w:rFonts w:ascii="Arial" w:cs="Arial" w:eastAsia="Arial" w:hAnsi="Arial"/>
                <w:sz w:val="18"/>
                <w:szCs w:val="18"/>
                <w:color w:val="0000EE"/>
                <w:w w:val="99"/>
              </w:rPr>
              <w:t>Health and Welfare Benefits</w:t>
            </w:r>
          </w:p>
        </w:tc>
        <w:tc>
          <w:tcPr>
            <w:tcW w:w="1300" w:type="dxa"/>
            <w:vAlign w:val="bottom"/>
            <w:tcBorders>
              <w:top w:val="single" w:sz="8" w:color="0000EE"/>
            </w:tcBorders>
            <w:gridSpan w:val="15"/>
          </w:tcPr>
          <w:p>
            <w:pPr>
              <w:spacing w:after="0"/>
              <w:rPr>
                <w:sz w:val="15"/>
                <w:szCs w:val="15"/>
                <w:color w:val="auto"/>
              </w:rPr>
            </w:pPr>
          </w:p>
        </w:tc>
        <w:tc>
          <w:tcPr>
            <w:tcW w:w="560" w:type="dxa"/>
            <w:vAlign w:val="bottom"/>
            <w:gridSpan w:val="4"/>
          </w:tcPr>
          <w:p>
            <w:pPr>
              <w:spacing w:after="0"/>
              <w:rPr>
                <w:sz w:val="15"/>
                <w:szCs w:val="15"/>
                <w:color w:val="auto"/>
              </w:rPr>
            </w:pPr>
          </w:p>
        </w:tc>
        <w:tc>
          <w:tcPr>
            <w:tcW w:w="1180" w:type="dxa"/>
            <w:vAlign w:val="bottom"/>
          </w:tcPr>
          <w:p>
            <w:pPr>
              <w:jc w:val="right"/>
              <w:ind w:right="210"/>
              <w:spacing w:after="0" w:line="182"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318"/>
        </w:trPr>
        <w:tc>
          <w:tcPr>
            <w:tcW w:w="4100" w:type="dxa"/>
            <w:vAlign w:val="bottom"/>
            <w:gridSpan w:val="29"/>
          </w:tcPr>
          <w:p>
            <w:pPr>
              <w:spacing w:after="0"/>
              <w:rPr>
                <w:sz w:val="20"/>
                <w:szCs w:val="20"/>
                <w:color w:val="auto"/>
              </w:rPr>
            </w:pPr>
            <w:r>
              <w:rPr>
                <w:rFonts w:ascii="Arial" w:cs="Arial" w:eastAsia="Arial" w:hAnsi="Arial"/>
                <w:sz w:val="18"/>
                <w:szCs w:val="18"/>
                <w:b w:val="1"/>
                <w:bCs w:val="1"/>
                <w:color w:val="0000EE"/>
              </w:rPr>
              <w:t>Compensation Committee Report</w:t>
            </w:r>
          </w:p>
        </w:tc>
        <w:tc>
          <w:tcPr>
            <w:tcW w:w="1180" w:type="dxa"/>
            <w:vAlign w:val="bottom"/>
          </w:tcPr>
          <w:p>
            <w:pPr>
              <w:jc w:val="right"/>
              <w:ind w:right="210"/>
              <w:spacing w:after="0"/>
              <w:rPr>
                <w:sz w:val="20"/>
                <w:szCs w:val="20"/>
                <w:color w:val="auto"/>
              </w:rPr>
            </w:pPr>
            <w:r>
              <w:rPr>
                <w:rFonts w:ascii="Arial" w:cs="Arial" w:eastAsia="Arial" w:hAnsi="Arial"/>
                <w:sz w:val="18"/>
                <w:szCs w:val="18"/>
                <w:b w:val="1"/>
                <w:bCs w:val="1"/>
                <w:color w:val="auto"/>
              </w:rPr>
              <w:t>30</w:t>
            </w:r>
          </w:p>
        </w:tc>
        <w:tc>
          <w:tcPr>
            <w:tcW w:w="0" w:type="dxa"/>
            <w:vAlign w:val="bottom"/>
          </w:tcPr>
          <w:p>
            <w:pPr>
              <w:spacing w:after="0"/>
              <w:rPr>
                <w:sz w:val="1"/>
                <w:szCs w:val="1"/>
                <w:color w:val="auto"/>
              </w:rPr>
            </w:pPr>
          </w:p>
        </w:tc>
      </w:tr>
      <w:tr>
        <w:trPr>
          <w:trHeight w:val="20"/>
        </w:trPr>
        <w:tc>
          <w:tcPr>
            <w:tcW w:w="180" w:type="dxa"/>
            <w:vAlign w:val="bottom"/>
            <w:tcBorders>
              <w:top w:val="single" w:sz="8" w:color="0000EE"/>
              <w:bottom w:val="single" w:sz="8" w:color="FF160F"/>
            </w:tcBorders>
          </w:tcPr>
          <w:p>
            <w:pPr>
              <w:spacing w:after="0" w:line="20" w:lineRule="exact"/>
              <w:rPr>
                <w:sz w:val="1"/>
                <w:szCs w:val="1"/>
                <w:color w:val="auto"/>
              </w:rPr>
            </w:pPr>
          </w:p>
        </w:tc>
        <w:tc>
          <w:tcPr>
            <w:tcW w:w="180" w:type="dxa"/>
            <w:vAlign w:val="bottom"/>
            <w:tcBorders>
              <w:top w:val="single" w:sz="8" w:color="0000EE"/>
              <w:bottom w:val="single" w:sz="8" w:color="FF160F"/>
            </w:tcBorders>
          </w:tcPr>
          <w:p>
            <w:pPr>
              <w:spacing w:after="0" w:line="20" w:lineRule="exact"/>
              <w:rPr>
                <w:sz w:val="1"/>
                <w:szCs w:val="1"/>
                <w:color w:val="auto"/>
              </w:rPr>
            </w:pPr>
          </w:p>
        </w:tc>
        <w:tc>
          <w:tcPr>
            <w:tcW w:w="680" w:type="dxa"/>
            <w:vAlign w:val="bottom"/>
            <w:tcBorders>
              <w:top w:val="single" w:sz="8" w:color="0000EE"/>
              <w:bottom w:val="single" w:sz="8" w:color="FF160F"/>
            </w:tcBorders>
          </w:tcPr>
          <w:p>
            <w:pPr>
              <w:spacing w:after="0" w:line="20" w:lineRule="exact"/>
              <w:rPr>
                <w:sz w:val="1"/>
                <w:szCs w:val="1"/>
                <w:color w:val="auto"/>
              </w:rPr>
            </w:pPr>
          </w:p>
        </w:tc>
        <w:tc>
          <w:tcPr>
            <w:tcW w:w="100" w:type="dxa"/>
            <w:vAlign w:val="bottom"/>
            <w:tcBorders>
              <w:top w:val="single" w:sz="8" w:color="0000EE"/>
              <w:bottom w:val="single" w:sz="8" w:color="FF160F"/>
            </w:tcBorders>
          </w:tcPr>
          <w:p>
            <w:pPr>
              <w:spacing w:after="0" w:line="20" w:lineRule="exact"/>
              <w:rPr>
                <w:sz w:val="1"/>
                <w:szCs w:val="1"/>
                <w:color w:val="auto"/>
              </w:rPr>
            </w:pPr>
          </w:p>
        </w:tc>
        <w:tc>
          <w:tcPr>
            <w:tcW w:w="180" w:type="dxa"/>
            <w:vAlign w:val="bottom"/>
            <w:tcBorders>
              <w:top w:val="single" w:sz="8" w:color="0000EE"/>
              <w:bottom w:val="single" w:sz="8" w:color="FF160F"/>
            </w:tcBorders>
          </w:tcPr>
          <w:p>
            <w:pPr>
              <w:spacing w:after="0" w:line="20" w:lineRule="exact"/>
              <w:rPr>
                <w:sz w:val="1"/>
                <w:szCs w:val="1"/>
                <w:color w:val="auto"/>
              </w:rPr>
            </w:pPr>
          </w:p>
        </w:tc>
        <w:tc>
          <w:tcPr>
            <w:tcW w:w="360" w:type="dxa"/>
            <w:vAlign w:val="bottom"/>
            <w:tcBorders>
              <w:top w:val="single" w:sz="8" w:color="0000EE"/>
              <w:bottom w:val="single" w:sz="8" w:color="FF160F"/>
            </w:tcBorders>
          </w:tcPr>
          <w:p>
            <w:pPr>
              <w:spacing w:after="0" w:line="20" w:lineRule="exact"/>
              <w:rPr>
                <w:sz w:val="1"/>
                <w:szCs w:val="1"/>
                <w:color w:val="auto"/>
              </w:rPr>
            </w:pPr>
          </w:p>
        </w:tc>
        <w:tc>
          <w:tcPr>
            <w:tcW w:w="120" w:type="dxa"/>
            <w:vAlign w:val="bottom"/>
            <w:tcBorders>
              <w:top w:val="single" w:sz="8" w:color="0000EE"/>
              <w:bottom w:val="single" w:sz="8" w:color="FF160F"/>
            </w:tcBorders>
          </w:tcPr>
          <w:p>
            <w:pPr>
              <w:spacing w:after="0" w:line="20" w:lineRule="exact"/>
              <w:rPr>
                <w:sz w:val="1"/>
                <w:szCs w:val="1"/>
                <w:color w:val="auto"/>
              </w:rPr>
            </w:pPr>
          </w:p>
        </w:tc>
        <w:tc>
          <w:tcPr>
            <w:tcW w:w="380" w:type="dxa"/>
            <w:vAlign w:val="bottom"/>
            <w:tcBorders>
              <w:top w:val="single" w:sz="8" w:color="0000EE"/>
              <w:bottom w:val="single" w:sz="8" w:color="FF160F"/>
            </w:tcBorders>
          </w:tcPr>
          <w:p>
            <w:pPr>
              <w:spacing w:after="0" w:line="20" w:lineRule="exact"/>
              <w:rPr>
                <w:sz w:val="1"/>
                <w:szCs w:val="1"/>
                <w:color w:val="auto"/>
              </w:rPr>
            </w:pPr>
          </w:p>
        </w:tc>
        <w:tc>
          <w:tcPr>
            <w:tcW w:w="40" w:type="dxa"/>
            <w:vAlign w:val="bottom"/>
            <w:tcBorders>
              <w:top w:val="single" w:sz="8" w:color="0000EE"/>
              <w:bottom w:val="single" w:sz="8" w:color="FF160F"/>
            </w:tcBorders>
          </w:tcPr>
          <w:p>
            <w:pPr>
              <w:spacing w:after="0" w:line="20" w:lineRule="exact"/>
              <w:rPr>
                <w:sz w:val="1"/>
                <w:szCs w:val="1"/>
                <w:color w:val="auto"/>
              </w:rPr>
            </w:pPr>
          </w:p>
        </w:tc>
        <w:tc>
          <w:tcPr>
            <w:tcW w:w="20" w:type="dxa"/>
            <w:vAlign w:val="bottom"/>
            <w:tcBorders>
              <w:top w:val="single" w:sz="8" w:color="0000EE"/>
              <w:bottom w:val="single" w:sz="8" w:color="FF160F"/>
            </w:tcBorders>
          </w:tcPr>
          <w:p>
            <w:pPr>
              <w:spacing w:after="0" w:line="20" w:lineRule="exact"/>
              <w:rPr>
                <w:sz w:val="1"/>
                <w:szCs w:val="1"/>
                <w:color w:val="auto"/>
              </w:rPr>
            </w:pPr>
          </w:p>
        </w:tc>
        <w:tc>
          <w:tcPr>
            <w:tcW w:w="60" w:type="dxa"/>
            <w:vAlign w:val="bottom"/>
            <w:tcBorders>
              <w:top w:val="single" w:sz="8" w:color="0000EE"/>
              <w:bottom w:val="single" w:sz="8" w:color="FF160F"/>
            </w:tcBorders>
          </w:tcPr>
          <w:p>
            <w:pPr>
              <w:spacing w:after="0" w:line="20" w:lineRule="exact"/>
              <w:rPr>
                <w:sz w:val="1"/>
                <w:szCs w:val="1"/>
                <w:color w:val="auto"/>
              </w:rPr>
            </w:pPr>
          </w:p>
        </w:tc>
        <w:tc>
          <w:tcPr>
            <w:tcW w:w="140" w:type="dxa"/>
            <w:vAlign w:val="bottom"/>
            <w:tcBorders>
              <w:top w:val="single" w:sz="8" w:color="0000EE"/>
              <w:bottom w:val="single" w:sz="8" w:color="FF160F"/>
            </w:tcBorders>
          </w:tcPr>
          <w:p>
            <w:pPr>
              <w:spacing w:after="0" w:line="20" w:lineRule="exact"/>
              <w:rPr>
                <w:sz w:val="1"/>
                <w:szCs w:val="1"/>
                <w:color w:val="auto"/>
              </w:rPr>
            </w:pPr>
          </w:p>
        </w:tc>
        <w:tc>
          <w:tcPr>
            <w:tcW w:w="140" w:type="dxa"/>
            <w:vAlign w:val="bottom"/>
            <w:tcBorders>
              <w:top w:val="single" w:sz="8" w:color="0000EE"/>
              <w:bottom w:val="single" w:sz="8" w:color="FF160F"/>
            </w:tcBorders>
          </w:tcPr>
          <w:p>
            <w:pPr>
              <w:spacing w:after="0" w:line="20" w:lineRule="exact"/>
              <w:rPr>
                <w:sz w:val="1"/>
                <w:szCs w:val="1"/>
                <w:color w:val="auto"/>
              </w:rPr>
            </w:pPr>
          </w:p>
        </w:tc>
        <w:tc>
          <w:tcPr>
            <w:tcW w:w="20" w:type="dxa"/>
            <w:vAlign w:val="bottom"/>
            <w:tcBorders>
              <w:top w:val="single" w:sz="8" w:color="0000EE"/>
              <w:bottom w:val="single" w:sz="8" w:color="FF160F"/>
            </w:tcBorders>
          </w:tcPr>
          <w:p>
            <w:pPr>
              <w:spacing w:after="0" w:line="20" w:lineRule="exact"/>
              <w:rPr>
                <w:sz w:val="1"/>
                <w:szCs w:val="1"/>
                <w:color w:val="auto"/>
              </w:rPr>
            </w:pPr>
          </w:p>
        </w:tc>
        <w:tc>
          <w:tcPr>
            <w:tcW w:w="60" w:type="dxa"/>
            <w:vAlign w:val="bottom"/>
            <w:tcBorders>
              <w:top w:val="single" w:sz="8" w:color="0000EE"/>
              <w:bottom w:val="single" w:sz="8" w:color="FF160F"/>
            </w:tcBorders>
          </w:tcPr>
          <w:p>
            <w:pPr>
              <w:spacing w:after="0" w:line="20" w:lineRule="exact"/>
              <w:rPr>
                <w:sz w:val="1"/>
                <w:szCs w:val="1"/>
                <w:color w:val="auto"/>
              </w:rPr>
            </w:pPr>
          </w:p>
        </w:tc>
        <w:tc>
          <w:tcPr>
            <w:tcW w:w="40" w:type="dxa"/>
            <w:vAlign w:val="bottom"/>
            <w:tcBorders>
              <w:top w:val="single" w:sz="8" w:color="0000EE"/>
              <w:bottom w:val="single" w:sz="8" w:color="FF160F"/>
            </w:tcBorders>
          </w:tcPr>
          <w:p>
            <w:pPr>
              <w:spacing w:after="0" w:line="20" w:lineRule="exact"/>
              <w:rPr>
                <w:sz w:val="1"/>
                <w:szCs w:val="1"/>
                <w:color w:val="auto"/>
              </w:rPr>
            </w:pPr>
          </w:p>
        </w:tc>
        <w:tc>
          <w:tcPr>
            <w:tcW w:w="40" w:type="dxa"/>
            <w:vAlign w:val="bottom"/>
            <w:tcBorders>
              <w:top w:val="single" w:sz="8" w:color="0000EE"/>
              <w:bottom w:val="single" w:sz="8" w:color="FF160F"/>
            </w:tcBorders>
          </w:tcPr>
          <w:p>
            <w:pPr>
              <w:spacing w:after="0" w:line="20" w:lineRule="exact"/>
              <w:rPr>
                <w:sz w:val="1"/>
                <w:szCs w:val="1"/>
                <w:color w:val="auto"/>
              </w:rPr>
            </w:pPr>
          </w:p>
        </w:tc>
        <w:tc>
          <w:tcPr>
            <w:tcW w:w="40" w:type="dxa"/>
            <w:vAlign w:val="bottom"/>
            <w:tcBorders>
              <w:top w:val="single" w:sz="8" w:color="0000EE"/>
              <w:bottom w:val="single" w:sz="8" w:color="FF160F"/>
            </w:tcBorders>
          </w:tcPr>
          <w:p>
            <w:pPr>
              <w:spacing w:after="0" w:line="20" w:lineRule="exact"/>
              <w:rPr>
                <w:sz w:val="1"/>
                <w:szCs w:val="1"/>
                <w:color w:val="auto"/>
              </w:rPr>
            </w:pPr>
          </w:p>
        </w:tc>
        <w:tc>
          <w:tcPr>
            <w:tcW w:w="20" w:type="dxa"/>
            <w:vAlign w:val="bottom"/>
            <w:tcBorders>
              <w:top w:val="single" w:sz="8" w:color="0000EE"/>
              <w:bottom w:val="single" w:sz="8" w:color="FF160F"/>
            </w:tcBorders>
          </w:tcPr>
          <w:p>
            <w:pPr>
              <w:spacing w:after="0" w:line="20" w:lineRule="exact"/>
              <w:rPr>
                <w:sz w:val="1"/>
                <w:szCs w:val="1"/>
                <w:color w:val="auto"/>
              </w:rPr>
            </w:pPr>
          </w:p>
        </w:tc>
        <w:tc>
          <w:tcPr>
            <w:tcW w:w="60" w:type="dxa"/>
            <w:vAlign w:val="bottom"/>
            <w:tcBorders>
              <w:top w:val="single" w:sz="8" w:color="0000EE"/>
              <w:bottom w:val="single" w:sz="8" w:color="FF160F"/>
            </w:tcBorders>
          </w:tcPr>
          <w:p>
            <w:pPr>
              <w:spacing w:after="0" w:line="20" w:lineRule="exact"/>
              <w:rPr>
                <w:sz w:val="1"/>
                <w:szCs w:val="1"/>
                <w:color w:val="auto"/>
              </w:rPr>
            </w:pPr>
          </w:p>
        </w:tc>
        <w:tc>
          <w:tcPr>
            <w:tcW w:w="80" w:type="dxa"/>
            <w:vAlign w:val="bottom"/>
            <w:tcBorders>
              <w:bottom w:val="single" w:sz="8" w:color="FF160F"/>
            </w:tcBorders>
          </w:tcPr>
          <w:p>
            <w:pPr>
              <w:spacing w:after="0" w:line="20" w:lineRule="exact"/>
              <w:rPr>
                <w:sz w:val="1"/>
                <w:szCs w:val="1"/>
                <w:color w:val="auto"/>
              </w:rPr>
            </w:pPr>
          </w:p>
        </w:tc>
        <w:tc>
          <w:tcPr>
            <w:tcW w:w="60" w:type="dxa"/>
            <w:vAlign w:val="bottom"/>
            <w:tcBorders>
              <w:bottom w:val="single" w:sz="8" w:color="FF160F"/>
            </w:tcBorders>
          </w:tcPr>
          <w:p>
            <w:pPr>
              <w:spacing w:after="0" w:line="20" w:lineRule="exact"/>
              <w:rPr>
                <w:sz w:val="1"/>
                <w:szCs w:val="1"/>
                <w:color w:val="auto"/>
              </w:rPr>
            </w:pPr>
          </w:p>
        </w:tc>
        <w:tc>
          <w:tcPr>
            <w:tcW w:w="80" w:type="dxa"/>
            <w:vAlign w:val="bottom"/>
            <w:tcBorders>
              <w:bottom w:val="single" w:sz="8" w:color="FF160F"/>
            </w:tcBorders>
          </w:tcPr>
          <w:p>
            <w:pPr>
              <w:spacing w:after="0" w:line="20" w:lineRule="exact"/>
              <w:rPr>
                <w:sz w:val="1"/>
                <w:szCs w:val="1"/>
                <w:color w:val="auto"/>
              </w:rPr>
            </w:pPr>
          </w:p>
        </w:tc>
        <w:tc>
          <w:tcPr>
            <w:tcW w:w="60" w:type="dxa"/>
            <w:vAlign w:val="bottom"/>
            <w:tcBorders>
              <w:bottom w:val="single" w:sz="8" w:color="FF160F"/>
            </w:tcBorders>
          </w:tcPr>
          <w:p>
            <w:pPr>
              <w:spacing w:after="0" w:line="20" w:lineRule="exact"/>
              <w:rPr>
                <w:sz w:val="1"/>
                <w:szCs w:val="1"/>
                <w:color w:val="auto"/>
              </w:rPr>
            </w:pPr>
          </w:p>
        </w:tc>
        <w:tc>
          <w:tcPr>
            <w:tcW w:w="400" w:type="dxa"/>
            <w:vAlign w:val="bottom"/>
            <w:tcBorders>
              <w:bottom w:val="single" w:sz="8" w:color="FF160F"/>
            </w:tcBorders>
          </w:tcPr>
          <w:p>
            <w:pPr>
              <w:spacing w:after="0" w:line="20" w:lineRule="exact"/>
              <w:rPr>
                <w:sz w:val="1"/>
                <w:szCs w:val="1"/>
                <w:color w:val="auto"/>
              </w:rPr>
            </w:pPr>
          </w:p>
        </w:tc>
        <w:tc>
          <w:tcPr>
            <w:tcW w:w="80" w:type="dxa"/>
            <w:vAlign w:val="bottom"/>
            <w:tcBorders>
              <w:bottom w:val="single" w:sz="8" w:color="FF160F"/>
            </w:tcBorders>
          </w:tcPr>
          <w:p>
            <w:pPr>
              <w:spacing w:after="0" w:line="20" w:lineRule="exact"/>
              <w:rPr>
                <w:sz w:val="1"/>
                <w:szCs w:val="1"/>
                <w:color w:val="auto"/>
              </w:rPr>
            </w:pPr>
          </w:p>
        </w:tc>
        <w:tc>
          <w:tcPr>
            <w:tcW w:w="120" w:type="dxa"/>
            <w:vAlign w:val="bottom"/>
            <w:tcBorders>
              <w:bottom w:val="single" w:sz="8" w:color="FF160F"/>
            </w:tcBorders>
          </w:tcPr>
          <w:p>
            <w:pPr>
              <w:spacing w:after="0" w:line="20" w:lineRule="exact"/>
              <w:rPr>
                <w:sz w:val="1"/>
                <w:szCs w:val="1"/>
                <w:color w:val="auto"/>
              </w:rPr>
            </w:pPr>
          </w:p>
        </w:tc>
        <w:tc>
          <w:tcPr>
            <w:tcW w:w="180" w:type="dxa"/>
            <w:vAlign w:val="bottom"/>
            <w:tcBorders>
              <w:bottom w:val="single" w:sz="8" w:color="FF160F"/>
            </w:tcBorders>
          </w:tcPr>
          <w:p>
            <w:pPr>
              <w:spacing w:after="0" w:line="20" w:lineRule="exact"/>
              <w:rPr>
                <w:sz w:val="1"/>
                <w:szCs w:val="1"/>
                <w:color w:val="auto"/>
              </w:rPr>
            </w:pPr>
          </w:p>
        </w:tc>
        <w:tc>
          <w:tcPr>
            <w:tcW w:w="180" w:type="dxa"/>
            <w:vAlign w:val="bottom"/>
            <w:tcBorders>
              <w:bottom w:val="single" w:sz="8" w:color="FF160F"/>
            </w:tcBorders>
          </w:tcPr>
          <w:p>
            <w:pPr>
              <w:spacing w:after="0" w:line="20" w:lineRule="exact"/>
              <w:rPr>
                <w:sz w:val="1"/>
                <w:szCs w:val="1"/>
                <w:color w:val="auto"/>
              </w:rPr>
            </w:pPr>
          </w:p>
        </w:tc>
        <w:tc>
          <w:tcPr>
            <w:tcW w:w="1180" w:type="dxa"/>
            <w:vAlign w:val="bottom"/>
            <w:tcBorders>
              <w:bottom w:val="single" w:sz="8" w:color="FF160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188595</wp:posOffset>
            </wp:positionV>
            <wp:extent cx="7003415" cy="1200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003415" cy="1200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Named Executive Officers (“NEO”)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-770890</wp:posOffset>
            </wp:positionH>
            <wp:positionV relativeFrom="paragraph">
              <wp:posOffset>-118745</wp:posOffset>
            </wp:positionV>
            <wp:extent cx="3420110" cy="32061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420110" cy="3206115"/>
                    </a:xfrm>
                    <a:prstGeom prst="rect">
                      <a:avLst/>
                    </a:prstGeom>
                    <a:noFill/>
                  </pic:spPr>
                </pic:pic>
              </a:graphicData>
            </a:graphic>
          </wp:anchor>
        </w:drawing>
      </w:r>
    </w:p>
    <w:p>
      <w:pPr>
        <w:spacing w:after="0" w:line="5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DONALD C. WOOD</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Chief Executive Officer</w:t>
      </w:r>
    </w:p>
    <w:p>
      <w:pPr>
        <w:ind w:left="200"/>
        <w:spacing w:after="0" w:line="234" w:lineRule="auto"/>
        <w:rPr>
          <w:sz w:val="20"/>
          <w:szCs w:val="20"/>
          <w:color w:val="auto"/>
        </w:rPr>
      </w:pPr>
      <w:r>
        <w:rPr>
          <w:rFonts w:ascii="Arial" w:cs="Arial" w:eastAsia="Arial" w:hAnsi="Arial"/>
          <w:sz w:val="18"/>
          <w:szCs w:val="18"/>
          <w:color w:val="auto"/>
        </w:rPr>
        <w:t>Age: 63            Joined Federal: 1998</w:t>
      </w:r>
    </w:p>
    <w:p>
      <w:pPr>
        <w:spacing w:after="0" w:line="1"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In position since: 2003</w:t>
      </w:r>
    </w:p>
    <w:p>
      <w:pPr>
        <w:spacing w:after="0" w:line="3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JEFFREY S. BERKES</w:t>
      </w:r>
    </w:p>
    <w:p>
      <w:pPr>
        <w:spacing w:after="0" w:line="14" w:lineRule="exact"/>
        <w:rPr>
          <w:sz w:val="20"/>
          <w:szCs w:val="20"/>
          <w:color w:val="auto"/>
        </w:rPr>
      </w:pPr>
    </w:p>
    <w:p>
      <w:pPr>
        <w:ind w:left="200" w:right="860"/>
        <w:spacing w:after="0" w:line="248" w:lineRule="auto"/>
        <w:rPr>
          <w:sz w:val="20"/>
          <w:szCs w:val="20"/>
          <w:color w:val="auto"/>
        </w:rPr>
      </w:pPr>
      <w:r>
        <w:rPr>
          <w:rFonts w:ascii="Arial" w:cs="Arial" w:eastAsia="Arial" w:hAnsi="Arial"/>
          <w:sz w:val="17"/>
          <w:szCs w:val="17"/>
          <w:color w:val="auto"/>
        </w:rPr>
        <w:t>President and Chief Operating Officer Age: 60         Joined Federal: 2000</w:t>
      </w:r>
    </w:p>
    <w:p>
      <w:pPr>
        <w:spacing w:after="0" w:line="1"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In position since: 2021</w:t>
      </w:r>
    </w:p>
    <w:p>
      <w:pPr>
        <w:spacing w:after="0" w:line="3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DANIEL GUGLIELMONE</w:t>
      </w:r>
    </w:p>
    <w:p>
      <w:pPr>
        <w:spacing w:after="0" w:line="14" w:lineRule="exact"/>
        <w:rPr>
          <w:sz w:val="20"/>
          <w:szCs w:val="20"/>
          <w:color w:val="auto"/>
        </w:rPr>
      </w:pPr>
    </w:p>
    <w:p>
      <w:pPr>
        <w:ind w:left="200" w:right="500"/>
        <w:spacing w:after="0" w:line="248" w:lineRule="auto"/>
        <w:rPr>
          <w:sz w:val="20"/>
          <w:szCs w:val="20"/>
          <w:color w:val="auto"/>
        </w:rPr>
      </w:pPr>
      <w:r>
        <w:rPr>
          <w:rFonts w:ascii="Arial" w:cs="Arial" w:eastAsia="Arial" w:hAnsi="Arial"/>
          <w:sz w:val="17"/>
          <w:szCs w:val="17"/>
          <w:color w:val="auto"/>
        </w:rPr>
        <w:t>EVP-Chief Financial Officer and Treasurer Age: 57         Joined Federal: 2016</w:t>
      </w:r>
    </w:p>
    <w:p>
      <w:pPr>
        <w:spacing w:after="0" w:line="1"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In position since: 2016</w:t>
      </w:r>
    </w:p>
    <w:p>
      <w:pPr>
        <w:spacing w:after="0" w:line="3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DAWN M. BECKER</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EVP-General Counsel and Secretary</w:t>
      </w:r>
    </w:p>
    <w:p>
      <w:pPr>
        <w:ind w:left="200"/>
        <w:spacing w:after="0" w:line="234" w:lineRule="auto"/>
        <w:rPr>
          <w:sz w:val="20"/>
          <w:szCs w:val="20"/>
          <w:color w:val="auto"/>
        </w:rPr>
      </w:pPr>
      <w:r>
        <w:rPr>
          <w:rFonts w:ascii="Arial" w:cs="Arial" w:eastAsia="Arial" w:hAnsi="Arial"/>
          <w:sz w:val="18"/>
          <w:szCs w:val="18"/>
          <w:color w:val="auto"/>
        </w:rPr>
        <w:t>Age: 60            Joined Federal: 1997</w:t>
      </w:r>
    </w:p>
    <w:p>
      <w:pPr>
        <w:spacing w:after="0" w:line="1"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In position since: 2002</w:t>
      </w:r>
    </w:p>
    <w:p>
      <w:pPr>
        <w:spacing w:after="0" w:line="2464" w:lineRule="exact"/>
        <w:rPr>
          <w:sz w:val="20"/>
          <w:szCs w:val="20"/>
          <w:color w:val="auto"/>
        </w:rPr>
      </w:pPr>
    </w:p>
    <w:p>
      <w:pPr>
        <w:sectPr>
          <w:pgSz w:w="11900" w:h="16838" w:orient="portrait"/>
          <w:cols w:equalWidth="0" w:num="2">
            <w:col w:w="6400" w:space="560"/>
            <w:col w:w="4060"/>
          </w:cols>
          <w:pgMar w:left="320" w:top="482" w:right="559" w:bottom="1440" w:gutter="0" w:footer="0" w:header="0"/>
          <w:type w:val="continuous"/>
        </w:sectPr>
      </w:pPr>
    </w:p>
    <w:p>
      <w:pPr>
        <w:spacing w:after="0" w:line="101" w:lineRule="exact"/>
        <w:rPr>
          <w:sz w:val="20"/>
          <w:szCs w:val="20"/>
          <w:color w:val="auto"/>
        </w:rPr>
      </w:pPr>
    </w:p>
    <w:p>
      <w:pPr>
        <w:ind w:left="8080"/>
        <w:spacing w:after="0"/>
        <w:rPr>
          <w:sz w:val="20"/>
          <w:szCs w:val="20"/>
          <w:color w:val="auto"/>
        </w:rPr>
      </w:pPr>
      <w:r>
        <w:rPr>
          <w:rFonts w:ascii="Arial" w:cs="Arial" w:eastAsia="Arial" w:hAnsi="Arial"/>
          <w:sz w:val="14"/>
          <w:szCs w:val="14"/>
          <w:color w:val="FF160F"/>
        </w:rPr>
        <w:t>Federal Realty</w:t>
      </w:r>
      <w:r>
        <w:rPr>
          <w:rFonts w:ascii="Arial" w:cs="Arial" w:eastAsia="Arial" w:hAnsi="Arial"/>
          <w:sz w:val="14"/>
          <w:szCs w:val="14"/>
          <w:color w:val="000000"/>
        </w:rPr>
        <w:t xml:space="preserve">      2024 Proxy Statement   19</w:t>
      </w:r>
    </w:p>
    <w:p>
      <w:pPr>
        <w:sectPr>
          <w:pgSz w:w="11900" w:h="16838" w:orient="portrait"/>
          <w:cols w:equalWidth="0" w:num="1">
            <w:col w:w="11020"/>
          </w:cols>
          <w:pgMar w:left="320" w:top="482" w:right="55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250825</wp:posOffset>
            </wp:positionV>
            <wp:extent cx="699516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87" w:lineRule="exact"/>
        <w:rPr>
          <w:sz w:val="20"/>
          <w:szCs w:val="20"/>
          <w:color w:val="auto"/>
        </w:rPr>
      </w:pPr>
    </w:p>
    <w:p>
      <w:pPr>
        <w:ind w:left="220" w:hanging="104"/>
        <w:spacing w:after="0"/>
        <w:tabs>
          <w:tab w:leader="none" w:pos="220" w:val="left"/>
        </w:tabs>
        <w:numPr>
          <w:ilvl w:val="0"/>
          <w:numId w:val="39"/>
        </w:numPr>
        <w:rPr>
          <w:rFonts w:ascii="Arial" w:cs="Arial" w:eastAsia="Arial" w:hAnsi="Arial"/>
          <w:sz w:val="19"/>
          <w:szCs w:val="19"/>
          <w:b w:val="1"/>
          <w:bCs w:val="1"/>
          <w:color w:val="FF160F"/>
        </w:rPr>
      </w:pPr>
      <w:r>
        <w:rPr>
          <w:rFonts w:ascii="Arial" w:cs="Arial" w:eastAsia="Arial" w:hAnsi="Arial"/>
          <w:sz w:val="19"/>
          <w:szCs w:val="19"/>
          <w:b w:val="1"/>
          <w:bCs w:val="1"/>
          <w:color w:val="FF160F"/>
        </w:rPr>
        <w:t>I</w:t>
      </w:r>
      <w:r>
        <w:rPr>
          <w:rFonts w:ascii="Arial" w:cs="Arial" w:eastAsia="Arial" w:hAnsi="Arial"/>
          <w:sz w:val="15"/>
          <w:szCs w:val="15"/>
          <w:b w:val="1"/>
          <w:bCs w:val="1"/>
          <w:color w:val="FF160F"/>
        </w:rPr>
        <w:t>NTRODUCTION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67945</wp:posOffset>
            </wp:positionV>
            <wp:extent cx="699516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65" w:lineRule="exact"/>
        <w:rPr>
          <w:sz w:val="20"/>
          <w:szCs w:val="20"/>
          <w:color w:val="auto"/>
        </w:rPr>
      </w:pPr>
    </w:p>
    <w:p>
      <w:pPr>
        <w:ind w:left="540" w:hanging="424"/>
        <w:spacing w:after="0"/>
        <w:tabs>
          <w:tab w:leader="none" w:pos="540" w:val="left"/>
        </w:tabs>
        <w:numPr>
          <w:ilvl w:val="0"/>
          <w:numId w:val="40"/>
        </w:numPr>
        <w:rPr>
          <w:rFonts w:ascii="MS PGothic" w:cs="MS PGothic" w:eastAsia="MS PGothic" w:hAnsi="MS PGothic"/>
          <w:sz w:val="18"/>
          <w:szCs w:val="18"/>
          <w:color w:val="FF160F"/>
        </w:rPr>
      </w:pPr>
      <w:r>
        <w:rPr>
          <w:rFonts w:ascii="Arial" w:cs="Arial" w:eastAsia="Arial" w:hAnsi="Arial"/>
          <w:sz w:val="18"/>
          <w:szCs w:val="18"/>
          <w:b w:val="1"/>
          <w:bCs w:val="1"/>
          <w:color w:val="auto"/>
        </w:rPr>
        <w:t>2023 BUSINESS HIGHLIGHTS SUPPORTING COMPENSATION DECISIONS: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Business accomplishments for the year ended December 31, 2023 included the following highlights:</w:t>
      </w:r>
    </w:p>
    <w:p>
      <w:pPr>
        <w:spacing w:after="0" w:line="239" w:lineRule="exact"/>
        <w:rPr>
          <w:sz w:val="20"/>
          <w:szCs w:val="20"/>
          <w:color w:val="auto"/>
        </w:rPr>
      </w:pPr>
    </w:p>
    <w:p>
      <w:pPr>
        <w:ind w:left="1700" w:right="100" w:firstLine="1616"/>
        <w:spacing w:after="0" w:line="237" w:lineRule="auto"/>
        <w:rPr>
          <w:sz w:val="20"/>
          <w:szCs w:val="20"/>
          <w:color w:val="auto"/>
        </w:rPr>
      </w:pPr>
      <w:r>
        <w:rPr>
          <w:rFonts w:ascii="Arial" w:cs="Arial" w:eastAsia="Arial" w:hAnsi="Arial"/>
          <w:sz w:val="18"/>
          <w:szCs w:val="18"/>
          <w:color w:val="auto"/>
        </w:rPr>
        <w:t xml:space="preserve">FFO per diluted share* of </w:t>
      </w:r>
      <w:r>
        <w:rPr>
          <w:rFonts w:ascii="Arial" w:cs="Arial" w:eastAsia="Arial" w:hAnsi="Arial"/>
          <w:sz w:val="18"/>
          <w:szCs w:val="18"/>
          <w:color w:val="FF160F"/>
        </w:rPr>
        <w:t>$6.55</w:t>
      </w:r>
      <w:r>
        <w:rPr>
          <w:rFonts w:ascii="Arial" w:cs="Arial" w:eastAsia="Arial" w:hAnsi="Arial"/>
          <w:sz w:val="18"/>
          <w:szCs w:val="18"/>
          <w:color w:val="auto"/>
        </w:rPr>
        <w:t xml:space="preserve"> representing growth of </w:t>
      </w:r>
      <w:r>
        <w:rPr>
          <w:rFonts w:ascii="Arial" w:cs="Arial" w:eastAsia="Arial" w:hAnsi="Arial"/>
          <w:sz w:val="18"/>
          <w:szCs w:val="18"/>
          <w:color w:val="FF160F"/>
        </w:rPr>
        <w:t>3.6%</w:t>
      </w:r>
      <w:r>
        <w:rPr>
          <w:rFonts w:ascii="Arial" w:cs="Arial" w:eastAsia="Arial" w:hAnsi="Arial"/>
          <w:sz w:val="18"/>
          <w:szCs w:val="18"/>
          <w:color w:val="auto"/>
        </w:rPr>
        <w:t xml:space="preserve"> over 2022 driven by record levels of </w:t>
      </w:r>
      <w:r>
        <w:rPr>
          <w:rFonts w:ascii="Arial" w:cs="Arial" w:eastAsia="Arial" w:hAnsi="Arial"/>
          <w:sz w:val="19"/>
          <w:szCs w:val="19"/>
          <w:color w:val="FFFFFF"/>
        </w:rPr>
        <w:t xml:space="preserve">FFO Per Share </w:t>
      </w:r>
      <w:r>
        <w:rPr>
          <w:rFonts w:ascii="Arial" w:cs="Arial" w:eastAsia="Arial" w:hAnsi="Arial"/>
          <w:sz w:val="17"/>
          <w:szCs w:val="17"/>
          <w:color w:val="000000"/>
        </w:rPr>
        <w:t>total revenue, positive impacts from capital investment, and overall continued strength 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wp:posOffset>
            </wp:positionH>
            <wp:positionV relativeFrom="paragraph">
              <wp:posOffset>-254000</wp:posOffset>
            </wp:positionV>
            <wp:extent cx="6831965" cy="264033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31965" cy="2640330"/>
                    </a:xfrm>
                    <a:prstGeom prst="rect">
                      <a:avLst/>
                    </a:prstGeom>
                    <a:noFill/>
                  </pic:spPr>
                </pic:pic>
              </a:graphicData>
            </a:graphic>
          </wp:anchor>
        </w:drawing>
      </w:r>
    </w:p>
    <w:p>
      <w:pPr>
        <w:ind w:left="2060"/>
        <w:spacing w:after="0" w:line="233" w:lineRule="auto"/>
        <w:tabs>
          <w:tab w:leader="none" w:pos="3300" w:val="left"/>
        </w:tabs>
        <w:rPr>
          <w:sz w:val="20"/>
          <w:szCs w:val="20"/>
          <w:color w:val="auto"/>
        </w:rPr>
      </w:pPr>
      <w:r>
        <w:rPr>
          <w:rFonts w:ascii="Arial" w:cs="Arial" w:eastAsia="Arial" w:hAnsi="Arial"/>
          <w:sz w:val="20"/>
          <w:szCs w:val="20"/>
          <w:color w:val="FFFFFF"/>
        </w:rPr>
        <w:t>Growth</w:t>
      </w:r>
      <w:r>
        <w:rPr>
          <w:sz w:val="20"/>
          <w:szCs w:val="20"/>
          <w:color w:val="auto"/>
        </w:rPr>
        <w:tab/>
      </w:r>
      <w:r>
        <w:rPr>
          <w:rFonts w:ascii="Arial" w:cs="Arial" w:eastAsia="Arial" w:hAnsi="Arial"/>
          <w:sz w:val="18"/>
          <w:szCs w:val="18"/>
          <w:color w:val="auto"/>
        </w:rPr>
        <w:t>broader retail real estate market</w:t>
      </w:r>
    </w:p>
    <w:p>
      <w:pPr>
        <w:spacing w:after="0" w:line="179" w:lineRule="exact"/>
        <w:rPr>
          <w:sz w:val="20"/>
          <w:szCs w:val="20"/>
          <w:color w:val="auto"/>
        </w:rPr>
      </w:pPr>
    </w:p>
    <w:tbl>
      <w:tblPr>
        <w:tblLayout w:type="fixed"/>
        <w:tblInd w:w="120" w:type="dxa"/>
        <w:tblCellMar>
          <w:top w:w="0" w:type="dxa"/>
          <w:left w:w="0" w:type="dxa"/>
          <w:bottom w:w="0" w:type="dxa"/>
          <w:right w:w="0" w:type="dxa"/>
        </w:tblCellMar>
      </w:tblPr>
      <w:tr>
        <w:trPr>
          <w:trHeight w:val="400"/>
        </w:trPr>
        <w:tc>
          <w:tcPr>
            <w:tcW w:w="1420" w:type="dxa"/>
            <w:vAlign w:val="bottom"/>
            <w:tcBorders>
              <w:top w:val="single" w:sz="8" w:color="auto"/>
            </w:tcBorders>
          </w:tcPr>
          <w:p>
            <w:pPr>
              <w:spacing w:after="0"/>
              <w:rPr>
                <w:sz w:val="24"/>
                <w:szCs w:val="24"/>
                <w:color w:val="auto"/>
              </w:rPr>
            </w:pPr>
          </w:p>
        </w:tc>
        <w:tc>
          <w:tcPr>
            <w:tcW w:w="1660" w:type="dxa"/>
            <w:vAlign w:val="bottom"/>
            <w:tcBorders>
              <w:top w:val="single" w:sz="8" w:color="auto"/>
            </w:tcBorders>
            <w:shd w:val="clear" w:color="auto" w:fill="A5A5A5"/>
          </w:tcPr>
          <w:p>
            <w:pPr>
              <w:jc w:val="center"/>
              <w:spacing w:after="0"/>
              <w:rPr>
                <w:sz w:val="20"/>
                <w:szCs w:val="20"/>
                <w:color w:val="auto"/>
              </w:rPr>
            </w:pPr>
            <w:r>
              <w:rPr>
                <w:rFonts w:ascii="Arial" w:cs="Arial" w:eastAsia="Arial" w:hAnsi="Arial"/>
                <w:sz w:val="18"/>
                <w:szCs w:val="18"/>
                <w:b w:val="1"/>
                <w:bCs w:val="1"/>
                <w:color w:val="FFFFFF"/>
                <w:w w:val="99"/>
              </w:rPr>
              <w:t>Strong Leasing</w:t>
            </w:r>
          </w:p>
        </w:tc>
        <w:tc>
          <w:tcPr>
            <w:tcW w:w="120" w:type="dxa"/>
            <w:vAlign w:val="bottom"/>
            <w:tcBorders>
              <w:top w:val="single" w:sz="8" w:color="auto"/>
            </w:tcBorders>
          </w:tcPr>
          <w:p>
            <w:pPr>
              <w:spacing w:after="0"/>
              <w:rPr>
                <w:sz w:val="24"/>
                <w:szCs w:val="24"/>
                <w:color w:val="auto"/>
              </w:rPr>
            </w:pPr>
          </w:p>
        </w:tc>
        <w:tc>
          <w:tcPr>
            <w:tcW w:w="7820" w:type="dxa"/>
            <w:vAlign w:val="bottom"/>
            <w:tcBorders>
              <w:top w:val="single" w:sz="8" w:color="auto"/>
            </w:tcBorders>
            <w:shd w:val="clear" w:color="auto" w:fill="F2F2F2"/>
          </w:tcPr>
          <w:p>
            <w:pPr>
              <w:spacing w:after="0"/>
              <w:rPr>
                <w:sz w:val="20"/>
                <w:szCs w:val="20"/>
                <w:color w:val="auto"/>
              </w:rPr>
            </w:pPr>
            <w:r>
              <w:rPr>
                <w:rFonts w:ascii="Arial" w:cs="Arial" w:eastAsia="Arial" w:hAnsi="Arial"/>
                <w:sz w:val="18"/>
                <w:szCs w:val="18"/>
                <w:color w:val="auto"/>
              </w:rPr>
              <w:t xml:space="preserve">Signed new and renewal comparable space leases covering more than </w:t>
            </w:r>
            <w:r>
              <w:rPr>
                <w:rFonts w:ascii="Arial" w:cs="Arial" w:eastAsia="Arial" w:hAnsi="Arial"/>
                <w:sz w:val="18"/>
                <w:szCs w:val="18"/>
                <w:color w:val="FF160F"/>
              </w:rPr>
              <w:t>2 million</w:t>
            </w:r>
            <w:r>
              <w:rPr>
                <w:rFonts w:ascii="Arial" w:cs="Arial" w:eastAsia="Arial" w:hAnsi="Arial"/>
                <w:sz w:val="18"/>
                <w:szCs w:val="18"/>
                <w:color w:val="auto"/>
              </w:rPr>
              <w:t xml:space="preserve"> square feet of</w:t>
            </w:r>
          </w:p>
        </w:tc>
      </w:tr>
      <w:tr>
        <w:trPr>
          <w:trHeight w:val="247"/>
        </w:trPr>
        <w:tc>
          <w:tcPr>
            <w:tcW w:w="1420" w:type="dxa"/>
            <w:vAlign w:val="bottom"/>
          </w:tcPr>
          <w:p>
            <w:pPr>
              <w:spacing w:after="0"/>
              <w:rPr>
                <w:sz w:val="21"/>
                <w:szCs w:val="21"/>
                <w:color w:val="auto"/>
              </w:rPr>
            </w:pPr>
          </w:p>
        </w:tc>
        <w:tc>
          <w:tcPr>
            <w:tcW w:w="1660" w:type="dxa"/>
            <w:vAlign w:val="bottom"/>
            <w:shd w:val="clear" w:color="auto" w:fill="A5A5A5"/>
          </w:tcPr>
          <w:p>
            <w:pPr>
              <w:jc w:val="center"/>
              <w:spacing w:after="0"/>
              <w:rPr>
                <w:sz w:val="20"/>
                <w:szCs w:val="20"/>
                <w:color w:val="auto"/>
              </w:rPr>
            </w:pPr>
            <w:r>
              <w:rPr>
                <w:rFonts w:ascii="Arial" w:cs="Arial" w:eastAsia="Arial" w:hAnsi="Arial"/>
                <w:sz w:val="18"/>
                <w:szCs w:val="18"/>
                <w:b w:val="1"/>
                <w:bCs w:val="1"/>
                <w:color w:val="FFFFFF"/>
              </w:rPr>
              <w:t>Activity</w:t>
            </w:r>
          </w:p>
        </w:tc>
        <w:tc>
          <w:tcPr>
            <w:tcW w:w="120" w:type="dxa"/>
            <w:vAlign w:val="bottom"/>
          </w:tcPr>
          <w:p>
            <w:pPr>
              <w:spacing w:after="0"/>
              <w:rPr>
                <w:sz w:val="21"/>
                <w:szCs w:val="21"/>
                <w:color w:val="auto"/>
              </w:rPr>
            </w:pPr>
          </w:p>
        </w:tc>
        <w:tc>
          <w:tcPr>
            <w:tcW w:w="7820" w:type="dxa"/>
            <w:vAlign w:val="bottom"/>
            <w:shd w:val="clear" w:color="auto" w:fill="F2F2F2"/>
          </w:tcPr>
          <w:p>
            <w:pPr>
              <w:spacing w:after="0"/>
              <w:rPr>
                <w:sz w:val="20"/>
                <w:szCs w:val="20"/>
                <w:color w:val="auto"/>
              </w:rPr>
            </w:pPr>
            <w:r>
              <w:rPr>
                <w:rFonts w:ascii="Arial" w:cs="Arial" w:eastAsia="Arial" w:hAnsi="Arial"/>
                <w:sz w:val="18"/>
                <w:szCs w:val="18"/>
                <w:color w:val="auto"/>
              </w:rPr>
              <w:t>space and $74.5 million of year 1 revenue</w:t>
            </w:r>
          </w:p>
        </w:tc>
      </w:tr>
      <w:tr>
        <w:trPr>
          <w:trHeight w:val="190"/>
        </w:trPr>
        <w:tc>
          <w:tcPr>
            <w:tcW w:w="14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shd w:val="clear" w:color="auto" w:fill="A5A5A5"/>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20" w:type="dxa"/>
            <w:vAlign w:val="bottom"/>
            <w:tcBorders>
              <w:bottom w:val="single" w:sz="8" w:color="auto"/>
            </w:tcBorders>
            <w:shd w:val="clear" w:color="auto" w:fill="F2F2F2"/>
          </w:tcPr>
          <w:p>
            <w:pPr>
              <w:spacing w:after="0"/>
              <w:rPr>
                <w:sz w:val="16"/>
                <w:szCs w:val="16"/>
                <w:color w:val="auto"/>
              </w:rPr>
            </w:pPr>
          </w:p>
        </w:tc>
      </w:tr>
      <w:tr>
        <w:trPr>
          <w:trHeight w:val="277"/>
        </w:trPr>
        <w:tc>
          <w:tcPr>
            <w:tcW w:w="1420" w:type="dxa"/>
            <w:vAlign w:val="bottom"/>
          </w:tcPr>
          <w:p>
            <w:pPr>
              <w:spacing w:after="0"/>
              <w:rPr>
                <w:sz w:val="24"/>
                <w:szCs w:val="24"/>
                <w:color w:val="auto"/>
              </w:rPr>
            </w:pPr>
          </w:p>
        </w:tc>
        <w:tc>
          <w:tcPr>
            <w:tcW w:w="1660" w:type="dxa"/>
            <w:vAlign w:val="bottom"/>
            <w:shd w:val="clear" w:color="auto" w:fill="A5A5A5"/>
          </w:tcPr>
          <w:p>
            <w:pPr>
              <w:jc w:val="center"/>
              <w:spacing w:after="0"/>
              <w:rPr>
                <w:sz w:val="20"/>
                <w:szCs w:val="20"/>
                <w:color w:val="auto"/>
              </w:rPr>
            </w:pPr>
            <w:r>
              <w:rPr>
                <w:rFonts w:ascii="Arial" w:cs="Arial" w:eastAsia="Arial" w:hAnsi="Arial"/>
                <w:sz w:val="18"/>
                <w:szCs w:val="18"/>
                <w:b w:val="1"/>
                <w:bCs w:val="1"/>
                <w:color w:val="FFFFFF"/>
              </w:rPr>
              <w:t>Productive</w:t>
            </w:r>
          </w:p>
        </w:tc>
        <w:tc>
          <w:tcPr>
            <w:tcW w:w="120" w:type="dxa"/>
            <w:vAlign w:val="bottom"/>
          </w:tcPr>
          <w:p>
            <w:pPr>
              <w:spacing w:after="0"/>
              <w:rPr>
                <w:sz w:val="24"/>
                <w:szCs w:val="24"/>
                <w:color w:val="auto"/>
              </w:rPr>
            </w:pPr>
          </w:p>
        </w:tc>
        <w:tc>
          <w:tcPr>
            <w:tcW w:w="7820" w:type="dxa"/>
            <w:vAlign w:val="bottom"/>
            <w:shd w:val="clear" w:color="auto" w:fill="F2F2F2"/>
          </w:tcPr>
          <w:p>
            <w:pPr>
              <w:spacing w:after="0"/>
              <w:rPr>
                <w:sz w:val="20"/>
                <w:szCs w:val="20"/>
                <w:color w:val="auto"/>
              </w:rPr>
            </w:pPr>
            <w:r>
              <w:rPr>
                <w:rFonts w:ascii="Arial" w:cs="Arial" w:eastAsia="Arial" w:hAnsi="Arial"/>
                <w:sz w:val="18"/>
                <w:szCs w:val="18"/>
                <w:color w:val="auto"/>
              </w:rPr>
              <w:t xml:space="preserve">Investments in existing assets such as </w:t>
            </w:r>
            <w:r>
              <w:rPr>
                <w:rFonts w:ascii="Arial" w:cs="Arial" w:eastAsia="Arial" w:hAnsi="Arial"/>
                <w:sz w:val="18"/>
                <w:szCs w:val="18"/>
                <w:color w:val="FF160F"/>
              </w:rPr>
              <w:t>Pike &amp; Rose, Darien Commons, Mercer on One and</w:t>
            </w:r>
          </w:p>
        </w:tc>
      </w:tr>
      <w:tr>
        <w:trPr>
          <w:trHeight w:val="203"/>
        </w:trPr>
        <w:tc>
          <w:tcPr>
            <w:tcW w:w="1420" w:type="dxa"/>
            <w:vAlign w:val="bottom"/>
          </w:tcPr>
          <w:p>
            <w:pPr>
              <w:spacing w:after="0"/>
              <w:rPr>
                <w:sz w:val="17"/>
                <w:szCs w:val="17"/>
                <w:color w:val="auto"/>
              </w:rPr>
            </w:pPr>
          </w:p>
        </w:tc>
        <w:tc>
          <w:tcPr>
            <w:tcW w:w="1660" w:type="dxa"/>
            <w:vAlign w:val="bottom"/>
            <w:shd w:val="clear" w:color="auto" w:fill="A5A5A5"/>
          </w:tcPr>
          <w:p>
            <w:pPr>
              <w:jc w:val="center"/>
              <w:spacing w:after="0" w:line="202" w:lineRule="exact"/>
              <w:rPr>
                <w:sz w:val="20"/>
                <w:szCs w:val="20"/>
                <w:color w:val="auto"/>
              </w:rPr>
            </w:pPr>
            <w:r>
              <w:rPr>
                <w:rFonts w:ascii="Arial" w:cs="Arial" w:eastAsia="Arial" w:hAnsi="Arial"/>
                <w:sz w:val="18"/>
                <w:szCs w:val="18"/>
                <w:b w:val="1"/>
                <w:bCs w:val="1"/>
                <w:color w:val="FFFFFF"/>
                <w:w w:val="99"/>
              </w:rPr>
              <w:t>Capital</w:t>
            </w:r>
          </w:p>
        </w:tc>
        <w:tc>
          <w:tcPr>
            <w:tcW w:w="120" w:type="dxa"/>
            <w:vAlign w:val="bottom"/>
          </w:tcPr>
          <w:p>
            <w:pPr>
              <w:spacing w:after="0"/>
              <w:rPr>
                <w:sz w:val="17"/>
                <w:szCs w:val="17"/>
                <w:color w:val="auto"/>
              </w:rPr>
            </w:pPr>
          </w:p>
        </w:tc>
        <w:tc>
          <w:tcPr>
            <w:tcW w:w="7820" w:type="dxa"/>
            <w:vAlign w:val="bottom"/>
            <w:shd w:val="clear" w:color="auto" w:fill="F2F2F2"/>
          </w:tcPr>
          <w:p>
            <w:pPr>
              <w:spacing w:after="0" w:line="202" w:lineRule="exact"/>
              <w:rPr>
                <w:sz w:val="20"/>
                <w:szCs w:val="20"/>
                <w:color w:val="auto"/>
              </w:rPr>
            </w:pPr>
            <w:r>
              <w:rPr>
                <w:rFonts w:ascii="Arial" w:cs="Arial" w:eastAsia="Arial" w:hAnsi="Arial"/>
                <w:sz w:val="18"/>
                <w:szCs w:val="18"/>
                <w:color w:val="FF160F"/>
              </w:rPr>
              <w:t xml:space="preserve">Escondido </w:t>
            </w:r>
            <w:r>
              <w:rPr>
                <w:rFonts w:ascii="Arial" w:cs="Arial" w:eastAsia="Arial" w:hAnsi="Arial"/>
                <w:sz w:val="18"/>
                <w:szCs w:val="18"/>
                <w:color w:val="000000"/>
              </w:rPr>
              <w:t>producing significant year over year growth</w:t>
            </w:r>
          </w:p>
        </w:tc>
      </w:tr>
      <w:tr>
        <w:trPr>
          <w:trHeight w:val="252"/>
        </w:trPr>
        <w:tc>
          <w:tcPr>
            <w:tcW w:w="142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shd w:val="clear" w:color="auto" w:fill="A5A5A5"/>
          </w:tcPr>
          <w:p>
            <w:pPr>
              <w:jc w:val="center"/>
              <w:spacing w:after="0"/>
              <w:rPr>
                <w:sz w:val="20"/>
                <w:szCs w:val="20"/>
                <w:color w:val="auto"/>
              </w:rPr>
            </w:pPr>
            <w:r>
              <w:rPr>
                <w:rFonts w:ascii="Arial" w:cs="Arial" w:eastAsia="Arial" w:hAnsi="Arial"/>
                <w:sz w:val="18"/>
                <w:szCs w:val="18"/>
                <w:b w:val="1"/>
                <w:bCs w:val="1"/>
                <w:color w:val="FFFFFF"/>
              </w:rPr>
              <w:t>Investments</w:t>
            </w:r>
          </w:p>
        </w:tc>
        <w:tc>
          <w:tcPr>
            <w:tcW w:w="120" w:type="dxa"/>
            <w:vAlign w:val="bottom"/>
            <w:tcBorders>
              <w:bottom w:val="single" w:sz="8" w:color="auto"/>
            </w:tcBorders>
          </w:tcPr>
          <w:p>
            <w:pPr>
              <w:spacing w:after="0"/>
              <w:rPr>
                <w:sz w:val="21"/>
                <w:szCs w:val="21"/>
                <w:color w:val="auto"/>
              </w:rPr>
            </w:pPr>
          </w:p>
        </w:tc>
        <w:tc>
          <w:tcPr>
            <w:tcW w:w="7820" w:type="dxa"/>
            <w:vAlign w:val="bottom"/>
            <w:tcBorders>
              <w:bottom w:val="single" w:sz="8" w:color="auto"/>
            </w:tcBorders>
            <w:shd w:val="clear" w:color="auto" w:fill="F2F2F2"/>
          </w:tcPr>
          <w:p>
            <w:pPr>
              <w:spacing w:after="0"/>
              <w:rPr>
                <w:sz w:val="21"/>
                <w:szCs w:val="21"/>
                <w:color w:val="auto"/>
              </w:rPr>
            </w:pPr>
          </w:p>
        </w:tc>
      </w:tr>
      <w:tr>
        <w:trPr>
          <w:trHeight w:val="282"/>
        </w:trPr>
        <w:tc>
          <w:tcPr>
            <w:tcW w:w="1420" w:type="dxa"/>
            <w:vAlign w:val="bottom"/>
          </w:tcPr>
          <w:p>
            <w:pPr>
              <w:spacing w:after="0"/>
              <w:rPr>
                <w:sz w:val="24"/>
                <w:szCs w:val="24"/>
                <w:color w:val="auto"/>
              </w:rPr>
            </w:pPr>
          </w:p>
        </w:tc>
        <w:tc>
          <w:tcPr>
            <w:tcW w:w="1660" w:type="dxa"/>
            <w:vAlign w:val="bottom"/>
            <w:shd w:val="clear" w:color="auto" w:fill="A5A5A5"/>
          </w:tcPr>
          <w:p>
            <w:pPr>
              <w:jc w:val="center"/>
              <w:spacing w:after="0"/>
              <w:rPr>
                <w:sz w:val="20"/>
                <w:szCs w:val="20"/>
                <w:color w:val="auto"/>
              </w:rPr>
            </w:pPr>
            <w:r>
              <w:rPr>
                <w:rFonts w:ascii="Arial" w:cs="Arial" w:eastAsia="Arial" w:hAnsi="Arial"/>
                <w:sz w:val="18"/>
                <w:szCs w:val="18"/>
                <w:b w:val="1"/>
                <w:bCs w:val="1"/>
                <w:color w:val="FFFFFF"/>
                <w:w w:val="98"/>
              </w:rPr>
              <w:t>56th Year of</w:t>
            </w:r>
          </w:p>
        </w:tc>
        <w:tc>
          <w:tcPr>
            <w:tcW w:w="120" w:type="dxa"/>
            <w:vAlign w:val="bottom"/>
          </w:tcPr>
          <w:p>
            <w:pPr>
              <w:spacing w:after="0"/>
              <w:rPr>
                <w:sz w:val="24"/>
                <w:szCs w:val="24"/>
                <w:color w:val="auto"/>
              </w:rPr>
            </w:pPr>
          </w:p>
        </w:tc>
        <w:tc>
          <w:tcPr>
            <w:tcW w:w="7820" w:type="dxa"/>
            <w:vAlign w:val="bottom"/>
            <w:shd w:val="clear" w:color="auto" w:fill="F2F2F2"/>
          </w:tcPr>
          <w:p>
            <w:pPr>
              <w:spacing w:after="0"/>
              <w:rPr>
                <w:sz w:val="20"/>
                <w:szCs w:val="20"/>
                <w:color w:val="auto"/>
              </w:rPr>
            </w:pPr>
            <w:r>
              <w:rPr>
                <w:rFonts w:ascii="Arial" w:cs="Arial" w:eastAsia="Arial" w:hAnsi="Arial"/>
                <w:sz w:val="18"/>
                <w:szCs w:val="18"/>
                <w:color w:val="auto"/>
              </w:rPr>
              <w:t xml:space="preserve">Raised the dividend on our common shares for the </w:t>
            </w:r>
            <w:r>
              <w:rPr>
                <w:rFonts w:ascii="Arial" w:cs="Arial" w:eastAsia="Arial" w:hAnsi="Arial"/>
                <w:sz w:val="18"/>
                <w:szCs w:val="18"/>
                <w:color w:val="FF160F"/>
              </w:rPr>
              <w:t>56th</w:t>
            </w:r>
            <w:r>
              <w:rPr>
                <w:rFonts w:ascii="Arial" w:cs="Arial" w:eastAsia="Arial" w:hAnsi="Arial"/>
                <w:sz w:val="18"/>
                <w:szCs w:val="18"/>
                <w:color w:val="auto"/>
              </w:rPr>
              <w:t xml:space="preserve"> consecutive year, a record in the REIT</w:t>
            </w:r>
          </w:p>
        </w:tc>
      </w:tr>
      <w:tr>
        <w:trPr>
          <w:trHeight w:val="203"/>
        </w:trPr>
        <w:tc>
          <w:tcPr>
            <w:tcW w:w="1420" w:type="dxa"/>
            <w:vAlign w:val="bottom"/>
          </w:tcPr>
          <w:p>
            <w:pPr>
              <w:spacing w:after="0"/>
              <w:rPr>
                <w:sz w:val="17"/>
                <w:szCs w:val="17"/>
                <w:color w:val="auto"/>
              </w:rPr>
            </w:pPr>
          </w:p>
        </w:tc>
        <w:tc>
          <w:tcPr>
            <w:tcW w:w="1660" w:type="dxa"/>
            <w:vAlign w:val="bottom"/>
            <w:shd w:val="clear" w:color="auto" w:fill="A5A5A5"/>
          </w:tcPr>
          <w:p>
            <w:pPr>
              <w:jc w:val="center"/>
              <w:spacing w:after="0" w:line="202" w:lineRule="exact"/>
              <w:rPr>
                <w:sz w:val="20"/>
                <w:szCs w:val="20"/>
                <w:color w:val="auto"/>
              </w:rPr>
            </w:pPr>
            <w:r>
              <w:rPr>
                <w:rFonts w:ascii="Arial" w:cs="Arial" w:eastAsia="Arial" w:hAnsi="Arial"/>
                <w:sz w:val="18"/>
                <w:szCs w:val="18"/>
                <w:b w:val="1"/>
                <w:bCs w:val="1"/>
                <w:color w:val="FFFFFF"/>
                <w:w w:val="99"/>
              </w:rPr>
              <w:t>Dividend</w:t>
            </w:r>
          </w:p>
        </w:tc>
        <w:tc>
          <w:tcPr>
            <w:tcW w:w="120" w:type="dxa"/>
            <w:vAlign w:val="bottom"/>
          </w:tcPr>
          <w:p>
            <w:pPr>
              <w:spacing w:after="0"/>
              <w:rPr>
                <w:sz w:val="17"/>
                <w:szCs w:val="17"/>
                <w:color w:val="auto"/>
              </w:rPr>
            </w:pPr>
          </w:p>
        </w:tc>
        <w:tc>
          <w:tcPr>
            <w:tcW w:w="7820" w:type="dxa"/>
            <w:vAlign w:val="bottom"/>
            <w:shd w:val="clear" w:color="auto" w:fill="F2F2F2"/>
          </w:tcPr>
          <w:p>
            <w:pPr>
              <w:spacing w:after="0" w:line="202" w:lineRule="exact"/>
              <w:rPr>
                <w:sz w:val="20"/>
                <w:szCs w:val="20"/>
                <w:color w:val="auto"/>
              </w:rPr>
            </w:pPr>
            <w:r>
              <w:rPr>
                <w:rFonts w:ascii="Arial" w:cs="Arial" w:eastAsia="Arial" w:hAnsi="Arial"/>
                <w:sz w:val="18"/>
                <w:szCs w:val="18"/>
                <w:color w:val="auto"/>
              </w:rPr>
              <w:t xml:space="preserve">industry, representing a compound annual growth rate of </w:t>
            </w:r>
            <w:r>
              <w:rPr>
                <w:rFonts w:ascii="Arial" w:cs="Arial" w:eastAsia="Arial" w:hAnsi="Arial"/>
                <w:sz w:val="18"/>
                <w:szCs w:val="18"/>
                <w:color w:val="FF160F"/>
              </w:rPr>
              <w:t>7%</w:t>
            </w:r>
            <w:r>
              <w:rPr>
                <w:rFonts w:ascii="Arial" w:cs="Arial" w:eastAsia="Arial" w:hAnsi="Arial"/>
                <w:sz w:val="18"/>
                <w:szCs w:val="18"/>
                <w:color w:val="auto"/>
              </w:rPr>
              <w:t xml:space="preserve"> over that 56-year period</w:t>
            </w:r>
          </w:p>
        </w:tc>
      </w:tr>
      <w:tr>
        <w:trPr>
          <w:trHeight w:val="270"/>
        </w:trPr>
        <w:tc>
          <w:tcPr>
            <w:tcW w:w="1420" w:type="dxa"/>
            <w:vAlign w:val="bottom"/>
          </w:tcPr>
          <w:p>
            <w:pPr>
              <w:spacing w:after="0"/>
              <w:rPr>
                <w:sz w:val="23"/>
                <w:szCs w:val="23"/>
                <w:color w:val="auto"/>
              </w:rPr>
            </w:pPr>
          </w:p>
        </w:tc>
        <w:tc>
          <w:tcPr>
            <w:tcW w:w="1660" w:type="dxa"/>
            <w:vAlign w:val="bottom"/>
            <w:tcBorders>
              <w:bottom w:val="single" w:sz="8" w:color="A5A5A5"/>
            </w:tcBorders>
            <w:shd w:val="clear" w:color="auto" w:fill="A5A5A5"/>
          </w:tcPr>
          <w:p>
            <w:pPr>
              <w:jc w:val="center"/>
              <w:spacing w:after="0"/>
              <w:rPr>
                <w:sz w:val="20"/>
                <w:szCs w:val="20"/>
                <w:color w:val="auto"/>
              </w:rPr>
            </w:pPr>
            <w:r>
              <w:rPr>
                <w:rFonts w:ascii="Arial" w:cs="Arial" w:eastAsia="Arial" w:hAnsi="Arial"/>
                <w:sz w:val="18"/>
                <w:szCs w:val="18"/>
                <w:b w:val="1"/>
                <w:bCs w:val="1"/>
                <w:color w:val="FFFFFF"/>
                <w:w w:val="98"/>
              </w:rPr>
              <w:t>Increases</w:t>
            </w:r>
          </w:p>
        </w:tc>
        <w:tc>
          <w:tcPr>
            <w:tcW w:w="120" w:type="dxa"/>
            <w:vAlign w:val="bottom"/>
          </w:tcPr>
          <w:p>
            <w:pPr>
              <w:spacing w:after="0"/>
              <w:rPr>
                <w:sz w:val="23"/>
                <w:szCs w:val="23"/>
                <w:color w:val="auto"/>
              </w:rPr>
            </w:pPr>
          </w:p>
        </w:tc>
        <w:tc>
          <w:tcPr>
            <w:tcW w:w="7820" w:type="dxa"/>
            <w:vAlign w:val="bottom"/>
            <w:tcBorders>
              <w:bottom w:val="single" w:sz="8" w:color="F2F2F2"/>
            </w:tcBorders>
            <w:shd w:val="clear" w:color="auto" w:fill="F2F2F2"/>
          </w:tcPr>
          <w:p>
            <w:pPr>
              <w:spacing w:after="0"/>
              <w:rPr>
                <w:sz w:val="23"/>
                <w:szCs w:val="23"/>
                <w:color w:val="auto"/>
              </w:rPr>
            </w:pPr>
          </w:p>
        </w:tc>
      </w:tr>
      <w:tr>
        <w:trPr>
          <w:trHeight w:val="312"/>
        </w:trPr>
        <w:tc>
          <w:tcPr>
            <w:tcW w:w="1420" w:type="dxa"/>
            <w:vAlign w:val="bottom"/>
            <w:tcBorders>
              <w:top w:val="single" w:sz="8" w:color="auto"/>
            </w:tcBorders>
          </w:tcPr>
          <w:p>
            <w:pPr>
              <w:spacing w:after="0"/>
              <w:rPr>
                <w:sz w:val="24"/>
                <w:szCs w:val="24"/>
                <w:color w:val="auto"/>
              </w:rPr>
            </w:pPr>
          </w:p>
        </w:tc>
        <w:tc>
          <w:tcPr>
            <w:tcW w:w="1660" w:type="dxa"/>
            <w:vAlign w:val="bottom"/>
            <w:tcBorders>
              <w:top w:val="single" w:sz="8" w:color="auto"/>
            </w:tcBorders>
            <w:shd w:val="clear" w:color="auto" w:fill="A5A5A5"/>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820" w:type="dxa"/>
            <w:vAlign w:val="bottom"/>
            <w:tcBorders>
              <w:top w:val="single" w:sz="8" w:color="auto"/>
            </w:tcBorders>
            <w:shd w:val="clear" w:color="auto" w:fill="F2F2F2"/>
          </w:tcPr>
          <w:p>
            <w:pPr>
              <w:spacing w:after="0"/>
              <w:rPr>
                <w:sz w:val="20"/>
                <w:szCs w:val="20"/>
                <w:color w:val="auto"/>
              </w:rPr>
            </w:pPr>
            <w:r>
              <w:rPr>
                <w:rFonts w:ascii="Arial" w:cs="Arial" w:eastAsia="Arial" w:hAnsi="Arial"/>
                <w:sz w:val="18"/>
                <w:szCs w:val="18"/>
                <w:color w:val="auto"/>
              </w:rPr>
              <w:t xml:space="preserve">Achieved </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w:t>
            </w:r>
            <w:r>
              <w:rPr>
                <w:rFonts w:ascii="Arial" w:cs="Arial" w:eastAsia="Arial" w:hAnsi="Arial"/>
                <w:sz w:val="18"/>
                <w:szCs w:val="18"/>
                <w:color w:val="FF160F"/>
              </w:rPr>
              <w:t>32%</w:t>
            </w:r>
            <w:r>
              <w:rPr>
                <w:rFonts w:ascii="Arial" w:cs="Arial" w:eastAsia="Arial" w:hAnsi="Arial"/>
                <w:sz w:val="18"/>
                <w:szCs w:val="18"/>
                <w:color w:val="auto"/>
              </w:rPr>
              <w:t xml:space="preserve"> decrease in Scope 1 and 2 GHG emissions through 2022 versus 2019 baseline</w:t>
            </w:r>
          </w:p>
        </w:tc>
      </w:tr>
      <w:tr>
        <w:trPr>
          <w:trHeight w:val="221"/>
        </w:trPr>
        <w:tc>
          <w:tcPr>
            <w:tcW w:w="1420" w:type="dxa"/>
            <w:vAlign w:val="bottom"/>
          </w:tcPr>
          <w:p>
            <w:pPr>
              <w:spacing w:after="0"/>
              <w:rPr>
                <w:sz w:val="19"/>
                <w:szCs w:val="19"/>
                <w:color w:val="auto"/>
              </w:rPr>
            </w:pPr>
          </w:p>
        </w:tc>
        <w:tc>
          <w:tcPr>
            <w:tcW w:w="1660" w:type="dxa"/>
            <w:vAlign w:val="bottom"/>
            <w:shd w:val="clear" w:color="auto" w:fill="A5A5A5"/>
          </w:tcPr>
          <w:p>
            <w:pPr>
              <w:jc w:val="center"/>
              <w:spacing w:after="0"/>
              <w:rPr>
                <w:sz w:val="20"/>
                <w:szCs w:val="20"/>
                <w:color w:val="auto"/>
              </w:rPr>
            </w:pPr>
            <w:r>
              <w:rPr>
                <w:rFonts w:ascii="Arial" w:cs="Arial" w:eastAsia="Arial" w:hAnsi="Arial"/>
                <w:sz w:val="18"/>
                <w:szCs w:val="18"/>
                <w:b w:val="1"/>
                <w:bCs w:val="1"/>
                <w:color w:val="FFFFFF"/>
              </w:rPr>
              <w:t>Sustainability</w:t>
            </w:r>
          </w:p>
        </w:tc>
        <w:tc>
          <w:tcPr>
            <w:tcW w:w="120" w:type="dxa"/>
            <w:vAlign w:val="bottom"/>
          </w:tcPr>
          <w:p>
            <w:pPr>
              <w:spacing w:after="0"/>
              <w:rPr>
                <w:sz w:val="19"/>
                <w:szCs w:val="19"/>
                <w:color w:val="auto"/>
              </w:rPr>
            </w:pPr>
          </w:p>
        </w:tc>
        <w:tc>
          <w:tcPr>
            <w:tcW w:w="7820" w:type="dxa"/>
            <w:vAlign w:val="bottom"/>
            <w:shd w:val="clear" w:color="auto" w:fill="F2F2F2"/>
          </w:tcPr>
          <w:p>
            <w:pPr>
              <w:spacing w:after="0"/>
              <w:rPr>
                <w:sz w:val="20"/>
                <w:szCs w:val="20"/>
                <w:color w:val="auto"/>
              </w:rPr>
            </w:pPr>
            <w:r>
              <w:rPr>
                <w:rFonts w:ascii="Arial" w:cs="Arial" w:eastAsia="Arial" w:hAnsi="Arial"/>
                <w:sz w:val="18"/>
                <w:szCs w:val="18"/>
                <w:color w:val="auto"/>
                <w:w w:val="99"/>
              </w:rPr>
              <w:t>in alignment with our 2030 GHG reduction target set in accordance with the Science-Based Target</w:t>
            </w:r>
          </w:p>
        </w:tc>
      </w:tr>
      <w:tr>
        <w:trPr>
          <w:trHeight w:val="239"/>
        </w:trPr>
        <w:tc>
          <w:tcPr>
            <w:tcW w:w="1420" w:type="dxa"/>
            <w:vAlign w:val="bottom"/>
          </w:tcPr>
          <w:p>
            <w:pPr>
              <w:spacing w:after="0"/>
              <w:rPr>
                <w:sz w:val="20"/>
                <w:szCs w:val="20"/>
                <w:color w:val="auto"/>
              </w:rPr>
            </w:pPr>
          </w:p>
        </w:tc>
        <w:tc>
          <w:tcPr>
            <w:tcW w:w="1660" w:type="dxa"/>
            <w:vAlign w:val="bottom"/>
            <w:shd w:val="clear" w:color="auto" w:fill="A5A5A5"/>
          </w:tcPr>
          <w:p>
            <w:pPr>
              <w:spacing w:after="0"/>
              <w:rPr>
                <w:sz w:val="20"/>
                <w:szCs w:val="20"/>
                <w:color w:val="auto"/>
              </w:rPr>
            </w:pPr>
          </w:p>
        </w:tc>
        <w:tc>
          <w:tcPr>
            <w:tcW w:w="120" w:type="dxa"/>
            <w:vAlign w:val="bottom"/>
          </w:tcPr>
          <w:p>
            <w:pPr>
              <w:spacing w:after="0"/>
              <w:rPr>
                <w:sz w:val="20"/>
                <w:szCs w:val="20"/>
                <w:color w:val="auto"/>
              </w:rPr>
            </w:pPr>
          </w:p>
        </w:tc>
        <w:tc>
          <w:tcPr>
            <w:tcW w:w="7820" w:type="dxa"/>
            <w:vAlign w:val="bottom"/>
            <w:shd w:val="clear" w:color="auto" w:fill="F2F2F2"/>
          </w:tcPr>
          <w:p>
            <w:pPr>
              <w:spacing w:after="0"/>
              <w:rPr>
                <w:sz w:val="20"/>
                <w:szCs w:val="20"/>
                <w:color w:val="auto"/>
              </w:rPr>
            </w:pPr>
            <w:r>
              <w:rPr>
                <w:rFonts w:ascii="Arial" w:cs="Arial" w:eastAsia="Arial" w:hAnsi="Arial"/>
                <w:sz w:val="18"/>
                <w:szCs w:val="18"/>
                <w:color w:val="auto"/>
              </w:rPr>
              <w:t>initiative</w:t>
            </w:r>
          </w:p>
        </w:tc>
      </w:tr>
      <w:tr>
        <w:trPr>
          <w:trHeight w:val="180"/>
        </w:trPr>
        <w:tc>
          <w:tcPr>
            <w:tcW w:w="142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shd w:val="clear" w:color="auto" w:fill="A5A5A5"/>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20" w:type="dxa"/>
            <w:vAlign w:val="bottom"/>
            <w:tcBorders>
              <w:bottom w:val="single" w:sz="8" w:color="auto"/>
            </w:tcBorders>
            <w:shd w:val="clear" w:color="auto" w:fill="F2F2F2"/>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-2065655</wp:posOffset>
            </wp:positionV>
            <wp:extent cx="419735" cy="419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clrChange>
                        <a:clrFrom>
                          <a:srgbClr val="000000"/>
                        </a:clrFrom>
                        <a:clrTo>
                          <a:srgbClr val="000000">
                            <a:alpha val="0"/>
                          </a:srgbClr>
                        </a:clrTo>
                      </a:clrChange>
                      <a:extLst>
                        <a:ext uri="{28A0092B-C50C-407E-A947-70E740481C1C}"/>
                      </a:extLst>
                    </a:blip>
                    <a:srcRect/>
                    <a:stretch>
                      <a:fillRect/>
                    </a:stretch>
                  </pic:blipFill>
                  <pic:spPr bwMode="auto">
                    <a:xfrm>
                      <a:off x="0" y="0"/>
                      <a:ext cx="419735" cy="41973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-2065655</wp:posOffset>
            </wp:positionV>
            <wp:extent cx="419735" cy="419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clrChange>
                        <a:clrFrom>
                          <a:srgbClr val="FFFFFF"/>
                        </a:clrFrom>
                        <a:clrTo>
                          <a:srgbClr val="FFFFFF">
                            <a:alpha val="0"/>
                          </a:srgbClr>
                        </a:clrTo>
                      </a:clrChange>
                      <a:extLst>
                        <a:ext uri="{28A0092B-C50C-407E-A947-70E740481C1C}"/>
                      </a:extLst>
                    </a:blip>
                    <a:srcRect/>
                    <a:stretch>
                      <a:fillRect/>
                    </a:stretch>
                  </pic:blipFill>
                  <pic:spPr bwMode="auto">
                    <a:xfrm>
                      <a:off x="0" y="0"/>
                      <a:ext cx="419735" cy="41973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-1551305</wp:posOffset>
            </wp:positionV>
            <wp:extent cx="565785" cy="145732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65785" cy="145732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-1551305</wp:posOffset>
            </wp:positionV>
            <wp:extent cx="565785" cy="145732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65785" cy="1457325"/>
                    </a:xfrm>
                    <a:prstGeom prst="rect">
                      <a:avLst/>
                    </a:prstGeom>
                    <a:noFill/>
                  </pic:spPr>
                </pic:pic>
              </a:graphicData>
            </a:graphic>
          </wp:anchor>
        </w:drawing>
      </w:r>
    </w:p>
    <w:p>
      <w:pPr>
        <w:spacing w:after="0" w:line="204" w:lineRule="exact"/>
        <w:rPr>
          <w:sz w:val="20"/>
          <w:szCs w:val="20"/>
          <w:color w:val="auto"/>
        </w:rPr>
      </w:pPr>
    </w:p>
    <w:p>
      <w:pPr>
        <w:ind w:left="540" w:hanging="424"/>
        <w:spacing w:after="0" w:line="271" w:lineRule="auto"/>
        <w:tabs>
          <w:tab w:leader="none" w:pos="5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FFO per diluted share (“FFO per share”) is a non-GAAP financial measure that we consider significant in our business. See Appendix A for a reconciliation of FFO per share to net income.</w:t>
      </w:r>
    </w:p>
    <w:p>
      <w:pPr>
        <w:spacing w:after="0" w:line="181" w:lineRule="exact"/>
        <w:rPr>
          <w:sz w:val="20"/>
          <w:szCs w:val="20"/>
          <w:color w:val="auto"/>
        </w:rPr>
      </w:pPr>
    </w:p>
    <w:p>
      <w:pPr>
        <w:ind w:left="540" w:hanging="424"/>
        <w:spacing w:after="0"/>
        <w:tabs>
          <w:tab w:leader="none" w:pos="540" w:val="left"/>
        </w:tabs>
        <w:numPr>
          <w:ilvl w:val="0"/>
          <w:numId w:val="42"/>
        </w:numPr>
        <w:rPr>
          <w:rFonts w:ascii="MS PGothic" w:cs="MS PGothic" w:eastAsia="MS PGothic" w:hAnsi="MS PGothic"/>
          <w:sz w:val="18"/>
          <w:szCs w:val="18"/>
          <w:color w:val="auto"/>
          <w:shd w:val="clear" w:color="auto" w:fill="FF160F"/>
        </w:rPr>
      </w:pPr>
      <w:r>
        <w:rPr>
          <w:rFonts w:ascii="Arial" w:cs="Arial" w:eastAsia="Arial" w:hAnsi="Arial"/>
          <w:sz w:val="18"/>
          <w:szCs w:val="18"/>
          <w:b w:val="1"/>
          <w:bCs w:val="1"/>
          <w:color w:val="FF160F"/>
        </w:rPr>
        <w:t>PROGRAM PHILOSOPHY AND OBJECTIVES</w:t>
      </w:r>
    </w:p>
    <w:p>
      <w:pPr>
        <w:spacing w:after="0" w:line="225" w:lineRule="exact"/>
        <w:rPr>
          <w:sz w:val="20"/>
          <w:szCs w:val="20"/>
          <w:color w:val="auto"/>
        </w:rPr>
      </w:pPr>
    </w:p>
    <w:p>
      <w:pPr>
        <w:jc w:val="both"/>
        <w:ind w:left="120" w:right="20"/>
        <w:spacing w:after="0" w:line="253" w:lineRule="auto"/>
        <w:rPr>
          <w:sz w:val="20"/>
          <w:szCs w:val="20"/>
          <w:color w:val="auto"/>
        </w:rPr>
      </w:pPr>
      <w:r>
        <w:rPr>
          <w:rFonts w:ascii="Arial" w:cs="Arial" w:eastAsia="Arial" w:hAnsi="Arial"/>
          <w:sz w:val="18"/>
          <w:szCs w:val="18"/>
          <w:color w:val="auto"/>
        </w:rPr>
        <w:t>Our executive compensation philosophy and practices reflect a commitment to paying for performance – both short-term and long-term. Our programs are designed to attract, retain, motivate and reward talented, experienced executives to successfully manage our business, execute our strategy and drive shareholder value. We have three key objectives within this philosophy:</w:t>
      </w:r>
    </w:p>
    <w:p>
      <w:pPr>
        <w:spacing w:after="0" w:line="74" w:lineRule="exact"/>
        <w:rPr>
          <w:sz w:val="20"/>
          <w:szCs w:val="20"/>
          <w:color w:val="auto"/>
        </w:rPr>
      </w:pPr>
    </w:p>
    <w:p>
      <w:pPr>
        <w:ind w:left="1080" w:hanging="424"/>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Establish a strong link between pay and performance</w:t>
      </w:r>
    </w:p>
    <w:p>
      <w:pPr>
        <w:spacing w:after="0" w:line="13" w:lineRule="exact"/>
        <w:rPr>
          <w:rFonts w:ascii="Arial" w:cs="Arial" w:eastAsia="Arial" w:hAnsi="Arial"/>
          <w:sz w:val="18"/>
          <w:szCs w:val="18"/>
          <w:color w:val="auto"/>
        </w:rPr>
      </w:pPr>
    </w:p>
    <w:p>
      <w:pPr>
        <w:ind w:left="1080" w:hanging="424"/>
        <w:spacing w:after="0" w:line="234"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Align the financial interest of our NEOs with our shareholders, particularly over the longer term</w:t>
      </w:r>
    </w:p>
    <w:p>
      <w:pPr>
        <w:ind w:left="1080" w:hanging="424"/>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Reinforce business strategies and objectives and drive sustained shareholder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92075</wp:posOffset>
            </wp:positionV>
            <wp:extent cx="7003415" cy="1200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003415" cy="120015"/>
                    </a:xfrm>
                    <a:prstGeom prst="rect">
                      <a:avLst/>
                    </a:prstGeom>
                    <a:noFill/>
                  </pic:spPr>
                </pic:pic>
              </a:graphicData>
            </a:graphic>
          </wp:anchor>
        </w:drawing>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4"/>
          <w:szCs w:val="14"/>
          <w:color w:val="FF160F"/>
        </w:rPr>
        <w:t>Federal Realty</w:t>
      </w:r>
      <w:r>
        <w:rPr>
          <w:rFonts w:ascii="Arial" w:cs="Arial" w:eastAsia="Arial" w:hAnsi="Arial"/>
          <w:sz w:val="14"/>
          <w:szCs w:val="14"/>
          <w:color w:val="000000"/>
        </w:rPr>
        <w:t xml:space="preserve">      2024 Proxy Statement   20</w:t>
      </w:r>
    </w:p>
    <w:p>
      <w:pPr>
        <w:sectPr>
          <w:pgSz w:w="11900" w:h="16838" w:orient="portrait"/>
          <w:cols w:equalWidth="0" w:num="1">
            <w:col w:w="11140"/>
          </w:cols>
          <w:pgMar w:left="320" w:top="482" w:right="4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540" w:hanging="424"/>
        <w:spacing w:after="0"/>
        <w:tabs>
          <w:tab w:leader="none" w:pos="540" w:val="left"/>
        </w:tabs>
        <w:numPr>
          <w:ilvl w:val="0"/>
          <w:numId w:val="44"/>
        </w:numPr>
        <w:rPr>
          <w:rFonts w:ascii="Wingdings" w:cs="Wingdings" w:eastAsia="Wingdings" w:hAnsi="Wingdings"/>
          <w:sz w:val="18"/>
          <w:szCs w:val="18"/>
          <w:b w:val="1"/>
          <w:bCs w:val="1"/>
          <w:color w:val="FF160F"/>
        </w:rPr>
      </w:pPr>
      <w:r>
        <w:rPr>
          <w:rFonts w:ascii="Arial" w:cs="Arial" w:eastAsia="Arial" w:hAnsi="Arial"/>
          <w:sz w:val="18"/>
          <w:szCs w:val="18"/>
          <w:b w:val="1"/>
          <w:bCs w:val="1"/>
          <w:color w:val="auto"/>
        </w:rPr>
        <w:t>EXECUTIVE COMPENSATION PRACTICES</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summarizes key governance elements related to our compensation programs:</w:t>
      </w:r>
    </w:p>
    <w:p>
      <w:pPr>
        <w:spacing w:after="0" w:line="257" w:lineRule="exact"/>
        <w:rPr>
          <w:sz w:val="20"/>
          <w:szCs w:val="20"/>
          <w:color w:val="auto"/>
        </w:rPr>
      </w:pPr>
    </w:p>
    <w:tbl>
      <w:tblPr>
        <w:tblLayout w:type="fixed"/>
        <w:tblInd w:w="120" w:type="dxa"/>
        <w:tblCellMar>
          <w:top w:w="0" w:type="dxa"/>
          <w:left w:w="0" w:type="dxa"/>
          <w:bottom w:w="0" w:type="dxa"/>
          <w:right w:w="0" w:type="dxa"/>
        </w:tblCellMar>
      </w:tblPr>
      <w:tr>
        <w:trPr>
          <w:trHeight w:val="248"/>
        </w:trPr>
        <w:tc>
          <w:tcPr>
            <w:tcW w:w="100" w:type="dxa"/>
            <w:vAlign w:val="bottom"/>
            <w:shd w:val="clear" w:color="auto" w:fill="FF160F"/>
          </w:tcPr>
          <w:p>
            <w:pPr>
              <w:spacing w:after="0"/>
              <w:rPr>
                <w:sz w:val="21"/>
                <w:szCs w:val="21"/>
                <w:color w:val="auto"/>
              </w:rPr>
            </w:pPr>
          </w:p>
        </w:tc>
        <w:tc>
          <w:tcPr>
            <w:tcW w:w="5000" w:type="dxa"/>
            <w:vAlign w:val="bottom"/>
            <w:shd w:val="clear" w:color="auto" w:fill="FF160F"/>
          </w:tcPr>
          <w:p>
            <w:pPr>
              <w:ind w:left="40"/>
              <w:spacing w:after="0"/>
              <w:rPr>
                <w:sz w:val="20"/>
                <w:szCs w:val="20"/>
                <w:color w:val="auto"/>
              </w:rPr>
            </w:pPr>
            <w:r>
              <w:rPr>
                <w:rFonts w:ascii="Arial" w:cs="Arial" w:eastAsia="Arial" w:hAnsi="Arial"/>
                <w:sz w:val="18"/>
                <w:szCs w:val="18"/>
                <w:b w:val="1"/>
                <w:bCs w:val="1"/>
                <w:color w:val="FFFFFF"/>
              </w:rPr>
              <w:t>  What We Do</w:t>
            </w:r>
          </w:p>
        </w:tc>
        <w:tc>
          <w:tcPr>
            <w:tcW w:w="780" w:type="dxa"/>
            <w:vAlign w:val="bottom"/>
            <w:tcBorders>
              <w:right w:val="single" w:sz="8" w:color="auto"/>
            </w:tcBorders>
            <w:shd w:val="clear" w:color="auto" w:fill="FF160F"/>
          </w:tcPr>
          <w:p>
            <w:pPr>
              <w:spacing w:after="0"/>
              <w:rPr>
                <w:sz w:val="21"/>
                <w:szCs w:val="21"/>
                <w:color w:val="auto"/>
              </w:rPr>
            </w:pPr>
          </w:p>
        </w:tc>
        <w:tc>
          <w:tcPr>
            <w:tcW w:w="5140" w:type="dxa"/>
            <w:vAlign w:val="bottom"/>
            <w:shd w:val="clear" w:color="auto" w:fill="FF160F"/>
          </w:tcPr>
          <w:p>
            <w:pPr>
              <w:ind w:left="80"/>
              <w:spacing w:after="0"/>
              <w:rPr>
                <w:sz w:val="20"/>
                <w:szCs w:val="20"/>
                <w:color w:val="auto"/>
              </w:rPr>
            </w:pPr>
            <w:r>
              <w:rPr>
                <w:rFonts w:ascii="Arial" w:cs="Arial" w:eastAsia="Arial" w:hAnsi="Arial"/>
                <w:sz w:val="18"/>
                <w:szCs w:val="18"/>
                <w:b w:val="1"/>
                <w:bCs w:val="1"/>
                <w:color w:val="FFFFFF"/>
              </w:rPr>
              <w:t>What We Don’t Do</w:t>
            </w:r>
          </w:p>
        </w:tc>
        <w:tc>
          <w:tcPr>
            <w:tcW w:w="0" w:type="dxa"/>
            <w:vAlign w:val="bottom"/>
          </w:tcPr>
          <w:p>
            <w:pPr>
              <w:spacing w:after="0"/>
              <w:rPr>
                <w:sz w:val="1"/>
                <w:szCs w:val="1"/>
                <w:color w:val="auto"/>
              </w:rPr>
            </w:pPr>
          </w:p>
        </w:tc>
      </w:tr>
      <w:tr>
        <w:trPr>
          <w:trHeight w:val="172"/>
        </w:trPr>
        <w:tc>
          <w:tcPr>
            <w:tcW w:w="100" w:type="dxa"/>
            <w:vAlign w:val="bottom"/>
            <w:shd w:val="clear" w:color="auto" w:fill="FF160F"/>
          </w:tcPr>
          <w:p>
            <w:pPr>
              <w:spacing w:after="0"/>
              <w:rPr>
                <w:sz w:val="14"/>
                <w:szCs w:val="14"/>
                <w:color w:val="auto"/>
              </w:rPr>
            </w:pPr>
          </w:p>
        </w:tc>
        <w:tc>
          <w:tcPr>
            <w:tcW w:w="5000" w:type="dxa"/>
            <w:vAlign w:val="bottom"/>
            <w:shd w:val="clear" w:color="auto" w:fill="FF160F"/>
          </w:tcPr>
          <w:p>
            <w:pPr>
              <w:spacing w:after="0"/>
              <w:rPr>
                <w:sz w:val="14"/>
                <w:szCs w:val="14"/>
                <w:color w:val="auto"/>
              </w:rPr>
            </w:pPr>
          </w:p>
        </w:tc>
        <w:tc>
          <w:tcPr>
            <w:tcW w:w="780" w:type="dxa"/>
            <w:vAlign w:val="bottom"/>
            <w:tcBorders>
              <w:right w:val="single" w:sz="8" w:color="auto"/>
            </w:tcBorders>
            <w:shd w:val="clear" w:color="auto" w:fill="FF160F"/>
          </w:tcPr>
          <w:p>
            <w:pPr>
              <w:spacing w:after="0"/>
              <w:rPr>
                <w:sz w:val="14"/>
                <w:szCs w:val="14"/>
                <w:color w:val="auto"/>
              </w:rPr>
            </w:pPr>
          </w:p>
        </w:tc>
        <w:tc>
          <w:tcPr>
            <w:tcW w:w="5140" w:type="dxa"/>
            <w:vAlign w:val="bottom"/>
            <w:shd w:val="clear" w:color="auto" w:fill="FF160F"/>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100" w:type="dxa"/>
            <w:vAlign w:val="bottom"/>
            <w:vMerge w:val="restart"/>
          </w:tcPr>
          <w:p>
            <w:pPr>
              <w:spacing w:after="0"/>
              <w:rPr>
                <w:sz w:val="20"/>
                <w:szCs w:val="20"/>
                <w:color w:val="auto"/>
              </w:rPr>
            </w:pPr>
            <w:r>
              <w:rPr>
                <w:rFonts w:ascii="Arial" w:cs="Arial" w:eastAsia="Arial" w:hAnsi="Arial"/>
                <w:sz w:val="18"/>
                <w:szCs w:val="18"/>
                <w:color w:val="auto"/>
                <w:w w:val="88"/>
              </w:rPr>
              <w:t> </w:t>
            </w:r>
          </w:p>
        </w:tc>
        <w:tc>
          <w:tcPr>
            <w:tcW w:w="5000" w:type="dxa"/>
            <w:vAlign w:val="bottom"/>
            <w:vMerge w:val="restart"/>
          </w:tcPr>
          <w:p>
            <w:pPr>
              <w:ind w:left="580"/>
              <w:spacing w:after="0"/>
              <w:rPr>
                <w:sz w:val="20"/>
                <w:szCs w:val="20"/>
                <w:color w:val="auto"/>
              </w:rPr>
            </w:pPr>
            <w:r>
              <w:rPr>
                <w:rFonts w:ascii="Arial" w:cs="Arial" w:eastAsia="Arial" w:hAnsi="Arial"/>
                <w:sz w:val="18"/>
                <w:szCs w:val="18"/>
                <w:color w:val="auto"/>
              </w:rPr>
              <w:t>Maintain a pay mix that is heavily performance-based</w:t>
            </w:r>
          </w:p>
        </w:tc>
        <w:tc>
          <w:tcPr>
            <w:tcW w:w="78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 xml:space="preserve">       </w:t>
            </w:r>
          </w:p>
        </w:tc>
        <w:tc>
          <w:tcPr>
            <w:tcW w:w="5140" w:type="dxa"/>
            <w:vAlign w:val="bottom"/>
          </w:tcPr>
          <w:p>
            <w:pPr>
              <w:ind w:left="620"/>
              <w:spacing w:after="0" w:line="183" w:lineRule="exact"/>
              <w:rPr>
                <w:sz w:val="20"/>
                <w:szCs w:val="20"/>
                <w:color w:val="auto"/>
              </w:rPr>
            </w:pPr>
            <w:r>
              <w:rPr>
                <w:rFonts w:ascii="Arial" w:cs="Arial" w:eastAsia="Arial" w:hAnsi="Arial"/>
                <w:sz w:val="18"/>
                <w:szCs w:val="18"/>
                <w:color w:val="auto"/>
              </w:rPr>
              <w:t>Have employment agreements with our NEOs with</w:t>
            </w:r>
          </w:p>
        </w:tc>
        <w:tc>
          <w:tcPr>
            <w:tcW w:w="0" w:type="dxa"/>
            <w:vAlign w:val="bottom"/>
          </w:tcPr>
          <w:p>
            <w:pPr>
              <w:spacing w:after="0"/>
              <w:rPr>
                <w:sz w:val="1"/>
                <w:szCs w:val="1"/>
                <w:color w:val="auto"/>
              </w:rPr>
            </w:pPr>
          </w:p>
        </w:tc>
      </w:tr>
      <w:tr>
        <w:trPr>
          <w:trHeight w:val="131"/>
        </w:trPr>
        <w:tc>
          <w:tcPr>
            <w:tcW w:w="100" w:type="dxa"/>
            <w:vAlign w:val="bottom"/>
            <w:vMerge w:val="continue"/>
          </w:tcPr>
          <w:p>
            <w:pPr>
              <w:spacing w:after="0"/>
              <w:rPr>
                <w:sz w:val="11"/>
                <w:szCs w:val="11"/>
                <w:color w:val="auto"/>
              </w:rPr>
            </w:pPr>
          </w:p>
        </w:tc>
        <w:tc>
          <w:tcPr>
            <w:tcW w:w="5000" w:type="dxa"/>
            <w:vAlign w:val="bottom"/>
            <w:vMerge w:val="continue"/>
          </w:tcPr>
          <w:p>
            <w:pPr>
              <w:spacing w:after="0"/>
              <w:rPr>
                <w:sz w:val="11"/>
                <w:szCs w:val="11"/>
                <w:color w:val="auto"/>
              </w:rPr>
            </w:pPr>
          </w:p>
        </w:tc>
        <w:tc>
          <w:tcPr>
            <w:tcW w:w="780" w:type="dxa"/>
            <w:vAlign w:val="bottom"/>
            <w:tcBorders>
              <w:right w:val="single" w:sz="8" w:color="auto"/>
            </w:tcBorders>
            <w:vMerge w:val="continue"/>
          </w:tcPr>
          <w:p>
            <w:pPr>
              <w:spacing w:after="0"/>
              <w:rPr>
                <w:sz w:val="11"/>
                <w:szCs w:val="11"/>
                <w:color w:val="auto"/>
              </w:rPr>
            </w:pPr>
          </w:p>
        </w:tc>
        <w:tc>
          <w:tcPr>
            <w:tcW w:w="5140" w:type="dxa"/>
            <w:vAlign w:val="bottom"/>
            <w:vMerge w:val="restart"/>
          </w:tcPr>
          <w:p>
            <w:pPr>
              <w:ind w:left="620"/>
              <w:spacing w:after="0"/>
              <w:rPr>
                <w:sz w:val="20"/>
                <w:szCs w:val="20"/>
                <w:color w:val="auto"/>
              </w:rPr>
            </w:pPr>
            <w:r>
              <w:rPr>
                <w:rFonts w:ascii="Arial" w:cs="Arial" w:eastAsia="Arial" w:hAnsi="Arial"/>
                <w:sz w:val="18"/>
                <w:szCs w:val="18"/>
                <w:color w:val="auto"/>
              </w:rPr>
              <w:t>required fixed compensation increases</w:t>
            </w:r>
          </w:p>
        </w:tc>
        <w:tc>
          <w:tcPr>
            <w:tcW w:w="0" w:type="dxa"/>
            <w:vAlign w:val="bottom"/>
          </w:tcPr>
          <w:p>
            <w:pPr>
              <w:spacing w:after="0"/>
              <w:rPr>
                <w:sz w:val="1"/>
                <w:szCs w:val="1"/>
                <w:color w:val="auto"/>
              </w:rPr>
            </w:pPr>
          </w:p>
        </w:tc>
      </w:tr>
      <w:tr>
        <w:trPr>
          <w:trHeight w:val="108"/>
        </w:trPr>
        <w:tc>
          <w:tcPr>
            <w:tcW w:w="100" w:type="dxa"/>
            <w:vAlign w:val="bottom"/>
            <w:vMerge w:val="continue"/>
          </w:tcPr>
          <w:p>
            <w:pPr>
              <w:spacing w:after="0"/>
              <w:rPr>
                <w:sz w:val="9"/>
                <w:szCs w:val="9"/>
                <w:color w:val="auto"/>
              </w:rPr>
            </w:pPr>
          </w:p>
        </w:tc>
        <w:tc>
          <w:tcPr>
            <w:tcW w:w="5000" w:type="dxa"/>
            <w:vAlign w:val="bottom"/>
          </w:tcPr>
          <w:p>
            <w:pPr>
              <w:spacing w:after="0"/>
              <w:rPr>
                <w:sz w:val="9"/>
                <w:szCs w:val="9"/>
                <w:color w:val="auto"/>
              </w:rPr>
            </w:pPr>
          </w:p>
        </w:tc>
        <w:tc>
          <w:tcPr>
            <w:tcW w:w="780" w:type="dxa"/>
            <w:vAlign w:val="bottom"/>
            <w:tcBorders>
              <w:right w:val="single" w:sz="8" w:color="auto"/>
            </w:tcBorders>
          </w:tcPr>
          <w:p>
            <w:pPr>
              <w:spacing w:after="0"/>
              <w:rPr>
                <w:sz w:val="9"/>
                <w:szCs w:val="9"/>
                <w:color w:val="auto"/>
              </w:rPr>
            </w:pPr>
          </w:p>
        </w:tc>
        <w:tc>
          <w:tcPr>
            <w:tcW w:w="51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82"/>
        </w:trPr>
        <w:tc>
          <w:tcPr>
            <w:tcW w:w="100" w:type="dxa"/>
            <w:vAlign w:val="bottom"/>
            <w:vMerge w:val="restart"/>
          </w:tcPr>
          <w:p>
            <w:pPr>
              <w:spacing w:after="0"/>
              <w:rPr>
                <w:sz w:val="20"/>
                <w:szCs w:val="20"/>
                <w:color w:val="auto"/>
              </w:rPr>
            </w:pPr>
            <w:r>
              <w:rPr>
                <w:rFonts w:ascii="Arial" w:cs="Arial" w:eastAsia="Arial" w:hAnsi="Arial"/>
                <w:sz w:val="18"/>
                <w:szCs w:val="18"/>
                <w:color w:val="auto"/>
                <w:w w:val="88"/>
              </w:rPr>
              <w:t> </w:t>
            </w:r>
          </w:p>
        </w:tc>
        <w:tc>
          <w:tcPr>
            <w:tcW w:w="5000" w:type="dxa"/>
            <w:vAlign w:val="bottom"/>
          </w:tcPr>
          <w:p>
            <w:pPr>
              <w:ind w:left="580"/>
              <w:spacing w:after="0"/>
              <w:rPr>
                <w:sz w:val="20"/>
                <w:szCs w:val="20"/>
                <w:color w:val="auto"/>
              </w:rPr>
            </w:pPr>
            <w:r>
              <w:rPr>
                <w:rFonts w:ascii="Arial" w:cs="Arial" w:eastAsia="Arial" w:hAnsi="Arial"/>
                <w:sz w:val="18"/>
                <w:szCs w:val="18"/>
                <w:color w:val="auto"/>
              </w:rPr>
              <w:t>Align compensation with company and individual</w:t>
            </w:r>
          </w:p>
        </w:tc>
        <w:tc>
          <w:tcPr>
            <w:tcW w:w="780" w:type="dxa"/>
            <w:vAlign w:val="bottom"/>
            <w:tcBorders>
              <w:right w:val="single" w:sz="8" w:color="auto"/>
            </w:tcBorders>
          </w:tcPr>
          <w:p>
            <w:pPr>
              <w:spacing w:after="0"/>
              <w:rPr>
                <w:sz w:val="24"/>
                <w:szCs w:val="24"/>
                <w:color w:val="auto"/>
              </w:rPr>
            </w:pPr>
          </w:p>
        </w:tc>
        <w:tc>
          <w:tcPr>
            <w:tcW w:w="5140" w:type="dxa"/>
            <w:vAlign w:val="bottom"/>
            <w:vMerge w:val="restart"/>
          </w:tcPr>
          <w:p>
            <w:pPr>
              <w:ind w:left="620"/>
              <w:spacing w:after="0"/>
              <w:rPr>
                <w:sz w:val="20"/>
                <w:szCs w:val="20"/>
                <w:color w:val="auto"/>
              </w:rPr>
            </w:pPr>
            <w:r>
              <w:rPr>
                <w:rFonts w:ascii="Arial" w:cs="Arial" w:eastAsia="Arial" w:hAnsi="Arial"/>
                <w:sz w:val="18"/>
                <w:szCs w:val="18"/>
                <w:color w:val="auto"/>
              </w:rPr>
              <w:t>Grant options below fair market value or reprice options</w:t>
            </w:r>
          </w:p>
        </w:tc>
        <w:tc>
          <w:tcPr>
            <w:tcW w:w="0" w:type="dxa"/>
            <w:vAlign w:val="bottom"/>
          </w:tcPr>
          <w:p>
            <w:pPr>
              <w:spacing w:after="0"/>
              <w:rPr>
                <w:sz w:val="1"/>
                <w:szCs w:val="1"/>
                <w:color w:val="auto"/>
              </w:rPr>
            </w:pPr>
          </w:p>
        </w:tc>
      </w:tr>
      <w:tr>
        <w:trPr>
          <w:trHeight w:val="131"/>
        </w:trPr>
        <w:tc>
          <w:tcPr>
            <w:tcW w:w="100" w:type="dxa"/>
            <w:vAlign w:val="bottom"/>
            <w:vMerge w:val="continue"/>
          </w:tcPr>
          <w:p>
            <w:pPr>
              <w:spacing w:after="0"/>
              <w:rPr>
                <w:sz w:val="11"/>
                <w:szCs w:val="11"/>
                <w:color w:val="auto"/>
              </w:rPr>
            </w:pPr>
          </w:p>
        </w:tc>
        <w:tc>
          <w:tcPr>
            <w:tcW w:w="5000" w:type="dxa"/>
            <w:vAlign w:val="bottom"/>
            <w:vMerge w:val="restart"/>
          </w:tcPr>
          <w:p>
            <w:pPr>
              <w:ind w:left="580"/>
              <w:spacing w:after="0"/>
              <w:rPr>
                <w:sz w:val="20"/>
                <w:szCs w:val="20"/>
                <w:color w:val="auto"/>
              </w:rPr>
            </w:pPr>
            <w:r>
              <w:rPr>
                <w:rFonts w:ascii="Arial" w:cs="Arial" w:eastAsia="Arial" w:hAnsi="Arial"/>
                <w:sz w:val="18"/>
                <w:szCs w:val="18"/>
                <w:color w:val="auto"/>
              </w:rPr>
              <w:t>performance</w:t>
            </w:r>
          </w:p>
        </w:tc>
        <w:tc>
          <w:tcPr>
            <w:tcW w:w="780" w:type="dxa"/>
            <w:vAlign w:val="bottom"/>
            <w:tcBorders>
              <w:right w:val="single" w:sz="8" w:color="auto"/>
            </w:tcBorders>
          </w:tcPr>
          <w:p>
            <w:pPr>
              <w:spacing w:after="0"/>
              <w:rPr>
                <w:sz w:val="11"/>
                <w:szCs w:val="11"/>
                <w:color w:val="auto"/>
              </w:rPr>
            </w:pPr>
          </w:p>
        </w:tc>
        <w:tc>
          <w:tcPr>
            <w:tcW w:w="5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00" w:type="dxa"/>
            <w:vAlign w:val="bottom"/>
            <w:vMerge w:val="continue"/>
          </w:tcPr>
          <w:p>
            <w:pPr>
              <w:spacing w:after="0"/>
              <w:rPr>
                <w:sz w:val="9"/>
                <w:szCs w:val="9"/>
                <w:color w:val="auto"/>
              </w:rPr>
            </w:pPr>
          </w:p>
        </w:tc>
        <w:tc>
          <w:tcPr>
            <w:tcW w:w="5000" w:type="dxa"/>
            <w:vAlign w:val="bottom"/>
            <w:vMerge w:val="continue"/>
          </w:tcPr>
          <w:p>
            <w:pPr>
              <w:spacing w:after="0"/>
              <w:rPr>
                <w:sz w:val="9"/>
                <w:szCs w:val="9"/>
                <w:color w:val="auto"/>
              </w:rPr>
            </w:pPr>
          </w:p>
        </w:tc>
        <w:tc>
          <w:tcPr>
            <w:tcW w:w="780" w:type="dxa"/>
            <w:vAlign w:val="bottom"/>
            <w:tcBorders>
              <w:right w:val="single" w:sz="8" w:color="auto"/>
            </w:tcBorders>
          </w:tcPr>
          <w:p>
            <w:pPr>
              <w:spacing w:after="0"/>
              <w:rPr>
                <w:sz w:val="9"/>
                <w:szCs w:val="9"/>
                <w:color w:val="auto"/>
              </w:rPr>
            </w:pPr>
          </w:p>
        </w:tc>
        <w:tc>
          <w:tcPr>
            <w:tcW w:w="5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82"/>
        </w:trPr>
        <w:tc>
          <w:tcPr>
            <w:tcW w:w="100" w:type="dxa"/>
            <w:vAlign w:val="bottom"/>
            <w:vMerge w:val="restart"/>
          </w:tcPr>
          <w:p>
            <w:pPr>
              <w:spacing w:after="0"/>
              <w:rPr>
                <w:sz w:val="20"/>
                <w:szCs w:val="20"/>
                <w:color w:val="auto"/>
              </w:rPr>
            </w:pPr>
            <w:r>
              <w:rPr>
                <w:rFonts w:ascii="Arial" w:cs="Arial" w:eastAsia="Arial" w:hAnsi="Arial"/>
                <w:sz w:val="18"/>
                <w:szCs w:val="18"/>
                <w:color w:val="auto"/>
                <w:w w:val="88"/>
              </w:rPr>
              <w:t> </w:t>
            </w:r>
          </w:p>
        </w:tc>
        <w:tc>
          <w:tcPr>
            <w:tcW w:w="5000" w:type="dxa"/>
            <w:vAlign w:val="bottom"/>
          </w:tcPr>
          <w:p>
            <w:pPr>
              <w:ind w:left="580"/>
              <w:spacing w:after="0"/>
              <w:rPr>
                <w:sz w:val="20"/>
                <w:szCs w:val="20"/>
                <w:color w:val="auto"/>
              </w:rPr>
            </w:pPr>
            <w:r>
              <w:rPr>
                <w:rFonts w:ascii="Arial" w:cs="Arial" w:eastAsia="Arial" w:hAnsi="Arial"/>
                <w:sz w:val="18"/>
                <w:szCs w:val="18"/>
                <w:color w:val="auto"/>
              </w:rPr>
              <w:t>Seek annual shareholder advisory approval of</w:t>
            </w:r>
          </w:p>
        </w:tc>
        <w:tc>
          <w:tcPr>
            <w:tcW w:w="780" w:type="dxa"/>
            <w:vAlign w:val="bottom"/>
            <w:tcBorders>
              <w:right w:val="single" w:sz="8" w:color="auto"/>
            </w:tcBorders>
          </w:tcPr>
          <w:p>
            <w:pPr>
              <w:spacing w:after="0"/>
              <w:rPr>
                <w:sz w:val="24"/>
                <w:szCs w:val="24"/>
                <w:color w:val="auto"/>
              </w:rPr>
            </w:pPr>
          </w:p>
        </w:tc>
        <w:tc>
          <w:tcPr>
            <w:tcW w:w="5140" w:type="dxa"/>
            <w:vAlign w:val="bottom"/>
            <w:vMerge w:val="restart"/>
          </w:tcPr>
          <w:p>
            <w:pPr>
              <w:ind w:left="620"/>
              <w:spacing w:after="0"/>
              <w:rPr>
                <w:sz w:val="20"/>
                <w:szCs w:val="20"/>
                <w:color w:val="auto"/>
              </w:rPr>
            </w:pPr>
            <w:r>
              <w:rPr>
                <w:rFonts w:ascii="Arial" w:cs="Arial" w:eastAsia="Arial" w:hAnsi="Arial"/>
                <w:sz w:val="18"/>
                <w:szCs w:val="18"/>
                <w:color w:val="auto"/>
              </w:rPr>
              <w:t>Permit hedging or pledging of our shares</w:t>
            </w:r>
          </w:p>
        </w:tc>
        <w:tc>
          <w:tcPr>
            <w:tcW w:w="0" w:type="dxa"/>
            <w:vAlign w:val="bottom"/>
          </w:tcPr>
          <w:p>
            <w:pPr>
              <w:spacing w:after="0"/>
              <w:rPr>
                <w:sz w:val="1"/>
                <w:szCs w:val="1"/>
                <w:color w:val="auto"/>
              </w:rPr>
            </w:pPr>
          </w:p>
        </w:tc>
      </w:tr>
      <w:tr>
        <w:trPr>
          <w:trHeight w:val="131"/>
        </w:trPr>
        <w:tc>
          <w:tcPr>
            <w:tcW w:w="100" w:type="dxa"/>
            <w:vAlign w:val="bottom"/>
            <w:vMerge w:val="continue"/>
          </w:tcPr>
          <w:p>
            <w:pPr>
              <w:spacing w:after="0"/>
              <w:rPr>
                <w:sz w:val="11"/>
                <w:szCs w:val="11"/>
                <w:color w:val="auto"/>
              </w:rPr>
            </w:pPr>
          </w:p>
        </w:tc>
        <w:tc>
          <w:tcPr>
            <w:tcW w:w="5000" w:type="dxa"/>
            <w:vAlign w:val="bottom"/>
            <w:vMerge w:val="restart"/>
          </w:tcPr>
          <w:p>
            <w:pPr>
              <w:ind w:left="580"/>
              <w:spacing w:after="0"/>
              <w:rPr>
                <w:sz w:val="20"/>
                <w:szCs w:val="20"/>
                <w:color w:val="auto"/>
              </w:rPr>
            </w:pPr>
            <w:r>
              <w:rPr>
                <w:rFonts w:ascii="Arial" w:cs="Arial" w:eastAsia="Arial" w:hAnsi="Arial"/>
                <w:sz w:val="18"/>
                <w:szCs w:val="18"/>
                <w:color w:val="auto"/>
              </w:rPr>
              <w:t>executive compensation</w:t>
            </w:r>
          </w:p>
        </w:tc>
        <w:tc>
          <w:tcPr>
            <w:tcW w:w="780" w:type="dxa"/>
            <w:vAlign w:val="bottom"/>
            <w:tcBorders>
              <w:right w:val="single" w:sz="8" w:color="auto"/>
            </w:tcBorders>
          </w:tcPr>
          <w:p>
            <w:pPr>
              <w:spacing w:after="0"/>
              <w:rPr>
                <w:sz w:val="11"/>
                <w:szCs w:val="11"/>
                <w:color w:val="auto"/>
              </w:rPr>
            </w:pPr>
          </w:p>
        </w:tc>
        <w:tc>
          <w:tcPr>
            <w:tcW w:w="5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00" w:type="dxa"/>
            <w:vAlign w:val="bottom"/>
            <w:vMerge w:val="continue"/>
          </w:tcPr>
          <w:p>
            <w:pPr>
              <w:spacing w:after="0"/>
              <w:rPr>
                <w:sz w:val="9"/>
                <w:szCs w:val="9"/>
                <w:color w:val="auto"/>
              </w:rPr>
            </w:pPr>
          </w:p>
        </w:tc>
        <w:tc>
          <w:tcPr>
            <w:tcW w:w="5000" w:type="dxa"/>
            <w:vAlign w:val="bottom"/>
            <w:vMerge w:val="continue"/>
          </w:tcPr>
          <w:p>
            <w:pPr>
              <w:spacing w:after="0"/>
              <w:rPr>
                <w:sz w:val="9"/>
                <w:szCs w:val="9"/>
                <w:color w:val="auto"/>
              </w:rPr>
            </w:pPr>
          </w:p>
        </w:tc>
        <w:tc>
          <w:tcPr>
            <w:tcW w:w="780" w:type="dxa"/>
            <w:vAlign w:val="bottom"/>
            <w:tcBorders>
              <w:right w:val="single" w:sz="8" w:color="auto"/>
            </w:tcBorders>
          </w:tcPr>
          <w:p>
            <w:pPr>
              <w:spacing w:after="0"/>
              <w:rPr>
                <w:sz w:val="9"/>
                <w:szCs w:val="9"/>
                <w:color w:val="auto"/>
              </w:rPr>
            </w:pPr>
          </w:p>
        </w:tc>
        <w:tc>
          <w:tcPr>
            <w:tcW w:w="5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82"/>
        </w:trPr>
        <w:tc>
          <w:tcPr>
            <w:tcW w:w="100" w:type="dxa"/>
            <w:vAlign w:val="bottom"/>
          </w:tcPr>
          <w:p>
            <w:pPr>
              <w:spacing w:after="0"/>
              <w:rPr>
                <w:sz w:val="24"/>
                <w:szCs w:val="24"/>
                <w:color w:val="auto"/>
              </w:rPr>
            </w:pPr>
          </w:p>
        </w:tc>
        <w:tc>
          <w:tcPr>
            <w:tcW w:w="5000" w:type="dxa"/>
            <w:vAlign w:val="bottom"/>
          </w:tcPr>
          <w:p>
            <w:pPr>
              <w:ind w:left="580"/>
              <w:spacing w:after="0"/>
              <w:rPr>
                <w:sz w:val="20"/>
                <w:szCs w:val="20"/>
                <w:color w:val="auto"/>
              </w:rPr>
            </w:pPr>
            <w:r>
              <w:rPr>
                <w:rFonts w:ascii="Arial" w:cs="Arial" w:eastAsia="Arial" w:hAnsi="Arial"/>
                <w:sz w:val="18"/>
                <w:szCs w:val="18"/>
                <w:color w:val="auto"/>
              </w:rPr>
              <w:t>Maintain strong share ownership guidelines of 7x base</w:t>
            </w:r>
          </w:p>
        </w:tc>
        <w:tc>
          <w:tcPr>
            <w:tcW w:w="780" w:type="dxa"/>
            <w:vAlign w:val="bottom"/>
            <w:tcBorders>
              <w:right w:val="single" w:sz="8" w:color="auto"/>
            </w:tcBorders>
          </w:tcPr>
          <w:p>
            <w:pPr>
              <w:spacing w:after="0"/>
              <w:rPr>
                <w:sz w:val="24"/>
                <w:szCs w:val="24"/>
                <w:color w:val="auto"/>
              </w:rPr>
            </w:pPr>
          </w:p>
        </w:tc>
        <w:tc>
          <w:tcPr>
            <w:tcW w:w="5140" w:type="dxa"/>
            <w:vAlign w:val="bottom"/>
            <w:vMerge w:val="restart"/>
          </w:tcPr>
          <w:p>
            <w:pPr>
              <w:ind w:left="620"/>
              <w:spacing w:after="0"/>
              <w:rPr>
                <w:sz w:val="20"/>
                <w:szCs w:val="20"/>
                <w:color w:val="auto"/>
              </w:rPr>
            </w:pPr>
            <w:r>
              <w:rPr>
                <w:rFonts w:ascii="Arial" w:cs="Arial" w:eastAsia="Arial" w:hAnsi="Arial"/>
                <w:sz w:val="18"/>
                <w:szCs w:val="18"/>
                <w:color w:val="auto"/>
              </w:rPr>
              <w:t>Provide perquisites that are not made available to all of</w:t>
            </w:r>
          </w:p>
        </w:tc>
        <w:tc>
          <w:tcPr>
            <w:tcW w:w="0" w:type="dxa"/>
            <w:vAlign w:val="bottom"/>
          </w:tcPr>
          <w:p>
            <w:pPr>
              <w:spacing w:after="0"/>
              <w:rPr>
                <w:sz w:val="1"/>
                <w:szCs w:val="1"/>
                <w:color w:val="auto"/>
              </w:rPr>
            </w:pPr>
          </w:p>
        </w:tc>
      </w:tr>
      <w:tr>
        <w:trPr>
          <w:trHeight w:val="95"/>
        </w:trPr>
        <w:tc>
          <w:tcPr>
            <w:tcW w:w="100" w:type="dxa"/>
            <w:vAlign w:val="bottom"/>
            <w:vMerge w:val="restart"/>
          </w:tcPr>
          <w:p>
            <w:pPr>
              <w:spacing w:after="0"/>
              <w:rPr>
                <w:sz w:val="20"/>
                <w:szCs w:val="20"/>
                <w:color w:val="auto"/>
              </w:rPr>
            </w:pPr>
            <w:r>
              <w:rPr>
                <w:rFonts w:ascii="Arial" w:cs="Arial" w:eastAsia="Arial" w:hAnsi="Arial"/>
                <w:sz w:val="18"/>
                <w:szCs w:val="18"/>
                <w:color w:val="auto"/>
                <w:w w:val="88"/>
              </w:rPr>
              <w:t> </w:t>
            </w:r>
          </w:p>
        </w:tc>
        <w:tc>
          <w:tcPr>
            <w:tcW w:w="5000" w:type="dxa"/>
            <w:vAlign w:val="bottom"/>
            <w:vMerge w:val="restart"/>
          </w:tcPr>
          <w:p>
            <w:pPr>
              <w:ind w:left="580"/>
              <w:spacing w:after="0"/>
              <w:rPr>
                <w:sz w:val="20"/>
                <w:szCs w:val="20"/>
                <w:color w:val="auto"/>
              </w:rPr>
            </w:pPr>
            <w:r>
              <w:rPr>
                <w:rFonts w:ascii="Arial" w:cs="Arial" w:eastAsia="Arial" w:hAnsi="Arial"/>
                <w:sz w:val="18"/>
                <w:szCs w:val="18"/>
                <w:color w:val="auto"/>
              </w:rPr>
              <w:t>salary for our CEO and 2.5x base salary plus annual</w:t>
            </w:r>
          </w:p>
        </w:tc>
        <w:tc>
          <w:tcPr>
            <w:tcW w:w="780" w:type="dxa"/>
            <w:vAlign w:val="bottom"/>
            <w:tcBorders>
              <w:right w:val="single" w:sz="8" w:color="auto"/>
            </w:tcBorders>
          </w:tcPr>
          <w:p>
            <w:pPr>
              <w:spacing w:after="0"/>
              <w:rPr>
                <w:sz w:val="8"/>
                <w:szCs w:val="8"/>
                <w:color w:val="auto"/>
              </w:rPr>
            </w:pPr>
          </w:p>
        </w:tc>
        <w:tc>
          <w:tcPr>
            <w:tcW w:w="51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1"/>
        </w:trPr>
        <w:tc>
          <w:tcPr>
            <w:tcW w:w="100" w:type="dxa"/>
            <w:vAlign w:val="bottom"/>
            <w:vMerge w:val="continue"/>
          </w:tcPr>
          <w:p>
            <w:pPr>
              <w:spacing w:after="0"/>
              <w:rPr>
                <w:sz w:val="15"/>
                <w:szCs w:val="15"/>
                <w:color w:val="auto"/>
              </w:rPr>
            </w:pPr>
          </w:p>
        </w:tc>
        <w:tc>
          <w:tcPr>
            <w:tcW w:w="5000" w:type="dxa"/>
            <w:vAlign w:val="bottom"/>
            <w:vMerge w:val="continue"/>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5140" w:type="dxa"/>
            <w:vAlign w:val="bottom"/>
          </w:tcPr>
          <w:p>
            <w:pPr>
              <w:ind w:left="620"/>
              <w:spacing w:after="0" w:line="181" w:lineRule="exact"/>
              <w:rPr>
                <w:sz w:val="20"/>
                <w:szCs w:val="20"/>
                <w:color w:val="auto"/>
              </w:rPr>
            </w:pPr>
            <w:r>
              <w:rPr>
                <w:rFonts w:ascii="Arial" w:cs="Arial" w:eastAsia="Arial" w:hAnsi="Arial"/>
                <w:sz w:val="18"/>
                <w:szCs w:val="18"/>
                <w:color w:val="auto"/>
              </w:rPr>
              <w:t>our employees</w:t>
            </w:r>
          </w:p>
        </w:tc>
        <w:tc>
          <w:tcPr>
            <w:tcW w:w="0" w:type="dxa"/>
            <w:vAlign w:val="bottom"/>
          </w:tcPr>
          <w:p>
            <w:pPr>
              <w:spacing w:after="0"/>
              <w:rPr>
                <w:sz w:val="1"/>
                <w:szCs w:val="1"/>
                <w:color w:val="auto"/>
              </w:rPr>
            </w:pPr>
          </w:p>
        </w:tc>
      </w:tr>
      <w:tr>
        <w:trPr>
          <w:trHeight w:val="239"/>
        </w:trPr>
        <w:tc>
          <w:tcPr>
            <w:tcW w:w="100" w:type="dxa"/>
            <w:vAlign w:val="bottom"/>
          </w:tcPr>
          <w:p>
            <w:pPr>
              <w:spacing w:after="0"/>
              <w:rPr>
                <w:sz w:val="20"/>
                <w:szCs w:val="20"/>
                <w:color w:val="auto"/>
              </w:rPr>
            </w:pPr>
          </w:p>
        </w:tc>
        <w:tc>
          <w:tcPr>
            <w:tcW w:w="5000" w:type="dxa"/>
            <w:vAlign w:val="bottom"/>
          </w:tcPr>
          <w:p>
            <w:pPr>
              <w:ind w:left="580"/>
              <w:spacing w:after="0"/>
              <w:rPr>
                <w:sz w:val="20"/>
                <w:szCs w:val="20"/>
                <w:color w:val="auto"/>
              </w:rPr>
            </w:pPr>
            <w:r>
              <w:rPr>
                <w:rFonts w:ascii="Arial" w:cs="Arial" w:eastAsia="Arial" w:hAnsi="Arial"/>
                <w:sz w:val="18"/>
                <w:szCs w:val="18"/>
                <w:color w:val="auto"/>
              </w:rPr>
              <w:t>bonus for our other NEOs</w:t>
            </w:r>
          </w:p>
        </w:tc>
        <w:tc>
          <w:tcPr>
            <w:tcW w:w="780" w:type="dxa"/>
            <w:vAlign w:val="bottom"/>
            <w:tcBorders>
              <w:right w:val="single" w:sz="8" w:color="auto"/>
            </w:tcBorders>
          </w:tcPr>
          <w:p>
            <w:pPr>
              <w:spacing w:after="0"/>
              <w:rPr>
                <w:sz w:val="20"/>
                <w:szCs w:val="20"/>
                <w:color w:val="auto"/>
              </w:rPr>
            </w:pPr>
          </w:p>
        </w:tc>
        <w:tc>
          <w:tcPr>
            <w:tcW w:w="5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0"/>
        </w:trPr>
        <w:tc>
          <w:tcPr>
            <w:tcW w:w="100" w:type="dxa"/>
            <w:vAlign w:val="bottom"/>
            <w:vMerge w:val="restart"/>
          </w:tcPr>
          <w:p>
            <w:pPr>
              <w:spacing w:after="0"/>
              <w:rPr>
                <w:sz w:val="20"/>
                <w:szCs w:val="20"/>
                <w:color w:val="auto"/>
              </w:rPr>
            </w:pPr>
            <w:r>
              <w:rPr>
                <w:rFonts w:ascii="Arial" w:cs="Arial" w:eastAsia="Arial" w:hAnsi="Arial"/>
                <w:sz w:val="18"/>
                <w:szCs w:val="18"/>
                <w:color w:val="auto"/>
                <w:w w:val="88"/>
              </w:rPr>
              <w:t> </w:t>
            </w:r>
          </w:p>
        </w:tc>
        <w:tc>
          <w:tcPr>
            <w:tcW w:w="5000" w:type="dxa"/>
            <w:vAlign w:val="bottom"/>
          </w:tcPr>
          <w:p>
            <w:pPr>
              <w:ind w:left="580"/>
              <w:spacing w:after="0"/>
              <w:rPr>
                <w:sz w:val="20"/>
                <w:szCs w:val="20"/>
                <w:color w:val="auto"/>
              </w:rPr>
            </w:pPr>
            <w:r>
              <w:rPr>
                <w:rFonts w:ascii="Arial" w:cs="Arial" w:eastAsia="Arial" w:hAnsi="Arial"/>
                <w:sz w:val="18"/>
                <w:szCs w:val="18"/>
                <w:color w:val="auto"/>
              </w:rPr>
              <w:t>Maintain incentive compensation clawback policy</w:t>
            </w:r>
          </w:p>
        </w:tc>
        <w:tc>
          <w:tcPr>
            <w:tcW w:w="780" w:type="dxa"/>
            <w:vAlign w:val="bottom"/>
            <w:tcBorders>
              <w:right w:val="single" w:sz="8" w:color="auto"/>
            </w:tcBorders>
          </w:tcPr>
          <w:p>
            <w:pPr>
              <w:spacing w:after="0"/>
              <w:rPr>
                <w:sz w:val="24"/>
                <w:szCs w:val="24"/>
                <w:color w:val="auto"/>
              </w:rPr>
            </w:pPr>
          </w:p>
        </w:tc>
        <w:tc>
          <w:tcPr>
            <w:tcW w:w="5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100" w:type="dxa"/>
            <w:vAlign w:val="bottom"/>
            <w:vMerge w:val="continue"/>
          </w:tcPr>
          <w:p>
            <w:pPr>
              <w:spacing w:after="0"/>
              <w:rPr>
                <w:sz w:val="5"/>
                <w:szCs w:val="5"/>
                <w:color w:val="auto"/>
              </w:rPr>
            </w:pPr>
          </w:p>
        </w:tc>
        <w:tc>
          <w:tcPr>
            <w:tcW w:w="5000" w:type="dxa"/>
            <w:vAlign w:val="bottom"/>
          </w:tcPr>
          <w:p>
            <w:pPr>
              <w:spacing w:after="0"/>
              <w:rPr>
                <w:sz w:val="5"/>
                <w:szCs w:val="5"/>
                <w:color w:val="auto"/>
              </w:rPr>
            </w:pPr>
          </w:p>
        </w:tc>
        <w:tc>
          <w:tcPr>
            <w:tcW w:w="780" w:type="dxa"/>
            <w:vAlign w:val="bottom"/>
            <w:tcBorders>
              <w:right w:val="single" w:sz="8" w:color="auto"/>
            </w:tcBorders>
          </w:tcPr>
          <w:p>
            <w:pPr>
              <w:spacing w:after="0"/>
              <w:rPr>
                <w:sz w:val="5"/>
                <w:szCs w:val="5"/>
                <w:color w:val="auto"/>
              </w:rPr>
            </w:pPr>
          </w:p>
        </w:tc>
        <w:tc>
          <w:tcPr>
            <w:tcW w:w="5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73"/>
        </w:trPr>
        <w:tc>
          <w:tcPr>
            <w:tcW w:w="100" w:type="dxa"/>
            <w:vAlign w:val="bottom"/>
            <w:vMerge w:val="restart"/>
          </w:tcPr>
          <w:p>
            <w:pPr>
              <w:spacing w:after="0"/>
              <w:rPr>
                <w:sz w:val="20"/>
                <w:szCs w:val="20"/>
                <w:color w:val="auto"/>
              </w:rPr>
            </w:pPr>
            <w:r>
              <w:rPr>
                <w:rFonts w:ascii="Arial" w:cs="Arial" w:eastAsia="Arial" w:hAnsi="Arial"/>
                <w:sz w:val="18"/>
                <w:szCs w:val="18"/>
                <w:color w:val="auto"/>
                <w:w w:val="88"/>
              </w:rPr>
              <w:t> </w:t>
            </w:r>
          </w:p>
        </w:tc>
        <w:tc>
          <w:tcPr>
            <w:tcW w:w="5000" w:type="dxa"/>
            <w:vAlign w:val="bottom"/>
          </w:tcPr>
          <w:p>
            <w:pPr>
              <w:ind w:left="580"/>
              <w:spacing w:after="0"/>
              <w:rPr>
                <w:sz w:val="20"/>
                <w:szCs w:val="20"/>
                <w:color w:val="auto"/>
              </w:rPr>
            </w:pPr>
            <w:r>
              <w:rPr>
                <w:rFonts w:ascii="Arial" w:cs="Arial" w:eastAsia="Arial" w:hAnsi="Arial"/>
                <w:sz w:val="18"/>
                <w:szCs w:val="18"/>
                <w:color w:val="auto"/>
              </w:rPr>
              <w:t>Conduct annual compensation risk assessment</w:t>
            </w:r>
          </w:p>
        </w:tc>
        <w:tc>
          <w:tcPr>
            <w:tcW w:w="780" w:type="dxa"/>
            <w:vAlign w:val="bottom"/>
            <w:tcBorders>
              <w:right w:val="single" w:sz="8" w:color="auto"/>
            </w:tcBorders>
          </w:tcPr>
          <w:p>
            <w:pPr>
              <w:spacing w:after="0"/>
              <w:rPr>
                <w:sz w:val="24"/>
                <w:szCs w:val="24"/>
                <w:color w:val="auto"/>
              </w:rPr>
            </w:pPr>
          </w:p>
        </w:tc>
        <w:tc>
          <w:tcPr>
            <w:tcW w:w="5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
        </w:trPr>
        <w:tc>
          <w:tcPr>
            <w:tcW w:w="100" w:type="dxa"/>
            <w:vAlign w:val="bottom"/>
            <w:vMerge w:val="continue"/>
          </w:tcPr>
          <w:p>
            <w:pPr>
              <w:spacing w:after="0"/>
              <w:rPr>
                <w:sz w:val="4"/>
                <w:szCs w:val="4"/>
                <w:color w:val="auto"/>
              </w:rPr>
            </w:pPr>
          </w:p>
        </w:tc>
        <w:tc>
          <w:tcPr>
            <w:tcW w:w="5000" w:type="dxa"/>
            <w:vAlign w:val="bottom"/>
          </w:tcPr>
          <w:p>
            <w:pPr>
              <w:spacing w:after="0"/>
              <w:rPr>
                <w:sz w:val="4"/>
                <w:szCs w:val="4"/>
                <w:color w:val="auto"/>
              </w:rPr>
            </w:pPr>
          </w:p>
        </w:tc>
        <w:tc>
          <w:tcPr>
            <w:tcW w:w="780" w:type="dxa"/>
            <w:vAlign w:val="bottom"/>
            <w:tcBorders>
              <w:right w:val="single" w:sz="8" w:color="auto"/>
            </w:tcBorders>
          </w:tcPr>
          <w:p>
            <w:pPr>
              <w:spacing w:after="0"/>
              <w:rPr>
                <w:sz w:val="4"/>
                <w:szCs w:val="4"/>
                <w:color w:val="auto"/>
              </w:rPr>
            </w:pPr>
          </w:p>
        </w:tc>
        <w:tc>
          <w:tcPr>
            <w:tcW w:w="514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-2228215</wp:posOffset>
            </wp:positionV>
            <wp:extent cx="188595" cy="1803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88595" cy="180340"/>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-2219960</wp:posOffset>
            </wp:positionV>
            <wp:extent cx="179705" cy="17970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79705" cy="179705"/>
                    </a:xfrm>
                    <a:prstGeom prst="rect">
                      <a:avLst/>
                    </a:prstGeom>
                    <a:noFill/>
                  </pic:spPr>
                </pic:pic>
              </a:graphicData>
            </a:graphic>
          </wp:anchor>
        </w:drawing>
        <w:drawing>
          <wp:anchor simplePos="0" relativeHeight="251657728" behindDoc="1" locked="0" layoutInCell="0" allowOverlap="1">
            <wp:simplePos x="0" y="0"/>
            <wp:positionH relativeFrom="column">
              <wp:posOffset>159385</wp:posOffset>
            </wp:positionH>
            <wp:positionV relativeFrom="paragraph">
              <wp:posOffset>-1833880</wp:posOffset>
            </wp:positionV>
            <wp:extent cx="188595" cy="17970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88595" cy="17970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-1825625</wp:posOffset>
            </wp:positionV>
            <wp:extent cx="179705" cy="17970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79705" cy="179705"/>
                    </a:xfrm>
                    <a:prstGeom prst="rect">
                      <a:avLst/>
                    </a:prstGeom>
                    <a:noFill/>
                  </pic:spPr>
                </pic:pic>
              </a:graphicData>
            </a:graphic>
          </wp:anchor>
        </w:drawing>
        <w:drawing>
          <wp:anchor simplePos="0" relativeHeight="251657728" behindDoc="1" locked="0" layoutInCell="0" allowOverlap="1">
            <wp:simplePos x="0" y="0"/>
            <wp:positionH relativeFrom="column">
              <wp:posOffset>159385</wp:posOffset>
            </wp:positionH>
            <wp:positionV relativeFrom="paragraph">
              <wp:posOffset>-1439545</wp:posOffset>
            </wp:positionV>
            <wp:extent cx="188595" cy="17970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88595" cy="17970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-1431290</wp:posOffset>
            </wp:positionV>
            <wp:extent cx="179705" cy="17970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79705" cy="179705"/>
                    </a:xfrm>
                    <a:prstGeom prst="rect">
                      <a:avLst/>
                    </a:prstGeom>
                    <a:noFill/>
                  </pic:spPr>
                </pic:pic>
              </a:graphicData>
            </a:graphic>
          </wp:anchor>
        </w:drawing>
        <w:drawing>
          <wp:anchor simplePos="0" relativeHeight="251657728" behindDoc="1" locked="0" layoutInCell="0" allowOverlap="1">
            <wp:simplePos x="0" y="0"/>
            <wp:positionH relativeFrom="column">
              <wp:posOffset>159385</wp:posOffset>
            </wp:positionH>
            <wp:positionV relativeFrom="paragraph">
              <wp:posOffset>-985520</wp:posOffset>
            </wp:positionV>
            <wp:extent cx="188595" cy="17970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88595" cy="17970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-968375</wp:posOffset>
            </wp:positionV>
            <wp:extent cx="179705" cy="17970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79705" cy="179705"/>
                    </a:xfrm>
                    <a:prstGeom prst="rect">
                      <a:avLst/>
                    </a:prstGeom>
                    <a:noFill/>
                  </pic:spPr>
                </pic:pic>
              </a:graphicData>
            </a:graphic>
          </wp:anchor>
        </w:drawing>
        <w:drawing>
          <wp:anchor simplePos="0" relativeHeight="251657728" behindDoc="1" locked="0" layoutInCell="0" allowOverlap="1">
            <wp:simplePos x="0" y="0"/>
            <wp:positionH relativeFrom="column">
              <wp:posOffset>159385</wp:posOffset>
            </wp:positionH>
            <wp:positionV relativeFrom="paragraph">
              <wp:posOffset>-548005</wp:posOffset>
            </wp:positionV>
            <wp:extent cx="188595" cy="1803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88595" cy="180340"/>
                    </a:xfrm>
                    <a:prstGeom prst="rect">
                      <a:avLst/>
                    </a:prstGeom>
                    <a:noFill/>
                  </pic:spPr>
                </pic:pic>
              </a:graphicData>
            </a:graphic>
          </wp:anchor>
        </w:drawing>
        <w:drawing>
          <wp:anchor simplePos="0" relativeHeight="251657728" behindDoc="1" locked="0" layoutInCell="0" allowOverlap="1">
            <wp:simplePos x="0" y="0"/>
            <wp:positionH relativeFrom="column">
              <wp:posOffset>159385</wp:posOffset>
            </wp:positionH>
            <wp:positionV relativeFrom="paragraph">
              <wp:posOffset>-205105</wp:posOffset>
            </wp:positionV>
            <wp:extent cx="188595" cy="1803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88595" cy="180340"/>
                    </a:xfrm>
                    <a:prstGeom prst="rect">
                      <a:avLst/>
                    </a:prstGeom>
                    <a:noFill/>
                  </pic:spPr>
                </pic:pic>
              </a:graphicData>
            </a:graphic>
          </wp:anchor>
        </w:drawing>
      </w:r>
    </w:p>
    <w:p>
      <w:pPr>
        <w:spacing w:after="0" w:line="204" w:lineRule="exact"/>
        <w:rPr>
          <w:sz w:val="20"/>
          <w:szCs w:val="20"/>
          <w:color w:val="auto"/>
        </w:rPr>
      </w:pPr>
    </w:p>
    <w:p>
      <w:pPr>
        <w:ind w:left="540" w:hanging="424"/>
        <w:spacing w:after="0"/>
        <w:tabs>
          <w:tab w:leader="none" w:pos="540" w:val="left"/>
        </w:tabs>
        <w:numPr>
          <w:ilvl w:val="0"/>
          <w:numId w:val="45"/>
        </w:numPr>
        <w:rPr>
          <w:rFonts w:ascii="Wingdings" w:cs="Wingdings" w:eastAsia="Wingdings" w:hAnsi="Wingdings"/>
          <w:sz w:val="18"/>
          <w:szCs w:val="18"/>
          <w:b w:val="1"/>
          <w:bCs w:val="1"/>
          <w:color w:val="FF160F"/>
        </w:rPr>
      </w:pPr>
      <w:r>
        <w:rPr>
          <w:rFonts w:ascii="Arial" w:cs="Arial" w:eastAsia="Arial" w:hAnsi="Arial"/>
          <w:sz w:val="18"/>
          <w:szCs w:val="18"/>
          <w:b w:val="1"/>
          <w:bCs w:val="1"/>
          <w:color w:val="auto"/>
        </w:rPr>
        <w:t>COMPONENTS OF COMPENSATION</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sets out the three components of our compensation plan as well as key information about each component.</w:t>
      </w:r>
    </w:p>
    <w:p>
      <w:pPr>
        <w:spacing w:after="0" w:line="237" w:lineRule="exact"/>
        <w:rPr>
          <w:sz w:val="20"/>
          <w:szCs w:val="20"/>
          <w:color w:val="auto"/>
        </w:rPr>
      </w:pPr>
    </w:p>
    <w:tbl>
      <w:tblPr>
        <w:tblLayout w:type="fixed"/>
        <w:tblInd w:w="130" w:type="dxa"/>
        <w:tblCellMar>
          <w:top w:w="0" w:type="dxa"/>
          <w:left w:w="0" w:type="dxa"/>
          <w:bottom w:w="0" w:type="dxa"/>
          <w:right w:w="0" w:type="dxa"/>
        </w:tblCellMar>
      </w:tblPr>
      <w:tr>
        <w:trPr>
          <w:trHeight w:val="223"/>
        </w:trPr>
        <w:tc>
          <w:tcPr>
            <w:tcW w:w="1440" w:type="dxa"/>
            <w:vAlign w:val="bottom"/>
            <w:tcBorders>
              <w:top w:val="single" w:sz="8" w:color="auto"/>
              <w:left w:val="single" w:sz="8" w:color="auto"/>
            </w:tcBorders>
            <w:shd w:val="clear" w:color="auto" w:fill="E5E5E5"/>
          </w:tcPr>
          <w:p>
            <w:pPr>
              <w:spacing w:after="0"/>
              <w:rPr>
                <w:sz w:val="19"/>
                <w:szCs w:val="19"/>
                <w:color w:val="auto"/>
              </w:rPr>
            </w:pPr>
          </w:p>
        </w:tc>
        <w:tc>
          <w:tcPr>
            <w:tcW w:w="1600" w:type="dxa"/>
            <w:vAlign w:val="bottom"/>
            <w:tcBorders>
              <w:top w:val="single" w:sz="8" w:color="auto"/>
              <w:bottom w:val="single" w:sz="8" w:color="auto"/>
            </w:tcBorders>
            <w:shd w:val="clear" w:color="auto" w:fill="E5E5E5"/>
          </w:tcPr>
          <w:p>
            <w:pPr>
              <w:ind w:left="80"/>
              <w:spacing w:after="0"/>
              <w:rPr>
                <w:sz w:val="20"/>
                <w:szCs w:val="20"/>
                <w:color w:val="auto"/>
              </w:rPr>
            </w:pPr>
            <w:r>
              <w:rPr>
                <w:rFonts w:ascii="Arial" w:cs="Arial" w:eastAsia="Arial" w:hAnsi="Arial"/>
                <w:sz w:val="16"/>
                <w:szCs w:val="16"/>
                <w:b w:val="1"/>
                <w:bCs w:val="1"/>
                <w:color w:val="auto"/>
              </w:rPr>
              <w:t>Pay Component</w:t>
            </w:r>
          </w:p>
        </w:tc>
        <w:tc>
          <w:tcPr>
            <w:tcW w:w="760" w:type="dxa"/>
            <w:vAlign w:val="bottom"/>
            <w:tcBorders>
              <w:top w:val="single" w:sz="8" w:color="auto"/>
              <w:bottom w:val="single" w:sz="8" w:color="auto"/>
            </w:tcBorders>
            <w:shd w:val="clear" w:color="auto" w:fill="E5E5E5"/>
          </w:tcPr>
          <w:p>
            <w:pPr>
              <w:ind w:left="180"/>
              <w:spacing w:after="0"/>
              <w:rPr>
                <w:sz w:val="20"/>
                <w:szCs w:val="20"/>
                <w:color w:val="auto"/>
              </w:rPr>
            </w:pPr>
            <w:r>
              <w:rPr>
                <w:rFonts w:ascii="Arial" w:cs="Arial" w:eastAsia="Arial" w:hAnsi="Arial"/>
                <w:sz w:val="16"/>
                <w:szCs w:val="16"/>
                <w:b w:val="1"/>
                <w:bCs w:val="1"/>
                <w:color w:val="auto"/>
              </w:rPr>
              <w:t>Time</w:t>
            </w:r>
          </w:p>
        </w:tc>
        <w:tc>
          <w:tcPr>
            <w:tcW w:w="2000" w:type="dxa"/>
            <w:vAlign w:val="bottom"/>
            <w:tcBorders>
              <w:top w:val="single" w:sz="8" w:color="auto"/>
              <w:bottom w:val="single" w:sz="8" w:color="auto"/>
            </w:tcBorders>
            <w:shd w:val="clear" w:color="auto" w:fill="E5E5E5"/>
          </w:tcPr>
          <w:p>
            <w:pPr>
              <w:ind w:left="140"/>
              <w:spacing w:after="0"/>
              <w:rPr>
                <w:sz w:val="20"/>
                <w:szCs w:val="20"/>
                <w:color w:val="auto"/>
              </w:rPr>
            </w:pPr>
            <w:r>
              <w:rPr>
                <w:rFonts w:ascii="Arial" w:cs="Arial" w:eastAsia="Arial" w:hAnsi="Arial"/>
                <w:sz w:val="16"/>
                <w:szCs w:val="16"/>
                <w:b w:val="1"/>
                <w:bCs w:val="1"/>
                <w:color w:val="auto"/>
              </w:rPr>
              <w:t>Metric</w:t>
            </w:r>
          </w:p>
        </w:tc>
        <w:tc>
          <w:tcPr>
            <w:tcW w:w="2320" w:type="dxa"/>
            <w:vAlign w:val="bottom"/>
            <w:tcBorders>
              <w:top w:val="single" w:sz="8" w:color="auto"/>
              <w:bottom w:val="single" w:sz="8" w:color="auto"/>
            </w:tcBorders>
            <w:shd w:val="clear" w:color="auto" w:fill="E5E5E5"/>
          </w:tcPr>
          <w:p>
            <w:pPr>
              <w:ind w:left="240"/>
              <w:spacing w:after="0"/>
              <w:rPr>
                <w:sz w:val="20"/>
                <w:szCs w:val="20"/>
                <w:color w:val="auto"/>
              </w:rPr>
            </w:pPr>
            <w:r>
              <w:rPr>
                <w:rFonts w:ascii="Arial" w:cs="Arial" w:eastAsia="Arial" w:hAnsi="Arial"/>
                <w:sz w:val="16"/>
                <w:szCs w:val="16"/>
                <w:b w:val="1"/>
                <w:bCs w:val="1"/>
                <w:color w:val="auto"/>
              </w:rPr>
              <w:t>Purpose</w:t>
            </w:r>
          </w:p>
        </w:tc>
        <w:tc>
          <w:tcPr>
            <w:tcW w:w="1940" w:type="dxa"/>
            <w:vAlign w:val="bottom"/>
            <w:tcBorders>
              <w:top w:val="single" w:sz="8" w:color="auto"/>
              <w:bottom w:val="single" w:sz="8" w:color="auto"/>
            </w:tcBorders>
            <w:shd w:val="clear" w:color="auto" w:fill="E5E5E5"/>
          </w:tcPr>
          <w:p>
            <w:pPr>
              <w:ind w:left="100"/>
              <w:spacing w:after="0"/>
              <w:rPr>
                <w:sz w:val="20"/>
                <w:szCs w:val="20"/>
                <w:color w:val="auto"/>
              </w:rPr>
            </w:pPr>
            <w:r>
              <w:rPr>
                <w:rFonts w:ascii="Arial" w:cs="Arial" w:eastAsia="Arial" w:hAnsi="Arial"/>
                <w:sz w:val="16"/>
                <w:szCs w:val="16"/>
                <w:b w:val="1"/>
                <w:bCs w:val="1"/>
                <w:color w:val="auto"/>
              </w:rPr>
              <w:t>Impact</w:t>
            </w:r>
          </w:p>
        </w:tc>
        <w:tc>
          <w:tcPr>
            <w:tcW w:w="80" w:type="dxa"/>
            <w:vAlign w:val="bottom"/>
            <w:tcBorders>
              <w:top w:val="single" w:sz="8" w:color="auto"/>
              <w:bottom w:val="single" w:sz="8" w:color="auto"/>
            </w:tcBorders>
            <w:shd w:val="clear" w:color="auto" w:fill="E5E5E5"/>
          </w:tcPr>
          <w:p>
            <w:pPr>
              <w:spacing w:after="0"/>
              <w:rPr>
                <w:sz w:val="19"/>
                <w:szCs w:val="19"/>
                <w:color w:val="auto"/>
              </w:rPr>
            </w:pPr>
          </w:p>
        </w:tc>
        <w:tc>
          <w:tcPr>
            <w:tcW w:w="880" w:type="dxa"/>
            <w:vAlign w:val="bottom"/>
            <w:tcBorders>
              <w:top w:val="single" w:sz="8" w:color="auto"/>
              <w:bottom w:val="single" w:sz="8" w:color="auto"/>
            </w:tcBorders>
            <w:shd w:val="clear" w:color="auto" w:fill="E5E5E5"/>
          </w:tcPr>
          <w:p>
            <w:pPr>
              <w:spacing w:after="0"/>
              <w:rPr>
                <w:sz w:val="19"/>
                <w:szCs w:val="19"/>
                <w:color w:val="auto"/>
              </w:rPr>
            </w:pPr>
          </w:p>
        </w:tc>
        <w:tc>
          <w:tcPr>
            <w:tcW w:w="20" w:type="dxa"/>
            <w:vAlign w:val="bottom"/>
            <w:tcBorders>
              <w:top w:val="single" w:sz="8" w:color="auto"/>
              <w:bottom w:val="single" w:sz="8" w:color="auto"/>
            </w:tcBorders>
            <w:shd w:val="clear" w:color="auto" w:fill="000000"/>
          </w:tcPr>
          <w:p>
            <w:pPr>
              <w:spacing w:after="0"/>
              <w:rPr>
                <w:sz w:val="19"/>
                <w:szCs w:val="19"/>
                <w:color w:val="auto"/>
              </w:rPr>
            </w:pPr>
          </w:p>
        </w:tc>
      </w:tr>
      <w:tr>
        <w:trPr>
          <w:trHeight w:val="148"/>
        </w:trPr>
        <w:tc>
          <w:tcPr>
            <w:tcW w:w="1440" w:type="dxa"/>
            <w:vAlign w:val="bottom"/>
          </w:tcPr>
          <w:p>
            <w:pPr>
              <w:spacing w:after="0" w:line="148" w:lineRule="exact"/>
              <w:rPr>
                <w:sz w:val="20"/>
                <w:szCs w:val="20"/>
                <w:color w:val="auto"/>
              </w:rPr>
            </w:pPr>
            <w:r>
              <w:rPr>
                <w:rFonts w:ascii="Arial" w:cs="Arial" w:eastAsia="Arial" w:hAnsi="Arial"/>
                <w:sz w:val="16"/>
                <w:szCs w:val="16"/>
                <w:color w:val="FFFFFF"/>
                <w:w w:val="98"/>
              </w:rPr>
              <w:t>Annual / Short-Term</w:t>
            </w:r>
          </w:p>
        </w:tc>
        <w:tc>
          <w:tcPr>
            <w:tcW w:w="1600" w:type="dxa"/>
            <w:vAlign w:val="bottom"/>
          </w:tcPr>
          <w:p>
            <w:pPr>
              <w:ind w:left="80"/>
              <w:spacing w:after="0" w:line="148" w:lineRule="exact"/>
              <w:rPr>
                <w:sz w:val="20"/>
                <w:szCs w:val="20"/>
                <w:color w:val="auto"/>
              </w:rPr>
            </w:pPr>
            <w:r>
              <w:rPr>
                <w:rFonts w:ascii="Arial" w:cs="Arial" w:eastAsia="Arial" w:hAnsi="Arial"/>
                <w:sz w:val="16"/>
                <w:szCs w:val="16"/>
                <w:b w:val="1"/>
                <w:bCs w:val="1"/>
                <w:color w:val="auto"/>
              </w:rPr>
              <w:t>Base Pay</w:t>
            </w:r>
          </w:p>
        </w:tc>
        <w:tc>
          <w:tcPr>
            <w:tcW w:w="760" w:type="dxa"/>
            <w:vAlign w:val="bottom"/>
          </w:tcPr>
          <w:p>
            <w:pPr>
              <w:ind w:left="180"/>
              <w:spacing w:after="0" w:line="148" w:lineRule="exact"/>
              <w:rPr>
                <w:sz w:val="20"/>
                <w:szCs w:val="20"/>
                <w:color w:val="auto"/>
              </w:rPr>
            </w:pPr>
            <w:r>
              <w:rPr>
                <w:rFonts w:ascii="Arial" w:cs="Arial" w:eastAsia="Arial" w:hAnsi="Arial"/>
                <w:sz w:val="16"/>
                <w:szCs w:val="16"/>
                <w:color w:val="auto"/>
              </w:rPr>
              <w:t>1 year</w:t>
            </w:r>
          </w:p>
        </w:tc>
        <w:tc>
          <w:tcPr>
            <w:tcW w:w="2000" w:type="dxa"/>
            <w:vAlign w:val="bottom"/>
          </w:tcPr>
          <w:p>
            <w:pPr>
              <w:ind w:left="140"/>
              <w:spacing w:after="0" w:line="148" w:lineRule="exact"/>
              <w:rPr>
                <w:sz w:val="20"/>
                <w:szCs w:val="20"/>
                <w:color w:val="auto"/>
              </w:rPr>
            </w:pPr>
            <w:r>
              <w:rPr>
                <w:rFonts w:ascii="Arial" w:cs="Arial" w:eastAsia="Arial" w:hAnsi="Arial"/>
                <w:sz w:val="16"/>
                <w:szCs w:val="16"/>
                <w:color w:val="auto"/>
              </w:rPr>
              <w:t>Individual performance</w:t>
            </w:r>
          </w:p>
        </w:tc>
        <w:tc>
          <w:tcPr>
            <w:tcW w:w="2320" w:type="dxa"/>
            <w:vAlign w:val="bottom"/>
          </w:tcPr>
          <w:p>
            <w:pPr>
              <w:ind w:left="240"/>
              <w:spacing w:after="0" w:line="148" w:lineRule="exact"/>
              <w:rPr>
                <w:sz w:val="20"/>
                <w:szCs w:val="20"/>
                <w:color w:val="auto"/>
              </w:rPr>
            </w:pPr>
            <w:r>
              <w:rPr>
                <w:rFonts w:ascii="Arial" w:cs="Arial" w:eastAsia="Arial" w:hAnsi="Arial"/>
                <w:sz w:val="16"/>
                <w:szCs w:val="16"/>
                <w:color w:val="auto"/>
              </w:rPr>
              <w:t>To provide fair and</w:t>
            </w:r>
          </w:p>
        </w:tc>
        <w:tc>
          <w:tcPr>
            <w:tcW w:w="1940" w:type="dxa"/>
            <w:vAlign w:val="bottom"/>
          </w:tcPr>
          <w:p>
            <w:pPr>
              <w:ind w:left="100"/>
              <w:spacing w:after="0" w:line="148" w:lineRule="exact"/>
              <w:rPr>
                <w:sz w:val="20"/>
                <w:szCs w:val="20"/>
                <w:color w:val="auto"/>
              </w:rPr>
            </w:pPr>
            <w:r>
              <w:rPr>
                <w:rFonts w:ascii="Arial" w:cs="Arial" w:eastAsia="Arial" w:hAnsi="Arial"/>
                <w:sz w:val="16"/>
                <w:szCs w:val="16"/>
                <w:color w:val="auto"/>
              </w:rPr>
              <w:t>Attract and retain talent</w:t>
            </w:r>
          </w:p>
        </w:tc>
        <w:tc>
          <w:tcPr>
            <w:tcW w:w="80" w:type="dxa"/>
            <w:vAlign w:val="bottom"/>
            <w:shd w:val="clear" w:color="auto" w:fill="000000"/>
          </w:tcPr>
          <w:p>
            <w:pPr>
              <w:spacing w:after="0"/>
              <w:rPr>
                <w:sz w:val="12"/>
                <w:szCs w:val="12"/>
                <w:color w:val="auto"/>
              </w:rPr>
            </w:pPr>
          </w:p>
        </w:tc>
        <w:tc>
          <w:tcPr>
            <w:tcW w:w="880" w:type="dxa"/>
            <w:vAlign w:val="bottom"/>
            <w:shd w:val="clear" w:color="auto" w:fill="000000"/>
          </w:tcPr>
          <w:p>
            <w:pPr>
              <w:ind w:left="240"/>
              <w:spacing w:after="0" w:line="148" w:lineRule="exact"/>
              <w:rPr>
                <w:sz w:val="20"/>
                <w:szCs w:val="20"/>
                <w:color w:val="auto"/>
              </w:rPr>
            </w:pPr>
            <w:r>
              <w:rPr>
                <w:rFonts w:ascii="Arial" w:cs="Arial" w:eastAsia="Arial" w:hAnsi="Arial"/>
                <w:sz w:val="16"/>
                <w:szCs w:val="16"/>
                <w:color w:val="FFFFFF"/>
              </w:rPr>
              <w:t>Fixed</w:t>
            </w:r>
          </w:p>
        </w:tc>
        <w:tc>
          <w:tcPr>
            <w:tcW w:w="20" w:type="dxa"/>
            <w:vAlign w:val="bottom"/>
          </w:tcPr>
          <w:p>
            <w:pPr>
              <w:spacing w:after="0"/>
              <w:rPr>
                <w:sz w:val="12"/>
                <w:szCs w:val="12"/>
                <w:color w:val="auto"/>
              </w:rPr>
            </w:pPr>
          </w:p>
        </w:tc>
      </w:tr>
      <w:tr>
        <w:trPr>
          <w:trHeight w:val="189"/>
        </w:trPr>
        <w:tc>
          <w:tcPr>
            <w:tcW w:w="1440" w:type="dxa"/>
            <w:vAlign w:val="bottom"/>
          </w:tcPr>
          <w:p>
            <w:pPr>
              <w:spacing w:after="0"/>
              <w:rPr>
                <w:sz w:val="16"/>
                <w:szCs w:val="16"/>
                <w:color w:val="auto"/>
              </w:rPr>
            </w:pPr>
          </w:p>
        </w:tc>
        <w:tc>
          <w:tcPr>
            <w:tcW w:w="1600" w:type="dxa"/>
            <w:vAlign w:val="bottom"/>
          </w:tcPr>
          <w:p>
            <w:pPr>
              <w:ind w:left="80"/>
              <w:spacing w:after="0"/>
              <w:rPr>
                <w:sz w:val="20"/>
                <w:szCs w:val="20"/>
                <w:color w:val="auto"/>
              </w:rPr>
            </w:pPr>
            <w:r>
              <w:rPr>
                <w:rFonts w:ascii="Arial" w:cs="Arial" w:eastAsia="Arial" w:hAnsi="Arial"/>
                <w:sz w:val="16"/>
                <w:szCs w:val="16"/>
                <w:color w:val="auto"/>
              </w:rPr>
              <w:t>See p. 23 for more</w:t>
            </w:r>
          </w:p>
        </w:tc>
        <w:tc>
          <w:tcPr>
            <w:tcW w:w="76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2320" w:type="dxa"/>
            <w:vAlign w:val="bottom"/>
          </w:tcPr>
          <w:p>
            <w:pPr>
              <w:ind w:left="240"/>
              <w:spacing w:after="0"/>
              <w:rPr>
                <w:sz w:val="20"/>
                <w:szCs w:val="20"/>
                <w:color w:val="auto"/>
              </w:rPr>
            </w:pPr>
            <w:r>
              <w:rPr>
                <w:rFonts w:ascii="Arial" w:cs="Arial" w:eastAsia="Arial" w:hAnsi="Arial"/>
                <w:sz w:val="16"/>
                <w:szCs w:val="16"/>
                <w:color w:val="auto"/>
              </w:rPr>
              <w:t>competitive compensation</w:t>
            </w:r>
          </w:p>
        </w:tc>
        <w:tc>
          <w:tcPr>
            <w:tcW w:w="1940" w:type="dxa"/>
            <w:vAlign w:val="bottom"/>
          </w:tcPr>
          <w:p>
            <w:pPr>
              <w:spacing w:after="0"/>
              <w:rPr>
                <w:sz w:val="16"/>
                <w:szCs w:val="16"/>
                <w:color w:val="auto"/>
              </w:rPr>
            </w:pPr>
          </w:p>
        </w:tc>
        <w:tc>
          <w:tcPr>
            <w:tcW w:w="80" w:type="dxa"/>
            <w:vAlign w:val="bottom"/>
            <w:shd w:val="clear" w:color="auto" w:fill="000000"/>
          </w:tcPr>
          <w:p>
            <w:pPr>
              <w:spacing w:after="0"/>
              <w:rPr>
                <w:sz w:val="16"/>
                <w:szCs w:val="16"/>
                <w:color w:val="auto"/>
              </w:rPr>
            </w:pPr>
          </w:p>
        </w:tc>
        <w:tc>
          <w:tcPr>
            <w:tcW w:w="880" w:type="dxa"/>
            <w:vAlign w:val="bottom"/>
            <w:shd w:val="clear" w:color="auto" w:fill="000000"/>
          </w:tcPr>
          <w:p>
            <w:pPr>
              <w:spacing w:after="0"/>
              <w:rPr>
                <w:sz w:val="16"/>
                <w:szCs w:val="16"/>
                <w:color w:val="auto"/>
              </w:rPr>
            </w:pPr>
          </w:p>
        </w:tc>
        <w:tc>
          <w:tcPr>
            <w:tcW w:w="20" w:type="dxa"/>
            <w:vAlign w:val="bottom"/>
          </w:tcPr>
          <w:p>
            <w:pPr>
              <w:spacing w:after="0"/>
              <w:rPr>
                <w:sz w:val="16"/>
                <w:szCs w:val="16"/>
                <w:color w:val="auto"/>
              </w:rPr>
            </w:pPr>
          </w:p>
        </w:tc>
      </w:tr>
      <w:tr>
        <w:trPr>
          <w:trHeight w:val="189"/>
        </w:trPr>
        <w:tc>
          <w:tcPr>
            <w:tcW w:w="1440" w:type="dxa"/>
            <w:vAlign w:val="bottom"/>
          </w:tcPr>
          <w:p>
            <w:pPr>
              <w:spacing w:after="0"/>
              <w:rPr>
                <w:sz w:val="16"/>
                <w:szCs w:val="16"/>
                <w:color w:val="auto"/>
              </w:rPr>
            </w:pPr>
          </w:p>
        </w:tc>
        <w:tc>
          <w:tcPr>
            <w:tcW w:w="1600" w:type="dxa"/>
            <w:vAlign w:val="bottom"/>
          </w:tcPr>
          <w:p>
            <w:pPr>
              <w:ind w:left="80"/>
              <w:spacing w:after="0"/>
              <w:rPr>
                <w:sz w:val="20"/>
                <w:szCs w:val="20"/>
                <w:color w:val="auto"/>
              </w:rPr>
            </w:pPr>
            <w:r>
              <w:rPr>
                <w:rFonts w:ascii="Arial" w:cs="Arial" w:eastAsia="Arial" w:hAnsi="Arial"/>
                <w:sz w:val="16"/>
                <w:szCs w:val="16"/>
                <w:color w:val="auto"/>
              </w:rPr>
              <w:t>information</w:t>
            </w:r>
          </w:p>
        </w:tc>
        <w:tc>
          <w:tcPr>
            <w:tcW w:w="76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2320" w:type="dxa"/>
            <w:vAlign w:val="bottom"/>
          </w:tcPr>
          <w:p>
            <w:pPr>
              <w:ind w:left="240"/>
              <w:spacing w:after="0"/>
              <w:rPr>
                <w:sz w:val="20"/>
                <w:szCs w:val="20"/>
                <w:color w:val="auto"/>
              </w:rPr>
            </w:pPr>
            <w:r>
              <w:rPr>
                <w:rFonts w:ascii="Arial" w:cs="Arial" w:eastAsia="Arial" w:hAnsi="Arial"/>
                <w:sz w:val="16"/>
                <w:szCs w:val="16"/>
                <w:color w:val="auto"/>
              </w:rPr>
              <w:t>for individual performance</w:t>
            </w:r>
          </w:p>
        </w:tc>
        <w:tc>
          <w:tcPr>
            <w:tcW w:w="1940" w:type="dxa"/>
            <w:vAlign w:val="bottom"/>
          </w:tcPr>
          <w:p>
            <w:pPr>
              <w:spacing w:after="0"/>
              <w:rPr>
                <w:sz w:val="16"/>
                <w:szCs w:val="16"/>
                <w:color w:val="auto"/>
              </w:rPr>
            </w:pPr>
          </w:p>
        </w:tc>
        <w:tc>
          <w:tcPr>
            <w:tcW w:w="80" w:type="dxa"/>
            <w:vAlign w:val="bottom"/>
            <w:shd w:val="clear" w:color="auto" w:fill="000000"/>
          </w:tcPr>
          <w:p>
            <w:pPr>
              <w:spacing w:after="0"/>
              <w:rPr>
                <w:sz w:val="16"/>
                <w:szCs w:val="16"/>
                <w:color w:val="auto"/>
              </w:rPr>
            </w:pPr>
          </w:p>
        </w:tc>
        <w:tc>
          <w:tcPr>
            <w:tcW w:w="880" w:type="dxa"/>
            <w:vAlign w:val="bottom"/>
            <w:shd w:val="clear" w:color="auto" w:fill="000000"/>
          </w:tcPr>
          <w:p>
            <w:pPr>
              <w:spacing w:after="0"/>
              <w:rPr>
                <w:sz w:val="16"/>
                <w:szCs w:val="16"/>
                <w:color w:val="auto"/>
              </w:rPr>
            </w:pPr>
          </w:p>
        </w:tc>
        <w:tc>
          <w:tcPr>
            <w:tcW w:w="20" w:type="dxa"/>
            <w:vAlign w:val="bottom"/>
          </w:tcPr>
          <w:p>
            <w:pPr>
              <w:spacing w:after="0"/>
              <w:rPr>
                <w:sz w:val="16"/>
                <w:szCs w:val="16"/>
                <w:color w:val="auto"/>
              </w:rPr>
            </w:pPr>
          </w:p>
        </w:tc>
      </w:tr>
      <w:tr>
        <w:trPr>
          <w:trHeight w:val="189"/>
        </w:trPr>
        <w:tc>
          <w:tcPr>
            <w:tcW w:w="14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2320" w:type="dxa"/>
            <w:vAlign w:val="bottom"/>
          </w:tcPr>
          <w:p>
            <w:pPr>
              <w:ind w:left="240"/>
              <w:spacing w:after="0"/>
              <w:rPr>
                <w:sz w:val="20"/>
                <w:szCs w:val="20"/>
                <w:color w:val="auto"/>
              </w:rPr>
            </w:pPr>
            <w:r>
              <w:rPr>
                <w:rFonts w:ascii="Arial" w:cs="Arial" w:eastAsia="Arial" w:hAnsi="Arial"/>
                <w:sz w:val="16"/>
                <w:szCs w:val="16"/>
                <w:color w:val="auto"/>
              </w:rPr>
              <w:t>and level of responsibility of</w:t>
            </w:r>
          </w:p>
        </w:tc>
        <w:tc>
          <w:tcPr>
            <w:tcW w:w="1940" w:type="dxa"/>
            <w:vAlign w:val="bottom"/>
          </w:tcPr>
          <w:p>
            <w:pPr>
              <w:spacing w:after="0"/>
              <w:rPr>
                <w:sz w:val="16"/>
                <w:szCs w:val="16"/>
                <w:color w:val="auto"/>
              </w:rPr>
            </w:pPr>
          </w:p>
        </w:tc>
        <w:tc>
          <w:tcPr>
            <w:tcW w:w="80" w:type="dxa"/>
            <w:vAlign w:val="bottom"/>
            <w:shd w:val="clear" w:color="auto" w:fill="000000"/>
          </w:tcPr>
          <w:p>
            <w:pPr>
              <w:spacing w:after="0"/>
              <w:rPr>
                <w:sz w:val="16"/>
                <w:szCs w:val="16"/>
                <w:color w:val="auto"/>
              </w:rPr>
            </w:pPr>
          </w:p>
        </w:tc>
        <w:tc>
          <w:tcPr>
            <w:tcW w:w="880" w:type="dxa"/>
            <w:vAlign w:val="bottom"/>
            <w:shd w:val="clear" w:color="auto" w:fill="000000"/>
          </w:tcPr>
          <w:p>
            <w:pPr>
              <w:spacing w:after="0"/>
              <w:rPr>
                <w:sz w:val="16"/>
                <w:szCs w:val="16"/>
                <w:color w:val="auto"/>
              </w:rPr>
            </w:pPr>
          </w:p>
        </w:tc>
        <w:tc>
          <w:tcPr>
            <w:tcW w:w="20" w:type="dxa"/>
            <w:vAlign w:val="bottom"/>
          </w:tcPr>
          <w:p>
            <w:pPr>
              <w:spacing w:after="0"/>
              <w:rPr>
                <w:sz w:val="16"/>
                <w:szCs w:val="16"/>
                <w:color w:val="auto"/>
              </w:rPr>
            </w:pPr>
          </w:p>
        </w:tc>
      </w:tr>
      <w:tr>
        <w:trPr>
          <w:trHeight w:val="203"/>
        </w:trPr>
        <w:tc>
          <w:tcPr>
            <w:tcW w:w="1440" w:type="dxa"/>
            <w:vAlign w:val="bottom"/>
          </w:tcPr>
          <w:p>
            <w:pPr>
              <w:spacing w:after="0"/>
              <w:rPr>
                <w:sz w:val="17"/>
                <w:szCs w:val="17"/>
                <w:color w:val="auto"/>
              </w:rPr>
            </w:pPr>
          </w:p>
        </w:tc>
        <w:tc>
          <w:tcPr>
            <w:tcW w:w="16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tcPr>
          <w:p>
            <w:pPr>
              <w:spacing w:after="0"/>
              <w:rPr>
                <w:sz w:val="17"/>
                <w:szCs w:val="17"/>
                <w:color w:val="auto"/>
              </w:rPr>
            </w:pPr>
          </w:p>
        </w:tc>
        <w:tc>
          <w:tcPr>
            <w:tcW w:w="2320" w:type="dxa"/>
            <w:vAlign w:val="bottom"/>
            <w:tcBorders>
              <w:bottom w:val="single" w:sz="8" w:color="auto"/>
            </w:tcBorders>
          </w:tcPr>
          <w:p>
            <w:pPr>
              <w:ind w:left="240"/>
              <w:spacing w:after="0"/>
              <w:rPr>
                <w:sz w:val="20"/>
                <w:szCs w:val="20"/>
                <w:color w:val="auto"/>
              </w:rPr>
            </w:pPr>
            <w:r>
              <w:rPr>
                <w:rFonts w:ascii="Arial" w:cs="Arial" w:eastAsia="Arial" w:hAnsi="Arial"/>
                <w:sz w:val="16"/>
                <w:szCs w:val="16"/>
                <w:color w:val="auto"/>
              </w:rPr>
              <w:t>position held</w:t>
            </w:r>
          </w:p>
        </w:tc>
        <w:tc>
          <w:tcPr>
            <w:tcW w:w="19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shd w:val="clear" w:color="auto" w:fill="000000"/>
          </w:tcPr>
          <w:p>
            <w:pPr>
              <w:spacing w:after="0"/>
              <w:rPr>
                <w:sz w:val="17"/>
                <w:szCs w:val="17"/>
                <w:color w:val="auto"/>
              </w:rPr>
            </w:pPr>
          </w:p>
        </w:tc>
        <w:tc>
          <w:tcPr>
            <w:tcW w:w="880" w:type="dxa"/>
            <w:vAlign w:val="bottom"/>
            <w:tcBorders>
              <w:bottom w:val="single" w:sz="8" w:color="auto"/>
            </w:tcBorders>
            <w:shd w:val="clear" w:color="auto" w:fill="000000"/>
          </w:tcPr>
          <w:p>
            <w:pPr>
              <w:spacing w:after="0"/>
              <w:rPr>
                <w:sz w:val="17"/>
                <w:szCs w:val="17"/>
                <w:color w:val="auto"/>
              </w:rPr>
            </w:pPr>
          </w:p>
        </w:tc>
        <w:tc>
          <w:tcPr>
            <w:tcW w:w="20" w:type="dxa"/>
            <w:vAlign w:val="bottom"/>
          </w:tcPr>
          <w:p>
            <w:pPr>
              <w:spacing w:after="0"/>
              <w:rPr>
                <w:sz w:val="17"/>
                <w:szCs w:val="17"/>
                <w:color w:val="auto"/>
              </w:rPr>
            </w:pPr>
          </w:p>
        </w:tc>
      </w:tr>
      <w:tr>
        <w:trPr>
          <w:trHeight w:val="34"/>
        </w:trPr>
        <w:tc>
          <w:tcPr>
            <w:tcW w:w="14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80" w:type="dxa"/>
            <w:vAlign w:val="bottom"/>
            <w:shd w:val="clear" w:color="auto" w:fill="FF160F"/>
          </w:tcPr>
          <w:p>
            <w:pPr>
              <w:spacing w:after="0"/>
              <w:rPr>
                <w:sz w:val="2"/>
                <w:szCs w:val="2"/>
                <w:color w:val="auto"/>
              </w:rPr>
            </w:pPr>
          </w:p>
        </w:tc>
        <w:tc>
          <w:tcPr>
            <w:tcW w:w="880" w:type="dxa"/>
            <w:vAlign w:val="bottom"/>
            <w:shd w:val="clear" w:color="auto" w:fill="FF160F"/>
          </w:tcPr>
          <w:p>
            <w:pPr>
              <w:spacing w:after="0"/>
              <w:rPr>
                <w:sz w:val="2"/>
                <w:szCs w:val="2"/>
                <w:color w:val="auto"/>
              </w:rPr>
            </w:pPr>
          </w:p>
        </w:tc>
        <w:tc>
          <w:tcPr>
            <w:tcW w:w="2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6459855</wp:posOffset>
            </wp:positionH>
            <wp:positionV relativeFrom="paragraph">
              <wp:posOffset>-33655</wp:posOffset>
            </wp:positionV>
            <wp:extent cx="608330" cy="149161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08330" cy="149161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-642620</wp:posOffset>
            </wp:positionV>
            <wp:extent cx="916940" cy="13633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916940" cy="136334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tbl>
      <w:tblPr>
        <w:tblLayout w:type="fixed"/>
        <w:tblInd w:w="1640" w:type="dxa"/>
        <w:tblCellMar>
          <w:top w:w="0" w:type="dxa"/>
          <w:left w:w="0" w:type="dxa"/>
          <w:bottom w:w="0" w:type="dxa"/>
          <w:right w:w="0" w:type="dxa"/>
        </w:tblCellMar>
      </w:tblPr>
      <w:tr>
        <w:trPr>
          <w:trHeight w:val="175"/>
        </w:trPr>
        <w:tc>
          <w:tcPr>
            <w:tcW w:w="2280" w:type="dxa"/>
            <w:vAlign w:val="bottom"/>
          </w:tcPr>
          <w:p>
            <w:pPr>
              <w:spacing w:after="0" w:line="175" w:lineRule="exact"/>
              <w:rPr>
                <w:sz w:val="20"/>
                <w:szCs w:val="20"/>
                <w:color w:val="auto"/>
              </w:rPr>
            </w:pPr>
            <w:r>
              <w:rPr>
                <w:rFonts w:ascii="Arial" w:cs="Arial" w:eastAsia="Arial" w:hAnsi="Arial"/>
                <w:sz w:val="16"/>
                <w:szCs w:val="16"/>
                <w:b w:val="1"/>
                <w:bCs w:val="1"/>
                <w:color w:val="auto"/>
              </w:rPr>
              <w:t xml:space="preserve">Annual Performance  </w:t>
            </w:r>
            <w:r>
              <w:rPr>
                <w:rFonts w:ascii="Arial" w:cs="Arial" w:eastAsia="Arial" w:hAnsi="Arial"/>
                <w:sz w:val="16"/>
                <w:szCs w:val="16"/>
                <w:color w:val="auto"/>
              </w:rPr>
              <w:t>1 year</w:t>
            </w:r>
          </w:p>
        </w:tc>
        <w:tc>
          <w:tcPr>
            <w:tcW w:w="2000" w:type="dxa"/>
            <w:vAlign w:val="bottom"/>
          </w:tcPr>
          <w:p>
            <w:pPr>
              <w:ind w:left="140"/>
              <w:spacing w:after="0" w:line="175" w:lineRule="exact"/>
              <w:rPr>
                <w:sz w:val="20"/>
                <w:szCs w:val="20"/>
                <w:color w:val="auto"/>
              </w:rPr>
            </w:pPr>
            <w:r>
              <w:rPr>
                <w:rFonts w:ascii="Arial" w:cs="Arial" w:eastAsia="Arial" w:hAnsi="Arial"/>
                <w:sz w:val="16"/>
                <w:szCs w:val="16"/>
                <w:color w:val="auto"/>
              </w:rPr>
              <w:t>FFO per Share</w:t>
            </w:r>
          </w:p>
        </w:tc>
        <w:tc>
          <w:tcPr>
            <w:tcW w:w="2340" w:type="dxa"/>
            <w:vAlign w:val="bottom"/>
          </w:tcPr>
          <w:p>
            <w:pPr>
              <w:ind w:left="240"/>
              <w:spacing w:after="0" w:line="175" w:lineRule="exact"/>
              <w:rPr>
                <w:sz w:val="20"/>
                <w:szCs w:val="20"/>
                <w:color w:val="auto"/>
              </w:rPr>
            </w:pPr>
            <w:r>
              <w:rPr>
                <w:rFonts w:ascii="Arial" w:cs="Arial" w:eastAsia="Arial" w:hAnsi="Arial"/>
                <w:sz w:val="16"/>
                <w:szCs w:val="16"/>
                <w:color w:val="auto"/>
              </w:rPr>
              <w:t>To provide performance</w:t>
            </w:r>
          </w:p>
        </w:tc>
        <w:tc>
          <w:tcPr>
            <w:tcW w:w="1800" w:type="dxa"/>
            <w:vAlign w:val="bottom"/>
          </w:tcPr>
          <w:p>
            <w:pPr>
              <w:ind w:left="80"/>
              <w:spacing w:after="0" w:line="175" w:lineRule="exact"/>
              <w:rPr>
                <w:sz w:val="20"/>
                <w:szCs w:val="20"/>
                <w:color w:val="auto"/>
              </w:rPr>
            </w:pPr>
            <w:r>
              <w:rPr>
                <w:rFonts w:ascii="Arial" w:cs="Arial" w:eastAsia="Arial" w:hAnsi="Arial"/>
                <w:sz w:val="16"/>
                <w:szCs w:val="16"/>
                <w:color w:val="auto"/>
              </w:rPr>
              <w:t>Drive near-term</w:t>
            </w:r>
          </w:p>
        </w:tc>
      </w:tr>
      <w:tr>
        <w:trPr>
          <w:trHeight w:val="189"/>
        </w:trPr>
        <w:tc>
          <w:tcPr>
            <w:tcW w:w="2280" w:type="dxa"/>
            <w:vAlign w:val="bottom"/>
          </w:tcPr>
          <w:p>
            <w:pPr>
              <w:spacing w:after="0"/>
              <w:rPr>
                <w:sz w:val="20"/>
                <w:szCs w:val="20"/>
                <w:color w:val="auto"/>
              </w:rPr>
            </w:pPr>
            <w:r>
              <w:rPr>
                <w:rFonts w:ascii="Arial" w:cs="Arial" w:eastAsia="Arial" w:hAnsi="Arial"/>
                <w:sz w:val="16"/>
                <w:szCs w:val="16"/>
                <w:b w:val="1"/>
                <w:bCs w:val="1"/>
                <w:color w:val="auto"/>
              </w:rPr>
              <w:t>Bonus</w:t>
            </w:r>
          </w:p>
        </w:tc>
        <w:tc>
          <w:tcPr>
            <w:tcW w:w="2000" w:type="dxa"/>
            <w:vAlign w:val="bottom"/>
          </w:tcPr>
          <w:p>
            <w:pPr>
              <w:ind w:left="140"/>
              <w:spacing w:after="0"/>
              <w:rPr>
                <w:sz w:val="20"/>
                <w:szCs w:val="20"/>
                <w:color w:val="auto"/>
              </w:rPr>
            </w:pPr>
            <w:r>
              <w:rPr>
                <w:rFonts w:ascii="Arial" w:cs="Arial" w:eastAsia="Arial" w:hAnsi="Arial"/>
                <w:sz w:val="16"/>
                <w:szCs w:val="16"/>
                <w:color w:val="auto"/>
              </w:rPr>
              <w:t>Individual performance</w:t>
            </w:r>
          </w:p>
        </w:tc>
        <w:tc>
          <w:tcPr>
            <w:tcW w:w="2340" w:type="dxa"/>
            <w:vAlign w:val="bottom"/>
          </w:tcPr>
          <w:p>
            <w:pPr>
              <w:ind w:left="240"/>
              <w:spacing w:after="0"/>
              <w:rPr>
                <w:sz w:val="20"/>
                <w:szCs w:val="20"/>
                <w:color w:val="auto"/>
              </w:rPr>
            </w:pPr>
            <w:r>
              <w:rPr>
                <w:rFonts w:ascii="Arial" w:cs="Arial" w:eastAsia="Arial" w:hAnsi="Arial"/>
                <w:sz w:val="16"/>
                <w:szCs w:val="16"/>
                <w:color w:val="auto"/>
              </w:rPr>
              <w:t>based annual cash awards</w:t>
            </w:r>
          </w:p>
        </w:tc>
        <w:tc>
          <w:tcPr>
            <w:tcW w:w="1800" w:type="dxa"/>
            <w:vAlign w:val="bottom"/>
          </w:tcPr>
          <w:p>
            <w:pPr>
              <w:ind w:left="80"/>
              <w:spacing w:after="0"/>
              <w:rPr>
                <w:sz w:val="20"/>
                <w:szCs w:val="20"/>
                <w:color w:val="auto"/>
              </w:rPr>
            </w:pPr>
            <w:r>
              <w:rPr>
                <w:rFonts w:ascii="Arial" w:cs="Arial" w:eastAsia="Arial" w:hAnsi="Arial"/>
                <w:sz w:val="16"/>
                <w:szCs w:val="16"/>
                <w:color w:val="auto"/>
              </w:rPr>
              <w:t>corporate and individual</w:t>
            </w:r>
          </w:p>
        </w:tc>
      </w:tr>
      <w:tr>
        <w:trPr>
          <w:trHeight w:val="189"/>
        </w:trPr>
        <w:tc>
          <w:tcPr>
            <w:tcW w:w="2280" w:type="dxa"/>
            <w:vAlign w:val="bottom"/>
          </w:tcPr>
          <w:p>
            <w:pPr>
              <w:spacing w:after="0"/>
              <w:rPr>
                <w:sz w:val="20"/>
                <w:szCs w:val="20"/>
                <w:color w:val="auto"/>
              </w:rPr>
            </w:pPr>
            <w:r>
              <w:rPr>
                <w:rFonts w:ascii="Arial" w:cs="Arial" w:eastAsia="Arial" w:hAnsi="Arial"/>
                <w:sz w:val="16"/>
                <w:szCs w:val="16"/>
                <w:color w:val="auto"/>
              </w:rPr>
              <w:t>See p. 23 for more</w:t>
            </w:r>
          </w:p>
        </w:tc>
        <w:tc>
          <w:tcPr>
            <w:tcW w:w="2000" w:type="dxa"/>
            <w:vAlign w:val="bottom"/>
          </w:tcPr>
          <w:p>
            <w:pPr>
              <w:spacing w:after="0"/>
              <w:rPr>
                <w:sz w:val="16"/>
                <w:szCs w:val="16"/>
                <w:color w:val="auto"/>
              </w:rPr>
            </w:pPr>
          </w:p>
        </w:tc>
        <w:tc>
          <w:tcPr>
            <w:tcW w:w="2340" w:type="dxa"/>
            <w:vAlign w:val="bottom"/>
          </w:tcPr>
          <w:p>
            <w:pPr>
              <w:ind w:left="240"/>
              <w:spacing w:after="0"/>
              <w:rPr>
                <w:sz w:val="20"/>
                <w:szCs w:val="20"/>
                <w:color w:val="auto"/>
              </w:rPr>
            </w:pPr>
            <w:r>
              <w:rPr>
                <w:rFonts w:ascii="Arial" w:cs="Arial" w:eastAsia="Arial" w:hAnsi="Arial"/>
                <w:sz w:val="16"/>
                <w:szCs w:val="16"/>
                <w:color w:val="auto"/>
              </w:rPr>
              <w:t>to motivate and reward</w:t>
            </w:r>
          </w:p>
        </w:tc>
        <w:tc>
          <w:tcPr>
            <w:tcW w:w="1800" w:type="dxa"/>
            <w:vAlign w:val="bottom"/>
          </w:tcPr>
          <w:p>
            <w:pPr>
              <w:ind w:left="80"/>
              <w:spacing w:after="0"/>
              <w:rPr>
                <w:sz w:val="20"/>
                <w:szCs w:val="20"/>
                <w:color w:val="auto"/>
              </w:rPr>
            </w:pPr>
            <w:r>
              <w:rPr>
                <w:rFonts w:ascii="Arial" w:cs="Arial" w:eastAsia="Arial" w:hAnsi="Arial"/>
                <w:sz w:val="16"/>
                <w:szCs w:val="16"/>
                <w:color w:val="auto"/>
              </w:rPr>
              <w:t>performance goals</w:t>
            </w:r>
          </w:p>
        </w:tc>
      </w:tr>
      <w:tr>
        <w:trPr>
          <w:trHeight w:val="189"/>
        </w:trPr>
        <w:tc>
          <w:tcPr>
            <w:tcW w:w="2280" w:type="dxa"/>
            <w:vAlign w:val="bottom"/>
          </w:tcPr>
          <w:p>
            <w:pPr>
              <w:spacing w:after="0"/>
              <w:rPr>
                <w:sz w:val="20"/>
                <w:szCs w:val="20"/>
                <w:color w:val="auto"/>
              </w:rPr>
            </w:pPr>
            <w:r>
              <w:rPr>
                <w:rFonts w:ascii="Arial" w:cs="Arial" w:eastAsia="Arial" w:hAnsi="Arial"/>
                <w:sz w:val="16"/>
                <w:szCs w:val="16"/>
                <w:color w:val="auto"/>
              </w:rPr>
              <w:t>information</w:t>
            </w:r>
          </w:p>
        </w:tc>
        <w:tc>
          <w:tcPr>
            <w:tcW w:w="2000" w:type="dxa"/>
            <w:vAlign w:val="bottom"/>
          </w:tcPr>
          <w:p>
            <w:pPr>
              <w:spacing w:after="0"/>
              <w:rPr>
                <w:sz w:val="16"/>
                <w:szCs w:val="16"/>
                <w:color w:val="auto"/>
              </w:rPr>
            </w:pPr>
          </w:p>
        </w:tc>
        <w:tc>
          <w:tcPr>
            <w:tcW w:w="2340" w:type="dxa"/>
            <w:vAlign w:val="bottom"/>
          </w:tcPr>
          <w:p>
            <w:pPr>
              <w:ind w:left="240"/>
              <w:spacing w:after="0"/>
              <w:rPr>
                <w:sz w:val="20"/>
                <w:szCs w:val="20"/>
                <w:color w:val="auto"/>
              </w:rPr>
            </w:pPr>
            <w:r>
              <w:rPr>
                <w:rFonts w:ascii="Arial" w:cs="Arial" w:eastAsia="Arial" w:hAnsi="Arial"/>
                <w:sz w:val="16"/>
                <w:szCs w:val="16"/>
                <w:color w:val="auto"/>
              </w:rPr>
              <w:t>employees for achieving our</w:t>
            </w:r>
          </w:p>
        </w:tc>
        <w:tc>
          <w:tcPr>
            <w:tcW w:w="1800" w:type="dxa"/>
            <w:vAlign w:val="bottom"/>
          </w:tcPr>
          <w:p>
            <w:pPr>
              <w:spacing w:after="0"/>
              <w:rPr>
                <w:sz w:val="16"/>
                <w:szCs w:val="16"/>
                <w:color w:val="auto"/>
              </w:rPr>
            </w:pPr>
          </w:p>
        </w:tc>
      </w:tr>
      <w:tr>
        <w:trPr>
          <w:trHeight w:val="189"/>
        </w:trPr>
        <w:tc>
          <w:tcPr>
            <w:tcW w:w="228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2340" w:type="dxa"/>
            <w:vAlign w:val="bottom"/>
          </w:tcPr>
          <w:p>
            <w:pPr>
              <w:ind w:left="240"/>
              <w:spacing w:after="0"/>
              <w:rPr>
                <w:sz w:val="20"/>
                <w:szCs w:val="20"/>
                <w:color w:val="auto"/>
              </w:rPr>
            </w:pPr>
            <w:r>
              <w:rPr>
                <w:rFonts w:ascii="Arial" w:cs="Arial" w:eastAsia="Arial" w:hAnsi="Arial"/>
                <w:sz w:val="16"/>
                <w:szCs w:val="16"/>
                <w:color w:val="auto"/>
              </w:rPr>
              <w:t>short-term business</w:t>
            </w:r>
          </w:p>
        </w:tc>
        <w:tc>
          <w:tcPr>
            <w:tcW w:w="1800" w:type="dxa"/>
            <w:vAlign w:val="bottom"/>
          </w:tcPr>
          <w:p>
            <w:pPr>
              <w:spacing w:after="0"/>
              <w:rPr>
                <w:sz w:val="16"/>
                <w:szCs w:val="16"/>
                <w:color w:val="auto"/>
              </w:rPr>
            </w:pPr>
          </w:p>
        </w:tc>
      </w:tr>
      <w:tr>
        <w:trPr>
          <w:trHeight w:val="203"/>
        </w:trPr>
        <w:tc>
          <w:tcPr>
            <w:tcW w:w="22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340" w:type="dxa"/>
            <w:vAlign w:val="bottom"/>
          </w:tcPr>
          <w:p>
            <w:pPr>
              <w:ind w:left="240"/>
              <w:spacing w:after="0"/>
              <w:rPr>
                <w:sz w:val="20"/>
                <w:szCs w:val="20"/>
                <w:color w:val="auto"/>
              </w:rPr>
            </w:pPr>
            <w:r>
              <w:rPr>
                <w:rFonts w:ascii="Arial" w:cs="Arial" w:eastAsia="Arial" w:hAnsi="Arial"/>
                <w:sz w:val="16"/>
                <w:szCs w:val="16"/>
                <w:color w:val="auto"/>
              </w:rPr>
              <w:t>objectives</w:t>
            </w:r>
          </w:p>
        </w:tc>
        <w:tc>
          <w:tcPr>
            <w:tcW w:w="180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990600</wp:posOffset>
            </wp:positionH>
            <wp:positionV relativeFrom="paragraph">
              <wp:posOffset>0</wp:posOffset>
            </wp:positionV>
            <wp:extent cx="546925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46925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6"/>
          <w:szCs w:val="16"/>
          <w:color w:val="FFFFFF"/>
        </w:rPr>
        <w:t>Variable / At</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6"/>
          <w:szCs w:val="16"/>
          <w:color w:val="FFFFFF"/>
        </w:rPr>
        <w:t>risk</w:t>
      </w:r>
    </w:p>
    <w:p>
      <w:pPr>
        <w:spacing w:after="0" w:line="746" w:lineRule="exact"/>
        <w:rPr>
          <w:sz w:val="20"/>
          <w:szCs w:val="20"/>
          <w:color w:val="auto"/>
        </w:rPr>
      </w:pPr>
    </w:p>
    <w:p>
      <w:pPr>
        <w:sectPr>
          <w:pgSz w:w="11900" w:h="16838" w:orient="portrait"/>
          <w:cols w:equalWidth="0" w:num="2">
            <w:col w:w="10060" w:space="200"/>
            <w:col w:w="880"/>
          </w:cols>
          <w:pgMar w:left="320" w:top="482" w:right="439" w:bottom="1440" w:gutter="0" w:footer="0" w:header="0"/>
          <w:type w:val="continuous"/>
        </w:sectPr>
      </w:pPr>
    </w:p>
    <w:p>
      <w:pPr>
        <w:spacing w:after="0" w:line="3"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1440" w:type="dxa"/>
            <w:vAlign w:val="bottom"/>
            <w:shd w:val="clear" w:color="auto" w:fill="FF160F"/>
          </w:tcPr>
          <w:p>
            <w:pPr>
              <w:ind w:left="340"/>
              <w:spacing w:after="0"/>
              <w:rPr>
                <w:sz w:val="20"/>
                <w:szCs w:val="20"/>
                <w:color w:val="auto"/>
              </w:rPr>
            </w:pPr>
            <w:r>
              <w:rPr>
                <w:rFonts w:ascii="Arial" w:cs="Arial" w:eastAsia="Arial" w:hAnsi="Arial"/>
                <w:sz w:val="16"/>
                <w:szCs w:val="16"/>
                <w:color w:val="FFFFFF"/>
              </w:rPr>
              <w:t>Long-Term</w:t>
            </w:r>
          </w:p>
        </w:tc>
        <w:tc>
          <w:tcPr>
            <w:tcW w:w="1600" w:type="dxa"/>
            <w:vAlign w:val="bottom"/>
          </w:tcPr>
          <w:p>
            <w:pPr>
              <w:ind w:left="80"/>
              <w:spacing w:after="0"/>
              <w:rPr>
                <w:sz w:val="20"/>
                <w:szCs w:val="20"/>
                <w:color w:val="auto"/>
              </w:rPr>
            </w:pPr>
            <w:r>
              <w:rPr>
                <w:rFonts w:ascii="Arial" w:cs="Arial" w:eastAsia="Arial" w:hAnsi="Arial"/>
                <w:sz w:val="16"/>
                <w:szCs w:val="16"/>
                <w:b w:val="1"/>
                <w:bCs w:val="1"/>
                <w:color w:val="auto"/>
              </w:rPr>
              <w:t>Equity Incentive</w:t>
            </w:r>
          </w:p>
        </w:tc>
        <w:tc>
          <w:tcPr>
            <w:tcW w:w="2880" w:type="dxa"/>
            <w:vAlign w:val="bottom"/>
          </w:tcPr>
          <w:p>
            <w:pPr>
              <w:ind w:left="180"/>
              <w:spacing w:after="0"/>
              <w:rPr>
                <w:sz w:val="20"/>
                <w:szCs w:val="20"/>
                <w:color w:val="auto"/>
              </w:rPr>
            </w:pPr>
            <w:r>
              <w:rPr>
                <w:rFonts w:ascii="Arial" w:cs="Arial" w:eastAsia="Arial" w:hAnsi="Arial"/>
                <w:sz w:val="16"/>
                <w:szCs w:val="16"/>
                <w:color w:val="auto"/>
              </w:rPr>
              <w:t>3 years  Relative total shareholder</w:t>
            </w:r>
          </w:p>
        </w:tc>
        <w:tc>
          <w:tcPr>
            <w:tcW w:w="2100" w:type="dxa"/>
            <w:vAlign w:val="bottom"/>
          </w:tcPr>
          <w:p>
            <w:pPr>
              <w:ind w:left="120"/>
              <w:spacing w:after="0"/>
              <w:rPr>
                <w:sz w:val="20"/>
                <w:szCs w:val="20"/>
                <w:color w:val="auto"/>
              </w:rPr>
            </w:pPr>
            <w:r>
              <w:rPr>
                <w:rFonts w:ascii="Arial" w:cs="Arial" w:eastAsia="Arial" w:hAnsi="Arial"/>
                <w:sz w:val="16"/>
                <w:szCs w:val="16"/>
                <w:color w:val="auto"/>
              </w:rPr>
              <w:t>To provide performance-</w:t>
            </w:r>
          </w:p>
        </w:tc>
      </w:tr>
      <w:tr>
        <w:trPr>
          <w:trHeight w:val="189"/>
        </w:trPr>
        <w:tc>
          <w:tcPr>
            <w:tcW w:w="1440" w:type="dxa"/>
            <w:vAlign w:val="bottom"/>
            <w:shd w:val="clear" w:color="auto" w:fill="FF160F"/>
          </w:tcPr>
          <w:p>
            <w:pPr>
              <w:spacing w:after="0"/>
              <w:rPr>
                <w:sz w:val="16"/>
                <w:szCs w:val="16"/>
                <w:color w:val="auto"/>
              </w:rPr>
            </w:pPr>
          </w:p>
        </w:tc>
        <w:tc>
          <w:tcPr>
            <w:tcW w:w="1600" w:type="dxa"/>
            <w:vAlign w:val="bottom"/>
          </w:tcPr>
          <w:p>
            <w:pPr>
              <w:ind w:left="80"/>
              <w:spacing w:after="0"/>
              <w:rPr>
                <w:sz w:val="20"/>
                <w:szCs w:val="20"/>
                <w:color w:val="auto"/>
              </w:rPr>
            </w:pPr>
            <w:r>
              <w:rPr>
                <w:rFonts w:ascii="Arial" w:cs="Arial" w:eastAsia="Arial" w:hAnsi="Arial"/>
                <w:sz w:val="16"/>
                <w:szCs w:val="16"/>
                <w:color w:val="auto"/>
              </w:rPr>
              <w:t>See p. 24 for more</w:t>
            </w:r>
          </w:p>
        </w:tc>
        <w:tc>
          <w:tcPr>
            <w:tcW w:w="2880" w:type="dxa"/>
            <w:vAlign w:val="bottom"/>
          </w:tcPr>
          <w:p>
            <w:pPr>
              <w:ind w:left="900"/>
              <w:spacing w:after="0"/>
              <w:rPr>
                <w:sz w:val="20"/>
                <w:szCs w:val="20"/>
                <w:color w:val="auto"/>
              </w:rPr>
            </w:pPr>
            <w:r>
              <w:rPr>
                <w:rFonts w:ascii="Arial" w:cs="Arial" w:eastAsia="Arial" w:hAnsi="Arial"/>
                <w:sz w:val="16"/>
                <w:szCs w:val="16"/>
                <w:color w:val="auto"/>
              </w:rPr>
              <w:t>return (34%)</w:t>
            </w:r>
          </w:p>
        </w:tc>
        <w:tc>
          <w:tcPr>
            <w:tcW w:w="2100" w:type="dxa"/>
            <w:vAlign w:val="bottom"/>
          </w:tcPr>
          <w:p>
            <w:pPr>
              <w:ind w:left="120"/>
              <w:spacing w:after="0"/>
              <w:rPr>
                <w:sz w:val="20"/>
                <w:szCs w:val="20"/>
                <w:color w:val="auto"/>
              </w:rPr>
            </w:pPr>
            <w:r>
              <w:rPr>
                <w:rFonts w:ascii="Arial" w:cs="Arial" w:eastAsia="Arial" w:hAnsi="Arial"/>
                <w:sz w:val="16"/>
                <w:szCs w:val="16"/>
                <w:color w:val="auto"/>
              </w:rPr>
              <w:t>based equity compensation</w:t>
            </w:r>
          </w:p>
        </w:tc>
      </w:tr>
      <w:tr>
        <w:trPr>
          <w:trHeight w:val="189"/>
        </w:trPr>
        <w:tc>
          <w:tcPr>
            <w:tcW w:w="1440" w:type="dxa"/>
            <w:vAlign w:val="bottom"/>
            <w:shd w:val="clear" w:color="auto" w:fill="FF160F"/>
          </w:tcPr>
          <w:p>
            <w:pPr>
              <w:spacing w:after="0"/>
              <w:rPr>
                <w:sz w:val="16"/>
                <w:szCs w:val="16"/>
                <w:color w:val="auto"/>
              </w:rPr>
            </w:pPr>
          </w:p>
        </w:tc>
        <w:tc>
          <w:tcPr>
            <w:tcW w:w="1600" w:type="dxa"/>
            <w:vAlign w:val="bottom"/>
          </w:tcPr>
          <w:p>
            <w:pPr>
              <w:ind w:left="80"/>
              <w:spacing w:after="0"/>
              <w:rPr>
                <w:sz w:val="20"/>
                <w:szCs w:val="20"/>
                <w:color w:val="auto"/>
              </w:rPr>
            </w:pPr>
            <w:r>
              <w:rPr>
                <w:rFonts w:ascii="Arial" w:cs="Arial" w:eastAsia="Arial" w:hAnsi="Arial"/>
                <w:sz w:val="16"/>
                <w:szCs w:val="16"/>
                <w:color w:val="auto"/>
              </w:rPr>
              <w:t>information</w:t>
            </w:r>
          </w:p>
        </w:tc>
        <w:tc>
          <w:tcPr>
            <w:tcW w:w="2880" w:type="dxa"/>
            <w:vAlign w:val="bottom"/>
          </w:tcPr>
          <w:p>
            <w:pPr>
              <w:ind w:left="900"/>
              <w:spacing w:after="0"/>
              <w:rPr>
                <w:sz w:val="20"/>
                <w:szCs w:val="20"/>
                <w:color w:val="auto"/>
              </w:rPr>
            </w:pPr>
            <w:r>
              <w:rPr>
                <w:rFonts w:ascii="Arial" w:cs="Arial" w:eastAsia="Arial" w:hAnsi="Arial"/>
                <w:sz w:val="16"/>
                <w:szCs w:val="16"/>
                <w:color w:val="auto"/>
              </w:rPr>
              <w:t>FFO multiple premium</w:t>
            </w:r>
          </w:p>
        </w:tc>
        <w:tc>
          <w:tcPr>
            <w:tcW w:w="2100" w:type="dxa"/>
            <w:vAlign w:val="bottom"/>
          </w:tcPr>
          <w:p>
            <w:pPr>
              <w:ind w:left="120"/>
              <w:spacing w:after="0"/>
              <w:rPr>
                <w:sz w:val="20"/>
                <w:szCs w:val="20"/>
                <w:color w:val="auto"/>
              </w:rPr>
            </w:pPr>
            <w:r>
              <w:rPr>
                <w:rFonts w:ascii="Arial" w:cs="Arial" w:eastAsia="Arial" w:hAnsi="Arial"/>
                <w:sz w:val="16"/>
                <w:szCs w:val="16"/>
                <w:color w:val="auto"/>
              </w:rPr>
              <w:t>in the form of restricted</w:t>
            </w:r>
          </w:p>
        </w:tc>
      </w:tr>
      <w:tr>
        <w:trPr>
          <w:trHeight w:val="189"/>
        </w:trPr>
        <w:tc>
          <w:tcPr>
            <w:tcW w:w="1440" w:type="dxa"/>
            <w:vAlign w:val="bottom"/>
            <w:shd w:val="clear" w:color="auto" w:fill="FF160F"/>
          </w:tcPr>
          <w:p>
            <w:pPr>
              <w:spacing w:after="0"/>
              <w:rPr>
                <w:sz w:val="16"/>
                <w:szCs w:val="16"/>
                <w:color w:val="auto"/>
              </w:rPr>
            </w:pPr>
          </w:p>
        </w:tc>
        <w:tc>
          <w:tcPr>
            <w:tcW w:w="1600" w:type="dxa"/>
            <w:vAlign w:val="bottom"/>
          </w:tcPr>
          <w:p>
            <w:pPr>
              <w:spacing w:after="0"/>
              <w:rPr>
                <w:sz w:val="16"/>
                <w:szCs w:val="16"/>
                <w:color w:val="auto"/>
              </w:rPr>
            </w:pPr>
          </w:p>
        </w:tc>
        <w:tc>
          <w:tcPr>
            <w:tcW w:w="2880" w:type="dxa"/>
            <w:vAlign w:val="bottom"/>
          </w:tcPr>
          <w:p>
            <w:pPr>
              <w:ind w:left="900"/>
              <w:spacing w:after="0"/>
              <w:rPr>
                <w:sz w:val="20"/>
                <w:szCs w:val="20"/>
                <w:color w:val="auto"/>
              </w:rPr>
            </w:pPr>
            <w:r>
              <w:rPr>
                <w:rFonts w:ascii="Arial" w:cs="Arial" w:eastAsia="Arial" w:hAnsi="Arial"/>
                <w:sz w:val="16"/>
                <w:szCs w:val="16"/>
                <w:color w:val="auto"/>
              </w:rPr>
              <w:t>(33%)</w:t>
            </w:r>
          </w:p>
        </w:tc>
        <w:tc>
          <w:tcPr>
            <w:tcW w:w="2100" w:type="dxa"/>
            <w:vAlign w:val="bottom"/>
          </w:tcPr>
          <w:p>
            <w:pPr>
              <w:ind w:left="120"/>
              <w:spacing w:after="0"/>
              <w:rPr>
                <w:sz w:val="20"/>
                <w:szCs w:val="20"/>
                <w:color w:val="auto"/>
              </w:rPr>
            </w:pPr>
            <w:r>
              <w:rPr>
                <w:rFonts w:ascii="Arial" w:cs="Arial" w:eastAsia="Arial" w:hAnsi="Arial"/>
                <w:sz w:val="16"/>
                <w:szCs w:val="16"/>
                <w:color w:val="auto"/>
                <w:w w:val="99"/>
              </w:rPr>
              <w:t>shares to drive medium and</w:t>
            </w:r>
          </w:p>
        </w:tc>
      </w:tr>
      <w:tr>
        <w:trPr>
          <w:trHeight w:val="189"/>
        </w:trPr>
        <w:tc>
          <w:tcPr>
            <w:tcW w:w="1440" w:type="dxa"/>
            <w:vAlign w:val="bottom"/>
            <w:shd w:val="clear" w:color="auto" w:fill="FF160F"/>
          </w:tcPr>
          <w:p>
            <w:pPr>
              <w:spacing w:after="0"/>
              <w:rPr>
                <w:sz w:val="16"/>
                <w:szCs w:val="16"/>
                <w:color w:val="auto"/>
              </w:rPr>
            </w:pPr>
          </w:p>
        </w:tc>
        <w:tc>
          <w:tcPr>
            <w:tcW w:w="1600" w:type="dxa"/>
            <w:vAlign w:val="bottom"/>
          </w:tcPr>
          <w:p>
            <w:pPr>
              <w:spacing w:after="0"/>
              <w:rPr>
                <w:sz w:val="16"/>
                <w:szCs w:val="16"/>
                <w:color w:val="auto"/>
              </w:rPr>
            </w:pPr>
          </w:p>
        </w:tc>
        <w:tc>
          <w:tcPr>
            <w:tcW w:w="2880" w:type="dxa"/>
            <w:vAlign w:val="bottom"/>
          </w:tcPr>
          <w:p>
            <w:pPr>
              <w:ind w:left="900"/>
              <w:spacing w:after="0"/>
              <w:rPr>
                <w:sz w:val="20"/>
                <w:szCs w:val="20"/>
                <w:color w:val="auto"/>
              </w:rPr>
            </w:pPr>
            <w:r>
              <w:rPr>
                <w:rFonts w:ascii="Arial" w:cs="Arial" w:eastAsia="Arial" w:hAnsi="Arial"/>
                <w:sz w:val="16"/>
                <w:szCs w:val="16"/>
                <w:color w:val="auto"/>
              </w:rPr>
              <w:t>Return on invested capital</w:t>
            </w:r>
          </w:p>
        </w:tc>
        <w:tc>
          <w:tcPr>
            <w:tcW w:w="2100" w:type="dxa"/>
            <w:vAlign w:val="bottom"/>
          </w:tcPr>
          <w:p>
            <w:pPr>
              <w:ind w:left="120"/>
              <w:spacing w:after="0"/>
              <w:rPr>
                <w:sz w:val="20"/>
                <w:szCs w:val="20"/>
                <w:color w:val="auto"/>
              </w:rPr>
            </w:pPr>
            <w:r>
              <w:rPr>
                <w:rFonts w:ascii="Arial" w:cs="Arial" w:eastAsia="Arial" w:hAnsi="Arial"/>
                <w:sz w:val="16"/>
                <w:szCs w:val="16"/>
                <w:color w:val="auto"/>
              </w:rPr>
              <w:t>longer-term business</w:t>
            </w:r>
          </w:p>
        </w:tc>
      </w:tr>
      <w:tr>
        <w:trPr>
          <w:trHeight w:val="217"/>
        </w:trPr>
        <w:tc>
          <w:tcPr>
            <w:tcW w:w="1440" w:type="dxa"/>
            <w:vAlign w:val="bottom"/>
            <w:shd w:val="clear" w:color="auto" w:fill="FF160F"/>
          </w:tcPr>
          <w:p>
            <w:pPr>
              <w:spacing w:after="0"/>
              <w:rPr>
                <w:sz w:val="18"/>
                <w:szCs w:val="18"/>
                <w:color w:val="auto"/>
              </w:rPr>
            </w:pPr>
          </w:p>
        </w:tc>
        <w:tc>
          <w:tcPr>
            <w:tcW w:w="1600" w:type="dxa"/>
            <w:vAlign w:val="bottom"/>
          </w:tcPr>
          <w:p>
            <w:pPr>
              <w:spacing w:after="0"/>
              <w:rPr>
                <w:sz w:val="18"/>
                <w:szCs w:val="18"/>
                <w:color w:val="auto"/>
              </w:rPr>
            </w:pPr>
          </w:p>
        </w:tc>
        <w:tc>
          <w:tcPr>
            <w:tcW w:w="2880" w:type="dxa"/>
            <w:vAlign w:val="bottom"/>
          </w:tcPr>
          <w:p>
            <w:pPr>
              <w:ind w:left="900"/>
              <w:spacing w:after="0"/>
              <w:rPr>
                <w:sz w:val="20"/>
                <w:szCs w:val="20"/>
                <w:color w:val="auto"/>
              </w:rPr>
            </w:pPr>
            <w:r>
              <w:rPr>
                <w:rFonts w:ascii="Arial" w:cs="Arial" w:eastAsia="Arial" w:hAnsi="Arial"/>
                <w:sz w:val="16"/>
                <w:szCs w:val="16"/>
                <w:color w:val="auto"/>
              </w:rPr>
              <w:t>(33%)</w:t>
            </w:r>
          </w:p>
        </w:tc>
        <w:tc>
          <w:tcPr>
            <w:tcW w:w="2100" w:type="dxa"/>
            <w:vAlign w:val="bottom"/>
          </w:tcPr>
          <w:p>
            <w:pPr>
              <w:ind w:left="120"/>
              <w:spacing w:after="0"/>
              <w:rPr>
                <w:sz w:val="20"/>
                <w:szCs w:val="20"/>
                <w:color w:val="auto"/>
              </w:rPr>
            </w:pPr>
            <w:r>
              <w:rPr>
                <w:rFonts w:ascii="Arial" w:cs="Arial" w:eastAsia="Arial" w:hAnsi="Arial"/>
                <w:sz w:val="16"/>
                <w:szCs w:val="16"/>
                <w:color w:val="auto"/>
              </w:rPr>
              <w:t>objectives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0</wp:posOffset>
            </wp:positionV>
            <wp:extent cx="699516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102870</wp:posOffset>
            </wp:positionV>
            <wp:extent cx="7003415" cy="12001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003415" cy="1200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ind w:right="1080"/>
        <w:spacing w:after="0" w:line="266" w:lineRule="auto"/>
        <w:rPr>
          <w:sz w:val="20"/>
          <w:szCs w:val="20"/>
          <w:color w:val="auto"/>
        </w:rPr>
      </w:pPr>
      <w:r>
        <w:rPr>
          <w:rFonts w:ascii="Arial" w:cs="Arial" w:eastAsia="Arial" w:hAnsi="Arial"/>
          <w:sz w:val="16"/>
          <w:szCs w:val="16"/>
          <w:color w:val="auto"/>
        </w:rPr>
        <w:t>Drive medium and long-term performance goals and retain talent</w:t>
      </w:r>
    </w:p>
    <w:p>
      <w:pPr>
        <w:spacing w:after="0" w:line="715" w:lineRule="exact"/>
        <w:rPr>
          <w:sz w:val="20"/>
          <w:szCs w:val="20"/>
          <w:color w:val="auto"/>
        </w:rPr>
      </w:pPr>
    </w:p>
    <w:p>
      <w:pPr>
        <w:sectPr>
          <w:pgSz w:w="11900" w:h="16838" w:orient="portrait"/>
          <w:cols w:equalWidth="0" w:num="2">
            <w:col w:w="8140" w:space="200"/>
            <w:col w:w="2800"/>
          </w:cols>
          <w:pgMar w:left="320" w:top="482" w:right="439" w:bottom="1440" w:gutter="0" w:footer="0" w:header="0"/>
          <w:type w:val="continuous"/>
        </w:sectPr>
      </w:pPr>
    </w:p>
    <w:p>
      <w:pPr>
        <w:ind w:left="8080"/>
        <w:spacing w:after="0"/>
        <w:rPr>
          <w:sz w:val="20"/>
          <w:szCs w:val="20"/>
          <w:color w:val="auto"/>
        </w:rPr>
      </w:pPr>
      <w:r>
        <w:rPr>
          <w:rFonts w:ascii="Arial" w:cs="Arial" w:eastAsia="Arial" w:hAnsi="Arial"/>
          <w:sz w:val="14"/>
          <w:szCs w:val="14"/>
          <w:color w:val="FF160F"/>
        </w:rPr>
        <w:t>Federal Realty</w:t>
      </w:r>
      <w:r>
        <w:rPr>
          <w:rFonts w:ascii="Arial" w:cs="Arial" w:eastAsia="Arial" w:hAnsi="Arial"/>
          <w:sz w:val="14"/>
          <w:szCs w:val="14"/>
          <w:color w:val="000000"/>
        </w:rPr>
        <w:t xml:space="preserve">      2024 Proxy Statement   21</w:t>
      </w:r>
    </w:p>
    <w:p>
      <w:pPr>
        <w:sectPr>
          <w:pgSz w:w="11900" w:h="16838" w:orient="portrait"/>
          <w:cols w:equalWidth="0" w:num="1">
            <w:col w:w="11140"/>
          </w:cols>
          <w:pgMar w:left="320" w:top="482" w:right="43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225425</wp:posOffset>
            </wp:positionV>
            <wp:extent cx="699516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47" w:lineRule="exact"/>
        <w:rPr>
          <w:sz w:val="20"/>
          <w:szCs w:val="20"/>
          <w:color w:val="auto"/>
        </w:rPr>
      </w:pPr>
    </w:p>
    <w:p>
      <w:pPr>
        <w:ind w:left="220" w:hanging="104"/>
        <w:spacing w:after="0"/>
        <w:tabs>
          <w:tab w:leader="none" w:pos="220" w:val="left"/>
        </w:tabs>
        <w:numPr>
          <w:ilvl w:val="0"/>
          <w:numId w:val="46"/>
        </w:numPr>
        <w:rPr>
          <w:rFonts w:ascii="Arial" w:cs="Arial" w:eastAsia="Arial" w:hAnsi="Arial"/>
          <w:sz w:val="19"/>
          <w:szCs w:val="19"/>
          <w:b w:val="1"/>
          <w:bCs w:val="1"/>
          <w:color w:val="FF160F"/>
        </w:rPr>
      </w:pPr>
      <w:r>
        <w:rPr>
          <w:rFonts w:ascii="Arial" w:cs="Arial" w:eastAsia="Arial" w:hAnsi="Arial"/>
          <w:sz w:val="19"/>
          <w:szCs w:val="19"/>
          <w:b w:val="1"/>
          <w:bCs w:val="1"/>
          <w:color w:val="FF160F"/>
        </w:rPr>
        <w:t>C</w:t>
      </w:r>
      <w:r>
        <w:rPr>
          <w:rFonts w:ascii="Arial" w:cs="Arial" w:eastAsia="Arial" w:hAnsi="Arial"/>
          <w:sz w:val="15"/>
          <w:szCs w:val="15"/>
          <w:b w:val="1"/>
          <w:bCs w:val="1"/>
          <w:color w:val="FF160F"/>
        </w:rPr>
        <w:t>OMPENSATION</w:t>
      </w:r>
      <w:r>
        <w:rPr>
          <w:rFonts w:ascii="Arial" w:cs="Arial" w:eastAsia="Arial" w:hAnsi="Arial"/>
          <w:sz w:val="19"/>
          <w:szCs w:val="19"/>
          <w:b w:val="1"/>
          <w:bCs w:val="1"/>
          <w:color w:val="FF160F"/>
        </w:rPr>
        <w:t xml:space="preserve"> S</w:t>
      </w:r>
      <w:r>
        <w:rPr>
          <w:rFonts w:ascii="Arial" w:cs="Arial" w:eastAsia="Arial" w:hAnsi="Arial"/>
          <w:sz w:val="15"/>
          <w:szCs w:val="15"/>
          <w:b w:val="1"/>
          <w:bCs w:val="1"/>
          <w:color w:val="FF160F"/>
        </w:rPr>
        <w:t>ETTING</w:t>
      </w:r>
      <w:r>
        <w:rPr>
          <w:rFonts w:ascii="Arial" w:cs="Arial" w:eastAsia="Arial" w:hAnsi="Arial"/>
          <w:sz w:val="19"/>
          <w:szCs w:val="19"/>
          <w:b w:val="1"/>
          <w:bCs w:val="1"/>
          <w:color w:val="FF160F"/>
        </w:rPr>
        <w:t xml:space="preserve"> P</w:t>
      </w:r>
      <w:r>
        <w:rPr>
          <w:rFonts w:ascii="Arial" w:cs="Arial" w:eastAsia="Arial" w:hAnsi="Arial"/>
          <w:sz w:val="15"/>
          <w:szCs w:val="15"/>
          <w:b w:val="1"/>
          <w:bCs w:val="1"/>
          <w:color w:val="FF160F"/>
        </w:rPr>
        <w:t>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67945</wp:posOffset>
            </wp:positionV>
            <wp:extent cx="699516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65" w:lineRule="exact"/>
        <w:rPr>
          <w:sz w:val="20"/>
          <w:szCs w:val="20"/>
          <w:color w:val="auto"/>
        </w:rPr>
      </w:pPr>
    </w:p>
    <w:p>
      <w:pPr>
        <w:ind w:left="540" w:hanging="424"/>
        <w:spacing w:after="0"/>
        <w:tabs>
          <w:tab w:leader="none" w:pos="540" w:val="left"/>
        </w:tabs>
        <w:numPr>
          <w:ilvl w:val="0"/>
          <w:numId w:val="47"/>
        </w:numPr>
        <w:rPr>
          <w:rFonts w:ascii="Wingdings" w:cs="Wingdings" w:eastAsia="Wingdings" w:hAnsi="Wingdings"/>
          <w:sz w:val="18"/>
          <w:szCs w:val="18"/>
          <w:b w:val="1"/>
          <w:bCs w:val="1"/>
          <w:color w:val="FF160F"/>
        </w:rPr>
      </w:pPr>
      <w:r>
        <w:rPr>
          <w:rFonts w:ascii="Arial" w:cs="Arial" w:eastAsia="Arial" w:hAnsi="Arial"/>
          <w:sz w:val="18"/>
          <w:szCs w:val="18"/>
          <w:b w:val="1"/>
          <w:bCs w:val="1"/>
          <w:color w:val="auto"/>
        </w:rPr>
        <w:t>ANNUAL COMPENSATION DECISION MAKING</w:t>
      </w:r>
    </w:p>
    <w:p>
      <w:pPr>
        <w:spacing w:after="0" w:line="212" w:lineRule="exact"/>
        <w:rPr>
          <w:sz w:val="20"/>
          <w:szCs w:val="20"/>
          <w:color w:val="auto"/>
        </w:rPr>
      </w:pPr>
    </w:p>
    <w:p>
      <w:pPr>
        <w:jc w:val="both"/>
        <w:ind w:left="120"/>
        <w:spacing w:after="0" w:line="247" w:lineRule="auto"/>
        <w:rPr>
          <w:sz w:val="20"/>
          <w:szCs w:val="20"/>
          <w:color w:val="auto"/>
        </w:rPr>
      </w:pPr>
      <w:r>
        <w:rPr>
          <w:rFonts w:ascii="Arial" w:cs="Arial" w:eastAsia="Arial" w:hAnsi="Arial"/>
          <w:sz w:val="18"/>
          <w:szCs w:val="18"/>
          <w:color w:val="auto"/>
        </w:rPr>
        <w:t>Our Compensation Committee develops and executes our executive compensation program on behalf of the Board, including creating compensation programs and policies, setting target compensation levels for our NEOs, setting performance metrics for incentive compensation plans, establishing expectations for individual NEO performance and determining payouts of incentive compensation for completed performance periods.</w:t>
      </w:r>
    </w:p>
    <w:p>
      <w:pPr>
        <w:spacing w:after="0" w:line="174" w:lineRule="exact"/>
        <w:rPr>
          <w:sz w:val="20"/>
          <w:szCs w:val="20"/>
          <w:color w:val="auto"/>
        </w:rPr>
      </w:pPr>
    </w:p>
    <w:p>
      <w:pPr>
        <w:jc w:val="both"/>
        <w:ind w:left="120" w:right="20"/>
        <w:spacing w:after="0" w:line="253" w:lineRule="auto"/>
        <w:rPr>
          <w:sz w:val="20"/>
          <w:szCs w:val="20"/>
          <w:color w:val="auto"/>
        </w:rPr>
      </w:pPr>
      <w:r>
        <w:rPr>
          <w:rFonts w:ascii="Arial" w:cs="Arial" w:eastAsia="Arial" w:hAnsi="Arial"/>
          <w:sz w:val="18"/>
          <w:szCs w:val="18"/>
          <w:color w:val="auto"/>
        </w:rPr>
        <w:t>In setting NEO compensation, the Compensation Committee considers competitive market data for similar jobs and job levels in the market, Company performance measured against financial metrics and targets established by the Compensation Committee, general business climate and each individual’s experience, knowledge, skills and personal contributions.</w:t>
      </w:r>
    </w:p>
    <w:p>
      <w:pPr>
        <w:spacing w:after="0" w:line="196" w:lineRule="exact"/>
        <w:rPr>
          <w:sz w:val="20"/>
          <w:szCs w:val="20"/>
          <w:color w:val="auto"/>
        </w:rPr>
      </w:pPr>
    </w:p>
    <w:p>
      <w:pPr>
        <w:ind w:left="540" w:hanging="424"/>
        <w:spacing w:after="0"/>
        <w:tabs>
          <w:tab w:leader="none" w:pos="540" w:val="left"/>
        </w:tabs>
        <w:numPr>
          <w:ilvl w:val="0"/>
          <w:numId w:val="48"/>
        </w:numPr>
        <w:rPr>
          <w:rFonts w:ascii="Wingdings" w:cs="Wingdings" w:eastAsia="Wingdings" w:hAnsi="Wingdings"/>
          <w:sz w:val="18"/>
          <w:szCs w:val="18"/>
          <w:b w:val="1"/>
          <w:bCs w:val="1"/>
          <w:color w:val="FF160F"/>
        </w:rPr>
      </w:pPr>
      <w:r>
        <w:rPr>
          <w:rFonts w:ascii="Arial" w:cs="Arial" w:eastAsia="Arial" w:hAnsi="Arial"/>
          <w:sz w:val="18"/>
          <w:szCs w:val="18"/>
          <w:b w:val="1"/>
          <w:bCs w:val="1"/>
          <w:color w:val="auto"/>
        </w:rPr>
        <w:t>ROLE OF THE COMPENSATION COMMITTEE</w:t>
      </w:r>
    </w:p>
    <w:p>
      <w:pPr>
        <w:spacing w:after="0" w:line="212" w:lineRule="exact"/>
        <w:rPr>
          <w:sz w:val="20"/>
          <w:szCs w:val="20"/>
          <w:color w:val="auto"/>
        </w:rPr>
      </w:pPr>
    </w:p>
    <w:p>
      <w:pPr>
        <w:ind w:left="120" w:right="20"/>
        <w:spacing w:after="0" w:line="271" w:lineRule="auto"/>
        <w:rPr>
          <w:sz w:val="20"/>
          <w:szCs w:val="20"/>
          <w:color w:val="auto"/>
        </w:rPr>
      </w:pPr>
      <w:r>
        <w:rPr>
          <w:rFonts w:ascii="Arial" w:cs="Arial" w:eastAsia="Arial" w:hAnsi="Arial"/>
          <w:sz w:val="18"/>
          <w:szCs w:val="18"/>
          <w:color w:val="auto"/>
        </w:rPr>
        <w:t>The Compensation Committee approves all final compensation arrangements for our NEOs including final payouts under our incentive compensation programs. It also oversees an annual evaluation of our CEO’s performance by all of our independent Trustees.</w:t>
      </w:r>
    </w:p>
    <w:p>
      <w:pPr>
        <w:spacing w:after="0" w:line="181" w:lineRule="exact"/>
        <w:rPr>
          <w:sz w:val="20"/>
          <w:szCs w:val="20"/>
          <w:color w:val="auto"/>
        </w:rPr>
      </w:pPr>
    </w:p>
    <w:p>
      <w:pPr>
        <w:ind w:left="540" w:hanging="424"/>
        <w:spacing w:after="0"/>
        <w:tabs>
          <w:tab w:leader="none" w:pos="540" w:val="left"/>
        </w:tabs>
        <w:numPr>
          <w:ilvl w:val="0"/>
          <w:numId w:val="49"/>
        </w:numPr>
        <w:rPr>
          <w:rFonts w:ascii="Wingdings" w:cs="Wingdings" w:eastAsia="Wingdings" w:hAnsi="Wingdings"/>
          <w:sz w:val="18"/>
          <w:szCs w:val="18"/>
          <w:b w:val="1"/>
          <w:bCs w:val="1"/>
          <w:color w:val="FF160F"/>
        </w:rPr>
      </w:pPr>
      <w:r>
        <w:rPr>
          <w:rFonts w:ascii="Arial" w:cs="Arial" w:eastAsia="Arial" w:hAnsi="Arial"/>
          <w:sz w:val="18"/>
          <w:szCs w:val="18"/>
          <w:b w:val="1"/>
          <w:bCs w:val="1"/>
          <w:color w:val="auto"/>
        </w:rPr>
        <w:t>ROLE OF MANAGEMENT</w:t>
      </w:r>
    </w:p>
    <w:p>
      <w:pPr>
        <w:spacing w:after="0" w:line="212" w:lineRule="exact"/>
        <w:rPr>
          <w:sz w:val="20"/>
          <w:szCs w:val="20"/>
          <w:color w:val="auto"/>
        </w:rPr>
      </w:pPr>
    </w:p>
    <w:p>
      <w:pPr>
        <w:ind w:left="120" w:right="20"/>
        <w:spacing w:after="0" w:line="271" w:lineRule="auto"/>
        <w:rPr>
          <w:sz w:val="20"/>
          <w:szCs w:val="20"/>
          <w:color w:val="auto"/>
        </w:rPr>
      </w:pPr>
      <w:r>
        <w:rPr>
          <w:rFonts w:ascii="Arial" w:cs="Arial" w:eastAsia="Arial" w:hAnsi="Arial"/>
          <w:sz w:val="18"/>
          <w:szCs w:val="18"/>
          <w:color w:val="auto"/>
        </w:rPr>
        <w:t>Our CEO makes recommendations to the Compensation Committee regarding compensation for our NEOs (other than himself) taking into account Company performance, each executive’s personal contributions to the Company’s accomplishments and relevant market data.</w:t>
      </w:r>
    </w:p>
    <w:p>
      <w:pPr>
        <w:spacing w:after="0" w:line="181" w:lineRule="exact"/>
        <w:rPr>
          <w:sz w:val="20"/>
          <w:szCs w:val="20"/>
          <w:color w:val="auto"/>
        </w:rPr>
      </w:pPr>
    </w:p>
    <w:p>
      <w:pPr>
        <w:ind w:left="540" w:hanging="424"/>
        <w:spacing w:after="0"/>
        <w:tabs>
          <w:tab w:leader="none" w:pos="540" w:val="left"/>
        </w:tabs>
        <w:numPr>
          <w:ilvl w:val="0"/>
          <w:numId w:val="50"/>
        </w:numPr>
        <w:rPr>
          <w:rFonts w:ascii="Wingdings" w:cs="Wingdings" w:eastAsia="Wingdings" w:hAnsi="Wingdings"/>
          <w:sz w:val="18"/>
          <w:szCs w:val="18"/>
          <w:b w:val="1"/>
          <w:bCs w:val="1"/>
          <w:color w:val="FF160F"/>
        </w:rPr>
      </w:pPr>
      <w:r>
        <w:rPr>
          <w:rFonts w:ascii="Arial" w:cs="Arial" w:eastAsia="Arial" w:hAnsi="Arial"/>
          <w:sz w:val="18"/>
          <w:szCs w:val="18"/>
          <w:b w:val="1"/>
          <w:bCs w:val="1"/>
          <w:color w:val="auto"/>
        </w:rPr>
        <w:t>ROLE OF INDEPENDENT COMPENSATION CONSULTANT</w:t>
      </w:r>
    </w:p>
    <w:p>
      <w:pPr>
        <w:spacing w:after="0" w:line="212" w:lineRule="exact"/>
        <w:rPr>
          <w:sz w:val="20"/>
          <w:szCs w:val="20"/>
          <w:color w:val="auto"/>
        </w:rPr>
      </w:pPr>
    </w:p>
    <w:p>
      <w:pPr>
        <w:ind w:left="120" w:right="20"/>
        <w:spacing w:after="0" w:line="271" w:lineRule="auto"/>
        <w:rPr>
          <w:sz w:val="20"/>
          <w:szCs w:val="20"/>
          <w:color w:val="auto"/>
        </w:rPr>
      </w:pPr>
      <w:r>
        <w:rPr>
          <w:rFonts w:ascii="Arial" w:cs="Arial" w:eastAsia="Arial" w:hAnsi="Arial"/>
          <w:sz w:val="18"/>
          <w:szCs w:val="18"/>
          <w:color w:val="auto"/>
        </w:rPr>
        <w:t>The Compensation Committee retains consultants periodically to assist with setting compensation. No consultant was used in connection with the compensation of our NEOs for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135255</wp:posOffset>
            </wp:positionV>
            <wp:extent cx="699516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18" w:lineRule="exact"/>
        <w:rPr>
          <w:sz w:val="20"/>
          <w:szCs w:val="20"/>
          <w:color w:val="auto"/>
        </w:rPr>
      </w:pPr>
    </w:p>
    <w:p>
      <w:pPr>
        <w:ind w:left="220" w:hanging="104"/>
        <w:spacing w:after="0"/>
        <w:tabs>
          <w:tab w:leader="none" w:pos="220" w:val="left"/>
        </w:tabs>
        <w:numPr>
          <w:ilvl w:val="0"/>
          <w:numId w:val="51"/>
        </w:numPr>
        <w:rPr>
          <w:rFonts w:ascii="Arial" w:cs="Arial" w:eastAsia="Arial" w:hAnsi="Arial"/>
          <w:sz w:val="19"/>
          <w:szCs w:val="19"/>
          <w:b w:val="1"/>
          <w:bCs w:val="1"/>
          <w:color w:val="FF160F"/>
        </w:rPr>
      </w:pPr>
      <w:r>
        <w:rPr>
          <w:rFonts w:ascii="Arial" w:cs="Arial" w:eastAsia="Arial" w:hAnsi="Arial"/>
          <w:sz w:val="19"/>
          <w:szCs w:val="19"/>
          <w:b w:val="1"/>
          <w:bCs w:val="1"/>
          <w:color w:val="FF160F"/>
        </w:rPr>
        <w:t>2023 C</w:t>
      </w:r>
      <w:r>
        <w:rPr>
          <w:rFonts w:ascii="Arial" w:cs="Arial" w:eastAsia="Arial" w:hAnsi="Arial"/>
          <w:sz w:val="15"/>
          <w:szCs w:val="15"/>
          <w:b w:val="1"/>
          <w:bCs w:val="1"/>
          <w:color w:val="FF160F"/>
        </w:rPr>
        <w:t>OMPENSATION</w:t>
      </w:r>
      <w:r>
        <w:rPr>
          <w:rFonts w:ascii="Arial" w:cs="Arial" w:eastAsia="Arial" w:hAnsi="Arial"/>
          <w:sz w:val="19"/>
          <w:szCs w:val="19"/>
          <w:b w:val="1"/>
          <w:bCs w:val="1"/>
          <w:color w:val="FF160F"/>
        </w:rPr>
        <w:t xml:space="preserve"> D</w:t>
      </w:r>
      <w:r>
        <w:rPr>
          <w:rFonts w:ascii="Arial" w:cs="Arial" w:eastAsia="Arial" w:hAnsi="Arial"/>
          <w:sz w:val="15"/>
          <w:szCs w:val="15"/>
          <w:b w:val="1"/>
          <w:bCs w:val="1"/>
          <w:color w:val="FF160F"/>
        </w:rPr>
        <w:t>ECISIONS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67945</wp:posOffset>
            </wp:positionV>
            <wp:extent cx="699516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65" w:lineRule="exact"/>
        <w:rPr>
          <w:sz w:val="20"/>
          <w:szCs w:val="20"/>
          <w:color w:val="auto"/>
        </w:rPr>
      </w:pPr>
    </w:p>
    <w:p>
      <w:pPr>
        <w:ind w:left="540" w:hanging="424"/>
        <w:spacing w:after="0"/>
        <w:tabs>
          <w:tab w:leader="none" w:pos="540" w:val="left"/>
        </w:tabs>
        <w:numPr>
          <w:ilvl w:val="0"/>
          <w:numId w:val="52"/>
        </w:numPr>
        <w:rPr>
          <w:rFonts w:ascii="Wingdings" w:cs="Wingdings" w:eastAsia="Wingdings" w:hAnsi="Wingdings"/>
          <w:sz w:val="18"/>
          <w:szCs w:val="18"/>
          <w:b w:val="1"/>
          <w:bCs w:val="1"/>
          <w:color w:val="FF160F"/>
        </w:rPr>
      </w:pPr>
      <w:r>
        <w:rPr>
          <w:rFonts w:ascii="Arial" w:cs="Arial" w:eastAsia="Arial" w:hAnsi="Arial"/>
          <w:sz w:val="18"/>
          <w:szCs w:val="18"/>
          <w:b w:val="1"/>
          <w:bCs w:val="1"/>
          <w:color w:val="auto"/>
        </w:rPr>
        <w:t>SETTING 2023 TARGET COMPENSATION</w:t>
      </w:r>
    </w:p>
    <w:p>
      <w:pPr>
        <w:spacing w:after="0" w:line="212" w:lineRule="exact"/>
        <w:rPr>
          <w:sz w:val="20"/>
          <w:szCs w:val="20"/>
          <w:color w:val="auto"/>
        </w:rPr>
      </w:pPr>
    </w:p>
    <w:p>
      <w:pPr>
        <w:jc w:val="both"/>
        <w:ind w:left="120"/>
        <w:spacing w:after="0"/>
        <w:rPr>
          <w:sz w:val="20"/>
          <w:szCs w:val="20"/>
          <w:color w:val="auto"/>
        </w:rPr>
      </w:pPr>
      <w:r>
        <w:rPr>
          <w:rFonts w:ascii="Arial" w:cs="Arial" w:eastAsia="Arial" w:hAnsi="Arial"/>
          <w:sz w:val="18"/>
          <w:szCs w:val="18"/>
          <w:color w:val="auto"/>
        </w:rPr>
        <w:t>The Compensation Committee determined target compensation for each NEO by considering numerous individual factors for each NEO, including job responsibilities and skill sets, performance in their position, importance to achieving our corporate objectives, retention risk, ability to replace the role, previously issued equity awards and tenure with the company. The Compensation Committee then reviewed the annual NAREIT compensation survey that gathers data from more than 100 REITs for the market compensation information for our NEOs. Applying their individual judgments to our NEOs after consulting the NAREIT survey, the Compensation Committee made no changes to target compensation for our NEOs in 2023 other than to increase in the bonus target with respect to Mr. Berkes to align his target with market.</w:t>
      </w:r>
    </w:p>
    <w:p>
      <w:pPr>
        <w:spacing w:after="0" w:line="230" w:lineRule="exact"/>
        <w:rPr>
          <w:sz w:val="20"/>
          <w:szCs w:val="20"/>
          <w:color w:val="auto"/>
        </w:rPr>
      </w:pPr>
    </w:p>
    <w:tbl>
      <w:tblPr>
        <w:tblLayout w:type="fixed"/>
        <w:tblInd w:w="130" w:type="dxa"/>
        <w:tblCellMar>
          <w:top w:w="0" w:type="dxa"/>
          <w:left w:w="0" w:type="dxa"/>
          <w:bottom w:w="0" w:type="dxa"/>
          <w:right w:w="0" w:type="dxa"/>
        </w:tblCellMar>
      </w:tblPr>
      <w:tr>
        <w:trPr>
          <w:trHeight w:val="189"/>
        </w:trPr>
        <w:tc>
          <w:tcPr>
            <w:tcW w:w="2960" w:type="dxa"/>
            <w:vAlign w:val="bottom"/>
            <w:tcBorders>
              <w:left w:val="single" w:sz="8" w:color="FF160F"/>
            </w:tcBorders>
            <w:shd w:val="clear" w:color="auto" w:fill="FF160F"/>
          </w:tcPr>
          <w:p>
            <w:pPr>
              <w:spacing w:after="0"/>
              <w:rPr>
                <w:sz w:val="16"/>
                <w:szCs w:val="16"/>
                <w:color w:val="auto"/>
              </w:rPr>
            </w:pPr>
          </w:p>
        </w:tc>
        <w:tc>
          <w:tcPr>
            <w:tcW w:w="600" w:type="dxa"/>
            <w:vAlign w:val="bottom"/>
            <w:shd w:val="clear" w:color="auto" w:fill="FF160F"/>
          </w:tcPr>
          <w:p>
            <w:pPr>
              <w:spacing w:after="0"/>
              <w:rPr>
                <w:sz w:val="16"/>
                <w:szCs w:val="16"/>
                <w:color w:val="auto"/>
              </w:rPr>
            </w:pPr>
          </w:p>
        </w:tc>
        <w:tc>
          <w:tcPr>
            <w:tcW w:w="520" w:type="dxa"/>
            <w:vAlign w:val="bottom"/>
            <w:shd w:val="clear" w:color="auto" w:fill="FF160F"/>
          </w:tcPr>
          <w:p>
            <w:pPr>
              <w:spacing w:after="0"/>
              <w:rPr>
                <w:sz w:val="16"/>
                <w:szCs w:val="16"/>
                <w:color w:val="auto"/>
              </w:rPr>
            </w:pPr>
          </w:p>
        </w:tc>
        <w:tc>
          <w:tcPr>
            <w:tcW w:w="1140" w:type="dxa"/>
            <w:vAlign w:val="bottom"/>
            <w:shd w:val="clear" w:color="auto" w:fill="FF160F"/>
          </w:tcPr>
          <w:p>
            <w:pPr>
              <w:spacing w:after="0"/>
              <w:rPr>
                <w:sz w:val="16"/>
                <w:szCs w:val="16"/>
                <w:color w:val="auto"/>
              </w:rPr>
            </w:pPr>
          </w:p>
        </w:tc>
        <w:tc>
          <w:tcPr>
            <w:tcW w:w="2700" w:type="dxa"/>
            <w:vAlign w:val="bottom"/>
            <w:gridSpan w:val="3"/>
            <w:shd w:val="clear" w:color="auto" w:fill="FF160F"/>
          </w:tcPr>
          <w:p>
            <w:pPr>
              <w:jc w:val="right"/>
              <w:ind w:right="359"/>
              <w:spacing w:after="0"/>
              <w:rPr>
                <w:sz w:val="20"/>
                <w:szCs w:val="20"/>
                <w:color w:val="auto"/>
              </w:rPr>
            </w:pPr>
            <w:r>
              <w:rPr>
                <w:rFonts w:ascii="Arial" w:cs="Arial" w:eastAsia="Arial" w:hAnsi="Arial"/>
                <w:sz w:val="16"/>
                <w:szCs w:val="16"/>
                <w:b w:val="1"/>
                <w:bCs w:val="1"/>
                <w:color w:val="FFFFFF"/>
              </w:rPr>
              <w:t>Target Annual Bonus</w:t>
            </w:r>
          </w:p>
        </w:tc>
        <w:tc>
          <w:tcPr>
            <w:tcW w:w="1800" w:type="dxa"/>
            <w:vAlign w:val="bottom"/>
            <w:gridSpan w:val="2"/>
            <w:shd w:val="clear" w:color="auto" w:fill="FF160F"/>
          </w:tcPr>
          <w:p>
            <w:pPr>
              <w:ind w:left="520"/>
              <w:spacing w:after="0"/>
              <w:rPr>
                <w:sz w:val="20"/>
                <w:szCs w:val="20"/>
                <w:color w:val="auto"/>
              </w:rPr>
            </w:pPr>
            <w:r>
              <w:rPr>
                <w:rFonts w:ascii="Arial" w:cs="Arial" w:eastAsia="Arial" w:hAnsi="Arial"/>
                <w:sz w:val="16"/>
                <w:szCs w:val="16"/>
                <w:b w:val="1"/>
                <w:bCs w:val="1"/>
                <w:color w:val="FFFFFF"/>
              </w:rPr>
              <w:t>Target Long-</w:t>
            </w:r>
          </w:p>
        </w:tc>
        <w:tc>
          <w:tcPr>
            <w:tcW w:w="460" w:type="dxa"/>
            <w:vAlign w:val="bottom"/>
            <w:shd w:val="clear" w:color="auto" w:fill="FF160F"/>
          </w:tcPr>
          <w:p>
            <w:pPr>
              <w:spacing w:after="0"/>
              <w:rPr>
                <w:sz w:val="16"/>
                <w:szCs w:val="16"/>
                <w:color w:val="auto"/>
              </w:rPr>
            </w:pPr>
          </w:p>
        </w:tc>
        <w:tc>
          <w:tcPr>
            <w:tcW w:w="840" w:type="dxa"/>
            <w:vAlign w:val="bottom"/>
            <w:shd w:val="clear" w:color="auto" w:fill="FF160F"/>
          </w:tcPr>
          <w:p>
            <w:pPr>
              <w:jc w:val="right"/>
              <w:ind w:right="279"/>
              <w:spacing w:after="0"/>
              <w:rPr>
                <w:sz w:val="20"/>
                <w:szCs w:val="20"/>
                <w:color w:val="auto"/>
              </w:rPr>
            </w:pPr>
            <w:r>
              <w:rPr>
                <w:rFonts w:ascii="Arial" w:cs="Arial" w:eastAsia="Arial" w:hAnsi="Arial"/>
                <w:sz w:val="16"/>
                <w:szCs w:val="16"/>
                <w:b w:val="1"/>
                <w:bCs w:val="1"/>
                <w:color w:val="FFFFFF"/>
              </w:rPr>
              <w:t>Total</w:t>
            </w:r>
          </w:p>
        </w:tc>
        <w:tc>
          <w:tcPr>
            <w:tcW w:w="20" w:type="dxa"/>
            <w:vAlign w:val="bottom"/>
          </w:tcPr>
          <w:p>
            <w:pPr>
              <w:spacing w:after="0"/>
              <w:rPr>
                <w:sz w:val="16"/>
                <w:szCs w:val="16"/>
                <w:color w:val="auto"/>
              </w:rPr>
            </w:pPr>
          </w:p>
        </w:tc>
      </w:tr>
      <w:tr>
        <w:trPr>
          <w:trHeight w:val="203"/>
        </w:trPr>
        <w:tc>
          <w:tcPr>
            <w:tcW w:w="2960" w:type="dxa"/>
            <w:vAlign w:val="bottom"/>
            <w:tcBorders>
              <w:left w:val="single" w:sz="8" w:color="FF160F"/>
            </w:tcBorders>
            <w:shd w:val="clear" w:color="auto" w:fill="FF160F"/>
          </w:tcPr>
          <w:p>
            <w:pPr>
              <w:spacing w:after="0"/>
              <w:rPr>
                <w:sz w:val="17"/>
                <w:szCs w:val="17"/>
                <w:color w:val="auto"/>
              </w:rPr>
            </w:pPr>
          </w:p>
        </w:tc>
        <w:tc>
          <w:tcPr>
            <w:tcW w:w="600" w:type="dxa"/>
            <w:vAlign w:val="bottom"/>
            <w:shd w:val="clear" w:color="auto" w:fill="FF160F"/>
          </w:tcPr>
          <w:p>
            <w:pPr>
              <w:spacing w:after="0"/>
              <w:rPr>
                <w:sz w:val="17"/>
                <w:szCs w:val="17"/>
                <w:color w:val="auto"/>
              </w:rPr>
            </w:pPr>
          </w:p>
        </w:tc>
        <w:tc>
          <w:tcPr>
            <w:tcW w:w="520" w:type="dxa"/>
            <w:vAlign w:val="bottom"/>
            <w:shd w:val="clear" w:color="auto" w:fill="FF160F"/>
          </w:tcPr>
          <w:p>
            <w:pPr>
              <w:spacing w:after="0"/>
              <w:rPr>
                <w:sz w:val="17"/>
                <w:szCs w:val="17"/>
                <w:color w:val="auto"/>
              </w:rPr>
            </w:pPr>
          </w:p>
        </w:tc>
        <w:tc>
          <w:tcPr>
            <w:tcW w:w="1140" w:type="dxa"/>
            <w:vAlign w:val="bottom"/>
            <w:shd w:val="clear" w:color="auto" w:fill="FF160F"/>
          </w:tcPr>
          <w:p>
            <w:pPr>
              <w:jc w:val="right"/>
              <w:ind w:right="299"/>
              <w:spacing w:after="0"/>
              <w:rPr>
                <w:sz w:val="20"/>
                <w:szCs w:val="20"/>
                <w:color w:val="auto"/>
              </w:rPr>
            </w:pPr>
            <w:r>
              <w:rPr>
                <w:rFonts w:ascii="Arial" w:cs="Arial" w:eastAsia="Arial" w:hAnsi="Arial"/>
                <w:sz w:val="16"/>
                <w:szCs w:val="16"/>
                <w:b w:val="1"/>
                <w:bCs w:val="1"/>
                <w:color w:val="FFFFFF"/>
              </w:rPr>
              <w:t>Base Pay</w:t>
            </w:r>
          </w:p>
        </w:tc>
        <w:tc>
          <w:tcPr>
            <w:tcW w:w="1420" w:type="dxa"/>
            <w:vAlign w:val="bottom"/>
            <w:shd w:val="clear" w:color="auto" w:fill="FF160F"/>
          </w:tcPr>
          <w:p>
            <w:pPr>
              <w:jc w:val="right"/>
              <w:ind w:right="319"/>
              <w:spacing w:after="0"/>
              <w:rPr>
                <w:sz w:val="20"/>
                <w:szCs w:val="20"/>
                <w:color w:val="auto"/>
              </w:rPr>
            </w:pPr>
            <w:r>
              <w:rPr>
                <w:rFonts w:ascii="Arial" w:cs="Arial" w:eastAsia="Arial" w:hAnsi="Arial"/>
                <w:sz w:val="16"/>
                <w:szCs w:val="16"/>
                <w:b w:val="1"/>
                <w:bCs w:val="1"/>
                <w:color w:val="FFFFFF"/>
              </w:rPr>
              <w:t>% of Base</w:t>
            </w:r>
          </w:p>
        </w:tc>
        <w:tc>
          <w:tcPr>
            <w:tcW w:w="400" w:type="dxa"/>
            <w:vAlign w:val="bottom"/>
            <w:shd w:val="clear" w:color="auto" w:fill="FF160F"/>
          </w:tcPr>
          <w:p>
            <w:pPr>
              <w:spacing w:after="0"/>
              <w:rPr>
                <w:sz w:val="17"/>
                <w:szCs w:val="17"/>
                <w:color w:val="auto"/>
              </w:rPr>
            </w:pPr>
          </w:p>
        </w:tc>
        <w:tc>
          <w:tcPr>
            <w:tcW w:w="880" w:type="dxa"/>
            <w:vAlign w:val="bottom"/>
            <w:shd w:val="clear" w:color="auto" w:fill="FF160F"/>
          </w:tcPr>
          <w:p>
            <w:pPr>
              <w:jc w:val="right"/>
              <w:ind w:right="159"/>
              <w:spacing w:after="0"/>
              <w:rPr>
                <w:sz w:val="20"/>
                <w:szCs w:val="20"/>
                <w:color w:val="auto"/>
              </w:rPr>
            </w:pPr>
            <w:r>
              <w:rPr>
                <w:rFonts w:ascii="Arial" w:cs="Arial" w:eastAsia="Arial" w:hAnsi="Arial"/>
                <w:sz w:val="16"/>
                <w:szCs w:val="16"/>
                <w:b w:val="1"/>
                <w:bCs w:val="1"/>
                <w:color w:val="FFFFFF"/>
              </w:rPr>
              <w:t>Amount</w:t>
            </w:r>
          </w:p>
        </w:tc>
        <w:tc>
          <w:tcPr>
            <w:tcW w:w="1800" w:type="dxa"/>
            <w:vAlign w:val="bottom"/>
            <w:gridSpan w:val="2"/>
            <w:shd w:val="clear" w:color="auto" w:fill="FF160F"/>
          </w:tcPr>
          <w:p>
            <w:pPr>
              <w:ind w:left="440"/>
              <w:spacing w:after="0"/>
              <w:rPr>
                <w:sz w:val="20"/>
                <w:szCs w:val="20"/>
                <w:color w:val="auto"/>
              </w:rPr>
            </w:pPr>
            <w:r>
              <w:rPr>
                <w:rFonts w:ascii="Arial" w:cs="Arial" w:eastAsia="Arial" w:hAnsi="Arial"/>
                <w:sz w:val="16"/>
                <w:szCs w:val="16"/>
                <w:b w:val="1"/>
                <w:bCs w:val="1"/>
                <w:color w:val="FFFFFF"/>
              </w:rPr>
              <w:t>Term Incentive</w:t>
            </w:r>
          </w:p>
        </w:tc>
        <w:tc>
          <w:tcPr>
            <w:tcW w:w="1300" w:type="dxa"/>
            <w:vAlign w:val="bottom"/>
            <w:gridSpan w:val="2"/>
            <w:shd w:val="clear" w:color="auto" w:fill="FF160F"/>
          </w:tcPr>
          <w:p>
            <w:pPr>
              <w:jc w:val="right"/>
              <w:ind w:right="39"/>
              <w:spacing w:after="0"/>
              <w:rPr>
                <w:sz w:val="20"/>
                <w:szCs w:val="20"/>
                <w:color w:val="auto"/>
              </w:rPr>
            </w:pPr>
            <w:r>
              <w:rPr>
                <w:rFonts w:ascii="Arial" w:cs="Arial" w:eastAsia="Arial" w:hAnsi="Arial"/>
                <w:sz w:val="16"/>
                <w:szCs w:val="16"/>
                <w:b w:val="1"/>
                <w:bCs w:val="1"/>
                <w:color w:val="FFFFFF"/>
              </w:rPr>
              <w:t>2023 Target</w:t>
            </w:r>
          </w:p>
        </w:tc>
        <w:tc>
          <w:tcPr>
            <w:tcW w:w="20" w:type="dxa"/>
            <w:vAlign w:val="bottom"/>
          </w:tcPr>
          <w:p>
            <w:pPr>
              <w:spacing w:after="0"/>
              <w:rPr>
                <w:sz w:val="17"/>
                <w:szCs w:val="17"/>
                <w:color w:val="auto"/>
              </w:rPr>
            </w:pPr>
          </w:p>
        </w:tc>
      </w:tr>
      <w:tr>
        <w:trPr>
          <w:trHeight w:val="175"/>
        </w:trPr>
        <w:tc>
          <w:tcPr>
            <w:tcW w:w="2960" w:type="dxa"/>
            <w:vAlign w:val="bottom"/>
          </w:tcPr>
          <w:p>
            <w:pPr>
              <w:spacing w:after="0" w:line="175" w:lineRule="exact"/>
              <w:rPr>
                <w:sz w:val="20"/>
                <w:szCs w:val="20"/>
                <w:color w:val="auto"/>
              </w:rPr>
            </w:pPr>
            <w:r>
              <w:rPr>
                <w:rFonts w:ascii="Arial" w:cs="Arial" w:eastAsia="Arial" w:hAnsi="Arial"/>
                <w:sz w:val="16"/>
                <w:szCs w:val="16"/>
                <w:color w:val="auto"/>
              </w:rPr>
              <w:t>Mr. Wood</w:t>
            </w:r>
          </w:p>
        </w:tc>
        <w:tc>
          <w:tcPr>
            <w:tcW w:w="600" w:type="dxa"/>
            <w:vAlign w:val="bottom"/>
          </w:tcPr>
          <w:p>
            <w:pPr>
              <w:spacing w:after="0"/>
              <w:rPr>
                <w:sz w:val="15"/>
                <w:szCs w:val="15"/>
                <w:color w:val="auto"/>
              </w:rPr>
            </w:pPr>
          </w:p>
        </w:tc>
        <w:tc>
          <w:tcPr>
            <w:tcW w:w="52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1140" w:type="dxa"/>
            <w:vAlign w:val="bottom"/>
          </w:tcPr>
          <w:p>
            <w:pPr>
              <w:jc w:val="right"/>
              <w:ind w:right="159"/>
              <w:spacing w:after="0" w:line="175" w:lineRule="exact"/>
              <w:rPr>
                <w:sz w:val="20"/>
                <w:szCs w:val="20"/>
                <w:color w:val="auto"/>
              </w:rPr>
            </w:pPr>
            <w:r>
              <w:rPr>
                <w:rFonts w:ascii="Arial" w:cs="Arial" w:eastAsia="Arial" w:hAnsi="Arial"/>
                <w:sz w:val="16"/>
                <w:szCs w:val="16"/>
                <w:color w:val="auto"/>
                <w:w w:val="91"/>
              </w:rPr>
              <w:t>   1,000,000</w:t>
            </w:r>
          </w:p>
        </w:tc>
        <w:tc>
          <w:tcPr>
            <w:tcW w:w="1420" w:type="dxa"/>
            <w:vAlign w:val="bottom"/>
          </w:tcPr>
          <w:p>
            <w:pPr>
              <w:jc w:val="right"/>
              <w:ind w:right="159"/>
              <w:spacing w:after="0" w:line="175" w:lineRule="exact"/>
              <w:rPr>
                <w:sz w:val="20"/>
                <w:szCs w:val="20"/>
                <w:color w:val="auto"/>
              </w:rPr>
            </w:pPr>
            <w:r>
              <w:rPr>
                <w:rFonts w:ascii="Arial" w:cs="Arial" w:eastAsia="Arial" w:hAnsi="Arial"/>
                <w:sz w:val="16"/>
                <w:szCs w:val="16"/>
                <w:color w:val="auto"/>
              </w:rPr>
              <w:t>150%</w:t>
            </w:r>
          </w:p>
        </w:tc>
        <w:tc>
          <w:tcPr>
            <w:tcW w:w="400" w:type="dxa"/>
            <w:vAlign w:val="bottom"/>
          </w:tcPr>
          <w:p>
            <w:pPr>
              <w:ind w:left="240"/>
              <w:spacing w:after="0" w:line="175" w:lineRule="exact"/>
              <w:rPr>
                <w:sz w:val="20"/>
                <w:szCs w:val="20"/>
                <w:color w:val="auto"/>
              </w:rPr>
            </w:pPr>
            <w:r>
              <w:rPr>
                <w:rFonts w:ascii="Arial" w:cs="Arial" w:eastAsia="Arial" w:hAnsi="Arial"/>
                <w:sz w:val="16"/>
                <w:szCs w:val="16"/>
                <w:color w:val="auto"/>
              </w:rPr>
              <w:t xml:space="preserve">$ </w:t>
            </w:r>
          </w:p>
        </w:tc>
        <w:tc>
          <w:tcPr>
            <w:tcW w:w="880" w:type="dxa"/>
            <w:vAlign w:val="bottom"/>
          </w:tcPr>
          <w:p>
            <w:pPr>
              <w:jc w:val="right"/>
              <w:spacing w:after="0" w:line="175" w:lineRule="exact"/>
              <w:rPr>
                <w:sz w:val="20"/>
                <w:szCs w:val="20"/>
                <w:color w:val="auto"/>
              </w:rPr>
            </w:pPr>
            <w:r>
              <w:rPr>
                <w:rFonts w:ascii="Arial" w:cs="Arial" w:eastAsia="Arial" w:hAnsi="Arial"/>
                <w:sz w:val="16"/>
                <w:szCs w:val="16"/>
                <w:color w:val="auto"/>
              </w:rPr>
              <w:t>1,500,000</w:t>
            </w:r>
          </w:p>
        </w:tc>
        <w:tc>
          <w:tcPr>
            <w:tcW w:w="600" w:type="dxa"/>
            <w:vAlign w:val="bottom"/>
          </w:tcPr>
          <w:p>
            <w:pPr>
              <w:ind w:left="440"/>
              <w:spacing w:after="0" w:line="175" w:lineRule="exact"/>
              <w:rPr>
                <w:sz w:val="20"/>
                <w:szCs w:val="20"/>
                <w:color w:val="auto"/>
              </w:rPr>
            </w:pPr>
            <w:r>
              <w:rPr>
                <w:rFonts w:ascii="Arial" w:cs="Arial" w:eastAsia="Arial" w:hAnsi="Arial"/>
                <w:sz w:val="16"/>
                <w:szCs w:val="16"/>
                <w:color w:val="auto"/>
              </w:rPr>
              <w:t>$</w:t>
            </w:r>
          </w:p>
        </w:tc>
        <w:tc>
          <w:tcPr>
            <w:tcW w:w="1200" w:type="dxa"/>
            <w:vAlign w:val="bottom"/>
          </w:tcPr>
          <w:p>
            <w:pPr>
              <w:jc w:val="right"/>
              <w:ind w:right="159"/>
              <w:spacing w:after="0" w:line="175" w:lineRule="exact"/>
              <w:rPr>
                <w:sz w:val="20"/>
                <w:szCs w:val="20"/>
                <w:color w:val="auto"/>
              </w:rPr>
            </w:pPr>
            <w:r>
              <w:rPr>
                <w:rFonts w:ascii="Arial" w:cs="Arial" w:eastAsia="Arial" w:hAnsi="Arial"/>
                <w:sz w:val="16"/>
                <w:szCs w:val="16"/>
                <w:color w:val="auto"/>
                <w:w w:val="97"/>
              </w:rPr>
              <w:t>   6,000,000</w:t>
            </w:r>
          </w:p>
        </w:tc>
        <w:tc>
          <w:tcPr>
            <w:tcW w:w="460" w:type="dxa"/>
            <w:vAlign w:val="bottom"/>
          </w:tcPr>
          <w:p>
            <w:pPr>
              <w:ind w:left="260"/>
              <w:spacing w:after="0" w:line="175" w:lineRule="exact"/>
              <w:rPr>
                <w:sz w:val="20"/>
                <w:szCs w:val="20"/>
                <w:color w:val="auto"/>
              </w:rPr>
            </w:pPr>
            <w:r>
              <w:rPr>
                <w:rFonts w:ascii="Arial" w:cs="Arial" w:eastAsia="Arial" w:hAnsi="Arial"/>
                <w:sz w:val="16"/>
                <w:szCs w:val="16"/>
                <w:color w:val="auto"/>
              </w:rPr>
              <w:t xml:space="preserve">$ </w:t>
            </w:r>
          </w:p>
        </w:tc>
        <w:tc>
          <w:tcPr>
            <w:tcW w:w="840" w:type="dxa"/>
            <w:vAlign w:val="bottom"/>
          </w:tcPr>
          <w:p>
            <w:pPr>
              <w:jc w:val="right"/>
              <w:spacing w:after="0" w:line="175" w:lineRule="exact"/>
              <w:rPr>
                <w:sz w:val="20"/>
                <w:szCs w:val="20"/>
                <w:color w:val="auto"/>
              </w:rPr>
            </w:pPr>
            <w:r>
              <w:rPr>
                <w:rFonts w:ascii="Arial" w:cs="Arial" w:eastAsia="Arial" w:hAnsi="Arial"/>
                <w:sz w:val="16"/>
                <w:szCs w:val="16"/>
                <w:color w:val="auto"/>
              </w:rPr>
              <w:t>8,500,000</w:t>
            </w:r>
          </w:p>
        </w:tc>
        <w:tc>
          <w:tcPr>
            <w:tcW w:w="20" w:type="dxa"/>
            <w:vAlign w:val="bottom"/>
          </w:tcPr>
          <w:p>
            <w:pPr>
              <w:spacing w:after="0"/>
              <w:rPr>
                <w:sz w:val="15"/>
                <w:szCs w:val="15"/>
                <w:color w:val="auto"/>
              </w:rPr>
            </w:pPr>
          </w:p>
        </w:tc>
      </w:tr>
      <w:tr>
        <w:trPr>
          <w:trHeight w:val="189"/>
        </w:trPr>
        <w:tc>
          <w:tcPr>
            <w:tcW w:w="2960" w:type="dxa"/>
            <w:vAlign w:val="bottom"/>
          </w:tcPr>
          <w:p>
            <w:pPr>
              <w:spacing w:after="0"/>
              <w:rPr>
                <w:sz w:val="20"/>
                <w:szCs w:val="20"/>
                <w:color w:val="auto"/>
              </w:rPr>
            </w:pPr>
            <w:r>
              <w:rPr>
                <w:rFonts w:ascii="Arial" w:cs="Arial" w:eastAsia="Arial" w:hAnsi="Arial"/>
                <w:sz w:val="16"/>
                <w:szCs w:val="16"/>
                <w:color w:val="auto"/>
              </w:rPr>
              <w:t>Mr. Berkes</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59"/>
              <w:spacing w:after="0"/>
              <w:rPr>
                <w:sz w:val="20"/>
                <w:szCs w:val="20"/>
                <w:color w:val="auto"/>
              </w:rPr>
            </w:pPr>
            <w:r>
              <w:rPr>
                <w:rFonts w:ascii="Arial" w:cs="Arial" w:eastAsia="Arial" w:hAnsi="Arial"/>
                <w:sz w:val="16"/>
                <w:szCs w:val="16"/>
                <w:color w:val="auto"/>
              </w:rPr>
              <w:t>650,000</w:t>
            </w:r>
          </w:p>
        </w:tc>
        <w:tc>
          <w:tcPr>
            <w:tcW w:w="1420" w:type="dxa"/>
            <w:vAlign w:val="bottom"/>
          </w:tcPr>
          <w:p>
            <w:pPr>
              <w:jc w:val="right"/>
              <w:ind w:right="159"/>
              <w:spacing w:after="0"/>
              <w:rPr>
                <w:sz w:val="20"/>
                <w:szCs w:val="20"/>
                <w:color w:val="auto"/>
              </w:rPr>
            </w:pPr>
            <w:r>
              <w:rPr>
                <w:rFonts w:ascii="Arial" w:cs="Arial" w:eastAsia="Arial" w:hAnsi="Arial"/>
                <w:sz w:val="16"/>
                <w:szCs w:val="16"/>
                <w:color w:val="auto"/>
              </w:rPr>
              <w:t>125%</w:t>
            </w:r>
          </w:p>
        </w:tc>
        <w:tc>
          <w:tcPr>
            <w:tcW w:w="400" w:type="dxa"/>
            <w:vAlign w:val="bottom"/>
          </w:tcPr>
          <w:p>
            <w:pPr>
              <w:ind w:left="24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812,500</w:t>
            </w:r>
          </w:p>
        </w:tc>
        <w:tc>
          <w:tcPr>
            <w:tcW w:w="600" w:type="dxa"/>
            <w:vAlign w:val="bottom"/>
          </w:tcPr>
          <w:p>
            <w:pPr>
              <w:ind w:left="440"/>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59"/>
              <w:spacing w:after="0"/>
              <w:rPr>
                <w:sz w:val="20"/>
                <w:szCs w:val="20"/>
                <w:color w:val="auto"/>
              </w:rPr>
            </w:pPr>
            <w:r>
              <w:rPr>
                <w:rFonts w:ascii="Arial" w:cs="Arial" w:eastAsia="Arial" w:hAnsi="Arial"/>
                <w:sz w:val="16"/>
                <w:szCs w:val="16"/>
                <w:color w:val="auto"/>
              </w:rPr>
              <w:t>1,000,000</w:t>
            </w:r>
          </w:p>
        </w:tc>
        <w:tc>
          <w:tcPr>
            <w:tcW w:w="460" w:type="dxa"/>
            <w:vAlign w:val="bottom"/>
          </w:tcPr>
          <w:p>
            <w:pPr>
              <w:ind w:left="26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2,462,500</w:t>
            </w:r>
          </w:p>
        </w:tc>
        <w:tc>
          <w:tcPr>
            <w:tcW w:w="20" w:type="dxa"/>
            <w:vAlign w:val="bottom"/>
          </w:tcPr>
          <w:p>
            <w:pPr>
              <w:spacing w:after="0"/>
              <w:rPr>
                <w:sz w:val="16"/>
                <w:szCs w:val="16"/>
                <w:color w:val="auto"/>
              </w:rPr>
            </w:pPr>
          </w:p>
        </w:tc>
      </w:tr>
      <w:tr>
        <w:trPr>
          <w:trHeight w:val="189"/>
        </w:trPr>
        <w:tc>
          <w:tcPr>
            <w:tcW w:w="2960" w:type="dxa"/>
            <w:vAlign w:val="bottom"/>
          </w:tcPr>
          <w:p>
            <w:pPr>
              <w:spacing w:after="0"/>
              <w:rPr>
                <w:sz w:val="20"/>
                <w:szCs w:val="20"/>
                <w:color w:val="auto"/>
              </w:rPr>
            </w:pPr>
            <w:r>
              <w:rPr>
                <w:rFonts w:ascii="Arial" w:cs="Arial" w:eastAsia="Arial" w:hAnsi="Arial"/>
                <w:sz w:val="16"/>
                <w:szCs w:val="16"/>
                <w:color w:val="auto"/>
              </w:rPr>
              <w:t>Mr. Guglielmone</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59"/>
              <w:spacing w:after="0"/>
              <w:rPr>
                <w:sz w:val="20"/>
                <w:szCs w:val="20"/>
                <w:color w:val="auto"/>
              </w:rPr>
            </w:pPr>
            <w:r>
              <w:rPr>
                <w:rFonts w:ascii="Arial" w:cs="Arial" w:eastAsia="Arial" w:hAnsi="Arial"/>
                <w:sz w:val="16"/>
                <w:szCs w:val="16"/>
                <w:color w:val="auto"/>
              </w:rPr>
              <w:t>575,000</w:t>
            </w:r>
          </w:p>
        </w:tc>
        <w:tc>
          <w:tcPr>
            <w:tcW w:w="1420" w:type="dxa"/>
            <w:vAlign w:val="bottom"/>
          </w:tcPr>
          <w:p>
            <w:pPr>
              <w:jc w:val="right"/>
              <w:ind w:right="159"/>
              <w:spacing w:after="0"/>
              <w:rPr>
                <w:sz w:val="20"/>
                <w:szCs w:val="20"/>
                <w:color w:val="auto"/>
              </w:rPr>
            </w:pPr>
            <w:r>
              <w:rPr>
                <w:rFonts w:ascii="Arial" w:cs="Arial" w:eastAsia="Arial" w:hAnsi="Arial"/>
                <w:sz w:val="16"/>
                <w:szCs w:val="16"/>
                <w:color w:val="auto"/>
              </w:rPr>
              <w:t>100%</w:t>
            </w:r>
          </w:p>
        </w:tc>
        <w:tc>
          <w:tcPr>
            <w:tcW w:w="400" w:type="dxa"/>
            <w:vAlign w:val="bottom"/>
          </w:tcPr>
          <w:p>
            <w:pPr>
              <w:ind w:left="24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575,000</w:t>
            </w:r>
          </w:p>
        </w:tc>
        <w:tc>
          <w:tcPr>
            <w:tcW w:w="600" w:type="dxa"/>
            <w:vAlign w:val="bottom"/>
          </w:tcPr>
          <w:p>
            <w:pPr>
              <w:ind w:left="440"/>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59"/>
              <w:spacing w:after="0"/>
              <w:rPr>
                <w:sz w:val="20"/>
                <w:szCs w:val="20"/>
                <w:color w:val="auto"/>
              </w:rPr>
            </w:pPr>
            <w:r>
              <w:rPr>
                <w:rFonts w:ascii="Arial" w:cs="Arial" w:eastAsia="Arial" w:hAnsi="Arial"/>
                <w:sz w:val="16"/>
                <w:szCs w:val="16"/>
                <w:color w:val="auto"/>
              </w:rPr>
              <w:t>1,000,000</w:t>
            </w:r>
          </w:p>
        </w:tc>
        <w:tc>
          <w:tcPr>
            <w:tcW w:w="460" w:type="dxa"/>
            <w:vAlign w:val="bottom"/>
          </w:tcPr>
          <w:p>
            <w:pPr>
              <w:ind w:left="26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2,150,000</w:t>
            </w:r>
          </w:p>
        </w:tc>
        <w:tc>
          <w:tcPr>
            <w:tcW w:w="20" w:type="dxa"/>
            <w:vAlign w:val="bottom"/>
          </w:tcPr>
          <w:p>
            <w:pPr>
              <w:spacing w:after="0"/>
              <w:rPr>
                <w:sz w:val="16"/>
                <w:szCs w:val="16"/>
                <w:color w:val="auto"/>
              </w:rPr>
            </w:pPr>
          </w:p>
        </w:tc>
      </w:tr>
      <w:tr>
        <w:trPr>
          <w:trHeight w:val="215"/>
        </w:trPr>
        <w:tc>
          <w:tcPr>
            <w:tcW w:w="2960" w:type="dxa"/>
            <w:vAlign w:val="bottom"/>
          </w:tcPr>
          <w:p>
            <w:pPr>
              <w:spacing w:after="0"/>
              <w:rPr>
                <w:sz w:val="20"/>
                <w:szCs w:val="20"/>
                <w:color w:val="auto"/>
              </w:rPr>
            </w:pPr>
            <w:r>
              <w:rPr>
                <w:rFonts w:ascii="Arial" w:cs="Arial" w:eastAsia="Arial" w:hAnsi="Arial"/>
                <w:sz w:val="16"/>
                <w:szCs w:val="16"/>
                <w:color w:val="auto"/>
              </w:rPr>
              <w:t>Ms. Becker</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59"/>
              <w:spacing w:after="0"/>
              <w:rPr>
                <w:sz w:val="20"/>
                <w:szCs w:val="20"/>
                <w:color w:val="auto"/>
              </w:rPr>
            </w:pPr>
            <w:r>
              <w:rPr>
                <w:rFonts w:ascii="Arial" w:cs="Arial" w:eastAsia="Arial" w:hAnsi="Arial"/>
                <w:sz w:val="16"/>
                <w:szCs w:val="16"/>
                <w:color w:val="auto"/>
              </w:rPr>
              <w:t>575,000</w:t>
            </w:r>
          </w:p>
        </w:tc>
        <w:tc>
          <w:tcPr>
            <w:tcW w:w="1420" w:type="dxa"/>
            <w:vAlign w:val="bottom"/>
          </w:tcPr>
          <w:p>
            <w:pPr>
              <w:jc w:val="right"/>
              <w:ind w:right="159"/>
              <w:spacing w:after="0"/>
              <w:rPr>
                <w:sz w:val="20"/>
                <w:szCs w:val="20"/>
                <w:color w:val="auto"/>
              </w:rPr>
            </w:pPr>
            <w:r>
              <w:rPr>
                <w:rFonts w:ascii="Arial" w:cs="Arial" w:eastAsia="Arial" w:hAnsi="Arial"/>
                <w:sz w:val="16"/>
                <w:szCs w:val="16"/>
                <w:color w:val="auto"/>
              </w:rPr>
              <w:t>100%</w:t>
            </w:r>
          </w:p>
        </w:tc>
        <w:tc>
          <w:tcPr>
            <w:tcW w:w="400" w:type="dxa"/>
            <w:vAlign w:val="bottom"/>
          </w:tcPr>
          <w:p>
            <w:pPr>
              <w:ind w:left="24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575,000</w:t>
            </w:r>
          </w:p>
        </w:tc>
        <w:tc>
          <w:tcPr>
            <w:tcW w:w="600" w:type="dxa"/>
            <w:vAlign w:val="bottom"/>
          </w:tcPr>
          <w:p>
            <w:pPr>
              <w:ind w:left="440"/>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59"/>
              <w:spacing w:after="0"/>
              <w:rPr>
                <w:sz w:val="20"/>
                <w:szCs w:val="20"/>
                <w:color w:val="auto"/>
              </w:rPr>
            </w:pPr>
            <w:r>
              <w:rPr>
                <w:rFonts w:ascii="Arial" w:cs="Arial" w:eastAsia="Arial" w:hAnsi="Arial"/>
                <w:sz w:val="16"/>
                <w:szCs w:val="16"/>
                <w:color w:val="auto"/>
              </w:rPr>
              <w:t>1,000,000</w:t>
            </w:r>
          </w:p>
        </w:tc>
        <w:tc>
          <w:tcPr>
            <w:tcW w:w="460" w:type="dxa"/>
            <w:vAlign w:val="bottom"/>
          </w:tcPr>
          <w:p>
            <w:pPr>
              <w:ind w:left="26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2,150,000</w:t>
            </w:r>
          </w:p>
        </w:tc>
        <w:tc>
          <w:tcPr>
            <w:tcW w:w="20" w:type="dxa"/>
            <w:vAlign w:val="bottom"/>
          </w:tcPr>
          <w:p>
            <w:pPr>
              <w:spacing w:after="0"/>
              <w:rPr>
                <w:sz w:val="18"/>
                <w:szCs w:val="18"/>
                <w:color w:val="auto"/>
              </w:rPr>
            </w:pPr>
          </w:p>
        </w:tc>
      </w:tr>
      <w:tr>
        <w:trPr>
          <w:trHeight w:val="137"/>
        </w:trPr>
        <w:tc>
          <w:tcPr>
            <w:tcW w:w="29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r>
      <w:tr>
        <w:trPr>
          <w:trHeight w:val="155"/>
        </w:trPr>
        <w:tc>
          <w:tcPr>
            <w:tcW w:w="2960" w:type="dxa"/>
            <w:vAlign w:val="bottom"/>
            <w:tcBorders>
              <w:left w:val="single" w:sz="8" w:color="auto"/>
              <w:bottom w:val="single" w:sz="8" w:color="auto"/>
            </w:tcBorders>
            <w:shd w:val="clear" w:color="auto" w:fill="EAEFED"/>
          </w:tcPr>
          <w:p>
            <w:pPr>
              <w:ind w:left="220"/>
              <w:spacing w:after="0" w:line="155" w:lineRule="exact"/>
              <w:rPr>
                <w:sz w:val="20"/>
                <w:szCs w:val="20"/>
                <w:color w:val="auto"/>
              </w:rPr>
            </w:pPr>
            <w:r>
              <w:rPr>
                <w:rFonts w:ascii="Arial" w:cs="Arial" w:eastAsia="Arial" w:hAnsi="Arial"/>
                <w:sz w:val="14"/>
                <w:szCs w:val="14"/>
                <w:color w:val="FF160F"/>
              </w:rPr>
              <w:t>Federal Realty</w:t>
            </w:r>
            <w:r>
              <w:rPr>
                <w:rFonts w:ascii="Arial" w:cs="Arial" w:eastAsia="Arial" w:hAnsi="Arial"/>
                <w:sz w:val="14"/>
                <w:szCs w:val="14"/>
                <w:color w:val="000000"/>
              </w:rPr>
              <w:t xml:space="preserve">      2024 Proxy Statement </w:t>
            </w:r>
          </w:p>
        </w:tc>
        <w:tc>
          <w:tcPr>
            <w:tcW w:w="600" w:type="dxa"/>
            <w:vAlign w:val="bottom"/>
            <w:tcBorders>
              <w:bottom w:val="single" w:sz="8" w:color="auto"/>
            </w:tcBorders>
            <w:shd w:val="clear" w:color="auto" w:fill="EAEFED"/>
          </w:tcPr>
          <w:p>
            <w:pPr>
              <w:jc w:val="right"/>
              <w:ind w:right="301"/>
              <w:spacing w:after="0" w:line="155" w:lineRule="exact"/>
              <w:rPr>
                <w:sz w:val="20"/>
                <w:szCs w:val="20"/>
                <w:color w:val="auto"/>
              </w:rPr>
            </w:pPr>
            <w:r>
              <w:rPr>
                <w:rFonts w:ascii="Arial" w:cs="Arial" w:eastAsia="Arial" w:hAnsi="Arial"/>
                <w:sz w:val="14"/>
                <w:szCs w:val="14"/>
                <w:color w:val="auto"/>
              </w:rPr>
              <w:t>22</w:t>
            </w:r>
          </w:p>
        </w:tc>
        <w:tc>
          <w:tcPr>
            <w:tcW w:w="520" w:type="dxa"/>
            <w:vAlign w:val="bottom"/>
            <w:tcBorders>
              <w:bottom w:val="single" w:sz="8" w:color="auto"/>
            </w:tcBorders>
            <w:shd w:val="clear" w:color="auto" w:fill="EAEFED"/>
          </w:tcPr>
          <w:p>
            <w:pPr>
              <w:spacing w:after="0"/>
              <w:rPr>
                <w:sz w:val="13"/>
                <w:szCs w:val="13"/>
                <w:color w:val="auto"/>
              </w:rPr>
            </w:pPr>
          </w:p>
        </w:tc>
        <w:tc>
          <w:tcPr>
            <w:tcW w:w="1140" w:type="dxa"/>
            <w:vAlign w:val="bottom"/>
            <w:tcBorders>
              <w:bottom w:val="single" w:sz="8" w:color="auto"/>
            </w:tcBorders>
            <w:shd w:val="clear" w:color="auto" w:fill="EAEFED"/>
          </w:tcPr>
          <w:p>
            <w:pPr>
              <w:spacing w:after="0"/>
              <w:rPr>
                <w:sz w:val="13"/>
                <w:szCs w:val="13"/>
                <w:color w:val="auto"/>
              </w:rPr>
            </w:pPr>
          </w:p>
        </w:tc>
        <w:tc>
          <w:tcPr>
            <w:tcW w:w="1420" w:type="dxa"/>
            <w:vAlign w:val="bottom"/>
            <w:tcBorders>
              <w:bottom w:val="single" w:sz="8" w:color="auto"/>
            </w:tcBorders>
            <w:shd w:val="clear" w:color="auto" w:fill="EAEFED"/>
          </w:tcPr>
          <w:p>
            <w:pPr>
              <w:spacing w:after="0"/>
              <w:rPr>
                <w:sz w:val="13"/>
                <w:szCs w:val="13"/>
                <w:color w:val="auto"/>
              </w:rPr>
            </w:pPr>
          </w:p>
        </w:tc>
        <w:tc>
          <w:tcPr>
            <w:tcW w:w="400" w:type="dxa"/>
            <w:vAlign w:val="bottom"/>
            <w:tcBorders>
              <w:bottom w:val="single" w:sz="8" w:color="auto"/>
            </w:tcBorders>
            <w:shd w:val="clear" w:color="auto" w:fill="EAEFED"/>
          </w:tcPr>
          <w:p>
            <w:pPr>
              <w:spacing w:after="0"/>
              <w:rPr>
                <w:sz w:val="13"/>
                <w:szCs w:val="13"/>
                <w:color w:val="auto"/>
              </w:rPr>
            </w:pPr>
          </w:p>
        </w:tc>
        <w:tc>
          <w:tcPr>
            <w:tcW w:w="880" w:type="dxa"/>
            <w:vAlign w:val="bottom"/>
            <w:tcBorders>
              <w:bottom w:val="single" w:sz="8" w:color="auto"/>
            </w:tcBorders>
            <w:shd w:val="clear" w:color="auto" w:fill="EAEFED"/>
          </w:tcPr>
          <w:p>
            <w:pPr>
              <w:spacing w:after="0"/>
              <w:rPr>
                <w:sz w:val="13"/>
                <w:szCs w:val="13"/>
                <w:color w:val="auto"/>
              </w:rPr>
            </w:pPr>
          </w:p>
        </w:tc>
        <w:tc>
          <w:tcPr>
            <w:tcW w:w="600" w:type="dxa"/>
            <w:vAlign w:val="bottom"/>
            <w:tcBorders>
              <w:bottom w:val="single" w:sz="8" w:color="auto"/>
            </w:tcBorders>
            <w:shd w:val="clear" w:color="auto" w:fill="EAEFED"/>
          </w:tcPr>
          <w:p>
            <w:pPr>
              <w:spacing w:after="0"/>
              <w:rPr>
                <w:sz w:val="13"/>
                <w:szCs w:val="13"/>
                <w:color w:val="auto"/>
              </w:rPr>
            </w:pPr>
          </w:p>
        </w:tc>
        <w:tc>
          <w:tcPr>
            <w:tcW w:w="1200" w:type="dxa"/>
            <w:vAlign w:val="bottom"/>
            <w:tcBorders>
              <w:bottom w:val="single" w:sz="8" w:color="auto"/>
            </w:tcBorders>
            <w:shd w:val="clear" w:color="auto" w:fill="EAEFED"/>
          </w:tcPr>
          <w:p>
            <w:pPr>
              <w:spacing w:after="0"/>
              <w:rPr>
                <w:sz w:val="13"/>
                <w:szCs w:val="13"/>
                <w:color w:val="auto"/>
              </w:rPr>
            </w:pPr>
          </w:p>
        </w:tc>
        <w:tc>
          <w:tcPr>
            <w:tcW w:w="460" w:type="dxa"/>
            <w:vAlign w:val="bottom"/>
            <w:tcBorders>
              <w:bottom w:val="single" w:sz="8" w:color="auto"/>
            </w:tcBorders>
            <w:shd w:val="clear" w:color="auto" w:fill="EAEFED"/>
          </w:tcPr>
          <w:p>
            <w:pPr>
              <w:spacing w:after="0"/>
              <w:rPr>
                <w:sz w:val="13"/>
                <w:szCs w:val="13"/>
                <w:color w:val="auto"/>
              </w:rPr>
            </w:pPr>
          </w:p>
        </w:tc>
        <w:tc>
          <w:tcPr>
            <w:tcW w:w="840" w:type="dxa"/>
            <w:vAlign w:val="bottom"/>
            <w:tcBorders>
              <w:bottom w:val="single" w:sz="8" w:color="auto"/>
            </w:tcBorders>
            <w:shd w:val="clear" w:color="auto" w:fill="EAEFED"/>
          </w:tcPr>
          <w:p>
            <w:pPr>
              <w:spacing w:after="0"/>
              <w:rPr>
                <w:sz w:val="13"/>
                <w:szCs w:val="13"/>
                <w:color w:val="auto"/>
              </w:rPr>
            </w:pPr>
          </w:p>
        </w:tc>
        <w:tc>
          <w:tcPr>
            <w:tcW w:w="20" w:type="dxa"/>
            <w:vAlign w:val="bottom"/>
            <w:tcBorders>
              <w:bottom w:val="single" w:sz="8" w:color="auto"/>
            </w:tcBorders>
            <w:shd w:val="clear" w:color="auto" w:fill="000000"/>
          </w:tcPr>
          <w:p>
            <w:pPr>
              <w:spacing w:after="0"/>
              <w:rPr>
                <w:sz w:val="13"/>
                <w:szCs w:val="13"/>
                <w:color w:val="auto"/>
              </w:rPr>
            </w:pPr>
          </w:p>
        </w:tc>
      </w:tr>
    </w:tbl>
    <w:p>
      <w:pPr>
        <w:sectPr>
          <w:pgSz w:w="11900" w:h="16838" w:orient="portrait"/>
          <w:cols w:equalWidth="0" w:num="1">
            <w:col w:w="11140"/>
          </w:cols>
          <w:pgMar w:left="320" w:top="482" w:right="4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71" w:lineRule="auto"/>
        <w:rPr>
          <w:sz w:val="20"/>
          <w:szCs w:val="20"/>
          <w:color w:val="auto"/>
        </w:rPr>
      </w:pPr>
      <w:r>
        <w:rPr>
          <w:rFonts w:ascii="Arial" w:cs="Arial" w:eastAsia="Arial" w:hAnsi="Arial"/>
          <w:sz w:val="18"/>
          <w:szCs w:val="18"/>
          <w:color w:val="auto"/>
        </w:rPr>
        <w:t>These target pay packages are heavily weighted to components that are paid based on both company and individual performance which creates significant alignment between our NEOs and shareholders.</w:t>
      </w:r>
    </w:p>
    <w:p>
      <w:pPr>
        <w:spacing w:after="0" w:line="182" w:lineRule="exact"/>
        <w:rPr>
          <w:sz w:val="20"/>
          <w:szCs w:val="20"/>
          <w:color w:val="auto"/>
        </w:rPr>
      </w:pPr>
    </w:p>
    <w:tbl>
      <w:tblPr>
        <w:tblLayout w:type="fixed"/>
        <w:tblInd w:w="240" w:type="dxa"/>
        <w:tblCellMar>
          <w:top w:w="0" w:type="dxa"/>
          <w:left w:w="0" w:type="dxa"/>
          <w:bottom w:w="0" w:type="dxa"/>
          <w:right w:w="0" w:type="dxa"/>
        </w:tblCellMar>
      </w:tblPr>
      <w:tr>
        <w:trPr>
          <w:trHeight w:val="208"/>
        </w:trPr>
        <w:tc>
          <w:tcPr>
            <w:tcW w:w="980" w:type="dxa"/>
            <w:vAlign w:val="bottom"/>
          </w:tcPr>
          <w:p>
            <w:pPr>
              <w:jc w:val="center"/>
              <w:ind w:right="44"/>
              <w:spacing w:after="0"/>
              <w:rPr>
                <w:sz w:val="20"/>
                <w:szCs w:val="20"/>
                <w:color w:val="auto"/>
              </w:rPr>
            </w:pPr>
            <w:r>
              <w:rPr>
                <w:rFonts w:ascii="Arial" w:cs="Arial" w:eastAsia="Arial" w:hAnsi="Arial"/>
                <w:sz w:val="15"/>
                <w:szCs w:val="15"/>
                <w:b w:val="1"/>
                <w:bCs w:val="1"/>
                <w:color w:val="auto"/>
              </w:rPr>
              <w:t>CEO Pay</w:t>
            </w:r>
          </w:p>
        </w:tc>
        <w:tc>
          <w:tcPr>
            <w:tcW w:w="1140" w:type="dxa"/>
            <w:vAlign w:val="bottom"/>
            <w:tcBorders>
              <w:bottom w:val="single" w:sz="8" w:color="E5E5E5"/>
            </w:tcBorders>
          </w:tcPr>
          <w:p>
            <w:pPr>
              <w:jc w:val="center"/>
              <w:ind w:left="349"/>
              <w:spacing w:after="0"/>
              <w:rPr>
                <w:sz w:val="20"/>
                <w:szCs w:val="20"/>
                <w:color w:val="auto"/>
              </w:rPr>
            </w:pPr>
            <w:r>
              <w:rPr>
                <w:rFonts w:ascii="Arial" w:cs="Arial" w:eastAsia="Arial" w:hAnsi="Arial"/>
                <w:sz w:val="15"/>
                <w:szCs w:val="15"/>
                <w:color w:val="auto"/>
                <w:w w:val="99"/>
              </w:rPr>
              <w:t>Base Pay</w:t>
            </w:r>
          </w:p>
        </w:tc>
        <w:tc>
          <w:tcPr>
            <w:tcW w:w="180" w:type="dxa"/>
            <w:vAlign w:val="bottom"/>
            <w:tcBorders>
              <w:bottom w:val="single" w:sz="8" w:color="E5E5E5"/>
            </w:tcBorders>
          </w:tcPr>
          <w:p>
            <w:pPr>
              <w:spacing w:after="0"/>
              <w:rPr>
                <w:sz w:val="18"/>
                <w:szCs w:val="18"/>
                <w:color w:val="auto"/>
              </w:rPr>
            </w:pPr>
          </w:p>
        </w:tc>
        <w:tc>
          <w:tcPr>
            <w:tcW w:w="1540" w:type="dxa"/>
            <w:vAlign w:val="bottom"/>
            <w:tcBorders>
              <w:bottom w:val="single" w:sz="8" w:color="CCCCCC"/>
            </w:tcBorders>
            <w:gridSpan w:val="2"/>
          </w:tcPr>
          <w:p>
            <w:pPr>
              <w:jc w:val="center"/>
              <w:ind w:left="49"/>
              <w:spacing w:after="0"/>
              <w:rPr>
                <w:sz w:val="20"/>
                <w:szCs w:val="20"/>
                <w:color w:val="auto"/>
              </w:rPr>
            </w:pPr>
            <w:r>
              <w:rPr>
                <w:rFonts w:ascii="Arial" w:cs="Arial" w:eastAsia="Arial" w:hAnsi="Arial"/>
                <w:sz w:val="15"/>
                <w:szCs w:val="15"/>
                <w:color w:val="auto"/>
              </w:rPr>
              <w:t>Annual Bonus</w:t>
            </w:r>
          </w:p>
        </w:tc>
        <w:tc>
          <w:tcPr>
            <w:tcW w:w="2060" w:type="dxa"/>
            <w:vAlign w:val="bottom"/>
            <w:tcBorders>
              <w:bottom w:val="single" w:sz="8" w:color="FF160F"/>
            </w:tcBorders>
          </w:tcPr>
          <w:p>
            <w:pPr>
              <w:spacing w:after="0"/>
              <w:rPr>
                <w:sz w:val="18"/>
                <w:szCs w:val="18"/>
                <w:color w:val="auto"/>
              </w:rPr>
            </w:pPr>
          </w:p>
        </w:tc>
        <w:tc>
          <w:tcPr>
            <w:tcW w:w="480" w:type="dxa"/>
            <w:vAlign w:val="bottom"/>
            <w:tcBorders>
              <w:bottom w:val="single" w:sz="8" w:color="FF160F"/>
            </w:tcBorders>
          </w:tcPr>
          <w:p>
            <w:pPr>
              <w:spacing w:after="0"/>
              <w:rPr>
                <w:sz w:val="18"/>
                <w:szCs w:val="18"/>
                <w:color w:val="auto"/>
              </w:rPr>
            </w:pPr>
          </w:p>
        </w:tc>
        <w:tc>
          <w:tcPr>
            <w:tcW w:w="4520" w:type="dxa"/>
            <w:vAlign w:val="bottom"/>
            <w:tcBorders>
              <w:bottom w:val="single" w:sz="8" w:color="FF160F"/>
            </w:tcBorders>
          </w:tcPr>
          <w:p>
            <w:pPr>
              <w:jc w:val="center"/>
              <w:ind w:right="2364"/>
              <w:spacing w:after="0"/>
              <w:rPr>
                <w:sz w:val="20"/>
                <w:szCs w:val="20"/>
                <w:color w:val="auto"/>
              </w:rPr>
            </w:pPr>
            <w:r>
              <w:rPr>
                <w:rFonts w:ascii="Arial" w:cs="Arial" w:eastAsia="Arial" w:hAnsi="Arial"/>
                <w:sz w:val="15"/>
                <w:szCs w:val="15"/>
                <w:color w:val="auto"/>
                <w:w w:val="98"/>
              </w:rPr>
              <w:t>Long-Term</w:t>
            </w:r>
          </w:p>
        </w:tc>
        <w:tc>
          <w:tcPr>
            <w:tcW w:w="0" w:type="dxa"/>
            <w:vAlign w:val="bottom"/>
          </w:tcPr>
          <w:p>
            <w:pPr>
              <w:spacing w:after="0"/>
              <w:rPr>
                <w:sz w:val="1"/>
                <w:szCs w:val="1"/>
                <w:color w:val="auto"/>
              </w:rPr>
            </w:pPr>
          </w:p>
        </w:tc>
      </w:tr>
      <w:tr>
        <w:trPr>
          <w:trHeight w:val="114"/>
        </w:trPr>
        <w:tc>
          <w:tcPr>
            <w:tcW w:w="980" w:type="dxa"/>
            <w:vAlign w:val="bottom"/>
            <w:vMerge w:val="restart"/>
          </w:tcPr>
          <w:p>
            <w:pPr>
              <w:jc w:val="center"/>
              <w:ind w:right="44"/>
              <w:spacing w:after="0"/>
              <w:rPr>
                <w:sz w:val="20"/>
                <w:szCs w:val="20"/>
                <w:color w:val="auto"/>
              </w:rPr>
            </w:pPr>
            <w:r>
              <w:rPr>
                <w:rFonts w:ascii="Arial" w:cs="Arial" w:eastAsia="Arial" w:hAnsi="Arial"/>
                <w:sz w:val="15"/>
                <w:szCs w:val="15"/>
                <w:b w:val="1"/>
                <w:bCs w:val="1"/>
                <w:color w:val="auto"/>
              </w:rPr>
              <w:t>Mix</w:t>
            </w:r>
          </w:p>
        </w:tc>
        <w:tc>
          <w:tcPr>
            <w:tcW w:w="1140" w:type="dxa"/>
            <w:vAlign w:val="bottom"/>
            <w:shd w:val="clear" w:color="auto" w:fill="E5E5E5"/>
          </w:tcPr>
          <w:p>
            <w:pPr>
              <w:jc w:val="right"/>
              <w:ind w:right="129"/>
              <w:spacing w:after="0" w:line="114" w:lineRule="exact"/>
              <w:rPr>
                <w:sz w:val="20"/>
                <w:szCs w:val="20"/>
                <w:color w:val="auto"/>
              </w:rPr>
            </w:pPr>
            <w:r>
              <w:rPr>
                <w:rFonts w:ascii="Arial" w:cs="Arial" w:eastAsia="Arial" w:hAnsi="Arial"/>
                <w:sz w:val="13"/>
                <w:szCs w:val="13"/>
                <w:b w:val="1"/>
                <w:bCs w:val="1"/>
                <w:color w:val="auto"/>
              </w:rPr>
              <w:t>12%</w:t>
            </w:r>
          </w:p>
        </w:tc>
        <w:tc>
          <w:tcPr>
            <w:tcW w:w="180" w:type="dxa"/>
            <w:vAlign w:val="bottom"/>
            <w:shd w:val="clear" w:color="auto" w:fill="E5E5E5"/>
          </w:tcPr>
          <w:p>
            <w:pPr>
              <w:spacing w:after="0"/>
              <w:rPr>
                <w:sz w:val="9"/>
                <w:szCs w:val="9"/>
                <w:color w:val="auto"/>
              </w:rPr>
            </w:pPr>
          </w:p>
        </w:tc>
        <w:tc>
          <w:tcPr>
            <w:tcW w:w="1460" w:type="dxa"/>
            <w:vAlign w:val="bottom"/>
            <w:shd w:val="clear" w:color="auto" w:fill="CCCCCC"/>
          </w:tcPr>
          <w:p>
            <w:pPr>
              <w:jc w:val="right"/>
              <w:ind w:right="409"/>
              <w:spacing w:after="0" w:line="114" w:lineRule="exact"/>
              <w:rPr>
                <w:sz w:val="20"/>
                <w:szCs w:val="20"/>
                <w:color w:val="auto"/>
              </w:rPr>
            </w:pPr>
            <w:r>
              <w:rPr>
                <w:rFonts w:ascii="Arial" w:cs="Arial" w:eastAsia="Arial" w:hAnsi="Arial"/>
                <w:sz w:val="13"/>
                <w:szCs w:val="13"/>
                <w:b w:val="1"/>
                <w:bCs w:val="1"/>
                <w:color w:val="auto"/>
              </w:rPr>
              <w:t>18%</w:t>
            </w:r>
          </w:p>
        </w:tc>
        <w:tc>
          <w:tcPr>
            <w:tcW w:w="80" w:type="dxa"/>
            <w:vAlign w:val="bottom"/>
            <w:shd w:val="clear" w:color="auto" w:fill="CCCCCC"/>
          </w:tcPr>
          <w:p>
            <w:pPr>
              <w:spacing w:after="0"/>
              <w:rPr>
                <w:sz w:val="9"/>
                <w:szCs w:val="9"/>
                <w:color w:val="auto"/>
              </w:rPr>
            </w:pPr>
          </w:p>
        </w:tc>
        <w:tc>
          <w:tcPr>
            <w:tcW w:w="2060" w:type="dxa"/>
            <w:vAlign w:val="bottom"/>
            <w:shd w:val="clear" w:color="auto" w:fill="FF160F"/>
          </w:tcPr>
          <w:p>
            <w:pPr>
              <w:spacing w:after="0"/>
              <w:rPr>
                <w:sz w:val="9"/>
                <w:szCs w:val="9"/>
                <w:color w:val="auto"/>
              </w:rPr>
            </w:pPr>
          </w:p>
        </w:tc>
        <w:tc>
          <w:tcPr>
            <w:tcW w:w="5000" w:type="dxa"/>
            <w:vAlign w:val="bottom"/>
            <w:gridSpan w:val="2"/>
            <w:shd w:val="clear" w:color="auto" w:fill="FF160F"/>
          </w:tcPr>
          <w:p>
            <w:pPr>
              <w:jc w:val="right"/>
              <w:ind w:right="3244"/>
              <w:spacing w:after="0" w:line="114" w:lineRule="exact"/>
              <w:rPr>
                <w:sz w:val="20"/>
                <w:szCs w:val="20"/>
                <w:color w:val="auto"/>
              </w:rPr>
            </w:pPr>
            <w:r>
              <w:rPr>
                <w:rFonts w:ascii="Arial" w:cs="Arial" w:eastAsia="Arial" w:hAnsi="Arial"/>
                <w:sz w:val="13"/>
                <w:szCs w:val="13"/>
                <w:b w:val="1"/>
                <w:bCs w:val="1"/>
                <w:color w:val="FFFFFF"/>
              </w:rPr>
              <w:t>70%</w:t>
            </w:r>
          </w:p>
        </w:tc>
        <w:tc>
          <w:tcPr>
            <w:tcW w:w="0" w:type="dxa"/>
            <w:vAlign w:val="bottom"/>
          </w:tcPr>
          <w:p>
            <w:pPr>
              <w:spacing w:after="0"/>
              <w:rPr>
                <w:sz w:val="1"/>
                <w:szCs w:val="1"/>
                <w:color w:val="auto"/>
              </w:rPr>
            </w:pPr>
          </w:p>
        </w:tc>
      </w:tr>
      <w:tr>
        <w:trPr>
          <w:trHeight w:val="97"/>
        </w:trPr>
        <w:tc>
          <w:tcPr>
            <w:tcW w:w="980" w:type="dxa"/>
            <w:vAlign w:val="bottom"/>
            <w:vMerge w:val="continue"/>
          </w:tcPr>
          <w:p>
            <w:pPr>
              <w:spacing w:after="0"/>
              <w:rPr>
                <w:sz w:val="8"/>
                <w:szCs w:val="8"/>
                <w:color w:val="auto"/>
              </w:rPr>
            </w:pPr>
          </w:p>
        </w:tc>
        <w:tc>
          <w:tcPr>
            <w:tcW w:w="1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60" w:type="dxa"/>
            <w:vAlign w:val="bottom"/>
            <w:shd w:val="clear" w:color="auto" w:fill="000000"/>
          </w:tcPr>
          <w:p>
            <w:pPr>
              <w:spacing w:after="0"/>
              <w:rPr>
                <w:sz w:val="8"/>
                <w:szCs w:val="8"/>
                <w:color w:val="auto"/>
              </w:rPr>
            </w:pPr>
          </w:p>
        </w:tc>
        <w:tc>
          <w:tcPr>
            <w:tcW w:w="80" w:type="dxa"/>
            <w:vAlign w:val="bottom"/>
            <w:shd w:val="clear" w:color="auto" w:fill="000000"/>
          </w:tcPr>
          <w:p>
            <w:pPr>
              <w:spacing w:after="0"/>
              <w:rPr>
                <w:sz w:val="8"/>
                <w:szCs w:val="8"/>
                <w:color w:val="auto"/>
              </w:rPr>
            </w:pPr>
          </w:p>
        </w:tc>
        <w:tc>
          <w:tcPr>
            <w:tcW w:w="7060" w:type="dxa"/>
            <w:vAlign w:val="bottom"/>
            <w:gridSpan w:val="3"/>
            <w:vMerge w:val="restart"/>
            <w:shd w:val="clear" w:color="auto" w:fill="000000"/>
          </w:tcPr>
          <w:p>
            <w:pPr>
              <w:ind w:left="1640"/>
              <w:spacing w:after="0" w:line="162" w:lineRule="exact"/>
              <w:rPr>
                <w:sz w:val="20"/>
                <w:szCs w:val="20"/>
                <w:color w:val="auto"/>
              </w:rPr>
            </w:pPr>
            <w:r>
              <w:rPr>
                <w:rFonts w:ascii="Arial" w:cs="Arial" w:eastAsia="Arial" w:hAnsi="Arial"/>
                <w:sz w:val="15"/>
                <w:szCs w:val="15"/>
                <w:b w:val="1"/>
                <w:bCs w:val="1"/>
                <w:color w:val="FFFFFF"/>
              </w:rPr>
              <w:t>88% Performance-Based At Risk</w:t>
            </w:r>
          </w:p>
        </w:tc>
        <w:tc>
          <w:tcPr>
            <w:tcW w:w="0" w:type="dxa"/>
            <w:vAlign w:val="bottom"/>
          </w:tcPr>
          <w:p>
            <w:pPr>
              <w:spacing w:after="0"/>
              <w:rPr>
                <w:sz w:val="1"/>
                <w:szCs w:val="1"/>
                <w:color w:val="auto"/>
              </w:rPr>
            </w:pPr>
          </w:p>
        </w:tc>
      </w:tr>
      <w:tr>
        <w:trPr>
          <w:trHeight w:val="66"/>
        </w:trPr>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6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7060" w:type="dxa"/>
            <w:vAlign w:val="bottom"/>
            <w:gridSpan w:val="3"/>
            <w:vMerge w:val="continue"/>
            <w:shd w:val="clear" w:color="auto" w:fill="000000"/>
          </w:tcPr>
          <w:p>
            <w:pPr>
              <w:spacing w:after="0"/>
              <w:rPr>
                <w:sz w:val="5"/>
                <w:szCs w:val="5"/>
                <w:color w:val="auto"/>
              </w:rPr>
            </w:pPr>
          </w:p>
        </w:tc>
        <w:tc>
          <w:tcPr>
            <w:tcW w:w="0" w:type="dxa"/>
            <w:vAlign w:val="bottom"/>
          </w:tcPr>
          <w:p>
            <w:pPr>
              <w:spacing w:after="0"/>
              <w:rPr>
                <w:sz w:val="1"/>
                <w:szCs w:val="1"/>
                <w:color w:val="auto"/>
              </w:rPr>
            </w:pPr>
          </w:p>
        </w:tc>
      </w:tr>
      <w:tr>
        <w:trPr>
          <w:trHeight w:val="386"/>
        </w:trPr>
        <w:tc>
          <w:tcPr>
            <w:tcW w:w="980" w:type="dxa"/>
            <w:vAlign w:val="bottom"/>
          </w:tcPr>
          <w:p>
            <w:pPr>
              <w:jc w:val="center"/>
              <w:ind w:right="44"/>
              <w:spacing w:after="0"/>
              <w:rPr>
                <w:sz w:val="20"/>
                <w:szCs w:val="20"/>
                <w:color w:val="auto"/>
              </w:rPr>
            </w:pPr>
            <w:r>
              <w:rPr>
                <w:rFonts w:ascii="Arial" w:cs="Arial" w:eastAsia="Arial" w:hAnsi="Arial"/>
                <w:sz w:val="15"/>
                <w:szCs w:val="15"/>
                <w:b w:val="1"/>
                <w:bCs w:val="1"/>
                <w:color w:val="auto"/>
                <w:w w:val="97"/>
              </w:rPr>
              <w:t>Average</w:t>
            </w:r>
          </w:p>
        </w:tc>
        <w:tc>
          <w:tcPr>
            <w:tcW w:w="1140" w:type="dxa"/>
            <w:vAlign w:val="bottom"/>
          </w:tcPr>
          <w:p>
            <w:pPr>
              <w:spacing w:after="0"/>
              <w:rPr>
                <w:sz w:val="24"/>
                <w:szCs w:val="24"/>
                <w:color w:val="auto"/>
              </w:rPr>
            </w:pPr>
          </w:p>
        </w:tc>
        <w:tc>
          <w:tcPr>
            <w:tcW w:w="1720" w:type="dxa"/>
            <w:vAlign w:val="bottom"/>
            <w:gridSpan w:val="3"/>
          </w:tcPr>
          <w:p>
            <w:pPr>
              <w:jc w:val="center"/>
              <w:ind w:right="1000"/>
              <w:spacing w:after="0"/>
              <w:rPr>
                <w:sz w:val="20"/>
                <w:szCs w:val="20"/>
                <w:color w:val="auto"/>
              </w:rPr>
            </w:pPr>
            <w:r>
              <w:rPr>
                <w:rFonts w:ascii="Arial" w:cs="Arial" w:eastAsia="Arial" w:hAnsi="Arial"/>
                <w:sz w:val="15"/>
                <w:szCs w:val="15"/>
                <w:color w:val="auto"/>
                <w:w w:val="99"/>
              </w:rPr>
              <w:t>Base Pay</w:t>
            </w:r>
          </w:p>
        </w:tc>
        <w:tc>
          <w:tcPr>
            <w:tcW w:w="2060" w:type="dxa"/>
            <w:vAlign w:val="bottom"/>
          </w:tcPr>
          <w:p>
            <w:pPr>
              <w:jc w:val="center"/>
              <w:ind w:left="424"/>
              <w:spacing w:after="0"/>
              <w:rPr>
                <w:sz w:val="20"/>
                <w:szCs w:val="20"/>
                <w:color w:val="auto"/>
              </w:rPr>
            </w:pPr>
            <w:r>
              <w:rPr>
                <w:rFonts w:ascii="Arial" w:cs="Arial" w:eastAsia="Arial" w:hAnsi="Arial"/>
                <w:sz w:val="15"/>
                <w:szCs w:val="15"/>
                <w:color w:val="auto"/>
              </w:rPr>
              <w:t>Annual Bonus</w:t>
            </w:r>
          </w:p>
        </w:tc>
        <w:tc>
          <w:tcPr>
            <w:tcW w:w="480" w:type="dxa"/>
            <w:vAlign w:val="bottom"/>
          </w:tcPr>
          <w:p>
            <w:pPr>
              <w:spacing w:after="0"/>
              <w:rPr>
                <w:sz w:val="24"/>
                <w:szCs w:val="24"/>
                <w:color w:val="auto"/>
              </w:rPr>
            </w:pPr>
          </w:p>
        </w:tc>
        <w:tc>
          <w:tcPr>
            <w:tcW w:w="4520" w:type="dxa"/>
            <w:vAlign w:val="bottom"/>
          </w:tcPr>
          <w:p>
            <w:pPr>
              <w:jc w:val="center"/>
              <w:ind w:left="24"/>
              <w:spacing w:after="0"/>
              <w:rPr>
                <w:sz w:val="20"/>
                <w:szCs w:val="20"/>
                <w:color w:val="auto"/>
              </w:rPr>
            </w:pPr>
            <w:r>
              <w:rPr>
                <w:rFonts w:ascii="Arial" w:cs="Arial" w:eastAsia="Arial" w:hAnsi="Arial"/>
                <w:sz w:val="15"/>
                <w:szCs w:val="15"/>
                <w:color w:val="auto"/>
              </w:rPr>
              <w:t>Long-Term</w:t>
            </w:r>
          </w:p>
        </w:tc>
        <w:tc>
          <w:tcPr>
            <w:tcW w:w="0" w:type="dxa"/>
            <w:vAlign w:val="bottom"/>
          </w:tcPr>
          <w:p>
            <w:pPr>
              <w:spacing w:after="0"/>
              <w:rPr>
                <w:sz w:val="1"/>
                <w:szCs w:val="1"/>
                <w:color w:val="auto"/>
              </w:rPr>
            </w:pPr>
          </w:p>
        </w:tc>
      </w:tr>
      <w:tr>
        <w:trPr>
          <w:trHeight w:val="181"/>
        </w:trPr>
        <w:tc>
          <w:tcPr>
            <w:tcW w:w="980" w:type="dxa"/>
            <w:vAlign w:val="bottom"/>
          </w:tcPr>
          <w:p>
            <w:pPr>
              <w:jc w:val="center"/>
              <w:ind w:right="44"/>
              <w:spacing w:after="0" w:line="162" w:lineRule="exact"/>
              <w:rPr>
                <w:sz w:val="20"/>
                <w:szCs w:val="20"/>
                <w:color w:val="auto"/>
              </w:rPr>
            </w:pPr>
            <w:r>
              <w:rPr>
                <w:rFonts w:ascii="Arial" w:cs="Arial" w:eastAsia="Arial" w:hAnsi="Arial"/>
                <w:sz w:val="15"/>
                <w:szCs w:val="15"/>
                <w:b w:val="1"/>
                <w:bCs w:val="1"/>
                <w:color w:val="auto"/>
              </w:rPr>
              <w:t>Other NEOs</w:t>
            </w:r>
          </w:p>
        </w:tc>
        <w:tc>
          <w:tcPr>
            <w:tcW w:w="1140" w:type="dxa"/>
            <w:vAlign w:val="bottom"/>
            <w:shd w:val="clear" w:color="auto" w:fill="E5E5E5"/>
          </w:tcPr>
          <w:p>
            <w:pPr>
              <w:spacing w:after="0"/>
              <w:rPr>
                <w:sz w:val="15"/>
                <w:szCs w:val="15"/>
                <w:color w:val="auto"/>
              </w:rPr>
            </w:pPr>
          </w:p>
        </w:tc>
        <w:tc>
          <w:tcPr>
            <w:tcW w:w="1640" w:type="dxa"/>
            <w:vAlign w:val="bottom"/>
            <w:gridSpan w:val="2"/>
            <w:shd w:val="clear" w:color="auto" w:fill="E5E5E5"/>
          </w:tcPr>
          <w:p>
            <w:pPr>
              <w:jc w:val="right"/>
              <w:ind w:right="1049"/>
              <w:spacing w:after="0" w:line="162" w:lineRule="exact"/>
              <w:rPr>
                <w:sz w:val="20"/>
                <w:szCs w:val="20"/>
                <w:color w:val="auto"/>
              </w:rPr>
            </w:pPr>
            <w:r>
              <w:rPr>
                <w:rFonts w:ascii="Arial" w:cs="Arial" w:eastAsia="Arial" w:hAnsi="Arial"/>
                <w:sz w:val="15"/>
                <w:szCs w:val="15"/>
                <w:b w:val="1"/>
                <w:bCs w:val="1"/>
                <w:color w:val="auto"/>
              </w:rPr>
              <w:t>27%</w:t>
            </w:r>
          </w:p>
        </w:tc>
        <w:tc>
          <w:tcPr>
            <w:tcW w:w="80" w:type="dxa"/>
            <w:vAlign w:val="bottom"/>
            <w:shd w:val="clear" w:color="auto" w:fill="CCCCCC"/>
          </w:tcPr>
          <w:p>
            <w:pPr>
              <w:spacing w:after="0"/>
              <w:rPr>
                <w:sz w:val="15"/>
                <w:szCs w:val="15"/>
                <w:color w:val="auto"/>
              </w:rPr>
            </w:pPr>
          </w:p>
        </w:tc>
        <w:tc>
          <w:tcPr>
            <w:tcW w:w="2060" w:type="dxa"/>
            <w:vAlign w:val="bottom"/>
            <w:shd w:val="clear" w:color="auto" w:fill="CCCCCC"/>
          </w:tcPr>
          <w:p>
            <w:pPr>
              <w:jc w:val="right"/>
              <w:ind w:right="544"/>
              <w:spacing w:after="0" w:line="162" w:lineRule="exact"/>
              <w:rPr>
                <w:sz w:val="20"/>
                <w:szCs w:val="20"/>
                <w:color w:val="auto"/>
              </w:rPr>
            </w:pPr>
            <w:r>
              <w:rPr>
                <w:rFonts w:ascii="Arial" w:cs="Arial" w:eastAsia="Arial" w:hAnsi="Arial"/>
                <w:sz w:val="15"/>
                <w:szCs w:val="15"/>
                <w:b w:val="1"/>
                <w:bCs w:val="1"/>
                <w:color w:val="auto"/>
              </w:rPr>
              <w:t>29%</w:t>
            </w:r>
          </w:p>
        </w:tc>
        <w:tc>
          <w:tcPr>
            <w:tcW w:w="480" w:type="dxa"/>
            <w:vAlign w:val="bottom"/>
            <w:shd w:val="clear" w:color="auto" w:fill="CCCCCC"/>
          </w:tcPr>
          <w:p>
            <w:pPr>
              <w:spacing w:after="0"/>
              <w:rPr>
                <w:sz w:val="15"/>
                <w:szCs w:val="15"/>
                <w:color w:val="auto"/>
              </w:rPr>
            </w:pPr>
          </w:p>
        </w:tc>
        <w:tc>
          <w:tcPr>
            <w:tcW w:w="4520" w:type="dxa"/>
            <w:vAlign w:val="bottom"/>
            <w:shd w:val="clear" w:color="auto" w:fill="FF160F"/>
          </w:tcPr>
          <w:p>
            <w:pPr>
              <w:jc w:val="right"/>
              <w:ind w:right="1984"/>
              <w:spacing w:after="0" w:line="162" w:lineRule="exact"/>
              <w:rPr>
                <w:sz w:val="20"/>
                <w:szCs w:val="20"/>
                <w:color w:val="auto"/>
              </w:rPr>
            </w:pPr>
            <w:r>
              <w:rPr>
                <w:rFonts w:ascii="Arial" w:cs="Arial" w:eastAsia="Arial" w:hAnsi="Arial"/>
                <w:sz w:val="15"/>
                <w:szCs w:val="15"/>
                <w:b w:val="1"/>
                <w:bCs w:val="1"/>
                <w:color w:val="FFFFFF"/>
              </w:rPr>
              <w:t>44%</w:t>
            </w:r>
          </w:p>
        </w:tc>
        <w:tc>
          <w:tcPr>
            <w:tcW w:w="0" w:type="dxa"/>
            <w:vAlign w:val="bottom"/>
          </w:tcPr>
          <w:p>
            <w:pPr>
              <w:spacing w:after="0"/>
              <w:rPr>
                <w:sz w:val="1"/>
                <w:szCs w:val="1"/>
                <w:color w:val="auto"/>
              </w:rPr>
            </w:pPr>
          </w:p>
        </w:tc>
      </w:tr>
      <w:tr>
        <w:trPr>
          <w:trHeight w:val="162"/>
        </w:trPr>
        <w:tc>
          <w:tcPr>
            <w:tcW w:w="980" w:type="dxa"/>
            <w:vAlign w:val="bottom"/>
          </w:tcPr>
          <w:p>
            <w:pPr>
              <w:jc w:val="center"/>
              <w:ind w:right="44"/>
              <w:spacing w:after="0" w:line="162" w:lineRule="exact"/>
              <w:rPr>
                <w:sz w:val="20"/>
                <w:szCs w:val="20"/>
                <w:color w:val="auto"/>
              </w:rPr>
            </w:pPr>
            <w:r>
              <w:rPr>
                <w:rFonts w:ascii="Arial" w:cs="Arial" w:eastAsia="Arial" w:hAnsi="Arial"/>
                <w:sz w:val="15"/>
                <w:szCs w:val="15"/>
                <w:b w:val="1"/>
                <w:bCs w:val="1"/>
                <w:color w:val="auto"/>
              </w:rPr>
              <w:t>Pay Mix</w:t>
            </w: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0" w:type="dxa"/>
            <w:vAlign w:val="bottom"/>
            <w:shd w:val="clear" w:color="auto" w:fill="000000"/>
          </w:tcPr>
          <w:p>
            <w:pPr>
              <w:spacing w:after="0"/>
              <w:rPr>
                <w:sz w:val="14"/>
                <w:szCs w:val="14"/>
                <w:color w:val="auto"/>
              </w:rPr>
            </w:pPr>
          </w:p>
        </w:tc>
        <w:tc>
          <w:tcPr>
            <w:tcW w:w="2060" w:type="dxa"/>
            <w:vAlign w:val="bottom"/>
            <w:shd w:val="clear" w:color="auto" w:fill="000000"/>
          </w:tcPr>
          <w:p>
            <w:pPr>
              <w:spacing w:after="0"/>
              <w:rPr>
                <w:sz w:val="14"/>
                <w:szCs w:val="14"/>
                <w:color w:val="auto"/>
              </w:rPr>
            </w:pPr>
          </w:p>
        </w:tc>
        <w:tc>
          <w:tcPr>
            <w:tcW w:w="5000" w:type="dxa"/>
            <w:vAlign w:val="bottom"/>
            <w:gridSpan w:val="2"/>
            <w:shd w:val="clear" w:color="auto" w:fill="000000"/>
          </w:tcPr>
          <w:p>
            <w:pPr>
              <w:ind w:left="300"/>
              <w:spacing w:after="0" w:line="162" w:lineRule="exact"/>
              <w:rPr>
                <w:sz w:val="20"/>
                <w:szCs w:val="20"/>
                <w:color w:val="auto"/>
              </w:rPr>
            </w:pPr>
            <w:r>
              <w:rPr>
                <w:rFonts w:ascii="Arial" w:cs="Arial" w:eastAsia="Arial" w:hAnsi="Arial"/>
                <w:sz w:val="15"/>
                <w:szCs w:val="15"/>
                <w:b w:val="1"/>
                <w:bCs w:val="1"/>
                <w:color w:val="FFFFFF"/>
              </w:rPr>
              <w:t>73% Performance-Based At Risk</w:t>
            </w:r>
          </w:p>
        </w:tc>
        <w:tc>
          <w:tcPr>
            <w:tcW w:w="0" w:type="dxa"/>
            <w:vAlign w:val="bottom"/>
          </w:tcPr>
          <w:p>
            <w:pPr>
              <w:spacing w:after="0"/>
              <w:rPr>
                <w:sz w:val="1"/>
                <w:szCs w:val="1"/>
                <w:color w:val="auto"/>
              </w:rPr>
            </w:pPr>
          </w:p>
        </w:tc>
      </w:tr>
    </w:tbl>
    <w:p>
      <w:pPr>
        <w:spacing w:after="0" w:line="224" w:lineRule="exact"/>
        <w:rPr>
          <w:sz w:val="20"/>
          <w:szCs w:val="20"/>
          <w:color w:val="auto"/>
        </w:rPr>
      </w:pPr>
    </w:p>
    <w:p>
      <w:pPr>
        <w:ind w:left="540" w:hanging="424"/>
        <w:spacing w:after="0"/>
        <w:tabs>
          <w:tab w:leader="none" w:pos="540" w:val="left"/>
        </w:tabs>
        <w:numPr>
          <w:ilvl w:val="0"/>
          <w:numId w:val="53"/>
        </w:numPr>
        <w:rPr>
          <w:rFonts w:ascii="Wingdings" w:cs="Wingdings" w:eastAsia="Wingdings" w:hAnsi="Wingdings"/>
          <w:sz w:val="18"/>
          <w:szCs w:val="18"/>
          <w:b w:val="1"/>
          <w:bCs w:val="1"/>
          <w:color w:val="FF160F"/>
        </w:rPr>
      </w:pPr>
      <w:r>
        <w:rPr>
          <w:rFonts w:ascii="Arial" w:cs="Arial" w:eastAsia="Arial" w:hAnsi="Arial"/>
          <w:sz w:val="18"/>
          <w:szCs w:val="18"/>
          <w:b w:val="1"/>
          <w:bCs w:val="1"/>
          <w:color w:val="auto"/>
        </w:rPr>
        <w:t>INDIVIDUAL ELEMENTS OF 2023 PAY</w:t>
      </w:r>
    </w:p>
    <w:p>
      <w:pPr>
        <w:spacing w:after="0" w:line="21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Base Pay</w:t>
      </w:r>
    </w:p>
    <w:p>
      <w:pPr>
        <w:spacing w:after="0" w:line="210" w:lineRule="exact"/>
        <w:rPr>
          <w:sz w:val="20"/>
          <w:szCs w:val="20"/>
          <w:color w:val="auto"/>
        </w:rPr>
      </w:pPr>
    </w:p>
    <w:p>
      <w:pPr>
        <w:jc w:val="both"/>
        <w:ind w:left="120" w:right="20"/>
        <w:spacing w:after="0" w:line="253" w:lineRule="auto"/>
        <w:rPr>
          <w:sz w:val="20"/>
          <w:szCs w:val="20"/>
          <w:color w:val="auto"/>
        </w:rPr>
      </w:pPr>
      <w:r>
        <w:rPr>
          <w:rFonts w:ascii="Arial" w:cs="Arial" w:eastAsia="Arial" w:hAnsi="Arial"/>
          <w:sz w:val="18"/>
          <w:szCs w:val="18"/>
          <w:color w:val="auto"/>
        </w:rPr>
        <w:t>The base pay level established for each of our NEOs represents a modest portion of each individual’s total compensation package and the Compensation Committee believes them to be competitive and appropriate based on market data. There were no changes to base pay made in 2023 for any of our NEOs.</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Annual Bonus Program</w:t>
      </w:r>
    </w:p>
    <w:p>
      <w:pPr>
        <w:spacing w:after="0" w:line="210" w:lineRule="exact"/>
        <w:rPr>
          <w:sz w:val="20"/>
          <w:szCs w:val="20"/>
          <w:color w:val="auto"/>
        </w:rPr>
      </w:pPr>
    </w:p>
    <w:p>
      <w:pPr>
        <w:jc w:val="both"/>
        <w:ind w:left="120"/>
        <w:spacing w:after="0"/>
        <w:rPr>
          <w:sz w:val="20"/>
          <w:szCs w:val="20"/>
          <w:color w:val="auto"/>
        </w:rPr>
      </w:pPr>
      <w:r>
        <w:rPr>
          <w:rFonts w:ascii="Arial" w:cs="Arial" w:eastAsia="Arial" w:hAnsi="Arial"/>
          <w:sz w:val="18"/>
          <w:szCs w:val="18"/>
          <w:color w:val="auto"/>
        </w:rPr>
        <w:t>Our bonus plan is an annual cash incentive program designed to reward achievement for the current year based on achieving a level of FFO per share that the Committee has determined is necessary for the Company to achieve its business objectives for the year. The Compensation Committee has determined that FFO per share is the appropriate measure to use for our annual bonus program because it is a key annual metric used by investors, the Board and management to evaluate the Company’s annual performance and it reflects the full range of decision making and execution for the Company for the year. The Compensation Committee sets the required performance level for FFO per share at the beginning of each year with levels reflecting performance that ranges from acceptable at the threshold level to exceptional at the stretch level based on budgets reviewed by the entire Board. Approximately 95% of our employees participate in this annual bonus plan.</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5340" w:type="dxa"/>
            <w:vAlign w:val="bottom"/>
            <w:shd w:val="clear" w:color="auto" w:fill="FF160F"/>
          </w:tcPr>
          <w:p>
            <w:pPr>
              <w:spacing w:after="0"/>
              <w:rPr>
                <w:sz w:val="16"/>
                <w:szCs w:val="16"/>
                <w:color w:val="auto"/>
              </w:rPr>
            </w:pPr>
          </w:p>
        </w:tc>
        <w:tc>
          <w:tcPr>
            <w:tcW w:w="300" w:type="dxa"/>
            <w:vAlign w:val="bottom"/>
          </w:tcPr>
          <w:p>
            <w:pPr>
              <w:spacing w:after="0"/>
              <w:rPr>
                <w:sz w:val="16"/>
                <w:szCs w:val="16"/>
                <w:color w:val="auto"/>
              </w:rPr>
            </w:pPr>
          </w:p>
        </w:tc>
        <w:tc>
          <w:tcPr>
            <w:tcW w:w="3260" w:type="dxa"/>
            <w:vAlign w:val="bottom"/>
            <w:gridSpan w:val="3"/>
            <w:shd w:val="clear" w:color="auto" w:fill="FF160F"/>
          </w:tcPr>
          <w:p>
            <w:pPr>
              <w:ind w:left="900"/>
              <w:spacing w:after="0"/>
              <w:rPr>
                <w:sz w:val="20"/>
                <w:szCs w:val="20"/>
                <w:color w:val="auto"/>
              </w:rPr>
            </w:pPr>
            <w:r>
              <w:rPr>
                <w:rFonts w:ascii="Arial" w:cs="Arial" w:eastAsia="Arial" w:hAnsi="Arial"/>
                <w:sz w:val="16"/>
                <w:szCs w:val="16"/>
                <w:b w:val="1"/>
                <w:bCs w:val="1"/>
                <w:color w:val="FFFFFF"/>
              </w:rPr>
              <w:t>Performance Levels</w:t>
            </w:r>
          </w:p>
        </w:tc>
        <w:tc>
          <w:tcPr>
            <w:tcW w:w="280" w:type="dxa"/>
            <w:vAlign w:val="bottom"/>
          </w:tcPr>
          <w:p>
            <w:pPr>
              <w:spacing w:after="0"/>
              <w:rPr>
                <w:sz w:val="16"/>
                <w:szCs w:val="16"/>
                <w:color w:val="auto"/>
              </w:rPr>
            </w:pPr>
          </w:p>
        </w:tc>
        <w:tc>
          <w:tcPr>
            <w:tcW w:w="720" w:type="dxa"/>
            <w:vAlign w:val="bottom"/>
            <w:shd w:val="clear" w:color="auto" w:fill="FF160F"/>
          </w:tcPr>
          <w:p>
            <w:pPr>
              <w:spacing w:after="0"/>
              <w:rPr>
                <w:sz w:val="16"/>
                <w:szCs w:val="16"/>
                <w:color w:val="auto"/>
              </w:rPr>
            </w:pPr>
          </w:p>
        </w:tc>
        <w:tc>
          <w:tcPr>
            <w:tcW w:w="20" w:type="dxa"/>
            <w:vAlign w:val="bottom"/>
          </w:tcPr>
          <w:p>
            <w:pPr>
              <w:spacing w:after="0"/>
              <w:rPr>
                <w:sz w:val="16"/>
                <w:szCs w:val="16"/>
                <w:color w:val="auto"/>
              </w:rPr>
            </w:pPr>
          </w:p>
        </w:tc>
      </w:tr>
      <w:tr>
        <w:trPr>
          <w:trHeight w:val="203"/>
        </w:trPr>
        <w:tc>
          <w:tcPr>
            <w:tcW w:w="5340" w:type="dxa"/>
            <w:vAlign w:val="bottom"/>
            <w:shd w:val="clear" w:color="auto" w:fill="FF160F"/>
          </w:tcPr>
          <w:p>
            <w:pPr>
              <w:spacing w:after="0"/>
              <w:rPr>
                <w:sz w:val="20"/>
                <w:szCs w:val="20"/>
                <w:color w:val="auto"/>
              </w:rPr>
            </w:pPr>
            <w:r>
              <w:rPr>
                <w:rFonts w:ascii="Arial" w:cs="Arial" w:eastAsia="Arial" w:hAnsi="Arial"/>
                <w:sz w:val="16"/>
                <w:szCs w:val="16"/>
                <w:b w:val="1"/>
                <w:bCs w:val="1"/>
                <w:color w:val="FFFFFF"/>
              </w:rPr>
              <w:t>Performance Goal</w:t>
            </w:r>
          </w:p>
        </w:tc>
        <w:tc>
          <w:tcPr>
            <w:tcW w:w="300" w:type="dxa"/>
            <w:vAlign w:val="bottom"/>
          </w:tcPr>
          <w:p>
            <w:pPr>
              <w:spacing w:after="0"/>
              <w:rPr>
                <w:sz w:val="17"/>
                <w:szCs w:val="17"/>
                <w:color w:val="auto"/>
              </w:rPr>
            </w:pPr>
          </w:p>
        </w:tc>
        <w:tc>
          <w:tcPr>
            <w:tcW w:w="1100" w:type="dxa"/>
            <w:vAlign w:val="bottom"/>
            <w:shd w:val="clear" w:color="auto" w:fill="FF160F"/>
          </w:tcPr>
          <w:p>
            <w:pPr>
              <w:ind w:left="140"/>
              <w:spacing w:after="0"/>
              <w:rPr>
                <w:sz w:val="20"/>
                <w:szCs w:val="20"/>
                <w:color w:val="auto"/>
              </w:rPr>
            </w:pPr>
            <w:r>
              <w:rPr>
                <w:rFonts w:ascii="Arial" w:cs="Arial" w:eastAsia="Arial" w:hAnsi="Arial"/>
                <w:sz w:val="16"/>
                <w:szCs w:val="16"/>
                <w:b w:val="1"/>
                <w:bCs w:val="1"/>
                <w:color w:val="FFFFFF"/>
              </w:rPr>
              <w:t>Threshold</w:t>
            </w:r>
          </w:p>
        </w:tc>
        <w:tc>
          <w:tcPr>
            <w:tcW w:w="880" w:type="dxa"/>
            <w:vAlign w:val="bottom"/>
            <w:tcBorders>
              <w:right w:val="single" w:sz="8" w:color="FF160F"/>
            </w:tcBorders>
            <w:shd w:val="clear" w:color="auto" w:fill="FF160F"/>
          </w:tcPr>
          <w:p>
            <w:pPr>
              <w:jc w:val="right"/>
              <w:ind w:right="139"/>
              <w:spacing w:after="0"/>
              <w:rPr>
                <w:sz w:val="20"/>
                <w:szCs w:val="20"/>
                <w:color w:val="auto"/>
              </w:rPr>
            </w:pPr>
            <w:r>
              <w:rPr>
                <w:rFonts w:ascii="Arial" w:cs="Arial" w:eastAsia="Arial" w:hAnsi="Arial"/>
                <w:sz w:val="16"/>
                <w:szCs w:val="16"/>
                <w:b w:val="1"/>
                <w:bCs w:val="1"/>
                <w:color w:val="FFFFFF"/>
              </w:rPr>
              <w:t>Target</w:t>
            </w:r>
          </w:p>
        </w:tc>
        <w:tc>
          <w:tcPr>
            <w:tcW w:w="1280" w:type="dxa"/>
            <w:vAlign w:val="bottom"/>
            <w:shd w:val="clear" w:color="auto" w:fill="FF160F"/>
          </w:tcPr>
          <w:p>
            <w:pPr>
              <w:jc w:val="center"/>
              <w:ind w:left="79"/>
              <w:spacing w:after="0"/>
              <w:rPr>
                <w:sz w:val="20"/>
                <w:szCs w:val="20"/>
                <w:color w:val="auto"/>
              </w:rPr>
            </w:pPr>
            <w:r>
              <w:rPr>
                <w:rFonts w:ascii="Arial" w:cs="Arial" w:eastAsia="Arial" w:hAnsi="Arial"/>
                <w:sz w:val="16"/>
                <w:szCs w:val="16"/>
                <w:b w:val="1"/>
                <w:bCs w:val="1"/>
                <w:color w:val="FFFFFF"/>
              </w:rPr>
              <w:t>Stretch</w:t>
            </w:r>
          </w:p>
        </w:tc>
        <w:tc>
          <w:tcPr>
            <w:tcW w:w="280" w:type="dxa"/>
            <w:vAlign w:val="bottom"/>
          </w:tcPr>
          <w:p>
            <w:pPr>
              <w:spacing w:after="0"/>
              <w:rPr>
                <w:sz w:val="17"/>
                <w:szCs w:val="17"/>
                <w:color w:val="auto"/>
              </w:rPr>
            </w:pPr>
          </w:p>
        </w:tc>
        <w:tc>
          <w:tcPr>
            <w:tcW w:w="720" w:type="dxa"/>
            <w:vAlign w:val="bottom"/>
            <w:shd w:val="clear" w:color="auto" w:fill="FF160F"/>
          </w:tcPr>
          <w:p>
            <w:pPr>
              <w:ind w:left="160"/>
              <w:spacing w:after="0"/>
              <w:rPr>
                <w:sz w:val="20"/>
                <w:szCs w:val="20"/>
                <w:color w:val="auto"/>
              </w:rPr>
            </w:pPr>
            <w:r>
              <w:rPr>
                <w:rFonts w:ascii="Arial" w:cs="Arial" w:eastAsia="Arial" w:hAnsi="Arial"/>
                <w:sz w:val="16"/>
                <w:szCs w:val="16"/>
                <w:b w:val="1"/>
                <w:bCs w:val="1"/>
                <w:color w:val="FFFFFF"/>
              </w:rPr>
              <w:t>Actual</w:t>
            </w:r>
          </w:p>
        </w:tc>
        <w:tc>
          <w:tcPr>
            <w:tcW w:w="20" w:type="dxa"/>
            <w:vAlign w:val="bottom"/>
          </w:tcPr>
          <w:p>
            <w:pPr>
              <w:spacing w:after="0"/>
              <w:rPr>
                <w:sz w:val="17"/>
                <w:szCs w:val="17"/>
                <w:color w:val="auto"/>
              </w:rPr>
            </w:pPr>
          </w:p>
        </w:tc>
      </w:tr>
      <w:tr>
        <w:trPr>
          <w:trHeight w:val="189"/>
        </w:trPr>
        <w:tc>
          <w:tcPr>
            <w:tcW w:w="5340" w:type="dxa"/>
            <w:vAlign w:val="bottom"/>
            <w:shd w:val="clear" w:color="auto" w:fill="E5E5E5"/>
          </w:tcPr>
          <w:p>
            <w:pPr>
              <w:spacing w:after="0"/>
              <w:rPr>
                <w:sz w:val="20"/>
                <w:szCs w:val="20"/>
                <w:color w:val="auto"/>
              </w:rPr>
            </w:pPr>
            <w:r>
              <w:rPr>
                <w:rFonts w:ascii="Arial" w:cs="Arial" w:eastAsia="Arial" w:hAnsi="Arial"/>
                <w:sz w:val="16"/>
                <w:szCs w:val="16"/>
                <w:i w:val="1"/>
                <w:iCs w:val="1"/>
                <w:color w:val="auto"/>
              </w:rPr>
              <w:t>Payout as Percentage of Target</w:t>
            </w:r>
          </w:p>
        </w:tc>
        <w:tc>
          <w:tcPr>
            <w:tcW w:w="300" w:type="dxa"/>
            <w:vAlign w:val="bottom"/>
          </w:tcPr>
          <w:p>
            <w:pPr>
              <w:spacing w:after="0"/>
              <w:rPr>
                <w:sz w:val="16"/>
                <w:szCs w:val="16"/>
                <w:color w:val="auto"/>
              </w:rPr>
            </w:pPr>
          </w:p>
        </w:tc>
        <w:tc>
          <w:tcPr>
            <w:tcW w:w="1100" w:type="dxa"/>
            <w:vAlign w:val="bottom"/>
            <w:shd w:val="clear" w:color="auto" w:fill="E5E5E5"/>
          </w:tcPr>
          <w:p>
            <w:pPr>
              <w:jc w:val="right"/>
              <w:ind w:right="279"/>
              <w:spacing w:after="0"/>
              <w:rPr>
                <w:sz w:val="20"/>
                <w:szCs w:val="20"/>
                <w:color w:val="auto"/>
              </w:rPr>
            </w:pPr>
            <w:r>
              <w:rPr>
                <w:rFonts w:ascii="Arial" w:cs="Arial" w:eastAsia="Arial" w:hAnsi="Arial"/>
                <w:sz w:val="16"/>
                <w:szCs w:val="16"/>
                <w:i w:val="1"/>
                <w:iCs w:val="1"/>
                <w:color w:val="auto"/>
              </w:rPr>
              <w:t>75%</w:t>
            </w:r>
          </w:p>
        </w:tc>
        <w:tc>
          <w:tcPr>
            <w:tcW w:w="880" w:type="dxa"/>
            <w:vAlign w:val="bottom"/>
            <w:tcBorders>
              <w:right w:val="single" w:sz="8" w:color="E5E5E5"/>
            </w:tcBorders>
            <w:shd w:val="clear" w:color="auto" w:fill="E5E5E5"/>
          </w:tcPr>
          <w:p>
            <w:pPr>
              <w:jc w:val="right"/>
              <w:ind w:right="139"/>
              <w:spacing w:after="0"/>
              <w:rPr>
                <w:sz w:val="20"/>
                <w:szCs w:val="20"/>
                <w:color w:val="auto"/>
              </w:rPr>
            </w:pPr>
            <w:r>
              <w:rPr>
                <w:rFonts w:ascii="Arial" w:cs="Arial" w:eastAsia="Arial" w:hAnsi="Arial"/>
                <w:sz w:val="16"/>
                <w:szCs w:val="16"/>
                <w:i w:val="1"/>
                <w:iCs w:val="1"/>
                <w:color w:val="auto"/>
              </w:rPr>
              <w:t>100%</w:t>
            </w:r>
          </w:p>
        </w:tc>
        <w:tc>
          <w:tcPr>
            <w:tcW w:w="1280" w:type="dxa"/>
            <w:vAlign w:val="bottom"/>
            <w:shd w:val="clear" w:color="auto" w:fill="E5E5E5"/>
          </w:tcPr>
          <w:p>
            <w:pPr>
              <w:jc w:val="center"/>
              <w:ind w:left="99"/>
              <w:spacing w:after="0"/>
              <w:rPr>
                <w:sz w:val="20"/>
                <w:szCs w:val="20"/>
                <w:color w:val="auto"/>
              </w:rPr>
            </w:pPr>
            <w:r>
              <w:rPr>
                <w:rFonts w:ascii="Arial" w:cs="Arial" w:eastAsia="Arial" w:hAnsi="Arial"/>
                <w:sz w:val="16"/>
                <w:szCs w:val="16"/>
                <w:i w:val="1"/>
                <w:iCs w:val="1"/>
                <w:color w:val="auto"/>
              </w:rPr>
              <w:t>125%</w:t>
            </w:r>
          </w:p>
        </w:tc>
        <w:tc>
          <w:tcPr>
            <w:tcW w:w="280" w:type="dxa"/>
            <w:vAlign w:val="bottom"/>
          </w:tcPr>
          <w:p>
            <w:pPr>
              <w:spacing w:after="0"/>
              <w:rPr>
                <w:sz w:val="16"/>
                <w:szCs w:val="16"/>
                <w:color w:val="auto"/>
              </w:rPr>
            </w:pPr>
          </w:p>
        </w:tc>
        <w:tc>
          <w:tcPr>
            <w:tcW w:w="720" w:type="dxa"/>
            <w:vAlign w:val="bottom"/>
            <w:shd w:val="clear" w:color="auto" w:fill="E5E5E5"/>
          </w:tcPr>
          <w:p>
            <w:pPr>
              <w:spacing w:after="0"/>
              <w:rPr>
                <w:sz w:val="16"/>
                <w:szCs w:val="16"/>
                <w:color w:val="auto"/>
              </w:rPr>
            </w:pPr>
          </w:p>
        </w:tc>
        <w:tc>
          <w:tcPr>
            <w:tcW w:w="20" w:type="dxa"/>
            <w:vAlign w:val="bottom"/>
          </w:tcPr>
          <w:p>
            <w:pPr>
              <w:spacing w:after="0"/>
              <w:rPr>
                <w:sz w:val="16"/>
                <w:szCs w:val="16"/>
                <w:color w:val="auto"/>
              </w:rPr>
            </w:pPr>
          </w:p>
        </w:tc>
      </w:tr>
      <w:tr>
        <w:trPr>
          <w:trHeight w:val="189"/>
        </w:trPr>
        <w:tc>
          <w:tcPr>
            <w:tcW w:w="5340" w:type="dxa"/>
            <w:vAlign w:val="bottom"/>
          </w:tcPr>
          <w:p>
            <w:pPr>
              <w:spacing w:after="0"/>
              <w:rPr>
                <w:sz w:val="20"/>
                <w:szCs w:val="20"/>
                <w:color w:val="auto"/>
              </w:rPr>
            </w:pPr>
            <w:r>
              <w:rPr>
                <w:rFonts w:ascii="Arial" w:cs="Arial" w:eastAsia="Arial" w:hAnsi="Arial"/>
                <w:sz w:val="16"/>
                <w:szCs w:val="16"/>
                <w:color w:val="auto"/>
              </w:rPr>
              <w:t>FFO per diluted Share</w:t>
            </w:r>
          </w:p>
        </w:tc>
        <w:tc>
          <w:tcPr>
            <w:tcW w:w="300" w:type="dxa"/>
            <w:vAlign w:val="bottom"/>
          </w:tcPr>
          <w:p>
            <w:pPr>
              <w:spacing w:after="0"/>
              <w:rPr>
                <w:sz w:val="16"/>
                <w:szCs w:val="16"/>
                <w:color w:val="auto"/>
              </w:rPr>
            </w:pP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$6.35</w:t>
            </w:r>
          </w:p>
        </w:tc>
        <w:tc>
          <w:tcPr>
            <w:tcW w:w="880" w:type="dxa"/>
            <w:vAlign w:val="bottom"/>
          </w:tcPr>
          <w:p>
            <w:pPr>
              <w:jc w:val="right"/>
              <w:ind w:right="159"/>
              <w:spacing w:after="0"/>
              <w:rPr>
                <w:sz w:val="20"/>
                <w:szCs w:val="20"/>
                <w:color w:val="auto"/>
              </w:rPr>
            </w:pPr>
            <w:r>
              <w:rPr>
                <w:rFonts w:ascii="Arial" w:cs="Arial" w:eastAsia="Arial" w:hAnsi="Arial"/>
                <w:sz w:val="16"/>
                <w:szCs w:val="16"/>
                <w:color w:val="auto"/>
              </w:rPr>
              <w:t>$6.45</w:t>
            </w:r>
          </w:p>
        </w:tc>
        <w:tc>
          <w:tcPr>
            <w:tcW w:w="1280" w:type="dxa"/>
            <w:vAlign w:val="bottom"/>
            <w:tcBorders>
              <w:bottom w:val="single" w:sz="8" w:color="auto"/>
            </w:tcBorders>
          </w:tcPr>
          <w:p>
            <w:pPr>
              <w:jc w:val="center"/>
              <w:ind w:left="79"/>
              <w:spacing w:after="0"/>
              <w:rPr>
                <w:sz w:val="20"/>
                <w:szCs w:val="20"/>
                <w:color w:val="auto"/>
              </w:rPr>
            </w:pPr>
            <w:r>
              <w:rPr>
                <w:rFonts w:ascii="Arial" w:cs="Arial" w:eastAsia="Arial" w:hAnsi="Arial"/>
                <w:sz w:val="16"/>
                <w:szCs w:val="16"/>
                <w:color w:val="auto"/>
                <w:w w:val="99"/>
              </w:rPr>
              <w:t>$6.55</w:t>
            </w:r>
          </w:p>
        </w:tc>
        <w:tc>
          <w:tcPr>
            <w:tcW w:w="2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$6.55</w:t>
            </w:r>
          </w:p>
        </w:tc>
        <w:tc>
          <w:tcPr>
            <w:tcW w:w="20" w:type="dxa"/>
            <w:vAlign w:val="bottom"/>
            <w:tcBorders>
              <w:bottom w:val="single" w:sz="8" w:color="auto"/>
            </w:tcBorders>
          </w:tcPr>
          <w:p>
            <w:pPr>
              <w:spacing w:after="0"/>
              <w:rPr>
                <w:sz w:val="16"/>
                <w:szCs w:val="16"/>
                <w:color w:val="auto"/>
              </w:rPr>
            </w:pPr>
          </w:p>
        </w:tc>
      </w:tr>
      <w:tr>
        <w:trPr>
          <w:trHeight w:val="183"/>
        </w:trPr>
        <w:tc>
          <w:tcPr>
            <w:tcW w:w="5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80" w:type="dxa"/>
            <w:vAlign w:val="bottom"/>
            <w:tcBorders>
              <w:right w:val="single" w:sz="8" w:color="auto"/>
            </w:tcBorders>
          </w:tcPr>
          <w:p>
            <w:pPr>
              <w:spacing w:after="0"/>
              <w:rPr>
                <w:sz w:val="15"/>
                <w:szCs w:val="15"/>
                <w:color w:val="auto"/>
              </w:rPr>
            </w:pPr>
          </w:p>
        </w:tc>
        <w:tc>
          <w:tcPr>
            <w:tcW w:w="1280" w:type="dxa"/>
            <w:vAlign w:val="bottom"/>
            <w:tcBorders>
              <w:bottom w:val="single" w:sz="8" w:color="auto"/>
            </w:tcBorders>
          </w:tcPr>
          <w:p>
            <w:pPr>
              <w:ind w:left="180"/>
              <w:spacing w:after="0" w:line="183" w:lineRule="exact"/>
              <w:rPr>
                <w:sz w:val="20"/>
                <w:szCs w:val="20"/>
                <w:color w:val="auto"/>
              </w:rPr>
            </w:pPr>
            <w:r>
              <w:rPr>
                <w:rFonts w:ascii="Arial" w:cs="Arial" w:eastAsia="Arial" w:hAnsi="Arial"/>
                <w:sz w:val="16"/>
                <w:szCs w:val="16"/>
                <w:b w:val="1"/>
                <w:bCs w:val="1"/>
                <w:color w:val="auto"/>
              </w:rPr>
              <w:t>Final Payout</w:t>
            </w:r>
          </w:p>
        </w:tc>
        <w:tc>
          <w:tcPr>
            <w:tcW w:w="1000" w:type="dxa"/>
            <w:vAlign w:val="bottom"/>
            <w:tcBorders>
              <w:bottom w:val="single" w:sz="8" w:color="auto"/>
            </w:tcBorders>
            <w:gridSpan w:val="2"/>
          </w:tcPr>
          <w:p>
            <w:pPr>
              <w:jc w:val="right"/>
              <w:spacing w:after="0" w:line="183" w:lineRule="exact"/>
              <w:rPr>
                <w:sz w:val="20"/>
                <w:szCs w:val="20"/>
                <w:color w:val="auto"/>
              </w:rPr>
            </w:pPr>
            <w:r>
              <w:rPr>
                <w:rFonts w:ascii="Arial" w:cs="Arial" w:eastAsia="Arial" w:hAnsi="Arial"/>
                <w:sz w:val="16"/>
                <w:szCs w:val="16"/>
                <w:b w:val="1"/>
                <w:bCs w:val="1"/>
                <w:color w:val="auto"/>
              </w:rPr>
              <w:t>125.0%</w:t>
            </w:r>
          </w:p>
        </w:tc>
        <w:tc>
          <w:tcPr>
            <w:tcW w:w="20" w:type="dxa"/>
            <w:vAlign w:val="bottom"/>
            <w:tcBorders>
              <w:bottom w:val="single" w:sz="8" w:color="auto"/>
            </w:tcBorders>
            <w:shd w:val="clear" w:color="auto" w:fill="000000"/>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-505460</wp:posOffset>
            </wp:positionV>
            <wp:extent cx="206565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065655" cy="8890"/>
                    </a:xfrm>
                    <a:prstGeom prst="rect">
                      <a:avLst/>
                    </a:prstGeom>
                    <a:noFill/>
                  </pic:spPr>
                </pic:pic>
              </a:graphicData>
            </a:graphic>
          </wp:anchor>
        </w:drawing>
      </w:r>
    </w:p>
    <w:p>
      <w:pPr>
        <w:spacing w:after="0" w:line="177" w:lineRule="exact"/>
        <w:rPr>
          <w:sz w:val="20"/>
          <w:szCs w:val="20"/>
          <w:color w:val="auto"/>
        </w:rPr>
      </w:pPr>
    </w:p>
    <w:p>
      <w:pPr>
        <w:jc w:val="both"/>
        <w:ind w:left="120"/>
        <w:spacing w:after="0" w:line="242" w:lineRule="auto"/>
        <w:rPr>
          <w:sz w:val="20"/>
          <w:szCs w:val="20"/>
          <w:color w:val="auto"/>
        </w:rPr>
      </w:pPr>
      <w:r>
        <w:rPr>
          <w:rFonts w:ascii="Arial" w:cs="Arial" w:eastAsia="Arial" w:hAnsi="Arial"/>
          <w:sz w:val="18"/>
          <w:szCs w:val="18"/>
          <w:color w:val="auto"/>
        </w:rPr>
        <w:t>When set in February 2023, the achievement levels of FFO per share represented approximately 2% year-over-year growth at target and nearly 4% year-over-year growth at the stretch level. Consistent with other publicly traded shopping center companies, growth expectations for 2023 were muted as a result of the expected bankruptcy filing of a large anchor tenant whose rent at that time accounted for nearly 1% of our annualized base rent and approximately 1.5% of our total square footage. Our ability to deliver results at the high end of our range was primarily a result of receiving significantly more rent from the spaces occupied by that anchor tenant as well as benefits from continued strong leasing and occupancy gains.</w:t>
      </w:r>
    </w:p>
    <w:p>
      <w:pPr>
        <w:spacing w:after="0" w:line="179" w:lineRule="exact"/>
        <w:rPr>
          <w:sz w:val="20"/>
          <w:szCs w:val="20"/>
          <w:color w:val="auto"/>
        </w:rPr>
      </w:pPr>
    </w:p>
    <w:p>
      <w:pPr>
        <w:jc w:val="both"/>
        <w:ind w:left="120"/>
        <w:spacing w:after="0" w:line="242" w:lineRule="auto"/>
        <w:rPr>
          <w:sz w:val="20"/>
          <w:szCs w:val="20"/>
          <w:color w:val="auto"/>
        </w:rPr>
      </w:pPr>
      <w:r>
        <w:rPr>
          <w:rFonts w:ascii="Arial" w:cs="Arial" w:eastAsia="Arial" w:hAnsi="Arial"/>
          <w:sz w:val="18"/>
          <w:szCs w:val="18"/>
          <w:color w:val="auto"/>
        </w:rPr>
        <w:t>Each NEO had a maximum potential bonus opportunity established as a percentage of base pay combined with the performance level achieved by the Company. Our NEOs are entitled to receive 25% of the final bonus amount solely based on Company performance. The remaining 75% is earned based on the Compensation Committee’s assessment of each individual’s performance and whether that NEO achieved the objectives set out by the Company within that NEO’s area of responsibility. Based on a review of each individual’s performance and the considerations outlined in detail on pages 26-27, the Compensation Committee elected to award each of our NEOs the full amount of the individual performance portion of his/her bonus potential.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82550</wp:posOffset>
            </wp:positionV>
            <wp:extent cx="7003415" cy="12001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003415" cy="120015"/>
                    </a:xfrm>
                    <a:prstGeom prst="rect">
                      <a:avLst/>
                    </a:prstGeom>
                    <a:noFill/>
                  </pic:spPr>
                </pic:pic>
              </a:graphicData>
            </a:graphic>
          </wp:anchor>
        </w:drawing>
      </w:r>
    </w:p>
    <w:p>
      <w:pPr>
        <w:spacing w:after="0" w:line="114" w:lineRule="exact"/>
        <w:rPr>
          <w:sz w:val="20"/>
          <w:szCs w:val="20"/>
          <w:color w:val="auto"/>
        </w:rPr>
      </w:pPr>
    </w:p>
    <w:p>
      <w:pPr>
        <w:ind w:left="8080"/>
        <w:spacing w:after="0"/>
        <w:rPr>
          <w:sz w:val="20"/>
          <w:szCs w:val="20"/>
          <w:color w:val="auto"/>
        </w:rPr>
      </w:pPr>
      <w:r>
        <w:rPr>
          <w:rFonts w:ascii="Arial" w:cs="Arial" w:eastAsia="Arial" w:hAnsi="Arial"/>
          <w:sz w:val="14"/>
          <w:szCs w:val="14"/>
          <w:color w:val="FF160F"/>
        </w:rPr>
        <w:t>Federal Realty</w:t>
      </w:r>
      <w:r>
        <w:rPr>
          <w:rFonts w:ascii="Arial" w:cs="Arial" w:eastAsia="Arial" w:hAnsi="Arial"/>
          <w:sz w:val="14"/>
          <w:szCs w:val="14"/>
          <w:color w:val="000000"/>
        </w:rPr>
        <w:t xml:space="preserve">      2024 Proxy Statement   23</w:t>
      </w:r>
    </w:p>
    <w:p>
      <w:pPr>
        <w:sectPr>
          <w:pgSz w:w="11900" w:h="16838" w:orient="portrait"/>
          <w:cols w:equalWidth="0" w:num="1">
            <w:col w:w="11140"/>
          </w:cols>
          <w:pgMar w:left="320" w:top="482" w:right="4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8"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1980" w:type="dxa"/>
            <w:vAlign w:val="bottom"/>
            <w:shd w:val="clear" w:color="auto" w:fill="FF160F"/>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shd w:val="clear" w:color="auto" w:fill="FF160F"/>
          </w:tcPr>
          <w:p>
            <w:pPr>
              <w:spacing w:after="0"/>
              <w:rPr>
                <w:sz w:val="16"/>
                <w:szCs w:val="16"/>
                <w:color w:val="auto"/>
              </w:rPr>
            </w:pPr>
          </w:p>
        </w:tc>
        <w:tc>
          <w:tcPr>
            <w:tcW w:w="280" w:type="dxa"/>
            <w:vAlign w:val="bottom"/>
            <w:shd w:val="clear" w:color="auto" w:fill="FF160F"/>
          </w:tcPr>
          <w:p>
            <w:pPr>
              <w:spacing w:after="0"/>
              <w:rPr>
                <w:sz w:val="16"/>
                <w:szCs w:val="16"/>
                <w:color w:val="auto"/>
              </w:rPr>
            </w:pPr>
          </w:p>
        </w:tc>
        <w:tc>
          <w:tcPr>
            <w:tcW w:w="840" w:type="dxa"/>
            <w:vAlign w:val="bottom"/>
            <w:shd w:val="clear" w:color="auto" w:fill="FF160F"/>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shd w:val="clear" w:color="auto" w:fill="FF160F"/>
          </w:tcPr>
          <w:p>
            <w:pPr>
              <w:spacing w:after="0"/>
              <w:rPr>
                <w:sz w:val="16"/>
                <w:szCs w:val="16"/>
                <w:color w:val="auto"/>
              </w:rPr>
            </w:pPr>
          </w:p>
        </w:tc>
        <w:tc>
          <w:tcPr>
            <w:tcW w:w="960" w:type="dxa"/>
            <w:vAlign w:val="bottom"/>
            <w:shd w:val="clear" w:color="auto" w:fill="FF160F"/>
          </w:tcPr>
          <w:p>
            <w:pPr>
              <w:jc w:val="center"/>
              <w:ind w:right="59"/>
              <w:spacing w:after="0"/>
              <w:rPr>
                <w:sz w:val="20"/>
                <w:szCs w:val="20"/>
                <w:color w:val="auto"/>
              </w:rPr>
            </w:pPr>
            <w:r>
              <w:rPr>
                <w:rFonts w:ascii="Arial" w:cs="Arial" w:eastAsia="Arial" w:hAnsi="Arial"/>
                <w:sz w:val="16"/>
                <w:szCs w:val="16"/>
                <w:b w:val="1"/>
                <w:bCs w:val="1"/>
                <w:color w:val="FFFFFF"/>
              </w:rPr>
              <w:t>Actual</w:t>
            </w:r>
          </w:p>
        </w:tc>
        <w:tc>
          <w:tcPr>
            <w:tcW w:w="220" w:type="dxa"/>
            <w:vAlign w:val="bottom"/>
          </w:tcPr>
          <w:p>
            <w:pPr>
              <w:spacing w:after="0"/>
              <w:rPr>
                <w:sz w:val="16"/>
                <w:szCs w:val="16"/>
                <w:color w:val="auto"/>
              </w:rPr>
            </w:pPr>
          </w:p>
        </w:tc>
        <w:tc>
          <w:tcPr>
            <w:tcW w:w="240" w:type="dxa"/>
            <w:vAlign w:val="bottom"/>
            <w:shd w:val="clear" w:color="auto" w:fill="FF160F"/>
          </w:tcPr>
          <w:p>
            <w:pPr>
              <w:spacing w:after="0"/>
              <w:rPr>
                <w:sz w:val="16"/>
                <w:szCs w:val="16"/>
                <w:color w:val="auto"/>
              </w:rPr>
            </w:pPr>
          </w:p>
        </w:tc>
        <w:tc>
          <w:tcPr>
            <w:tcW w:w="960" w:type="dxa"/>
            <w:vAlign w:val="bottom"/>
            <w:shd w:val="clear" w:color="auto" w:fill="FF160F"/>
          </w:tcPr>
          <w:p>
            <w:pPr>
              <w:spacing w:after="0"/>
              <w:rPr>
                <w:sz w:val="16"/>
                <w:szCs w:val="16"/>
                <w:color w:val="auto"/>
              </w:rPr>
            </w:pPr>
          </w:p>
        </w:tc>
        <w:tc>
          <w:tcPr>
            <w:tcW w:w="1240" w:type="dxa"/>
            <w:vAlign w:val="bottom"/>
            <w:gridSpan w:val="2"/>
            <w:shd w:val="clear" w:color="auto" w:fill="FF160F"/>
          </w:tcPr>
          <w:p>
            <w:pPr>
              <w:ind w:left="80"/>
              <w:spacing w:after="0"/>
              <w:rPr>
                <w:sz w:val="20"/>
                <w:szCs w:val="20"/>
                <w:color w:val="auto"/>
              </w:rPr>
            </w:pPr>
            <w:r>
              <w:rPr>
                <w:rFonts w:ascii="Arial" w:cs="Arial" w:eastAsia="Arial" w:hAnsi="Arial"/>
                <w:sz w:val="16"/>
                <w:szCs w:val="16"/>
                <w:b w:val="1"/>
                <w:bCs w:val="1"/>
                <w:color w:val="FFFFFF"/>
              </w:rPr>
              <w:t>Actual Earned</w:t>
            </w:r>
          </w:p>
        </w:tc>
        <w:tc>
          <w:tcPr>
            <w:tcW w:w="300" w:type="dxa"/>
            <w:vAlign w:val="bottom"/>
            <w:shd w:val="clear" w:color="auto" w:fill="FF160F"/>
          </w:tcPr>
          <w:p>
            <w:pPr>
              <w:spacing w:after="0"/>
              <w:rPr>
                <w:sz w:val="16"/>
                <w:szCs w:val="16"/>
                <w:color w:val="auto"/>
              </w:rPr>
            </w:pPr>
          </w:p>
        </w:tc>
        <w:tc>
          <w:tcPr>
            <w:tcW w:w="820" w:type="dxa"/>
            <w:vAlign w:val="bottom"/>
            <w:shd w:val="clear" w:color="auto" w:fill="FF160F"/>
          </w:tcPr>
          <w:p>
            <w:pPr>
              <w:spacing w:after="0"/>
              <w:rPr>
                <w:sz w:val="16"/>
                <w:szCs w:val="16"/>
                <w:color w:val="auto"/>
              </w:rPr>
            </w:pPr>
          </w:p>
        </w:tc>
      </w:tr>
      <w:tr>
        <w:trPr>
          <w:trHeight w:val="188"/>
        </w:trPr>
        <w:tc>
          <w:tcPr>
            <w:tcW w:w="1980" w:type="dxa"/>
            <w:vAlign w:val="bottom"/>
            <w:shd w:val="clear" w:color="auto" w:fill="FF160F"/>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shd w:val="clear" w:color="auto" w:fill="FF160F"/>
          </w:tcPr>
          <w:p>
            <w:pPr>
              <w:jc w:val="right"/>
              <w:ind w:right="439"/>
              <w:spacing w:after="0"/>
              <w:rPr>
                <w:sz w:val="20"/>
                <w:szCs w:val="20"/>
                <w:color w:val="auto"/>
              </w:rPr>
            </w:pPr>
            <w:r>
              <w:rPr>
                <w:rFonts w:ascii="Arial" w:cs="Arial" w:eastAsia="Arial" w:hAnsi="Arial"/>
                <w:sz w:val="16"/>
                <w:szCs w:val="16"/>
                <w:b w:val="1"/>
                <w:bCs w:val="1"/>
                <w:color w:val="FFFFFF"/>
              </w:rPr>
              <w:t>Target</w:t>
            </w:r>
          </w:p>
        </w:tc>
        <w:tc>
          <w:tcPr>
            <w:tcW w:w="280" w:type="dxa"/>
            <w:vAlign w:val="bottom"/>
            <w:shd w:val="clear" w:color="auto" w:fill="FF160F"/>
          </w:tcPr>
          <w:p>
            <w:pPr>
              <w:spacing w:after="0"/>
              <w:rPr>
                <w:sz w:val="16"/>
                <w:szCs w:val="16"/>
                <w:color w:val="auto"/>
              </w:rPr>
            </w:pPr>
          </w:p>
        </w:tc>
        <w:tc>
          <w:tcPr>
            <w:tcW w:w="840" w:type="dxa"/>
            <w:vAlign w:val="bottom"/>
            <w:shd w:val="clear" w:color="auto" w:fill="FF160F"/>
          </w:tcPr>
          <w:p>
            <w:pPr>
              <w:jc w:val="right"/>
              <w:ind w:right="219"/>
              <w:spacing w:after="0"/>
              <w:rPr>
                <w:sz w:val="20"/>
                <w:szCs w:val="20"/>
                <w:color w:val="auto"/>
              </w:rPr>
            </w:pPr>
            <w:r>
              <w:rPr>
                <w:rFonts w:ascii="Arial" w:cs="Arial" w:eastAsia="Arial" w:hAnsi="Arial"/>
                <w:sz w:val="16"/>
                <w:szCs w:val="16"/>
                <w:b w:val="1"/>
                <w:bCs w:val="1"/>
                <w:color w:val="FFFFFF"/>
              </w:rPr>
              <w:t>Target</w:t>
            </w:r>
          </w:p>
        </w:tc>
        <w:tc>
          <w:tcPr>
            <w:tcW w:w="240" w:type="dxa"/>
            <w:vAlign w:val="bottom"/>
          </w:tcPr>
          <w:p>
            <w:pPr>
              <w:spacing w:after="0"/>
              <w:rPr>
                <w:sz w:val="16"/>
                <w:szCs w:val="16"/>
                <w:color w:val="auto"/>
              </w:rPr>
            </w:pPr>
          </w:p>
        </w:tc>
        <w:tc>
          <w:tcPr>
            <w:tcW w:w="200" w:type="dxa"/>
            <w:vAlign w:val="bottom"/>
            <w:shd w:val="clear" w:color="auto" w:fill="FF160F"/>
          </w:tcPr>
          <w:p>
            <w:pPr>
              <w:spacing w:after="0"/>
              <w:rPr>
                <w:sz w:val="16"/>
                <w:szCs w:val="16"/>
                <w:color w:val="auto"/>
              </w:rPr>
            </w:pPr>
          </w:p>
        </w:tc>
        <w:tc>
          <w:tcPr>
            <w:tcW w:w="960" w:type="dxa"/>
            <w:vAlign w:val="bottom"/>
            <w:shd w:val="clear" w:color="auto" w:fill="FF160F"/>
          </w:tcPr>
          <w:p>
            <w:pPr>
              <w:jc w:val="center"/>
              <w:ind w:right="59"/>
              <w:spacing w:after="0"/>
              <w:rPr>
                <w:sz w:val="20"/>
                <w:szCs w:val="20"/>
                <w:color w:val="auto"/>
              </w:rPr>
            </w:pPr>
            <w:r>
              <w:rPr>
                <w:rFonts w:ascii="Arial" w:cs="Arial" w:eastAsia="Arial" w:hAnsi="Arial"/>
                <w:sz w:val="16"/>
                <w:szCs w:val="16"/>
                <w:b w:val="1"/>
                <w:bCs w:val="1"/>
                <w:color w:val="FFFFFF"/>
              </w:rPr>
              <w:t>Maximum</w:t>
            </w:r>
          </w:p>
        </w:tc>
        <w:tc>
          <w:tcPr>
            <w:tcW w:w="220" w:type="dxa"/>
            <w:vAlign w:val="bottom"/>
          </w:tcPr>
          <w:p>
            <w:pPr>
              <w:spacing w:after="0"/>
              <w:rPr>
                <w:sz w:val="16"/>
                <w:szCs w:val="16"/>
                <w:color w:val="auto"/>
              </w:rPr>
            </w:pPr>
          </w:p>
        </w:tc>
        <w:tc>
          <w:tcPr>
            <w:tcW w:w="240" w:type="dxa"/>
            <w:vAlign w:val="bottom"/>
            <w:shd w:val="clear" w:color="auto" w:fill="FF160F"/>
          </w:tcPr>
          <w:p>
            <w:pPr>
              <w:spacing w:after="0"/>
              <w:rPr>
                <w:sz w:val="16"/>
                <w:szCs w:val="16"/>
                <w:color w:val="auto"/>
              </w:rPr>
            </w:pPr>
          </w:p>
        </w:tc>
        <w:tc>
          <w:tcPr>
            <w:tcW w:w="960" w:type="dxa"/>
            <w:vAlign w:val="bottom"/>
            <w:shd w:val="clear" w:color="auto" w:fill="FF160F"/>
          </w:tcPr>
          <w:p>
            <w:pPr>
              <w:jc w:val="right"/>
              <w:ind w:right="119"/>
              <w:spacing w:after="0"/>
              <w:rPr>
                <w:sz w:val="20"/>
                <w:szCs w:val="20"/>
                <w:color w:val="auto"/>
              </w:rPr>
            </w:pPr>
            <w:r>
              <w:rPr>
                <w:rFonts w:ascii="Arial" w:cs="Arial" w:eastAsia="Arial" w:hAnsi="Arial"/>
                <w:sz w:val="16"/>
                <w:szCs w:val="16"/>
                <w:b w:val="1"/>
                <w:bCs w:val="1"/>
                <w:color w:val="FFFFFF"/>
              </w:rPr>
              <w:t>Company</w:t>
            </w:r>
          </w:p>
        </w:tc>
        <w:tc>
          <w:tcPr>
            <w:tcW w:w="220" w:type="dxa"/>
            <w:vAlign w:val="bottom"/>
            <w:shd w:val="clear" w:color="auto" w:fill="FF160F"/>
          </w:tcPr>
          <w:p>
            <w:pPr>
              <w:spacing w:after="0"/>
              <w:rPr>
                <w:sz w:val="16"/>
                <w:szCs w:val="16"/>
                <w:color w:val="auto"/>
              </w:rPr>
            </w:pPr>
          </w:p>
        </w:tc>
        <w:tc>
          <w:tcPr>
            <w:tcW w:w="1020" w:type="dxa"/>
            <w:vAlign w:val="bottom"/>
            <w:shd w:val="clear" w:color="auto" w:fill="FF160F"/>
          </w:tcPr>
          <w:p>
            <w:pPr>
              <w:jc w:val="right"/>
              <w:ind w:right="159"/>
              <w:spacing w:after="0"/>
              <w:rPr>
                <w:sz w:val="20"/>
                <w:szCs w:val="20"/>
                <w:color w:val="auto"/>
              </w:rPr>
            </w:pPr>
            <w:r>
              <w:rPr>
                <w:rFonts w:ascii="Arial" w:cs="Arial" w:eastAsia="Arial" w:hAnsi="Arial"/>
                <w:sz w:val="16"/>
                <w:szCs w:val="16"/>
                <w:b w:val="1"/>
                <w:bCs w:val="1"/>
                <w:color w:val="FFFFFF"/>
              </w:rPr>
              <w:t>Individual</w:t>
            </w:r>
          </w:p>
        </w:tc>
        <w:tc>
          <w:tcPr>
            <w:tcW w:w="300" w:type="dxa"/>
            <w:vAlign w:val="bottom"/>
            <w:shd w:val="clear" w:color="auto" w:fill="FF160F"/>
          </w:tcPr>
          <w:p>
            <w:pPr>
              <w:spacing w:after="0"/>
              <w:rPr>
                <w:sz w:val="16"/>
                <w:szCs w:val="16"/>
                <w:color w:val="auto"/>
              </w:rPr>
            </w:pPr>
          </w:p>
        </w:tc>
        <w:tc>
          <w:tcPr>
            <w:tcW w:w="820" w:type="dxa"/>
            <w:vAlign w:val="bottom"/>
            <w:shd w:val="clear" w:color="auto" w:fill="FF160F"/>
          </w:tcPr>
          <w:p>
            <w:pPr>
              <w:jc w:val="right"/>
              <w:ind w:right="279"/>
              <w:spacing w:after="0"/>
              <w:rPr>
                <w:sz w:val="20"/>
                <w:szCs w:val="20"/>
                <w:color w:val="auto"/>
              </w:rPr>
            </w:pPr>
            <w:r>
              <w:rPr>
                <w:rFonts w:ascii="Arial" w:cs="Arial" w:eastAsia="Arial" w:hAnsi="Arial"/>
                <w:sz w:val="16"/>
                <w:szCs w:val="16"/>
                <w:b w:val="1"/>
                <w:bCs w:val="1"/>
                <w:color w:val="FFFFFF"/>
              </w:rPr>
              <w:t>Total</w:t>
            </w:r>
          </w:p>
        </w:tc>
      </w:tr>
      <w:tr>
        <w:trPr>
          <w:trHeight w:val="217"/>
        </w:trPr>
        <w:tc>
          <w:tcPr>
            <w:tcW w:w="1980" w:type="dxa"/>
            <w:vAlign w:val="bottom"/>
            <w:shd w:val="clear" w:color="auto" w:fill="FF160F"/>
          </w:tcPr>
          <w:p>
            <w:pPr>
              <w:spacing w:after="0"/>
              <w:rPr>
                <w:sz w:val="20"/>
                <w:szCs w:val="20"/>
                <w:color w:val="auto"/>
              </w:rPr>
            </w:pPr>
            <w:r>
              <w:rPr>
                <w:rFonts w:ascii="Arial" w:cs="Arial" w:eastAsia="Arial" w:hAnsi="Arial"/>
                <w:sz w:val="16"/>
                <w:szCs w:val="16"/>
                <w:b w:val="1"/>
                <w:bCs w:val="1"/>
                <w:color w:val="FFFFFF"/>
              </w:rPr>
              <w:t>NEO</w:t>
            </w:r>
          </w:p>
        </w:tc>
        <w:tc>
          <w:tcPr>
            <w:tcW w:w="220" w:type="dxa"/>
            <w:vAlign w:val="bottom"/>
          </w:tcPr>
          <w:p>
            <w:pPr>
              <w:spacing w:after="0"/>
              <w:rPr>
                <w:sz w:val="18"/>
                <w:szCs w:val="18"/>
                <w:color w:val="auto"/>
              </w:rPr>
            </w:pPr>
          </w:p>
        </w:tc>
        <w:tc>
          <w:tcPr>
            <w:tcW w:w="1400" w:type="dxa"/>
            <w:vAlign w:val="bottom"/>
            <w:shd w:val="clear" w:color="auto" w:fill="FF160F"/>
          </w:tcPr>
          <w:p>
            <w:pPr>
              <w:jc w:val="right"/>
              <w:ind w:right="159"/>
              <w:spacing w:after="0"/>
              <w:rPr>
                <w:sz w:val="20"/>
                <w:szCs w:val="20"/>
                <w:color w:val="auto"/>
              </w:rPr>
            </w:pPr>
            <w:r>
              <w:rPr>
                <w:rFonts w:ascii="Arial" w:cs="Arial" w:eastAsia="Arial" w:hAnsi="Arial"/>
                <w:sz w:val="16"/>
                <w:szCs w:val="16"/>
                <w:b w:val="1"/>
                <w:bCs w:val="1"/>
                <w:color w:val="FFFFFF"/>
              </w:rPr>
              <w:t>(% Base Pay)</w:t>
            </w:r>
          </w:p>
        </w:tc>
        <w:tc>
          <w:tcPr>
            <w:tcW w:w="280" w:type="dxa"/>
            <w:vAlign w:val="bottom"/>
            <w:shd w:val="clear" w:color="auto" w:fill="FF160F"/>
          </w:tcPr>
          <w:p>
            <w:pPr>
              <w:spacing w:after="0"/>
              <w:rPr>
                <w:sz w:val="18"/>
                <w:szCs w:val="18"/>
                <w:color w:val="auto"/>
              </w:rPr>
            </w:pPr>
          </w:p>
        </w:tc>
        <w:tc>
          <w:tcPr>
            <w:tcW w:w="840" w:type="dxa"/>
            <w:vAlign w:val="bottom"/>
            <w:shd w:val="clear" w:color="auto" w:fill="FF160F"/>
          </w:tcPr>
          <w:p>
            <w:pPr>
              <w:jc w:val="right"/>
              <w:ind w:right="359"/>
              <w:spacing w:after="0"/>
              <w:rPr>
                <w:sz w:val="20"/>
                <w:szCs w:val="20"/>
                <w:color w:val="auto"/>
              </w:rPr>
            </w:pPr>
            <w:r>
              <w:rPr>
                <w:rFonts w:ascii="Arial" w:cs="Arial" w:eastAsia="Arial" w:hAnsi="Arial"/>
                <w:sz w:val="16"/>
                <w:szCs w:val="16"/>
                <w:b w:val="1"/>
                <w:bCs w:val="1"/>
                <w:color w:val="FFFFFF"/>
              </w:rPr>
              <w:t>($)</w:t>
            </w:r>
          </w:p>
        </w:tc>
        <w:tc>
          <w:tcPr>
            <w:tcW w:w="240" w:type="dxa"/>
            <w:vAlign w:val="bottom"/>
          </w:tcPr>
          <w:p>
            <w:pPr>
              <w:spacing w:after="0"/>
              <w:rPr>
                <w:sz w:val="18"/>
                <w:szCs w:val="18"/>
                <w:color w:val="auto"/>
              </w:rPr>
            </w:pPr>
          </w:p>
        </w:tc>
        <w:tc>
          <w:tcPr>
            <w:tcW w:w="200" w:type="dxa"/>
            <w:vAlign w:val="bottom"/>
            <w:shd w:val="clear" w:color="auto" w:fill="FF160F"/>
          </w:tcPr>
          <w:p>
            <w:pPr>
              <w:spacing w:after="0"/>
              <w:rPr>
                <w:sz w:val="18"/>
                <w:szCs w:val="18"/>
                <w:color w:val="auto"/>
              </w:rPr>
            </w:pPr>
          </w:p>
        </w:tc>
        <w:tc>
          <w:tcPr>
            <w:tcW w:w="960" w:type="dxa"/>
            <w:vAlign w:val="bottom"/>
            <w:shd w:val="clear" w:color="auto" w:fill="FF160F"/>
          </w:tcPr>
          <w:p>
            <w:pPr>
              <w:jc w:val="center"/>
              <w:ind w:right="59"/>
              <w:spacing w:after="0"/>
              <w:rPr>
                <w:sz w:val="20"/>
                <w:szCs w:val="20"/>
                <w:color w:val="auto"/>
              </w:rPr>
            </w:pPr>
            <w:r>
              <w:rPr>
                <w:rFonts w:ascii="Arial" w:cs="Arial" w:eastAsia="Arial" w:hAnsi="Arial"/>
                <w:sz w:val="16"/>
                <w:szCs w:val="16"/>
                <w:b w:val="1"/>
                <w:bCs w:val="1"/>
                <w:color w:val="FFFFFF"/>
              </w:rPr>
              <w:t>Payout</w:t>
            </w:r>
          </w:p>
        </w:tc>
        <w:tc>
          <w:tcPr>
            <w:tcW w:w="220" w:type="dxa"/>
            <w:vAlign w:val="bottom"/>
          </w:tcPr>
          <w:p>
            <w:pPr>
              <w:spacing w:after="0"/>
              <w:rPr>
                <w:sz w:val="18"/>
                <w:szCs w:val="18"/>
                <w:color w:val="auto"/>
              </w:rPr>
            </w:pPr>
          </w:p>
        </w:tc>
        <w:tc>
          <w:tcPr>
            <w:tcW w:w="1200" w:type="dxa"/>
            <w:vAlign w:val="bottom"/>
            <w:gridSpan w:val="2"/>
            <w:shd w:val="clear" w:color="auto" w:fill="FF160F"/>
          </w:tcPr>
          <w:p>
            <w:pPr>
              <w:ind w:left="120"/>
              <w:spacing w:after="0"/>
              <w:rPr>
                <w:sz w:val="20"/>
                <w:szCs w:val="20"/>
                <w:color w:val="auto"/>
              </w:rPr>
            </w:pPr>
            <w:r>
              <w:rPr>
                <w:rFonts w:ascii="Arial" w:cs="Arial" w:eastAsia="Arial" w:hAnsi="Arial"/>
                <w:sz w:val="16"/>
                <w:szCs w:val="16"/>
                <w:b w:val="1"/>
                <w:bCs w:val="1"/>
                <w:color w:val="FFFFFF"/>
              </w:rPr>
              <w:t>Performance</w:t>
            </w:r>
          </w:p>
        </w:tc>
        <w:tc>
          <w:tcPr>
            <w:tcW w:w="1240" w:type="dxa"/>
            <w:vAlign w:val="bottom"/>
            <w:gridSpan w:val="2"/>
            <w:shd w:val="clear" w:color="auto" w:fill="FF160F"/>
          </w:tcPr>
          <w:p>
            <w:pPr>
              <w:ind w:left="120"/>
              <w:spacing w:after="0"/>
              <w:rPr>
                <w:sz w:val="20"/>
                <w:szCs w:val="20"/>
                <w:color w:val="auto"/>
              </w:rPr>
            </w:pPr>
            <w:r>
              <w:rPr>
                <w:rFonts w:ascii="Arial" w:cs="Arial" w:eastAsia="Arial" w:hAnsi="Arial"/>
                <w:sz w:val="16"/>
                <w:szCs w:val="16"/>
                <w:b w:val="1"/>
                <w:bCs w:val="1"/>
                <w:color w:val="FFFFFF"/>
              </w:rPr>
              <w:t>Performance</w:t>
            </w:r>
          </w:p>
        </w:tc>
        <w:tc>
          <w:tcPr>
            <w:tcW w:w="300" w:type="dxa"/>
            <w:vAlign w:val="bottom"/>
            <w:shd w:val="clear" w:color="auto" w:fill="FF160F"/>
          </w:tcPr>
          <w:p>
            <w:pPr>
              <w:spacing w:after="0"/>
              <w:rPr>
                <w:sz w:val="18"/>
                <w:szCs w:val="18"/>
                <w:color w:val="auto"/>
              </w:rPr>
            </w:pPr>
          </w:p>
        </w:tc>
        <w:tc>
          <w:tcPr>
            <w:tcW w:w="820" w:type="dxa"/>
            <w:vAlign w:val="bottom"/>
            <w:shd w:val="clear" w:color="auto" w:fill="FF160F"/>
          </w:tcPr>
          <w:p>
            <w:pPr>
              <w:jc w:val="right"/>
              <w:ind w:right="299"/>
              <w:spacing w:after="0"/>
              <w:rPr>
                <w:sz w:val="20"/>
                <w:szCs w:val="20"/>
                <w:color w:val="auto"/>
              </w:rPr>
            </w:pPr>
            <w:r>
              <w:rPr>
                <w:rFonts w:ascii="Arial" w:cs="Arial" w:eastAsia="Arial" w:hAnsi="Arial"/>
                <w:sz w:val="16"/>
                <w:szCs w:val="16"/>
                <w:b w:val="1"/>
                <w:bCs w:val="1"/>
                <w:color w:val="FFFFFF"/>
              </w:rPr>
              <w:t>Paid</w:t>
            </w:r>
          </w:p>
        </w:tc>
      </w:tr>
      <w:tr>
        <w:trPr>
          <w:trHeight w:val="175"/>
        </w:trPr>
        <w:tc>
          <w:tcPr>
            <w:tcW w:w="1980" w:type="dxa"/>
            <w:vAlign w:val="bottom"/>
          </w:tcPr>
          <w:p>
            <w:pPr>
              <w:spacing w:after="0" w:line="175" w:lineRule="exact"/>
              <w:rPr>
                <w:sz w:val="20"/>
                <w:szCs w:val="20"/>
                <w:color w:val="auto"/>
              </w:rPr>
            </w:pPr>
            <w:r>
              <w:rPr>
                <w:rFonts w:ascii="Arial" w:cs="Arial" w:eastAsia="Arial" w:hAnsi="Arial"/>
                <w:sz w:val="16"/>
                <w:szCs w:val="16"/>
                <w:color w:val="auto"/>
              </w:rPr>
              <w:t>Mr. Wood</w:t>
            </w:r>
          </w:p>
        </w:tc>
        <w:tc>
          <w:tcPr>
            <w:tcW w:w="220" w:type="dxa"/>
            <w:vAlign w:val="bottom"/>
          </w:tcPr>
          <w:p>
            <w:pPr>
              <w:spacing w:after="0"/>
              <w:rPr>
                <w:sz w:val="15"/>
                <w:szCs w:val="15"/>
                <w:color w:val="auto"/>
              </w:rPr>
            </w:pPr>
          </w:p>
        </w:tc>
        <w:tc>
          <w:tcPr>
            <w:tcW w:w="1400" w:type="dxa"/>
            <w:vAlign w:val="bottom"/>
          </w:tcPr>
          <w:p>
            <w:pPr>
              <w:jc w:val="right"/>
              <w:ind w:right="19"/>
              <w:spacing w:after="0" w:line="175" w:lineRule="exact"/>
              <w:rPr>
                <w:sz w:val="20"/>
                <w:szCs w:val="20"/>
                <w:color w:val="auto"/>
              </w:rPr>
            </w:pPr>
            <w:r>
              <w:rPr>
                <w:rFonts w:ascii="Arial" w:cs="Arial" w:eastAsia="Arial" w:hAnsi="Arial"/>
                <w:sz w:val="16"/>
                <w:szCs w:val="16"/>
                <w:color w:val="auto"/>
              </w:rPr>
              <w:t>150%</w:t>
            </w:r>
          </w:p>
        </w:tc>
        <w:tc>
          <w:tcPr>
            <w:tcW w:w="280" w:type="dxa"/>
            <w:vAlign w:val="bottom"/>
          </w:tcPr>
          <w:p>
            <w:pPr>
              <w:ind w:left="80"/>
              <w:spacing w:after="0" w:line="175" w:lineRule="exact"/>
              <w:rPr>
                <w:sz w:val="20"/>
                <w:szCs w:val="20"/>
                <w:color w:val="auto"/>
              </w:rPr>
            </w:pPr>
            <w:r>
              <w:rPr>
                <w:rFonts w:ascii="Arial" w:cs="Arial" w:eastAsia="Arial" w:hAnsi="Arial"/>
                <w:sz w:val="16"/>
                <w:szCs w:val="16"/>
                <w:color w:val="auto"/>
              </w:rPr>
              <w:t xml:space="preserve">$ </w:t>
            </w:r>
          </w:p>
        </w:tc>
        <w:tc>
          <w:tcPr>
            <w:tcW w:w="840" w:type="dxa"/>
            <w:vAlign w:val="bottom"/>
          </w:tcPr>
          <w:p>
            <w:pPr>
              <w:jc w:val="right"/>
              <w:spacing w:after="0" w:line="175" w:lineRule="exact"/>
              <w:rPr>
                <w:sz w:val="20"/>
                <w:szCs w:val="20"/>
                <w:color w:val="auto"/>
              </w:rPr>
            </w:pPr>
            <w:r>
              <w:rPr>
                <w:rFonts w:ascii="Arial" w:cs="Arial" w:eastAsia="Arial" w:hAnsi="Arial"/>
                <w:sz w:val="16"/>
                <w:szCs w:val="16"/>
                <w:color w:val="auto"/>
              </w:rPr>
              <w:t>1,500,000</w:t>
            </w:r>
          </w:p>
        </w:tc>
        <w:tc>
          <w:tcPr>
            <w:tcW w:w="240" w:type="dxa"/>
            <w:vAlign w:val="bottom"/>
          </w:tcPr>
          <w:p>
            <w:pPr>
              <w:spacing w:after="0"/>
              <w:rPr>
                <w:sz w:val="15"/>
                <w:szCs w:val="15"/>
                <w:color w:val="auto"/>
              </w:rPr>
            </w:pPr>
          </w:p>
        </w:tc>
        <w:tc>
          <w:tcPr>
            <w:tcW w:w="20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960" w:type="dxa"/>
            <w:vAlign w:val="bottom"/>
          </w:tcPr>
          <w:p>
            <w:pPr>
              <w:jc w:val="right"/>
              <w:spacing w:after="0" w:line="175" w:lineRule="exact"/>
              <w:rPr>
                <w:sz w:val="20"/>
                <w:szCs w:val="20"/>
                <w:color w:val="auto"/>
              </w:rPr>
            </w:pPr>
            <w:r>
              <w:rPr>
                <w:rFonts w:ascii="Arial" w:cs="Arial" w:eastAsia="Arial" w:hAnsi="Arial"/>
                <w:sz w:val="16"/>
                <w:szCs w:val="16"/>
                <w:color w:val="auto"/>
                <w:w w:val="91"/>
              </w:rPr>
              <w:t>   1,875,000</w:t>
            </w:r>
          </w:p>
        </w:tc>
        <w:tc>
          <w:tcPr>
            <w:tcW w:w="220" w:type="dxa"/>
            <w:vAlign w:val="bottom"/>
          </w:tcPr>
          <w:p>
            <w:pPr>
              <w:spacing w:after="0"/>
              <w:rPr>
                <w:sz w:val="15"/>
                <w:szCs w:val="15"/>
                <w:color w:val="auto"/>
              </w:rPr>
            </w:pPr>
          </w:p>
        </w:tc>
        <w:tc>
          <w:tcPr>
            <w:tcW w:w="240" w:type="dxa"/>
            <w:vAlign w:val="bottom"/>
          </w:tcPr>
          <w:p>
            <w:pPr>
              <w:ind w:left="120"/>
              <w:spacing w:after="0" w:line="175" w:lineRule="exact"/>
              <w:rPr>
                <w:sz w:val="20"/>
                <w:szCs w:val="20"/>
                <w:color w:val="auto"/>
              </w:rPr>
            </w:pPr>
            <w:r>
              <w:rPr>
                <w:rFonts w:ascii="Arial" w:cs="Arial" w:eastAsia="Arial" w:hAnsi="Arial"/>
                <w:sz w:val="16"/>
                <w:szCs w:val="16"/>
                <w:color w:val="auto"/>
              </w:rPr>
              <w:t>$</w:t>
            </w:r>
          </w:p>
        </w:tc>
        <w:tc>
          <w:tcPr>
            <w:tcW w:w="960" w:type="dxa"/>
            <w:vAlign w:val="bottom"/>
          </w:tcPr>
          <w:p>
            <w:pPr>
              <w:jc w:val="right"/>
              <w:spacing w:after="0" w:line="175" w:lineRule="exact"/>
              <w:rPr>
                <w:sz w:val="20"/>
                <w:szCs w:val="20"/>
                <w:color w:val="auto"/>
              </w:rPr>
            </w:pPr>
            <w:r>
              <w:rPr>
                <w:rFonts w:ascii="Arial" w:cs="Arial" w:eastAsia="Arial" w:hAnsi="Arial"/>
                <w:sz w:val="16"/>
                <w:szCs w:val="16"/>
                <w:color w:val="auto"/>
              </w:rPr>
              <w:t>   468,750</w:t>
            </w:r>
          </w:p>
        </w:tc>
        <w:tc>
          <w:tcPr>
            <w:tcW w:w="220" w:type="dxa"/>
            <w:vAlign w:val="bottom"/>
          </w:tcPr>
          <w:p>
            <w:pPr>
              <w:ind w:left="120"/>
              <w:spacing w:after="0" w:line="175" w:lineRule="exact"/>
              <w:rPr>
                <w:sz w:val="20"/>
                <w:szCs w:val="20"/>
                <w:color w:val="auto"/>
              </w:rPr>
            </w:pPr>
            <w:r>
              <w:rPr>
                <w:rFonts w:ascii="Arial" w:cs="Arial" w:eastAsia="Arial" w:hAnsi="Arial"/>
                <w:sz w:val="16"/>
                <w:szCs w:val="16"/>
                <w:color w:val="auto"/>
                <w:w w:val="89"/>
              </w:rPr>
              <w:t>$</w:t>
            </w:r>
          </w:p>
        </w:tc>
        <w:tc>
          <w:tcPr>
            <w:tcW w:w="1020" w:type="dxa"/>
            <w:vAlign w:val="bottom"/>
          </w:tcPr>
          <w:p>
            <w:pPr>
              <w:jc w:val="right"/>
              <w:ind w:right="39"/>
              <w:spacing w:after="0" w:line="175" w:lineRule="exact"/>
              <w:rPr>
                <w:sz w:val="20"/>
                <w:szCs w:val="20"/>
                <w:color w:val="auto"/>
              </w:rPr>
            </w:pPr>
            <w:r>
              <w:rPr>
                <w:rFonts w:ascii="Arial" w:cs="Arial" w:eastAsia="Arial" w:hAnsi="Arial"/>
                <w:sz w:val="16"/>
                <w:szCs w:val="16"/>
                <w:color w:val="auto"/>
                <w:w w:val="91"/>
              </w:rPr>
              <w:t>   1,406,250</w:t>
            </w:r>
          </w:p>
        </w:tc>
        <w:tc>
          <w:tcPr>
            <w:tcW w:w="300" w:type="dxa"/>
            <w:vAlign w:val="bottom"/>
          </w:tcPr>
          <w:p>
            <w:pPr>
              <w:ind w:left="80"/>
              <w:spacing w:after="0" w:line="175" w:lineRule="exact"/>
              <w:rPr>
                <w:sz w:val="20"/>
                <w:szCs w:val="20"/>
                <w:color w:val="auto"/>
              </w:rPr>
            </w:pPr>
            <w:r>
              <w:rPr>
                <w:rFonts w:ascii="Arial" w:cs="Arial" w:eastAsia="Arial" w:hAnsi="Arial"/>
                <w:sz w:val="16"/>
                <w:szCs w:val="16"/>
                <w:color w:val="auto"/>
              </w:rPr>
              <w:t xml:space="preserve">$ </w:t>
            </w:r>
          </w:p>
        </w:tc>
        <w:tc>
          <w:tcPr>
            <w:tcW w:w="820" w:type="dxa"/>
            <w:vAlign w:val="bottom"/>
          </w:tcPr>
          <w:p>
            <w:pPr>
              <w:jc w:val="right"/>
              <w:spacing w:after="0" w:line="175" w:lineRule="exact"/>
              <w:rPr>
                <w:sz w:val="20"/>
                <w:szCs w:val="20"/>
                <w:color w:val="auto"/>
              </w:rPr>
            </w:pPr>
            <w:r>
              <w:rPr>
                <w:rFonts w:ascii="Arial" w:cs="Arial" w:eastAsia="Arial" w:hAnsi="Arial"/>
                <w:sz w:val="16"/>
                <w:szCs w:val="16"/>
                <w:color w:val="auto"/>
              </w:rPr>
              <w:t>1,875,000</w:t>
            </w:r>
          </w:p>
        </w:tc>
      </w:tr>
      <w:tr>
        <w:trPr>
          <w:trHeight w:val="189"/>
        </w:trPr>
        <w:tc>
          <w:tcPr>
            <w:tcW w:w="2200" w:type="dxa"/>
            <w:vAlign w:val="bottom"/>
            <w:gridSpan w:val="2"/>
          </w:tcPr>
          <w:p>
            <w:pPr>
              <w:spacing w:after="0"/>
              <w:rPr>
                <w:sz w:val="20"/>
                <w:szCs w:val="20"/>
                <w:color w:val="auto"/>
              </w:rPr>
            </w:pPr>
            <w:r>
              <w:rPr>
                <w:rFonts w:ascii="Arial" w:cs="Arial" w:eastAsia="Arial" w:hAnsi="Arial"/>
                <w:sz w:val="16"/>
                <w:szCs w:val="16"/>
                <w:color w:val="auto"/>
              </w:rPr>
              <w:t>Mr. Berkes</w:t>
            </w: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125%</w:t>
            </w:r>
          </w:p>
        </w:tc>
        <w:tc>
          <w:tcPr>
            <w:tcW w:w="280" w:type="dxa"/>
            <w:vAlign w:val="bottom"/>
          </w:tcPr>
          <w:p>
            <w:pPr>
              <w:ind w:left="8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812,500</w:t>
            </w:r>
          </w:p>
        </w:tc>
        <w:tc>
          <w:tcPr>
            <w:tcW w:w="4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1,015,625</w:t>
            </w:r>
          </w:p>
        </w:tc>
        <w:tc>
          <w:tcPr>
            <w:tcW w:w="460" w:type="dxa"/>
            <w:vAlign w:val="bottom"/>
            <w:gridSpan w:val="2"/>
          </w:tcPr>
          <w:p>
            <w:pPr>
              <w:ind w:left="34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253,906</w:t>
            </w:r>
          </w:p>
        </w:tc>
        <w:tc>
          <w:tcPr>
            <w:tcW w:w="220" w:type="dxa"/>
            <w:vAlign w:val="bottom"/>
          </w:tcPr>
          <w:p>
            <w:pPr>
              <w:ind w:left="120"/>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761,719</w:t>
            </w:r>
          </w:p>
        </w:tc>
        <w:tc>
          <w:tcPr>
            <w:tcW w:w="300" w:type="dxa"/>
            <w:vAlign w:val="bottom"/>
          </w:tcPr>
          <w:p>
            <w:pPr>
              <w:ind w:left="8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1,015,625</w:t>
            </w:r>
          </w:p>
        </w:tc>
      </w:tr>
      <w:tr>
        <w:trPr>
          <w:trHeight w:val="189"/>
        </w:trPr>
        <w:tc>
          <w:tcPr>
            <w:tcW w:w="2200" w:type="dxa"/>
            <w:vAlign w:val="bottom"/>
            <w:gridSpan w:val="2"/>
          </w:tcPr>
          <w:p>
            <w:pPr>
              <w:spacing w:after="0"/>
              <w:rPr>
                <w:sz w:val="20"/>
                <w:szCs w:val="20"/>
                <w:color w:val="auto"/>
              </w:rPr>
            </w:pPr>
            <w:r>
              <w:rPr>
                <w:rFonts w:ascii="Arial" w:cs="Arial" w:eastAsia="Arial" w:hAnsi="Arial"/>
                <w:sz w:val="16"/>
                <w:szCs w:val="16"/>
                <w:color w:val="auto"/>
              </w:rPr>
              <w:t>Mr. Guglielmone</w:t>
            </w: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100%</w:t>
            </w:r>
          </w:p>
        </w:tc>
        <w:tc>
          <w:tcPr>
            <w:tcW w:w="280" w:type="dxa"/>
            <w:vAlign w:val="bottom"/>
          </w:tcPr>
          <w:p>
            <w:pPr>
              <w:ind w:left="8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575,000</w:t>
            </w:r>
          </w:p>
        </w:tc>
        <w:tc>
          <w:tcPr>
            <w:tcW w:w="4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718,750</w:t>
            </w:r>
          </w:p>
        </w:tc>
        <w:tc>
          <w:tcPr>
            <w:tcW w:w="460" w:type="dxa"/>
            <w:vAlign w:val="bottom"/>
            <w:gridSpan w:val="2"/>
          </w:tcPr>
          <w:p>
            <w:pPr>
              <w:ind w:left="34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179,688</w:t>
            </w:r>
          </w:p>
        </w:tc>
        <w:tc>
          <w:tcPr>
            <w:tcW w:w="220" w:type="dxa"/>
            <w:vAlign w:val="bottom"/>
          </w:tcPr>
          <w:p>
            <w:pPr>
              <w:ind w:left="120"/>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539,063</w:t>
            </w:r>
          </w:p>
        </w:tc>
        <w:tc>
          <w:tcPr>
            <w:tcW w:w="300" w:type="dxa"/>
            <w:vAlign w:val="bottom"/>
          </w:tcPr>
          <w:p>
            <w:pPr>
              <w:ind w:left="8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718,750</w:t>
            </w:r>
          </w:p>
        </w:tc>
      </w:tr>
      <w:tr>
        <w:trPr>
          <w:trHeight w:val="215"/>
        </w:trPr>
        <w:tc>
          <w:tcPr>
            <w:tcW w:w="2200" w:type="dxa"/>
            <w:vAlign w:val="bottom"/>
            <w:gridSpan w:val="2"/>
          </w:tcPr>
          <w:p>
            <w:pPr>
              <w:spacing w:after="0"/>
              <w:rPr>
                <w:sz w:val="20"/>
                <w:szCs w:val="20"/>
                <w:color w:val="auto"/>
              </w:rPr>
            </w:pPr>
            <w:r>
              <w:rPr>
                <w:rFonts w:ascii="Arial" w:cs="Arial" w:eastAsia="Arial" w:hAnsi="Arial"/>
                <w:sz w:val="16"/>
                <w:szCs w:val="16"/>
                <w:color w:val="auto"/>
              </w:rPr>
              <w:t>Ms. Becker</w:t>
            </w: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100%</w:t>
            </w:r>
          </w:p>
        </w:tc>
        <w:tc>
          <w:tcPr>
            <w:tcW w:w="280" w:type="dxa"/>
            <w:vAlign w:val="bottom"/>
          </w:tcPr>
          <w:p>
            <w:pPr>
              <w:ind w:left="8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575,000</w:t>
            </w:r>
          </w:p>
        </w:tc>
        <w:tc>
          <w:tcPr>
            <w:tcW w:w="4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718,750</w:t>
            </w:r>
          </w:p>
        </w:tc>
        <w:tc>
          <w:tcPr>
            <w:tcW w:w="460" w:type="dxa"/>
            <w:vAlign w:val="bottom"/>
            <w:gridSpan w:val="2"/>
          </w:tcPr>
          <w:p>
            <w:pPr>
              <w:ind w:left="34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179,688</w:t>
            </w:r>
          </w:p>
        </w:tc>
        <w:tc>
          <w:tcPr>
            <w:tcW w:w="220" w:type="dxa"/>
            <w:vAlign w:val="bottom"/>
          </w:tcPr>
          <w:p>
            <w:pPr>
              <w:ind w:left="120"/>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539,063</w:t>
            </w:r>
          </w:p>
        </w:tc>
        <w:tc>
          <w:tcPr>
            <w:tcW w:w="300" w:type="dxa"/>
            <w:vAlign w:val="bottom"/>
          </w:tcPr>
          <w:p>
            <w:pPr>
              <w:ind w:left="8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718,750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4179570</wp:posOffset>
            </wp:positionH>
            <wp:positionV relativeFrom="paragraph">
              <wp:posOffset>-743585</wp:posOffset>
            </wp:positionV>
            <wp:extent cx="21513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151380" cy="8255"/>
                    </a:xfrm>
                    <a:prstGeom prst="rect">
                      <a:avLst/>
                    </a:prstGeom>
                    <a:noFill/>
                  </pic:spPr>
                </pic:pic>
              </a:graphicData>
            </a:graphic>
          </wp:anchor>
        </w:drawing>
      </w:r>
    </w:p>
    <w:p>
      <w:pPr>
        <w:spacing w:after="0" w:line="166" w:lineRule="exact"/>
        <w:rPr>
          <w:sz w:val="20"/>
          <w:szCs w:val="20"/>
          <w:color w:val="auto"/>
        </w:rPr>
      </w:pPr>
    </w:p>
    <w:p>
      <w:pPr>
        <w:jc w:val="both"/>
        <w:ind w:left="120" w:right="20"/>
        <w:spacing w:after="0"/>
        <w:rPr>
          <w:sz w:val="20"/>
          <w:szCs w:val="20"/>
          <w:color w:val="auto"/>
        </w:rPr>
      </w:pPr>
      <w:r>
        <w:rPr>
          <w:rFonts w:ascii="Arial" w:cs="Arial" w:eastAsia="Arial" w:hAnsi="Arial"/>
          <w:sz w:val="18"/>
          <w:szCs w:val="18"/>
          <w:color w:val="auto"/>
        </w:rPr>
        <w:t>Our NEOs have the option to receive up to 25% of the final bonus payout in the form of shares that vest equally over three years with accelerated vesting on death, disability, change in control and termination without cause. In consideration of the extended payment period for this portion of the bonus already earned, the employee receives shares valued at 120% of the portion of the annual bonus he/she elects to receive in shares. This option is made available to all participants in our annual bonus plan at the level of Director and above. The cash portion of the 2023 annual bonus is reflected in the “Non-Equity Incentive Plan Compensation” column in the Summary Compensation Table in this proxy statement. The portion of the annual bonus paid in shares will be included in the “Stock Awards” column in the Summary Compensation Table and the Grants of Plan-Based Awards Table in next year’s proxy statement.</w:t>
      </w:r>
    </w:p>
    <w:p>
      <w:pPr>
        <w:spacing w:after="0" w:line="185" w:lineRule="exact"/>
        <w:rPr>
          <w:sz w:val="20"/>
          <w:szCs w:val="20"/>
          <w:color w:val="auto"/>
        </w:rPr>
      </w:pPr>
    </w:p>
    <w:p>
      <w:pPr>
        <w:jc w:val="both"/>
        <w:ind w:left="120" w:right="20"/>
        <w:spacing w:after="0" w:line="253" w:lineRule="auto"/>
        <w:rPr>
          <w:sz w:val="20"/>
          <w:szCs w:val="20"/>
          <w:color w:val="auto"/>
        </w:rPr>
      </w:pPr>
      <w:r>
        <w:rPr>
          <w:rFonts w:ascii="Arial" w:cs="Arial" w:eastAsia="Arial" w:hAnsi="Arial"/>
          <w:sz w:val="18"/>
          <w:szCs w:val="18"/>
          <w:color w:val="auto"/>
        </w:rPr>
        <w:t>In addition to the annual bonus, the Committee awarded a one-time, cash bonus of $150,000 to Mr. Guglielmone in recognition of his tremendous efforts to raise capital in a difficult market in order to refinance maturing debt in creative, cost effective ways that position the company for growth over the next several years.</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Long-Term Incentive Program</w:t>
      </w:r>
    </w:p>
    <w:p>
      <w:pPr>
        <w:spacing w:after="0" w:line="210" w:lineRule="exact"/>
        <w:rPr>
          <w:sz w:val="20"/>
          <w:szCs w:val="20"/>
          <w:color w:val="auto"/>
        </w:rPr>
      </w:pPr>
    </w:p>
    <w:p>
      <w:pPr>
        <w:jc w:val="both"/>
        <w:ind w:left="120" w:right="20"/>
        <w:spacing w:after="0" w:line="247" w:lineRule="auto"/>
        <w:rPr>
          <w:sz w:val="20"/>
          <w:szCs w:val="20"/>
          <w:color w:val="auto"/>
        </w:rPr>
      </w:pPr>
      <w:r>
        <w:rPr>
          <w:rFonts w:ascii="Arial" w:cs="Arial" w:eastAsia="Arial" w:hAnsi="Arial"/>
          <w:sz w:val="18"/>
          <w:szCs w:val="18"/>
          <w:color w:val="auto"/>
        </w:rPr>
        <w:t>The largest portion of compensation for each of our NEOs comes from our equity based long-term incentive program that aligns the interests of our NEOs with shareholders by incentivizing our NEOs to identify and accomplish medium and longer-term business objectives that generate value through share price appreciation, dividend growth and prudent capital allocation decisions. Performance for purposes of our long-term incentive program is measured against the following preset metrics.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139700</wp:posOffset>
            </wp:positionV>
            <wp:extent cx="6995160" cy="14541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995160" cy="14541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FFFFFF"/>
        </w:rPr>
        <w:t>Plan Metric</w:t>
      </w:r>
    </w:p>
    <w:p>
      <w:pPr>
        <w:spacing w:after="0" w:line="14" w:lineRule="exact"/>
        <w:rPr>
          <w:sz w:val="20"/>
          <w:szCs w:val="20"/>
          <w:color w:val="auto"/>
        </w:rPr>
      </w:pPr>
    </w:p>
    <w:p>
      <w:pPr>
        <w:ind w:left="200" w:hanging="84"/>
        <w:spacing w:after="0"/>
        <w:tabs>
          <w:tab w:leader="none" w:pos="200" w:val="left"/>
        </w:tabs>
        <w:numPr>
          <w:ilvl w:val="0"/>
          <w:numId w:val="54"/>
        </w:numPr>
        <w:rPr>
          <w:rFonts w:ascii="Arial" w:cs="Arial" w:eastAsia="Arial" w:hAnsi="Arial"/>
          <w:sz w:val="16"/>
          <w:szCs w:val="16"/>
          <w:color w:val="auto"/>
        </w:rPr>
      </w:pPr>
      <w:r>
        <w:rPr>
          <w:rFonts w:ascii="Arial" w:cs="Arial" w:eastAsia="Arial" w:hAnsi="Arial"/>
          <w:sz w:val="16"/>
          <w:szCs w:val="16"/>
          <w:color w:val="auto"/>
        </w:rPr>
        <w:t>Relative Total Shareholder Return</w:t>
      </w:r>
    </w:p>
    <w:p>
      <w:pPr>
        <w:spacing w:after="0" w:line="18" w:lineRule="exact"/>
        <w:rPr>
          <w:rFonts w:ascii="Arial" w:cs="Arial" w:eastAsia="Arial" w:hAnsi="Arial"/>
          <w:sz w:val="16"/>
          <w:szCs w:val="16"/>
          <w:color w:val="auto"/>
        </w:rPr>
      </w:pPr>
    </w:p>
    <w:p>
      <w:pPr>
        <w:ind w:left="200" w:hanging="84"/>
        <w:spacing w:after="0"/>
        <w:tabs>
          <w:tab w:leader="none" w:pos="200" w:val="left"/>
        </w:tabs>
        <w:numPr>
          <w:ilvl w:val="0"/>
          <w:numId w:val="54"/>
        </w:numPr>
        <w:rPr>
          <w:rFonts w:ascii="Arial" w:cs="Arial" w:eastAsia="Arial" w:hAnsi="Arial"/>
          <w:sz w:val="16"/>
          <w:szCs w:val="16"/>
          <w:color w:val="auto"/>
        </w:rPr>
      </w:pPr>
      <w:r>
        <w:rPr>
          <w:rFonts w:ascii="Arial" w:cs="Arial" w:eastAsia="Arial" w:hAnsi="Arial"/>
          <w:sz w:val="16"/>
          <w:szCs w:val="16"/>
          <w:color w:val="auto"/>
        </w:rPr>
        <w:t>(34% weighting)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-244475</wp:posOffset>
            </wp:positionV>
            <wp:extent cx="2520315" cy="258889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520315" cy="25888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FFFFFF"/>
        </w:rPr>
        <w:t>Description</w:t>
      </w:r>
    </w:p>
    <w:p>
      <w:pPr>
        <w:spacing w:after="0" w:line="14"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Compares our total shareholder return, taking into account share price appreciation and assuming reinvestment of dividends, against the total return achieved by the Bloomberg REIT Shopping Center Index (“BBRESHOP”) which is comprised of publicly traded companies that own and operate open air shopping centers. The Compensation Committee believes that the BBRESHOP provides an appropriate basis to compare our performance against similarly situated companies.</w:t>
      </w:r>
    </w:p>
    <w:p>
      <w:pPr>
        <w:spacing w:after="0" w:line="6" w:lineRule="exact"/>
        <w:rPr>
          <w:sz w:val="20"/>
          <w:szCs w:val="20"/>
          <w:color w:val="auto"/>
        </w:rPr>
      </w:pPr>
    </w:p>
    <w:p>
      <w:pPr>
        <w:sectPr>
          <w:pgSz w:w="11900" w:h="16838" w:orient="portrait"/>
          <w:cols w:equalWidth="0" w:num="2">
            <w:col w:w="3820" w:space="720"/>
            <w:col w:w="6600"/>
          </w:cols>
          <w:pgMar w:left="320" w:top="482" w:right="439" w:bottom="1440" w:gutter="0" w:footer="0" w:header="0"/>
          <w:type w:val="continuous"/>
        </w:sectPr>
      </w:pPr>
    </w:p>
    <w:tbl>
      <w:tblPr>
        <w:tblLayout w:type="fixed"/>
        <w:tblInd w:w="120" w:type="dxa"/>
        <w:tblCellMar>
          <w:top w:w="0" w:type="dxa"/>
          <w:left w:w="0" w:type="dxa"/>
          <w:bottom w:w="0" w:type="dxa"/>
          <w:right w:w="0" w:type="dxa"/>
        </w:tblCellMar>
      </w:tblPr>
      <w:tr>
        <w:trPr>
          <w:trHeight w:val="177"/>
        </w:trPr>
        <w:tc>
          <w:tcPr>
            <w:tcW w:w="3960" w:type="dxa"/>
            <w:vAlign w:val="bottom"/>
            <w:tcBorders>
              <w:top w:val="single" w:sz="8" w:color="auto"/>
            </w:tcBorders>
          </w:tcPr>
          <w:p>
            <w:pPr>
              <w:spacing w:after="0" w:line="177" w:lineRule="exact"/>
              <w:rPr>
                <w:sz w:val="20"/>
                <w:szCs w:val="20"/>
                <w:color w:val="auto"/>
              </w:rPr>
            </w:pPr>
            <w:r>
              <w:rPr>
                <w:rFonts w:ascii="Arial" w:cs="Arial" w:eastAsia="Arial" w:hAnsi="Arial"/>
                <w:sz w:val="18"/>
                <w:szCs w:val="18"/>
                <w:color w:val="auto"/>
              </w:rPr>
              <w:t>  FFO Multiple Premium</w:t>
            </w:r>
          </w:p>
        </w:tc>
        <w:tc>
          <w:tcPr>
            <w:tcW w:w="340" w:type="dxa"/>
            <w:vAlign w:val="bottom"/>
          </w:tcPr>
          <w:p>
            <w:pPr>
              <w:spacing w:after="0"/>
              <w:rPr>
                <w:sz w:val="15"/>
                <w:szCs w:val="15"/>
                <w:color w:val="auto"/>
              </w:rPr>
            </w:pPr>
          </w:p>
        </w:tc>
        <w:tc>
          <w:tcPr>
            <w:tcW w:w="6720" w:type="dxa"/>
            <w:vAlign w:val="bottom"/>
            <w:tcBorders>
              <w:top w:val="single" w:sz="8" w:color="auto"/>
            </w:tcBorders>
          </w:tcPr>
          <w:p>
            <w:pPr>
              <w:ind w:left="120"/>
              <w:spacing w:after="0" w:line="177" w:lineRule="exact"/>
              <w:rPr>
                <w:sz w:val="20"/>
                <w:szCs w:val="20"/>
                <w:color w:val="auto"/>
              </w:rPr>
            </w:pPr>
            <w:r>
              <w:rPr>
                <w:rFonts w:ascii="Arial" w:cs="Arial" w:eastAsia="Arial" w:hAnsi="Arial"/>
                <w:sz w:val="18"/>
                <w:szCs w:val="18"/>
                <w:color w:val="auto"/>
              </w:rPr>
              <w:t>Compares the FFO multiple at which the Company is trading at the end of the</w:t>
            </w:r>
          </w:p>
        </w:tc>
        <w:tc>
          <w:tcPr>
            <w:tcW w:w="20" w:type="dxa"/>
            <w:vAlign w:val="bottom"/>
          </w:tcPr>
          <w:p>
            <w:pPr>
              <w:spacing w:after="0"/>
              <w:rPr>
                <w:sz w:val="15"/>
                <w:szCs w:val="15"/>
                <w:color w:val="auto"/>
              </w:rPr>
            </w:pPr>
          </w:p>
        </w:tc>
      </w:tr>
      <w:tr>
        <w:trPr>
          <w:trHeight w:val="203"/>
        </w:trPr>
        <w:tc>
          <w:tcPr>
            <w:tcW w:w="4300" w:type="dxa"/>
            <w:vAlign w:val="bottom"/>
            <w:gridSpan w:val="2"/>
          </w:tcPr>
          <w:p>
            <w:pPr>
              <w:spacing w:after="0" w:line="202" w:lineRule="exact"/>
              <w:rPr>
                <w:sz w:val="20"/>
                <w:szCs w:val="20"/>
                <w:color w:val="auto"/>
              </w:rPr>
            </w:pPr>
            <w:r>
              <w:rPr>
                <w:rFonts w:ascii="Arial" w:cs="Arial" w:eastAsia="Arial" w:hAnsi="Arial"/>
                <w:sz w:val="18"/>
                <w:szCs w:val="18"/>
                <w:color w:val="auto"/>
              </w:rPr>
              <w:t>  (33% weighting)</w:t>
            </w:r>
          </w:p>
        </w:tc>
        <w:tc>
          <w:tcPr>
            <w:tcW w:w="674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performance period against the average FFO multiple at which all other public</w:t>
            </w:r>
          </w:p>
        </w:tc>
      </w:tr>
      <w:tr>
        <w:trPr>
          <w:trHeight w:val="203"/>
        </w:trPr>
        <w:tc>
          <w:tcPr>
            <w:tcW w:w="3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74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shopping center companies (other than the Company) are trading at that time. The</w:t>
            </w:r>
          </w:p>
        </w:tc>
      </w:tr>
      <w:tr>
        <w:trPr>
          <w:trHeight w:val="202"/>
        </w:trPr>
        <w:tc>
          <w:tcPr>
            <w:tcW w:w="3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74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FFO multiples are provided by a third party investment bank and serves as a</w:t>
            </w:r>
          </w:p>
        </w:tc>
      </w:tr>
      <w:tr>
        <w:trPr>
          <w:trHeight w:val="203"/>
        </w:trPr>
        <w:tc>
          <w:tcPr>
            <w:tcW w:w="3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74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measure of investor expectations of our long-term growth potential and confidence</w:t>
            </w:r>
          </w:p>
        </w:tc>
      </w:tr>
      <w:tr>
        <w:trPr>
          <w:trHeight w:val="203"/>
        </w:trPr>
        <w:tc>
          <w:tcPr>
            <w:tcW w:w="3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74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in our management team versus other publicly traded open air shopping center</w:t>
            </w:r>
          </w:p>
        </w:tc>
      </w:tr>
      <w:tr>
        <w:trPr>
          <w:trHeight w:val="234"/>
        </w:trPr>
        <w:tc>
          <w:tcPr>
            <w:tcW w:w="3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740" w:type="dxa"/>
            <w:vAlign w:val="bottom"/>
            <w:gridSpan w:val="2"/>
          </w:tcPr>
          <w:p>
            <w:pPr>
              <w:ind w:left="120"/>
              <w:spacing w:after="0"/>
              <w:rPr>
                <w:sz w:val="20"/>
                <w:szCs w:val="20"/>
                <w:color w:val="auto"/>
              </w:rPr>
            </w:pPr>
            <w:r>
              <w:rPr>
                <w:rFonts w:ascii="Arial" w:cs="Arial" w:eastAsia="Arial" w:hAnsi="Arial"/>
                <w:sz w:val="18"/>
                <w:szCs w:val="18"/>
                <w:color w:val="auto"/>
              </w:rPr>
              <w:t>companies.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2807970</wp:posOffset>
            </wp:positionH>
            <wp:positionV relativeFrom="paragraph">
              <wp:posOffset>-7620</wp:posOffset>
            </wp:positionV>
            <wp:extent cx="426021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4260215" cy="889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type w:val="continuous"/>
        </w:sectPr>
      </w:pPr>
    </w:p>
    <w:p>
      <w:pPr>
        <w:ind w:left="200" w:hanging="84"/>
        <w:spacing w:after="0"/>
        <w:tabs>
          <w:tab w:leader="none" w:pos="200" w:val="left"/>
        </w:tabs>
        <w:numPr>
          <w:ilvl w:val="0"/>
          <w:numId w:val="55"/>
        </w:numPr>
        <w:rPr>
          <w:rFonts w:ascii="Arial" w:cs="Arial" w:eastAsia="Arial" w:hAnsi="Arial"/>
          <w:sz w:val="16"/>
          <w:szCs w:val="16"/>
          <w:color w:val="auto"/>
        </w:rPr>
      </w:pPr>
      <w:r>
        <w:rPr>
          <w:rFonts w:ascii="Arial" w:cs="Arial" w:eastAsia="Arial" w:hAnsi="Arial"/>
          <w:sz w:val="16"/>
          <w:szCs w:val="16"/>
          <w:color w:val="auto"/>
        </w:rPr>
        <w:t>Return on Invested Capital</w:t>
      </w:r>
    </w:p>
    <w:p>
      <w:pPr>
        <w:spacing w:after="0" w:line="18" w:lineRule="exact"/>
        <w:rPr>
          <w:rFonts w:ascii="Arial" w:cs="Arial" w:eastAsia="Arial" w:hAnsi="Arial"/>
          <w:sz w:val="16"/>
          <w:szCs w:val="16"/>
          <w:color w:val="auto"/>
        </w:rPr>
      </w:pPr>
    </w:p>
    <w:p>
      <w:pPr>
        <w:ind w:left="200" w:hanging="84"/>
        <w:spacing w:after="0"/>
        <w:tabs>
          <w:tab w:leader="none" w:pos="200" w:val="left"/>
        </w:tabs>
        <w:numPr>
          <w:ilvl w:val="0"/>
          <w:numId w:val="55"/>
        </w:numPr>
        <w:rPr>
          <w:rFonts w:ascii="Arial" w:cs="Arial" w:eastAsia="Arial" w:hAnsi="Arial"/>
          <w:sz w:val="16"/>
          <w:szCs w:val="16"/>
          <w:color w:val="auto"/>
        </w:rPr>
      </w:pPr>
      <w:r>
        <w:rPr>
          <w:rFonts w:ascii="Arial" w:cs="Arial" w:eastAsia="Arial" w:hAnsi="Arial"/>
          <w:sz w:val="16"/>
          <w:szCs w:val="16"/>
          <w:color w:val="auto"/>
        </w:rPr>
        <w:t>(33% weighting)</w:t>
      </w:r>
    </w:p>
    <w:p>
      <w:pPr>
        <w:spacing w:after="0" w:line="20" w:lineRule="exact"/>
        <w:rPr>
          <w:sz w:val="20"/>
          <w:szCs w:val="20"/>
          <w:color w:val="auto"/>
        </w:rPr>
      </w:pPr>
      <w:r>
        <w:rPr>
          <w:sz w:val="20"/>
          <w:szCs w:val="20"/>
          <w:color w:val="auto"/>
        </w:rPr>
        <w:br w:type="column"/>
      </w:r>
    </w:p>
    <w:p>
      <w:pPr>
        <w:jc w:val="both"/>
        <w:spacing w:after="0" w:line="238" w:lineRule="auto"/>
        <w:rPr>
          <w:sz w:val="20"/>
          <w:szCs w:val="20"/>
          <w:color w:val="auto"/>
        </w:rPr>
      </w:pPr>
      <w:r>
        <w:rPr>
          <w:rFonts w:ascii="Arial" w:cs="Arial" w:eastAsia="Arial" w:hAnsi="Arial"/>
          <w:sz w:val="18"/>
          <w:szCs w:val="18"/>
          <w:color w:val="auto"/>
        </w:rPr>
        <w:t>Reflects how effectively we have allocated our shareholders’ capital during the 3-year performance period and incentivizes sound, long-term investment decisions focused on generating strong future shareholder returns. The metric encompasses all aspects of capital allocation decisions. Required performance levels are established to reflect changing market expectations as we acquire, sell and develop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-2808605</wp:posOffset>
            </wp:positionH>
            <wp:positionV relativeFrom="paragraph">
              <wp:posOffset>84455</wp:posOffset>
            </wp:positionV>
            <wp:extent cx="7003415" cy="12001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003415" cy="120015"/>
                    </a:xfrm>
                    <a:prstGeom prst="rect">
                      <a:avLst/>
                    </a:prstGeom>
                    <a:noFill/>
                  </pic:spPr>
                </pic:pic>
              </a:graphicData>
            </a:graphic>
          </wp:anchor>
        </w:drawing>
      </w:r>
    </w:p>
    <w:p>
      <w:pPr>
        <w:spacing w:after="0" w:line="137" w:lineRule="exact"/>
        <w:rPr>
          <w:sz w:val="20"/>
          <w:szCs w:val="20"/>
          <w:color w:val="auto"/>
        </w:rPr>
      </w:pPr>
    </w:p>
    <w:p>
      <w:pPr>
        <w:sectPr>
          <w:pgSz w:w="11900" w:h="16838" w:orient="portrait"/>
          <w:cols w:equalWidth="0" w:num="2">
            <w:col w:w="3820" w:space="720"/>
            <w:col w:w="6600"/>
          </w:cols>
          <w:pgMar w:left="320" w:top="482" w:right="439" w:bottom="1440" w:gutter="0" w:footer="0" w:header="0"/>
          <w:type w:val="continuous"/>
        </w:sectPr>
      </w:pPr>
    </w:p>
    <w:p>
      <w:pPr>
        <w:ind w:left="340"/>
        <w:spacing w:after="0"/>
        <w:rPr>
          <w:sz w:val="20"/>
          <w:szCs w:val="20"/>
          <w:color w:val="auto"/>
        </w:rPr>
      </w:pPr>
      <w:r>
        <w:rPr>
          <w:rFonts w:ascii="Arial" w:cs="Arial" w:eastAsia="Arial" w:hAnsi="Arial"/>
          <w:sz w:val="14"/>
          <w:szCs w:val="14"/>
          <w:color w:val="FF160F"/>
        </w:rPr>
        <w:t>Federal Realty</w:t>
      </w:r>
      <w:r>
        <w:rPr>
          <w:rFonts w:ascii="Arial" w:cs="Arial" w:eastAsia="Arial" w:hAnsi="Arial"/>
          <w:sz w:val="14"/>
          <w:szCs w:val="14"/>
          <w:color w:val="000000"/>
        </w:rPr>
        <w:t xml:space="preserve">      2024 Proxy Statement   24</w:t>
      </w:r>
    </w:p>
    <w:p>
      <w:pPr>
        <w:sectPr>
          <w:pgSz w:w="11900" w:h="16838" w:orient="portrait"/>
          <w:cols w:equalWidth="0" w:num="1">
            <w:col w:w="11140"/>
          </w:cols>
          <w:pgMar w:left="320" w:top="482" w:right="43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0"/>
        <w:spacing w:after="0" w:line="271" w:lineRule="auto"/>
        <w:rPr>
          <w:sz w:val="20"/>
          <w:szCs w:val="20"/>
          <w:color w:val="auto"/>
        </w:rPr>
      </w:pPr>
      <w:r>
        <w:rPr>
          <w:rFonts w:ascii="Arial" w:cs="Arial" w:eastAsia="Arial" w:hAnsi="Arial"/>
          <w:sz w:val="18"/>
          <w:szCs w:val="18"/>
          <w:color w:val="auto"/>
        </w:rPr>
        <w:t>The required performance levels for each of these metrics and the actual performance achieved for the 3-year performance period from 2021 through 2023 is set forth below.</w:t>
      </w:r>
    </w:p>
    <w:p>
      <w:pPr>
        <w:spacing w:after="0" w:line="199"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4060" w:type="dxa"/>
            <w:vAlign w:val="bottom"/>
            <w:shd w:val="clear" w:color="auto" w:fill="FF160F"/>
          </w:tcPr>
          <w:p>
            <w:pPr>
              <w:spacing w:after="0"/>
              <w:rPr>
                <w:sz w:val="16"/>
                <w:szCs w:val="16"/>
                <w:color w:val="auto"/>
              </w:rPr>
            </w:pPr>
          </w:p>
        </w:tc>
        <w:tc>
          <w:tcPr>
            <w:tcW w:w="1020" w:type="dxa"/>
            <w:vAlign w:val="bottom"/>
            <w:shd w:val="clear" w:color="auto" w:fill="FF160F"/>
          </w:tcPr>
          <w:p>
            <w:pPr>
              <w:spacing w:after="0"/>
              <w:rPr>
                <w:sz w:val="16"/>
                <w:szCs w:val="16"/>
                <w:color w:val="auto"/>
              </w:rPr>
            </w:pPr>
          </w:p>
        </w:tc>
        <w:tc>
          <w:tcPr>
            <w:tcW w:w="220" w:type="dxa"/>
            <w:vAlign w:val="bottom"/>
          </w:tcPr>
          <w:p>
            <w:pPr>
              <w:spacing w:after="0"/>
              <w:rPr>
                <w:sz w:val="16"/>
                <w:szCs w:val="16"/>
                <w:color w:val="auto"/>
              </w:rPr>
            </w:pPr>
          </w:p>
        </w:tc>
        <w:tc>
          <w:tcPr>
            <w:tcW w:w="3640" w:type="dxa"/>
            <w:vAlign w:val="bottom"/>
            <w:gridSpan w:val="3"/>
            <w:shd w:val="clear" w:color="auto" w:fill="FF160F"/>
          </w:tcPr>
          <w:p>
            <w:pPr>
              <w:jc w:val="center"/>
              <w:spacing w:after="0"/>
              <w:rPr>
                <w:sz w:val="20"/>
                <w:szCs w:val="20"/>
                <w:color w:val="auto"/>
              </w:rPr>
            </w:pPr>
            <w:r>
              <w:rPr>
                <w:rFonts w:ascii="Arial" w:cs="Arial" w:eastAsia="Arial" w:hAnsi="Arial"/>
                <w:sz w:val="16"/>
                <w:szCs w:val="16"/>
                <w:b w:val="1"/>
                <w:bCs w:val="1"/>
                <w:color w:val="FFFFFF"/>
                <w:w w:val="99"/>
              </w:rPr>
              <w:t>Performance Targets</w:t>
            </w:r>
          </w:p>
        </w:tc>
        <w:tc>
          <w:tcPr>
            <w:tcW w:w="220" w:type="dxa"/>
            <w:vAlign w:val="bottom"/>
            <w:tcBorders>
              <w:right w:val="single" w:sz="8" w:color="FF160F"/>
            </w:tcBorders>
          </w:tcPr>
          <w:p>
            <w:pPr>
              <w:spacing w:after="0"/>
              <w:rPr>
                <w:sz w:val="16"/>
                <w:szCs w:val="16"/>
                <w:color w:val="auto"/>
              </w:rPr>
            </w:pPr>
          </w:p>
        </w:tc>
        <w:tc>
          <w:tcPr>
            <w:tcW w:w="1860" w:type="dxa"/>
            <w:vAlign w:val="bottom"/>
            <w:gridSpan w:val="2"/>
            <w:shd w:val="clear" w:color="auto" w:fill="FF160F"/>
          </w:tcPr>
          <w:p>
            <w:pPr>
              <w:ind w:left="440"/>
              <w:spacing w:after="0"/>
              <w:rPr>
                <w:sz w:val="20"/>
                <w:szCs w:val="20"/>
                <w:color w:val="auto"/>
              </w:rPr>
            </w:pPr>
            <w:r>
              <w:rPr>
                <w:rFonts w:ascii="Arial" w:cs="Arial" w:eastAsia="Arial" w:hAnsi="Arial"/>
                <w:sz w:val="16"/>
                <w:szCs w:val="16"/>
                <w:b w:val="1"/>
                <w:bCs w:val="1"/>
                <w:color w:val="FFFFFF"/>
              </w:rPr>
              <w:t>Payout Factor</w:t>
            </w:r>
          </w:p>
        </w:tc>
        <w:tc>
          <w:tcPr>
            <w:tcW w:w="20" w:type="dxa"/>
            <w:vAlign w:val="bottom"/>
          </w:tcPr>
          <w:p>
            <w:pPr>
              <w:spacing w:after="0"/>
              <w:rPr>
                <w:sz w:val="16"/>
                <w:szCs w:val="16"/>
                <w:color w:val="auto"/>
              </w:rPr>
            </w:pPr>
          </w:p>
        </w:tc>
      </w:tr>
      <w:tr>
        <w:trPr>
          <w:trHeight w:val="203"/>
        </w:trPr>
        <w:tc>
          <w:tcPr>
            <w:tcW w:w="4060" w:type="dxa"/>
            <w:vAlign w:val="bottom"/>
            <w:shd w:val="clear" w:color="auto" w:fill="FF160F"/>
          </w:tcPr>
          <w:p>
            <w:pPr>
              <w:spacing w:after="0"/>
              <w:rPr>
                <w:sz w:val="20"/>
                <w:szCs w:val="20"/>
                <w:color w:val="auto"/>
              </w:rPr>
            </w:pPr>
            <w:r>
              <w:rPr>
                <w:rFonts w:ascii="Arial" w:cs="Arial" w:eastAsia="Arial" w:hAnsi="Arial"/>
                <w:sz w:val="16"/>
                <w:szCs w:val="16"/>
                <w:b w:val="1"/>
                <w:bCs w:val="1"/>
                <w:color w:val="FFFFFF"/>
              </w:rPr>
              <w:t>Performance Goal</w:t>
            </w:r>
          </w:p>
        </w:tc>
        <w:tc>
          <w:tcPr>
            <w:tcW w:w="1020" w:type="dxa"/>
            <w:vAlign w:val="bottom"/>
            <w:shd w:val="clear" w:color="auto" w:fill="FF160F"/>
          </w:tcPr>
          <w:p>
            <w:pPr>
              <w:jc w:val="right"/>
              <w:spacing w:after="0"/>
              <w:rPr>
                <w:sz w:val="20"/>
                <w:szCs w:val="20"/>
                <w:color w:val="auto"/>
              </w:rPr>
            </w:pPr>
            <w:r>
              <w:rPr>
                <w:rFonts w:ascii="Arial" w:cs="Arial" w:eastAsia="Arial" w:hAnsi="Arial"/>
                <w:sz w:val="16"/>
                <w:szCs w:val="16"/>
                <w:b w:val="1"/>
                <w:bCs w:val="1"/>
                <w:color w:val="FFFFFF"/>
                <w:shd w:val="clear" w:color="auto" w:fill="FF160F"/>
              </w:rPr>
              <w:t>Weighting </w:t>
            </w:r>
          </w:p>
        </w:tc>
        <w:tc>
          <w:tcPr>
            <w:tcW w:w="220" w:type="dxa"/>
            <w:vAlign w:val="bottom"/>
          </w:tcPr>
          <w:p>
            <w:pPr>
              <w:spacing w:after="0"/>
              <w:rPr>
                <w:sz w:val="17"/>
                <w:szCs w:val="17"/>
                <w:color w:val="auto"/>
              </w:rPr>
            </w:pPr>
          </w:p>
        </w:tc>
        <w:tc>
          <w:tcPr>
            <w:tcW w:w="1200" w:type="dxa"/>
            <w:vAlign w:val="bottom"/>
            <w:shd w:val="clear" w:color="auto" w:fill="FF160F"/>
          </w:tcPr>
          <w:p>
            <w:pPr>
              <w:jc w:val="center"/>
              <w:spacing w:after="0"/>
              <w:rPr>
                <w:sz w:val="20"/>
                <w:szCs w:val="20"/>
                <w:color w:val="auto"/>
              </w:rPr>
            </w:pPr>
            <w:r>
              <w:rPr>
                <w:rFonts w:ascii="Arial" w:cs="Arial" w:eastAsia="Arial" w:hAnsi="Arial"/>
                <w:sz w:val="16"/>
                <w:szCs w:val="16"/>
                <w:b w:val="1"/>
                <w:bCs w:val="1"/>
                <w:color w:val="FFFFFF"/>
              </w:rPr>
              <w:t>Threshold</w:t>
            </w:r>
          </w:p>
        </w:tc>
        <w:tc>
          <w:tcPr>
            <w:tcW w:w="1240" w:type="dxa"/>
            <w:vAlign w:val="bottom"/>
            <w:shd w:val="clear" w:color="auto" w:fill="FF160F"/>
          </w:tcPr>
          <w:p>
            <w:pPr>
              <w:ind w:left="360"/>
              <w:spacing w:after="0"/>
              <w:rPr>
                <w:sz w:val="20"/>
                <w:szCs w:val="20"/>
                <w:color w:val="auto"/>
              </w:rPr>
            </w:pPr>
            <w:r>
              <w:rPr>
                <w:rFonts w:ascii="Arial" w:cs="Arial" w:eastAsia="Arial" w:hAnsi="Arial"/>
                <w:sz w:val="16"/>
                <w:szCs w:val="16"/>
                <w:b w:val="1"/>
                <w:bCs w:val="1"/>
                <w:color w:val="FFFFFF"/>
              </w:rPr>
              <w:t>Target</w:t>
            </w:r>
          </w:p>
        </w:tc>
        <w:tc>
          <w:tcPr>
            <w:tcW w:w="1200" w:type="dxa"/>
            <w:vAlign w:val="bottom"/>
            <w:shd w:val="clear" w:color="auto" w:fill="FF160F"/>
          </w:tcPr>
          <w:p>
            <w:pPr>
              <w:jc w:val="center"/>
              <w:spacing w:after="0"/>
              <w:rPr>
                <w:sz w:val="20"/>
                <w:szCs w:val="20"/>
                <w:color w:val="auto"/>
              </w:rPr>
            </w:pPr>
            <w:r>
              <w:rPr>
                <w:rFonts w:ascii="Arial" w:cs="Arial" w:eastAsia="Arial" w:hAnsi="Arial"/>
                <w:sz w:val="16"/>
                <w:szCs w:val="16"/>
                <w:b w:val="1"/>
                <w:bCs w:val="1"/>
                <w:color w:val="FFFFFF"/>
              </w:rPr>
              <w:t>Stretch</w:t>
            </w:r>
          </w:p>
        </w:tc>
        <w:tc>
          <w:tcPr>
            <w:tcW w:w="220" w:type="dxa"/>
            <w:vAlign w:val="bottom"/>
            <w:tcBorders>
              <w:right w:val="single" w:sz="8" w:color="FF160F"/>
            </w:tcBorders>
          </w:tcPr>
          <w:p>
            <w:pPr>
              <w:spacing w:after="0"/>
              <w:rPr>
                <w:sz w:val="17"/>
                <w:szCs w:val="17"/>
                <w:color w:val="auto"/>
              </w:rPr>
            </w:pPr>
          </w:p>
        </w:tc>
        <w:tc>
          <w:tcPr>
            <w:tcW w:w="1860" w:type="dxa"/>
            <w:vAlign w:val="bottom"/>
            <w:gridSpan w:val="2"/>
            <w:shd w:val="clear" w:color="auto" w:fill="FF160F"/>
          </w:tcPr>
          <w:p>
            <w:pPr>
              <w:ind w:left="120"/>
              <w:spacing w:after="0"/>
              <w:rPr>
                <w:sz w:val="20"/>
                <w:szCs w:val="20"/>
                <w:color w:val="auto"/>
              </w:rPr>
            </w:pPr>
            <w:r>
              <w:rPr>
                <w:rFonts w:ascii="Arial" w:cs="Arial" w:eastAsia="Arial" w:hAnsi="Arial"/>
                <w:sz w:val="16"/>
                <w:szCs w:val="16"/>
                <w:b w:val="1"/>
                <w:bCs w:val="1"/>
                <w:color w:val="FFFFFF"/>
                <w:shd w:val="clear" w:color="auto" w:fill="FF160F"/>
              </w:rPr>
              <w:t>Unweighted Weighted</w:t>
            </w:r>
          </w:p>
        </w:tc>
        <w:tc>
          <w:tcPr>
            <w:tcW w:w="20" w:type="dxa"/>
            <w:vAlign w:val="bottom"/>
          </w:tcPr>
          <w:p>
            <w:pPr>
              <w:spacing w:after="0"/>
              <w:rPr>
                <w:sz w:val="17"/>
                <w:szCs w:val="17"/>
                <w:color w:val="auto"/>
              </w:rPr>
            </w:pPr>
          </w:p>
        </w:tc>
      </w:tr>
      <w:tr>
        <w:trPr>
          <w:trHeight w:val="189"/>
        </w:trPr>
        <w:tc>
          <w:tcPr>
            <w:tcW w:w="4060" w:type="dxa"/>
            <w:vAlign w:val="bottom"/>
            <w:shd w:val="clear" w:color="auto" w:fill="E5E5E5"/>
          </w:tcPr>
          <w:p>
            <w:pPr>
              <w:spacing w:after="0"/>
              <w:rPr>
                <w:sz w:val="20"/>
                <w:szCs w:val="20"/>
                <w:color w:val="auto"/>
              </w:rPr>
            </w:pPr>
            <w:r>
              <w:rPr>
                <w:rFonts w:ascii="Arial" w:cs="Arial" w:eastAsia="Arial" w:hAnsi="Arial"/>
                <w:sz w:val="16"/>
                <w:szCs w:val="16"/>
                <w:i w:val="1"/>
                <w:iCs w:val="1"/>
                <w:color w:val="auto"/>
              </w:rPr>
              <w:t>Payout as Percentage of Target</w:t>
            </w:r>
          </w:p>
        </w:tc>
        <w:tc>
          <w:tcPr>
            <w:tcW w:w="1020" w:type="dxa"/>
            <w:vAlign w:val="bottom"/>
            <w:shd w:val="clear" w:color="auto" w:fill="E5E5E5"/>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shd w:val="clear" w:color="auto" w:fill="E5E5E5"/>
          </w:tcPr>
          <w:p>
            <w:pPr>
              <w:jc w:val="right"/>
              <w:ind w:right="319"/>
              <w:spacing w:after="0"/>
              <w:rPr>
                <w:sz w:val="20"/>
                <w:szCs w:val="20"/>
                <w:color w:val="auto"/>
              </w:rPr>
            </w:pPr>
            <w:r>
              <w:rPr>
                <w:rFonts w:ascii="Arial" w:cs="Arial" w:eastAsia="Arial" w:hAnsi="Arial"/>
                <w:sz w:val="16"/>
                <w:szCs w:val="16"/>
                <w:i w:val="1"/>
                <w:iCs w:val="1"/>
                <w:color w:val="auto"/>
              </w:rPr>
              <w:t>50%</w:t>
            </w:r>
          </w:p>
        </w:tc>
        <w:tc>
          <w:tcPr>
            <w:tcW w:w="1240" w:type="dxa"/>
            <w:vAlign w:val="bottom"/>
            <w:shd w:val="clear" w:color="auto" w:fill="E5E5E5"/>
          </w:tcPr>
          <w:p>
            <w:pPr>
              <w:jc w:val="right"/>
              <w:ind w:right="319"/>
              <w:spacing w:after="0"/>
              <w:rPr>
                <w:sz w:val="20"/>
                <w:szCs w:val="20"/>
                <w:color w:val="auto"/>
              </w:rPr>
            </w:pPr>
            <w:r>
              <w:rPr>
                <w:rFonts w:ascii="Arial" w:cs="Arial" w:eastAsia="Arial" w:hAnsi="Arial"/>
                <w:sz w:val="16"/>
                <w:szCs w:val="16"/>
                <w:i w:val="1"/>
                <w:iCs w:val="1"/>
                <w:color w:val="auto"/>
              </w:rPr>
              <w:t>100%</w:t>
            </w:r>
          </w:p>
        </w:tc>
        <w:tc>
          <w:tcPr>
            <w:tcW w:w="1200" w:type="dxa"/>
            <w:vAlign w:val="bottom"/>
            <w:shd w:val="clear" w:color="auto" w:fill="E5E5E5"/>
          </w:tcPr>
          <w:p>
            <w:pPr>
              <w:jc w:val="right"/>
              <w:ind w:right="279"/>
              <w:spacing w:after="0"/>
              <w:rPr>
                <w:sz w:val="20"/>
                <w:szCs w:val="20"/>
                <w:color w:val="auto"/>
              </w:rPr>
            </w:pPr>
            <w:r>
              <w:rPr>
                <w:rFonts w:ascii="Arial" w:cs="Arial" w:eastAsia="Arial" w:hAnsi="Arial"/>
                <w:sz w:val="16"/>
                <w:szCs w:val="16"/>
                <w:i w:val="1"/>
                <w:iCs w:val="1"/>
                <w:color w:val="auto"/>
              </w:rPr>
              <w:t>150%</w:t>
            </w:r>
          </w:p>
        </w:tc>
        <w:tc>
          <w:tcPr>
            <w:tcW w:w="220" w:type="dxa"/>
            <w:vAlign w:val="bottom"/>
            <w:tcBorders>
              <w:right w:val="single" w:sz="8" w:color="E5E5E5"/>
            </w:tcBorders>
          </w:tcPr>
          <w:p>
            <w:pPr>
              <w:spacing w:after="0"/>
              <w:rPr>
                <w:sz w:val="16"/>
                <w:szCs w:val="16"/>
                <w:color w:val="auto"/>
              </w:rPr>
            </w:pPr>
          </w:p>
        </w:tc>
        <w:tc>
          <w:tcPr>
            <w:tcW w:w="1140" w:type="dxa"/>
            <w:vAlign w:val="bottom"/>
            <w:shd w:val="clear" w:color="auto" w:fill="E5E5E5"/>
          </w:tcPr>
          <w:p>
            <w:pPr>
              <w:spacing w:after="0"/>
              <w:rPr>
                <w:sz w:val="16"/>
                <w:szCs w:val="16"/>
                <w:color w:val="auto"/>
              </w:rPr>
            </w:pPr>
          </w:p>
        </w:tc>
        <w:tc>
          <w:tcPr>
            <w:tcW w:w="720" w:type="dxa"/>
            <w:vAlign w:val="bottom"/>
            <w:shd w:val="clear" w:color="auto" w:fill="E5E5E5"/>
          </w:tcPr>
          <w:p>
            <w:pPr>
              <w:spacing w:after="0"/>
              <w:rPr>
                <w:sz w:val="16"/>
                <w:szCs w:val="16"/>
                <w:color w:val="auto"/>
              </w:rPr>
            </w:pPr>
          </w:p>
        </w:tc>
        <w:tc>
          <w:tcPr>
            <w:tcW w:w="20" w:type="dxa"/>
            <w:vAlign w:val="bottom"/>
          </w:tcPr>
          <w:p>
            <w:pPr>
              <w:spacing w:after="0"/>
              <w:rPr>
                <w:sz w:val="16"/>
                <w:szCs w:val="16"/>
                <w:color w:val="auto"/>
              </w:rPr>
            </w:pPr>
          </w:p>
        </w:tc>
      </w:tr>
      <w:tr>
        <w:trPr>
          <w:trHeight w:val="175"/>
        </w:trPr>
        <w:tc>
          <w:tcPr>
            <w:tcW w:w="4060" w:type="dxa"/>
            <w:vAlign w:val="bottom"/>
          </w:tcPr>
          <w:p>
            <w:pPr>
              <w:spacing w:after="0" w:line="175" w:lineRule="exact"/>
              <w:rPr>
                <w:sz w:val="20"/>
                <w:szCs w:val="20"/>
                <w:color w:val="auto"/>
              </w:rPr>
            </w:pPr>
            <w:r>
              <w:rPr>
                <w:rFonts w:ascii="Arial" w:cs="Arial" w:eastAsia="Arial" w:hAnsi="Arial"/>
                <w:sz w:val="16"/>
                <w:szCs w:val="16"/>
                <w:color w:val="auto"/>
              </w:rPr>
              <w:t>Relative Total TSR</w:t>
            </w:r>
          </w:p>
        </w:tc>
        <w:tc>
          <w:tcPr>
            <w:tcW w:w="1020" w:type="dxa"/>
            <w:vAlign w:val="bottom"/>
          </w:tcPr>
          <w:p>
            <w:pPr>
              <w:jc w:val="right"/>
              <w:ind w:right="179"/>
              <w:spacing w:after="0" w:line="175" w:lineRule="exact"/>
              <w:rPr>
                <w:sz w:val="20"/>
                <w:szCs w:val="20"/>
                <w:color w:val="auto"/>
              </w:rPr>
            </w:pPr>
            <w:r>
              <w:rPr>
                <w:rFonts w:ascii="Arial" w:cs="Arial" w:eastAsia="Arial" w:hAnsi="Arial"/>
                <w:sz w:val="16"/>
                <w:szCs w:val="16"/>
                <w:color w:val="auto"/>
              </w:rPr>
              <w:t>34%</w:t>
            </w:r>
          </w:p>
        </w:tc>
        <w:tc>
          <w:tcPr>
            <w:tcW w:w="220" w:type="dxa"/>
            <w:vAlign w:val="bottom"/>
          </w:tcPr>
          <w:p>
            <w:pPr>
              <w:spacing w:after="0"/>
              <w:rPr>
                <w:sz w:val="15"/>
                <w:szCs w:val="15"/>
                <w:color w:val="auto"/>
              </w:rPr>
            </w:pPr>
          </w:p>
        </w:tc>
        <w:tc>
          <w:tcPr>
            <w:tcW w:w="1200" w:type="dxa"/>
            <w:vAlign w:val="bottom"/>
          </w:tcPr>
          <w:p>
            <w:pPr>
              <w:jc w:val="center"/>
              <w:spacing w:after="0" w:line="175" w:lineRule="exact"/>
              <w:rPr>
                <w:sz w:val="20"/>
                <w:szCs w:val="20"/>
                <w:color w:val="auto"/>
              </w:rPr>
            </w:pPr>
            <w:r>
              <w:rPr>
                <w:rFonts w:ascii="Arial" w:cs="Arial" w:eastAsia="Arial" w:hAnsi="Arial"/>
                <w:sz w:val="16"/>
                <w:szCs w:val="16"/>
                <w:color w:val="auto"/>
              </w:rPr>
              <w:t>5% &lt; Index</w:t>
            </w:r>
          </w:p>
        </w:tc>
        <w:tc>
          <w:tcPr>
            <w:tcW w:w="1240" w:type="dxa"/>
            <w:vAlign w:val="bottom"/>
          </w:tcPr>
          <w:p>
            <w:pPr>
              <w:jc w:val="center"/>
              <w:spacing w:after="0" w:line="175" w:lineRule="exact"/>
              <w:rPr>
                <w:sz w:val="20"/>
                <w:szCs w:val="20"/>
                <w:color w:val="auto"/>
              </w:rPr>
            </w:pPr>
            <w:r>
              <w:rPr>
                <w:rFonts w:ascii="Arial" w:cs="Arial" w:eastAsia="Arial" w:hAnsi="Arial"/>
                <w:sz w:val="16"/>
                <w:szCs w:val="16"/>
                <w:color w:val="auto"/>
              </w:rPr>
              <w:t>Index</w:t>
            </w:r>
          </w:p>
        </w:tc>
        <w:tc>
          <w:tcPr>
            <w:tcW w:w="1200" w:type="dxa"/>
            <w:vAlign w:val="bottom"/>
          </w:tcPr>
          <w:p>
            <w:pPr>
              <w:jc w:val="center"/>
              <w:spacing w:after="0" w:line="175" w:lineRule="exact"/>
              <w:rPr>
                <w:sz w:val="20"/>
                <w:szCs w:val="20"/>
                <w:color w:val="auto"/>
              </w:rPr>
            </w:pPr>
            <w:r>
              <w:rPr>
                <w:rFonts w:ascii="Arial" w:cs="Arial" w:eastAsia="Arial" w:hAnsi="Arial"/>
                <w:sz w:val="16"/>
                <w:szCs w:val="16"/>
                <w:color w:val="auto"/>
              </w:rPr>
              <w:t>5% &gt; Index</w:t>
            </w:r>
          </w:p>
        </w:tc>
        <w:tc>
          <w:tcPr>
            <w:tcW w:w="220" w:type="dxa"/>
            <w:vAlign w:val="bottom"/>
          </w:tcPr>
          <w:p>
            <w:pPr>
              <w:spacing w:after="0"/>
              <w:rPr>
                <w:sz w:val="15"/>
                <w:szCs w:val="15"/>
                <w:color w:val="auto"/>
              </w:rPr>
            </w:pPr>
          </w:p>
        </w:tc>
        <w:tc>
          <w:tcPr>
            <w:tcW w:w="1140" w:type="dxa"/>
            <w:vAlign w:val="bottom"/>
          </w:tcPr>
          <w:p>
            <w:pPr>
              <w:jc w:val="center"/>
              <w:spacing w:after="0" w:line="175" w:lineRule="exact"/>
              <w:rPr>
                <w:sz w:val="20"/>
                <w:szCs w:val="20"/>
                <w:color w:val="auto"/>
              </w:rPr>
            </w:pPr>
            <w:r>
              <w:rPr>
                <w:rFonts w:ascii="Arial" w:cs="Arial" w:eastAsia="Arial" w:hAnsi="Arial"/>
                <w:sz w:val="16"/>
                <w:szCs w:val="16"/>
                <w:color w:val="auto"/>
                <w:w w:val="99"/>
              </w:rPr>
              <w:t>53%</w:t>
            </w:r>
          </w:p>
        </w:tc>
        <w:tc>
          <w:tcPr>
            <w:tcW w:w="720" w:type="dxa"/>
            <w:vAlign w:val="bottom"/>
          </w:tcPr>
          <w:p>
            <w:pPr>
              <w:jc w:val="center"/>
              <w:spacing w:after="0" w:line="175" w:lineRule="exact"/>
              <w:rPr>
                <w:sz w:val="20"/>
                <w:szCs w:val="20"/>
                <w:color w:val="auto"/>
              </w:rPr>
            </w:pPr>
            <w:r>
              <w:rPr>
                <w:rFonts w:ascii="Arial" w:cs="Arial" w:eastAsia="Arial" w:hAnsi="Arial"/>
                <w:sz w:val="16"/>
                <w:szCs w:val="16"/>
                <w:color w:val="auto"/>
              </w:rPr>
              <w:t>18.0%</w:t>
            </w:r>
          </w:p>
        </w:tc>
        <w:tc>
          <w:tcPr>
            <w:tcW w:w="20" w:type="dxa"/>
            <w:vAlign w:val="bottom"/>
          </w:tcPr>
          <w:p>
            <w:pPr>
              <w:spacing w:after="0"/>
              <w:rPr>
                <w:sz w:val="15"/>
                <w:szCs w:val="15"/>
                <w:color w:val="auto"/>
              </w:rPr>
            </w:pPr>
          </w:p>
        </w:tc>
      </w:tr>
      <w:tr>
        <w:trPr>
          <w:trHeight w:val="189"/>
        </w:trPr>
        <w:tc>
          <w:tcPr>
            <w:tcW w:w="4060" w:type="dxa"/>
            <w:vAlign w:val="bottom"/>
          </w:tcPr>
          <w:p>
            <w:pPr>
              <w:spacing w:after="0"/>
              <w:rPr>
                <w:sz w:val="20"/>
                <w:szCs w:val="20"/>
                <w:color w:val="auto"/>
              </w:rPr>
            </w:pPr>
            <w:r>
              <w:rPr>
                <w:rFonts w:ascii="Arial" w:cs="Arial" w:eastAsia="Arial" w:hAnsi="Arial"/>
                <w:sz w:val="16"/>
                <w:szCs w:val="16"/>
                <w:color w:val="auto"/>
              </w:rPr>
              <w:t>FFO Multiple Premium</w:t>
            </w:r>
          </w:p>
        </w:tc>
        <w:tc>
          <w:tcPr>
            <w:tcW w:w="1020" w:type="dxa"/>
            <w:vAlign w:val="bottom"/>
          </w:tcPr>
          <w:p>
            <w:pPr>
              <w:jc w:val="right"/>
              <w:ind w:right="179"/>
              <w:spacing w:after="0"/>
              <w:rPr>
                <w:sz w:val="20"/>
                <w:szCs w:val="20"/>
                <w:color w:val="auto"/>
              </w:rPr>
            </w:pPr>
            <w:r>
              <w:rPr>
                <w:rFonts w:ascii="Arial" w:cs="Arial" w:eastAsia="Arial" w:hAnsi="Arial"/>
                <w:sz w:val="16"/>
                <w:szCs w:val="16"/>
                <w:color w:val="auto"/>
              </w:rPr>
              <w:t>33%</w:t>
            </w:r>
          </w:p>
        </w:tc>
        <w:tc>
          <w:tcPr>
            <w:tcW w:w="22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Arial" w:cs="Arial" w:eastAsia="Arial" w:hAnsi="Arial"/>
                <w:sz w:val="16"/>
                <w:szCs w:val="16"/>
                <w:color w:val="auto"/>
              </w:rPr>
              <w:t>5% Premium</w:t>
            </w:r>
          </w:p>
        </w:tc>
        <w:tc>
          <w:tcPr>
            <w:tcW w:w="1240" w:type="dxa"/>
            <w:vAlign w:val="bottom"/>
          </w:tcPr>
          <w:p>
            <w:pPr>
              <w:jc w:val="center"/>
              <w:spacing w:after="0"/>
              <w:rPr>
                <w:sz w:val="20"/>
                <w:szCs w:val="20"/>
                <w:color w:val="auto"/>
              </w:rPr>
            </w:pPr>
            <w:r>
              <w:rPr>
                <w:rFonts w:ascii="Arial" w:cs="Arial" w:eastAsia="Arial" w:hAnsi="Arial"/>
                <w:sz w:val="16"/>
                <w:szCs w:val="16"/>
                <w:color w:val="auto"/>
              </w:rPr>
              <w:t>15% Premium</w:t>
            </w:r>
          </w:p>
        </w:tc>
        <w:tc>
          <w:tcPr>
            <w:tcW w:w="1200" w:type="dxa"/>
            <w:vAlign w:val="bottom"/>
          </w:tcPr>
          <w:p>
            <w:pPr>
              <w:jc w:val="center"/>
              <w:spacing w:after="0"/>
              <w:rPr>
                <w:sz w:val="20"/>
                <w:szCs w:val="20"/>
                <w:color w:val="auto"/>
              </w:rPr>
            </w:pPr>
            <w:r>
              <w:rPr>
                <w:rFonts w:ascii="Arial" w:cs="Arial" w:eastAsia="Arial" w:hAnsi="Arial"/>
                <w:sz w:val="16"/>
                <w:szCs w:val="16"/>
                <w:color w:val="auto"/>
              </w:rPr>
              <w:t>20% Premium</w:t>
            </w:r>
          </w:p>
        </w:tc>
        <w:tc>
          <w:tcPr>
            <w:tcW w:w="1360" w:type="dxa"/>
            <w:vAlign w:val="bottom"/>
            <w:gridSpan w:val="2"/>
          </w:tcPr>
          <w:p>
            <w:pPr>
              <w:jc w:val="center"/>
              <w:ind w:left="159"/>
              <w:spacing w:after="0"/>
              <w:rPr>
                <w:sz w:val="20"/>
                <w:szCs w:val="20"/>
                <w:color w:val="auto"/>
              </w:rPr>
            </w:pPr>
            <w:r>
              <w:rPr>
                <w:rFonts w:ascii="Arial" w:cs="Arial" w:eastAsia="Arial" w:hAnsi="Arial"/>
                <w:sz w:val="16"/>
                <w:szCs w:val="16"/>
                <w:color w:val="auto"/>
                <w:w w:val="97"/>
              </w:rPr>
              <w:t>118%</w:t>
            </w:r>
          </w:p>
        </w:tc>
        <w:tc>
          <w:tcPr>
            <w:tcW w:w="720" w:type="dxa"/>
            <w:vAlign w:val="bottom"/>
          </w:tcPr>
          <w:p>
            <w:pPr>
              <w:jc w:val="center"/>
              <w:spacing w:after="0"/>
              <w:rPr>
                <w:sz w:val="20"/>
                <w:szCs w:val="20"/>
                <w:color w:val="auto"/>
              </w:rPr>
            </w:pPr>
            <w:r>
              <w:rPr>
                <w:rFonts w:ascii="Arial" w:cs="Arial" w:eastAsia="Arial" w:hAnsi="Arial"/>
                <w:sz w:val="16"/>
                <w:szCs w:val="16"/>
                <w:color w:val="auto"/>
              </w:rPr>
              <w:t>38.9%</w:t>
            </w:r>
          </w:p>
        </w:tc>
        <w:tc>
          <w:tcPr>
            <w:tcW w:w="20" w:type="dxa"/>
            <w:vAlign w:val="bottom"/>
          </w:tcPr>
          <w:p>
            <w:pPr>
              <w:spacing w:after="0"/>
              <w:rPr>
                <w:sz w:val="16"/>
                <w:szCs w:val="16"/>
                <w:color w:val="auto"/>
              </w:rPr>
            </w:pPr>
          </w:p>
        </w:tc>
      </w:tr>
      <w:tr>
        <w:trPr>
          <w:trHeight w:val="203"/>
        </w:trPr>
        <w:tc>
          <w:tcPr>
            <w:tcW w:w="4060" w:type="dxa"/>
            <w:vAlign w:val="bottom"/>
          </w:tcPr>
          <w:p>
            <w:pPr>
              <w:spacing w:after="0"/>
              <w:rPr>
                <w:sz w:val="20"/>
                <w:szCs w:val="20"/>
                <w:color w:val="auto"/>
              </w:rPr>
            </w:pPr>
            <w:r>
              <w:rPr>
                <w:rFonts w:ascii="Arial" w:cs="Arial" w:eastAsia="Arial" w:hAnsi="Arial"/>
                <w:sz w:val="16"/>
                <w:szCs w:val="16"/>
                <w:color w:val="auto"/>
              </w:rPr>
              <w:t>Return on Invested Capital</w:t>
            </w:r>
          </w:p>
        </w:tc>
        <w:tc>
          <w:tcPr>
            <w:tcW w:w="1020" w:type="dxa"/>
            <w:vAlign w:val="bottom"/>
          </w:tcPr>
          <w:p>
            <w:pPr>
              <w:jc w:val="right"/>
              <w:ind w:right="179"/>
              <w:spacing w:after="0"/>
              <w:rPr>
                <w:sz w:val="20"/>
                <w:szCs w:val="20"/>
                <w:color w:val="auto"/>
              </w:rPr>
            </w:pPr>
            <w:r>
              <w:rPr>
                <w:rFonts w:ascii="Arial" w:cs="Arial" w:eastAsia="Arial" w:hAnsi="Arial"/>
                <w:sz w:val="16"/>
                <w:szCs w:val="16"/>
                <w:color w:val="auto"/>
              </w:rPr>
              <w:t>33%</w:t>
            </w:r>
          </w:p>
        </w:tc>
        <w:tc>
          <w:tcPr>
            <w:tcW w:w="1420" w:type="dxa"/>
            <w:vAlign w:val="bottom"/>
            <w:gridSpan w:val="2"/>
          </w:tcPr>
          <w:p>
            <w:pPr>
              <w:jc w:val="right"/>
              <w:ind w:right="259"/>
              <w:spacing w:after="0"/>
              <w:rPr>
                <w:sz w:val="20"/>
                <w:szCs w:val="20"/>
                <w:color w:val="auto"/>
              </w:rPr>
            </w:pPr>
            <w:r>
              <w:rPr>
                <w:rFonts w:ascii="Arial" w:cs="Arial" w:eastAsia="Arial" w:hAnsi="Arial"/>
                <w:sz w:val="16"/>
                <w:szCs w:val="16"/>
                <w:color w:val="auto"/>
              </w:rPr>
              <w:t>6.00%</w:t>
            </w:r>
          </w:p>
        </w:tc>
        <w:tc>
          <w:tcPr>
            <w:tcW w:w="1240" w:type="dxa"/>
            <w:vAlign w:val="bottom"/>
          </w:tcPr>
          <w:p>
            <w:pPr>
              <w:jc w:val="right"/>
              <w:ind w:right="299"/>
              <w:spacing w:after="0"/>
              <w:rPr>
                <w:sz w:val="20"/>
                <w:szCs w:val="20"/>
                <w:color w:val="auto"/>
              </w:rPr>
            </w:pPr>
            <w:r>
              <w:rPr>
                <w:rFonts w:ascii="Arial" w:cs="Arial" w:eastAsia="Arial" w:hAnsi="Arial"/>
                <w:sz w:val="16"/>
                <w:szCs w:val="16"/>
                <w:color w:val="auto"/>
              </w:rPr>
              <w:t>6.25%</w:t>
            </w:r>
          </w:p>
        </w:tc>
        <w:tc>
          <w:tcPr>
            <w:tcW w:w="1200" w:type="dxa"/>
            <w:vAlign w:val="bottom"/>
          </w:tcPr>
          <w:p>
            <w:pPr>
              <w:jc w:val="right"/>
              <w:ind w:right="259"/>
              <w:spacing w:after="0"/>
              <w:rPr>
                <w:sz w:val="20"/>
                <w:szCs w:val="20"/>
                <w:color w:val="auto"/>
              </w:rPr>
            </w:pPr>
            <w:r>
              <w:rPr>
                <w:rFonts w:ascii="Arial" w:cs="Arial" w:eastAsia="Arial" w:hAnsi="Arial"/>
                <w:sz w:val="16"/>
                <w:szCs w:val="16"/>
                <w:color w:val="auto"/>
              </w:rPr>
              <w:t>6.50%</w:t>
            </w:r>
          </w:p>
        </w:tc>
        <w:tc>
          <w:tcPr>
            <w:tcW w:w="1360" w:type="dxa"/>
            <w:vAlign w:val="bottom"/>
            <w:gridSpan w:val="2"/>
          </w:tcPr>
          <w:p>
            <w:pPr>
              <w:jc w:val="center"/>
              <w:ind w:left="179"/>
              <w:spacing w:after="0"/>
              <w:rPr>
                <w:sz w:val="20"/>
                <w:szCs w:val="20"/>
                <w:color w:val="auto"/>
              </w:rPr>
            </w:pPr>
            <w:r>
              <w:rPr>
                <w:rFonts w:ascii="Arial" w:cs="Arial" w:eastAsia="Arial" w:hAnsi="Arial"/>
                <w:sz w:val="16"/>
                <w:szCs w:val="16"/>
                <w:color w:val="auto"/>
              </w:rPr>
              <w:t>150%</w:t>
            </w:r>
          </w:p>
        </w:tc>
        <w:tc>
          <w:tcPr>
            <w:tcW w:w="720" w:type="dxa"/>
            <w:vAlign w:val="bottom"/>
          </w:tcPr>
          <w:p>
            <w:pPr>
              <w:jc w:val="center"/>
              <w:spacing w:after="0"/>
              <w:rPr>
                <w:sz w:val="20"/>
                <w:szCs w:val="20"/>
                <w:color w:val="auto"/>
              </w:rPr>
            </w:pPr>
            <w:r>
              <w:rPr>
                <w:rFonts w:ascii="Arial" w:cs="Arial" w:eastAsia="Arial" w:hAnsi="Arial"/>
                <w:sz w:val="16"/>
                <w:szCs w:val="16"/>
                <w:color w:val="auto"/>
              </w:rPr>
              <w:t>49.5%</w:t>
            </w:r>
          </w:p>
        </w:tc>
        <w:tc>
          <w:tcPr>
            <w:tcW w:w="20" w:type="dxa"/>
            <w:vAlign w:val="bottom"/>
          </w:tcPr>
          <w:p>
            <w:pPr>
              <w:spacing w:after="0"/>
              <w:rPr>
                <w:sz w:val="17"/>
                <w:szCs w:val="17"/>
                <w:color w:val="auto"/>
              </w:rPr>
            </w:pPr>
          </w:p>
        </w:tc>
      </w:tr>
      <w:tr>
        <w:trPr>
          <w:trHeight w:val="183"/>
        </w:trPr>
        <w:tc>
          <w:tcPr>
            <w:tcW w:w="40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ind w:left="100"/>
              <w:spacing w:after="0" w:line="183" w:lineRule="exact"/>
              <w:rPr>
                <w:sz w:val="20"/>
                <w:szCs w:val="20"/>
                <w:color w:val="auto"/>
              </w:rPr>
            </w:pPr>
            <w:r>
              <w:rPr>
                <w:rFonts w:ascii="Arial" w:cs="Arial" w:eastAsia="Arial" w:hAnsi="Arial"/>
                <w:sz w:val="16"/>
                <w:szCs w:val="16"/>
                <w:b w:val="1"/>
                <w:bCs w:val="1"/>
                <w:color w:val="auto"/>
              </w:rPr>
              <w:t>Final Payout</w:t>
            </w:r>
          </w:p>
        </w:tc>
        <w:tc>
          <w:tcPr>
            <w:tcW w:w="720" w:type="dxa"/>
            <w:vAlign w:val="bottom"/>
            <w:tcBorders>
              <w:top w:val="single" w:sz="8" w:color="auto"/>
              <w:bottom w:val="single" w:sz="8" w:color="auto"/>
            </w:tcBorders>
          </w:tcPr>
          <w:p>
            <w:pPr>
              <w:jc w:val="center"/>
              <w:spacing w:after="0" w:line="183" w:lineRule="exact"/>
              <w:rPr>
                <w:sz w:val="20"/>
                <w:szCs w:val="20"/>
                <w:color w:val="auto"/>
              </w:rPr>
            </w:pPr>
            <w:r>
              <w:rPr>
                <w:rFonts w:ascii="Arial" w:cs="Arial" w:eastAsia="Arial" w:hAnsi="Arial"/>
                <w:sz w:val="16"/>
                <w:szCs w:val="16"/>
                <w:b w:val="1"/>
                <w:bCs w:val="1"/>
                <w:color w:val="auto"/>
                <w:w w:val="99"/>
              </w:rPr>
              <w:t>106.4%</w:t>
            </w:r>
          </w:p>
        </w:tc>
        <w:tc>
          <w:tcPr>
            <w:tcW w:w="20" w:type="dxa"/>
            <w:vAlign w:val="bottom"/>
            <w:tcBorders>
              <w:top w:val="single" w:sz="8" w:color="auto"/>
              <w:bottom w:val="single" w:sz="8" w:color="auto"/>
            </w:tcBorders>
            <w:shd w:val="clear" w:color="auto" w:fill="000000"/>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3510915</wp:posOffset>
            </wp:positionH>
            <wp:positionV relativeFrom="paragraph">
              <wp:posOffset>-745490</wp:posOffset>
            </wp:positionV>
            <wp:extent cx="355727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177" w:lineRule="exact"/>
        <w:rPr>
          <w:sz w:val="20"/>
          <w:szCs w:val="20"/>
          <w:color w:val="auto"/>
        </w:rPr>
      </w:pPr>
    </w:p>
    <w:p>
      <w:pPr>
        <w:jc w:val="both"/>
        <w:ind w:left="120"/>
        <w:spacing w:after="0" w:line="247" w:lineRule="auto"/>
        <w:rPr>
          <w:sz w:val="20"/>
          <w:szCs w:val="20"/>
          <w:color w:val="auto"/>
        </w:rPr>
      </w:pPr>
      <w:r>
        <w:rPr>
          <w:rFonts w:ascii="Arial" w:cs="Arial" w:eastAsia="Arial" w:hAnsi="Arial"/>
          <w:sz w:val="18"/>
          <w:szCs w:val="18"/>
          <w:color w:val="auto"/>
        </w:rPr>
        <w:t>The Compensation Committee has the right to increase or decrease each NEO’s award under our long-term incentive program by up to 20% to reflect individual performance and chose not to exercise that discretion for any of our NEOs. See the discussions on pages 26-27 for the factors considered by the Compensation Committee in determining the final long-term incentive awards payable to our NEOs for the 2021 through 2023 performance period.</w:t>
      </w:r>
    </w:p>
    <w:p>
      <w:pPr>
        <w:spacing w:after="0" w:line="174" w:lineRule="exact"/>
        <w:rPr>
          <w:sz w:val="20"/>
          <w:szCs w:val="20"/>
          <w:color w:val="auto"/>
        </w:rPr>
      </w:pPr>
    </w:p>
    <w:p>
      <w:pPr>
        <w:jc w:val="both"/>
        <w:ind w:left="120" w:right="20"/>
        <w:spacing w:after="0" w:line="247" w:lineRule="auto"/>
        <w:rPr>
          <w:sz w:val="20"/>
          <w:szCs w:val="20"/>
          <w:color w:val="auto"/>
        </w:rPr>
      </w:pPr>
      <w:r>
        <w:rPr>
          <w:rFonts w:ascii="Arial" w:cs="Arial" w:eastAsia="Arial" w:hAnsi="Arial"/>
          <w:sz w:val="18"/>
          <w:szCs w:val="18"/>
          <w:color w:val="auto"/>
        </w:rPr>
        <w:t>The equity awards under our long-term incentive program are paid in the form of restricted shares that are issued after completion of the 3-year performance period and then vest equally over an additional period of 3 years from the date they are earned and issued. As a result, each NEO is required to hold all of their earned shares for 1 year after they have been earned, two-thirds of their earned shares for 2 years after they are earned and one-third of their earned shares for 3 years after they are earned.</w:t>
      </w:r>
    </w:p>
    <w:p>
      <w:pPr>
        <w:spacing w:after="0" w:line="220"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4360" w:type="dxa"/>
            <w:vAlign w:val="bottom"/>
            <w:shd w:val="clear" w:color="auto" w:fill="FF160F"/>
          </w:tcPr>
          <w:p>
            <w:pPr>
              <w:ind w:left="1320"/>
              <w:spacing w:after="0"/>
              <w:rPr>
                <w:sz w:val="20"/>
                <w:szCs w:val="20"/>
                <w:color w:val="auto"/>
              </w:rPr>
            </w:pPr>
            <w:r>
              <w:rPr>
                <w:rFonts w:ascii="Arial" w:cs="Arial" w:eastAsia="Arial" w:hAnsi="Arial"/>
                <w:sz w:val="18"/>
                <w:szCs w:val="18"/>
                <w:b w:val="1"/>
                <w:bCs w:val="1"/>
                <w:color w:val="FFFFFF"/>
              </w:rPr>
              <w:t>Performance Period</w:t>
            </w:r>
          </w:p>
        </w:tc>
        <w:tc>
          <w:tcPr>
            <w:tcW w:w="3040" w:type="dxa"/>
            <w:vAlign w:val="bottom"/>
            <w:shd w:val="clear" w:color="auto" w:fill="FF160F"/>
          </w:tcPr>
          <w:p>
            <w:pPr>
              <w:ind w:left="760"/>
              <w:spacing w:after="0"/>
              <w:rPr>
                <w:sz w:val="20"/>
                <w:szCs w:val="20"/>
                <w:color w:val="auto"/>
              </w:rPr>
            </w:pPr>
            <w:r>
              <w:rPr>
                <w:rFonts w:ascii="Arial" w:cs="Arial" w:eastAsia="Arial" w:hAnsi="Arial"/>
                <w:sz w:val="18"/>
                <w:szCs w:val="18"/>
                <w:b w:val="1"/>
                <w:bCs w:val="1"/>
                <w:color w:val="FFFFFF"/>
              </w:rPr>
              <w:t>Award Earned</w:t>
            </w:r>
          </w:p>
        </w:tc>
        <w:tc>
          <w:tcPr>
            <w:tcW w:w="3620" w:type="dxa"/>
            <w:vAlign w:val="bottom"/>
            <w:shd w:val="clear" w:color="auto" w:fill="FF160F"/>
          </w:tcPr>
          <w:p>
            <w:pPr>
              <w:ind w:left="1100"/>
              <w:spacing w:after="0"/>
              <w:rPr>
                <w:sz w:val="20"/>
                <w:szCs w:val="20"/>
                <w:color w:val="auto"/>
              </w:rPr>
            </w:pPr>
            <w:r>
              <w:rPr>
                <w:rFonts w:ascii="Arial" w:cs="Arial" w:eastAsia="Arial" w:hAnsi="Arial"/>
                <w:sz w:val="18"/>
                <w:szCs w:val="18"/>
                <w:b w:val="1"/>
                <w:bCs w:val="1"/>
                <w:color w:val="FFFFFF"/>
              </w:rPr>
              <w:t>Shares Vest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137160</wp:posOffset>
            </wp:positionV>
            <wp:extent cx="5186045" cy="3346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186045" cy="334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ind w:left="120" w:right="20"/>
        <w:spacing w:after="0" w:line="271" w:lineRule="auto"/>
        <w:rPr>
          <w:sz w:val="20"/>
          <w:szCs w:val="20"/>
          <w:color w:val="auto"/>
        </w:rPr>
      </w:pPr>
      <w:r>
        <w:rPr>
          <w:rFonts w:ascii="Arial" w:cs="Arial" w:eastAsia="Arial" w:hAnsi="Arial"/>
          <w:sz w:val="18"/>
          <w:szCs w:val="18"/>
          <w:color w:val="auto"/>
        </w:rPr>
        <w:t>The actual number of shares awarded to each of our NEOs is determined by dividing the amount of the award by the closing price of our shares on the NYSE on the date the awards are made.</w:t>
      </w:r>
    </w:p>
    <w:p>
      <w:pPr>
        <w:spacing w:after="0" w:line="154" w:lineRule="exact"/>
        <w:rPr>
          <w:sz w:val="20"/>
          <w:szCs w:val="20"/>
          <w:color w:val="auto"/>
        </w:rPr>
      </w:pPr>
    </w:p>
    <w:p>
      <w:pPr>
        <w:jc w:val="both"/>
        <w:ind w:left="120" w:right="20"/>
        <w:spacing w:after="0" w:line="247" w:lineRule="auto"/>
        <w:rPr>
          <w:sz w:val="20"/>
          <w:szCs w:val="20"/>
          <w:color w:val="auto"/>
        </w:rPr>
      </w:pPr>
      <w:r>
        <w:rPr>
          <w:rFonts w:ascii="Arial" w:cs="Arial" w:eastAsia="Arial" w:hAnsi="Arial"/>
          <w:sz w:val="18"/>
          <w:szCs w:val="18"/>
          <w:color w:val="auto"/>
        </w:rPr>
        <w:t>There is no amount included in the Summary Compensation Table or Grants of Plan-Based Awards Table in this proxy statement for long-term incentive awards earned for the 2021-2023 performance period. Those amounts will be included in next year’s proxy statement. The long-term incentive awards included in the Summary Compensation Table and the Grants of Plan-Based Awards Table for our NEOs in this proxy statement relate to awards made in February 2023 for the 3-year performance period ending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79375</wp:posOffset>
            </wp:positionV>
            <wp:extent cx="7003415" cy="12001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003415" cy="120015"/>
                    </a:xfrm>
                    <a:prstGeom prst="rect">
                      <a:avLst/>
                    </a:prstGeom>
                    <a:noFill/>
                  </pic:spPr>
                </pic:pic>
              </a:graphicData>
            </a:graphic>
          </wp:anchor>
        </w:drawing>
      </w:r>
    </w:p>
    <w:p>
      <w:pPr>
        <w:spacing w:after="0" w:line="110" w:lineRule="exact"/>
        <w:rPr>
          <w:sz w:val="20"/>
          <w:szCs w:val="20"/>
          <w:color w:val="auto"/>
        </w:rPr>
      </w:pPr>
    </w:p>
    <w:p>
      <w:pPr>
        <w:ind w:left="8080"/>
        <w:spacing w:after="0"/>
        <w:rPr>
          <w:sz w:val="20"/>
          <w:szCs w:val="20"/>
          <w:color w:val="auto"/>
        </w:rPr>
      </w:pPr>
      <w:r>
        <w:rPr>
          <w:rFonts w:ascii="Arial" w:cs="Arial" w:eastAsia="Arial" w:hAnsi="Arial"/>
          <w:sz w:val="14"/>
          <w:szCs w:val="14"/>
          <w:color w:val="FF160F"/>
        </w:rPr>
        <w:t>Federal Realty</w:t>
      </w:r>
      <w:r>
        <w:rPr>
          <w:rFonts w:ascii="Arial" w:cs="Arial" w:eastAsia="Arial" w:hAnsi="Arial"/>
          <w:sz w:val="14"/>
          <w:szCs w:val="14"/>
          <w:color w:val="000000"/>
        </w:rPr>
        <w:t xml:space="preserve">      2024 Proxy Statement   25</w:t>
      </w:r>
    </w:p>
    <w:p>
      <w:pPr>
        <w:sectPr>
          <w:pgSz w:w="11900" w:h="16838" w:orient="portrait"/>
          <w:cols w:equalWidth="0" w:num="1">
            <w:col w:w="11140"/>
          </w:cols>
          <w:pgMar w:left="320" w:top="482" w:right="4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250825</wp:posOffset>
            </wp:positionV>
            <wp:extent cx="699516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91" w:lineRule="exact"/>
        <w:rPr>
          <w:sz w:val="20"/>
          <w:szCs w:val="20"/>
          <w:color w:val="auto"/>
        </w:rPr>
      </w:pPr>
    </w:p>
    <w:p>
      <w:pPr>
        <w:ind w:left="240" w:hanging="124"/>
        <w:spacing w:after="0"/>
        <w:tabs>
          <w:tab w:leader="none" w:pos="240" w:val="left"/>
        </w:tabs>
        <w:numPr>
          <w:ilvl w:val="0"/>
          <w:numId w:val="56"/>
        </w:numPr>
        <w:rPr>
          <w:rFonts w:ascii="Arial" w:cs="Arial" w:eastAsia="Arial" w:hAnsi="Arial"/>
          <w:sz w:val="24"/>
          <w:szCs w:val="24"/>
          <w:b w:val="1"/>
          <w:bCs w:val="1"/>
          <w:color w:val="FF160F"/>
        </w:rPr>
      </w:pPr>
      <w:r>
        <w:rPr>
          <w:rFonts w:ascii="Arial" w:cs="Arial" w:eastAsia="Arial" w:hAnsi="Arial"/>
          <w:sz w:val="24"/>
          <w:szCs w:val="24"/>
          <w:b w:val="1"/>
          <w:bCs w:val="1"/>
          <w:color w:val="FF160F"/>
        </w:rPr>
        <w:t>2023 N</w:t>
      </w:r>
      <w:r>
        <w:rPr>
          <w:rFonts w:ascii="Arial" w:cs="Arial" w:eastAsia="Arial" w:hAnsi="Arial"/>
          <w:sz w:val="19"/>
          <w:szCs w:val="19"/>
          <w:b w:val="1"/>
          <w:bCs w:val="1"/>
          <w:color w:val="FF160F"/>
        </w:rPr>
        <w:t>EO</w:t>
      </w:r>
      <w:r>
        <w:rPr>
          <w:rFonts w:ascii="Arial" w:cs="Arial" w:eastAsia="Arial" w:hAnsi="Arial"/>
          <w:sz w:val="24"/>
          <w:szCs w:val="24"/>
          <w:b w:val="1"/>
          <w:bCs w:val="1"/>
          <w:color w:val="FF160F"/>
        </w:rPr>
        <w:t xml:space="preserve"> P</w:t>
      </w:r>
      <w:r>
        <w:rPr>
          <w:rFonts w:ascii="Arial" w:cs="Arial" w:eastAsia="Arial" w:hAnsi="Arial"/>
          <w:sz w:val="19"/>
          <w:szCs w:val="19"/>
          <w:b w:val="1"/>
          <w:bCs w:val="1"/>
          <w:color w:val="FF160F"/>
        </w:rPr>
        <w:t>ERFORMANCE</w:t>
      </w:r>
      <w:r>
        <w:rPr>
          <w:rFonts w:ascii="Arial" w:cs="Arial" w:eastAsia="Arial" w:hAnsi="Arial"/>
          <w:sz w:val="24"/>
          <w:szCs w:val="24"/>
          <w:b w:val="1"/>
          <w:bCs w:val="1"/>
          <w:color w:val="FF160F"/>
        </w:rPr>
        <w:t xml:space="preserve"> S</w:t>
      </w:r>
      <w:r>
        <w:rPr>
          <w:rFonts w:ascii="Arial" w:cs="Arial" w:eastAsia="Arial" w:hAnsi="Arial"/>
          <w:sz w:val="19"/>
          <w:szCs w:val="19"/>
          <w:b w:val="1"/>
          <w:bCs w:val="1"/>
          <w:color w:val="FF160F"/>
        </w:rPr>
        <w:t>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63500</wp:posOffset>
            </wp:positionV>
            <wp:extent cx="699516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90" w:lineRule="exact"/>
        <w:rPr>
          <w:sz w:val="20"/>
          <w:szCs w:val="20"/>
          <w:color w:val="auto"/>
        </w:rPr>
      </w:pPr>
    </w:p>
    <w:p>
      <w:pPr>
        <w:ind w:left="120"/>
        <w:spacing w:after="0" w:line="271" w:lineRule="auto"/>
        <w:rPr>
          <w:sz w:val="20"/>
          <w:szCs w:val="20"/>
          <w:color w:val="auto"/>
        </w:rPr>
      </w:pPr>
      <w:r>
        <w:rPr>
          <w:rFonts w:ascii="Arial" w:cs="Arial" w:eastAsia="Arial" w:hAnsi="Arial"/>
          <w:sz w:val="18"/>
          <w:szCs w:val="18"/>
          <w:color w:val="auto"/>
        </w:rPr>
        <w:t>Listed below are the individual performance achievements for each of our NEOs that the Compensation Committee considered to be instrumental in its determination to award each of our NEO’s the full amount of compensation he or she was eligible to receive for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126365</wp:posOffset>
            </wp:positionV>
            <wp:extent cx="6995160" cy="287147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995160" cy="2871470"/>
                    </a:xfrm>
                    <a:prstGeom prst="rect">
                      <a:avLst/>
                    </a:prstGeom>
                    <a:noFill/>
                  </pic:spPr>
                </pic:pic>
              </a:graphicData>
            </a:graphic>
          </wp:anchor>
        </w:drawing>
      </w:r>
    </w:p>
    <w:p>
      <w:pPr>
        <w:sectPr>
          <w:pgSz w:w="11900" w:h="16838" w:orient="portrait"/>
          <w:cols w:equalWidth="0" w:num="1">
            <w:col w:w="11120"/>
          </w:cols>
          <w:pgMar w:left="320" w:top="482"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left="120"/>
        <w:spacing w:after="0"/>
        <w:rPr>
          <w:sz w:val="20"/>
          <w:szCs w:val="20"/>
          <w:color w:val="auto"/>
        </w:rPr>
      </w:pPr>
      <w:r>
        <w:rPr>
          <w:rFonts w:ascii="Arial" w:cs="Arial" w:eastAsia="Arial" w:hAnsi="Arial"/>
          <w:sz w:val="18"/>
          <w:szCs w:val="18"/>
          <w:color w:val="FF160F"/>
        </w:rPr>
        <w:t>Donald C. Wood</w:t>
      </w:r>
    </w:p>
    <w:p>
      <w:pPr>
        <w:spacing w:after="0" w:line="14" w:lineRule="exact"/>
        <w:rPr>
          <w:sz w:val="20"/>
          <w:szCs w:val="20"/>
          <w:color w:val="auto"/>
        </w:rPr>
      </w:pPr>
    </w:p>
    <w:p>
      <w:pPr>
        <w:ind w:left="78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95" w:lineRule="exact"/>
        <w:rPr>
          <w:sz w:val="20"/>
          <w:szCs w:val="20"/>
          <w:color w:val="auto"/>
        </w:rPr>
      </w:pPr>
    </w:p>
    <w:p>
      <w:pPr>
        <w:ind w:left="120"/>
        <w:spacing w:after="0"/>
        <w:rPr>
          <w:sz w:val="20"/>
          <w:szCs w:val="20"/>
          <w:color w:val="auto"/>
        </w:rPr>
      </w:pPr>
      <w:r>
        <w:rPr>
          <w:rFonts w:ascii="Arial" w:cs="Arial" w:eastAsia="Arial" w:hAnsi="Arial"/>
          <w:sz w:val="16"/>
          <w:szCs w:val="16"/>
          <w:color w:val="FF160F"/>
        </w:rPr>
        <w:t>  2023 Compensation (in 000s)</w:t>
      </w:r>
    </w:p>
    <w:p>
      <w:pPr>
        <w:spacing w:after="0" w:line="51"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80" w:type="dxa"/>
            <w:vAlign w:val="bottom"/>
            <w:shd w:val="clear" w:color="auto" w:fill="E5E5E5"/>
          </w:tcPr>
          <w:p>
            <w:pPr>
              <w:spacing w:after="0"/>
              <w:rPr>
                <w:sz w:val="20"/>
                <w:szCs w:val="20"/>
                <w:color w:val="auto"/>
              </w:rPr>
            </w:pPr>
            <w:r>
              <w:rPr>
                <w:rFonts w:ascii="Arial" w:cs="Arial" w:eastAsia="Arial" w:hAnsi="Arial"/>
                <w:sz w:val="8"/>
                <w:szCs w:val="8"/>
                <w:color w:val="auto"/>
                <w:w w:val="74"/>
              </w:rPr>
              <w:t> </w:t>
            </w:r>
          </w:p>
        </w:tc>
        <w:tc>
          <w:tcPr>
            <w:tcW w:w="2440" w:type="dxa"/>
            <w:vAlign w:val="bottom"/>
            <w:shd w:val="clear" w:color="auto" w:fill="E5E5E5"/>
          </w:tcPr>
          <w:p>
            <w:pPr>
              <w:ind w:left="60"/>
              <w:spacing w:after="0"/>
              <w:rPr>
                <w:sz w:val="20"/>
                <w:szCs w:val="20"/>
                <w:color w:val="auto"/>
              </w:rPr>
            </w:pPr>
            <w:r>
              <w:rPr>
                <w:rFonts w:ascii="Arial" w:cs="Arial" w:eastAsia="Arial" w:hAnsi="Arial"/>
                <w:sz w:val="14"/>
                <w:szCs w:val="14"/>
                <w:color w:val="auto"/>
              </w:rPr>
              <w:t>Base Pay</w:t>
            </w:r>
          </w:p>
        </w:tc>
        <w:tc>
          <w:tcPr>
            <w:tcW w:w="640" w:type="dxa"/>
            <w:vAlign w:val="bottom"/>
          </w:tcPr>
          <w:p>
            <w:pPr>
              <w:jc w:val="right"/>
              <w:spacing w:after="0"/>
              <w:rPr>
                <w:sz w:val="20"/>
                <w:szCs w:val="20"/>
                <w:color w:val="auto"/>
              </w:rPr>
            </w:pPr>
            <w:r>
              <w:rPr>
                <w:rFonts w:ascii="Arial" w:cs="Arial" w:eastAsia="Arial" w:hAnsi="Arial"/>
                <w:sz w:val="14"/>
                <w:szCs w:val="14"/>
                <w:color w:val="auto"/>
              </w:rPr>
              <w:t>$1,000</w:t>
            </w:r>
          </w:p>
        </w:tc>
      </w:tr>
      <w:tr>
        <w:trPr>
          <w:trHeight w:val="190"/>
        </w:trPr>
        <w:tc>
          <w:tcPr>
            <w:tcW w:w="80" w:type="dxa"/>
            <w:vAlign w:val="bottom"/>
            <w:shd w:val="clear" w:color="auto" w:fill="E5E5E5"/>
          </w:tcPr>
          <w:p>
            <w:pPr>
              <w:spacing w:after="0"/>
              <w:rPr>
                <w:sz w:val="20"/>
                <w:szCs w:val="20"/>
                <w:color w:val="auto"/>
              </w:rPr>
            </w:pPr>
            <w:r>
              <w:rPr>
                <w:rFonts w:ascii="Arial" w:cs="Arial" w:eastAsia="Arial" w:hAnsi="Arial"/>
                <w:sz w:val="8"/>
                <w:szCs w:val="8"/>
                <w:color w:val="auto"/>
                <w:w w:val="74"/>
              </w:rPr>
              <w:t> </w:t>
            </w:r>
          </w:p>
        </w:tc>
        <w:tc>
          <w:tcPr>
            <w:tcW w:w="2440" w:type="dxa"/>
            <w:vAlign w:val="bottom"/>
            <w:shd w:val="clear" w:color="auto" w:fill="E5E5E5"/>
          </w:tcPr>
          <w:p>
            <w:pPr>
              <w:ind w:left="60"/>
              <w:spacing w:after="0"/>
              <w:rPr>
                <w:sz w:val="20"/>
                <w:szCs w:val="20"/>
                <w:color w:val="auto"/>
              </w:rPr>
            </w:pPr>
            <w:r>
              <w:rPr>
                <w:rFonts w:ascii="Arial" w:cs="Arial" w:eastAsia="Arial" w:hAnsi="Arial"/>
                <w:sz w:val="14"/>
                <w:szCs w:val="14"/>
                <w:color w:val="auto"/>
              </w:rPr>
              <w:t>Annual Bonus</w:t>
            </w:r>
          </w:p>
        </w:tc>
        <w:tc>
          <w:tcPr>
            <w:tcW w:w="6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$1,875</w:t>
            </w:r>
          </w:p>
        </w:tc>
      </w:tr>
      <w:tr>
        <w:trPr>
          <w:trHeight w:val="220"/>
        </w:trPr>
        <w:tc>
          <w:tcPr>
            <w:tcW w:w="8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8"/>
                <w:szCs w:val="8"/>
                <w:color w:val="auto"/>
                <w:w w:val="74"/>
              </w:rPr>
              <w:t> </w:t>
            </w:r>
          </w:p>
        </w:tc>
        <w:tc>
          <w:tcPr>
            <w:tcW w:w="244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4"/>
                <w:szCs w:val="14"/>
                <w:color w:val="auto"/>
              </w:rPr>
              <w:t>Long-Term Equity</w:t>
            </w:r>
          </w:p>
        </w:tc>
        <w:tc>
          <w:tcPr>
            <w:tcW w:w="64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$6,384</w:t>
            </w:r>
          </w:p>
        </w:tc>
      </w:tr>
      <w:tr>
        <w:trPr>
          <w:trHeight w:val="184"/>
        </w:trPr>
        <w:tc>
          <w:tcPr>
            <w:tcW w:w="80" w:type="dxa"/>
            <w:vAlign w:val="bottom"/>
            <w:tcBorders>
              <w:top w:val="single" w:sz="8" w:color="E5E5E5"/>
            </w:tcBorders>
            <w:shd w:val="clear" w:color="auto" w:fill="E5E5E5"/>
          </w:tcPr>
          <w:p>
            <w:pPr>
              <w:spacing w:after="0"/>
              <w:rPr>
                <w:sz w:val="20"/>
                <w:szCs w:val="20"/>
                <w:color w:val="auto"/>
              </w:rPr>
            </w:pPr>
            <w:r>
              <w:rPr>
                <w:rFonts w:ascii="Arial" w:cs="Arial" w:eastAsia="Arial" w:hAnsi="Arial"/>
                <w:sz w:val="8"/>
                <w:szCs w:val="8"/>
                <w:color w:val="auto"/>
                <w:w w:val="74"/>
              </w:rPr>
              <w:t> </w:t>
            </w:r>
          </w:p>
        </w:tc>
        <w:tc>
          <w:tcPr>
            <w:tcW w:w="2440" w:type="dxa"/>
            <w:vAlign w:val="bottom"/>
            <w:tcBorders>
              <w:top w:val="single" w:sz="8" w:color="E5E5E5"/>
            </w:tcBorders>
            <w:shd w:val="clear" w:color="auto" w:fill="E5E5E5"/>
          </w:tcPr>
          <w:p>
            <w:pPr>
              <w:ind w:left="60"/>
              <w:spacing w:after="0"/>
              <w:rPr>
                <w:sz w:val="20"/>
                <w:szCs w:val="20"/>
                <w:color w:val="auto"/>
              </w:rPr>
            </w:pPr>
            <w:r>
              <w:rPr>
                <w:rFonts w:ascii="Arial" w:cs="Arial" w:eastAsia="Arial" w:hAnsi="Arial"/>
                <w:sz w:val="14"/>
                <w:szCs w:val="14"/>
                <w:color w:val="auto"/>
              </w:rPr>
              <w:t>Total</w:t>
            </w:r>
          </w:p>
        </w:tc>
        <w:tc>
          <w:tcPr>
            <w:tcW w:w="64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$9,259</w:t>
            </w:r>
          </w:p>
        </w:tc>
      </w:tr>
      <w:tr>
        <w:trPr>
          <w:trHeight w:val="193"/>
        </w:trPr>
        <w:tc>
          <w:tcPr>
            <w:tcW w:w="80" w:type="dxa"/>
            <w:vAlign w:val="bottom"/>
            <w:shd w:val="clear" w:color="auto" w:fill="E5E5E5"/>
          </w:tcPr>
          <w:p>
            <w:pPr>
              <w:spacing w:after="0"/>
              <w:rPr>
                <w:sz w:val="20"/>
                <w:szCs w:val="20"/>
                <w:color w:val="auto"/>
              </w:rPr>
            </w:pPr>
            <w:r>
              <w:rPr>
                <w:rFonts w:ascii="Arial" w:cs="Arial" w:eastAsia="Arial" w:hAnsi="Arial"/>
                <w:sz w:val="8"/>
                <w:szCs w:val="8"/>
                <w:color w:val="auto"/>
                <w:w w:val="74"/>
              </w:rPr>
              <w:t> </w:t>
            </w:r>
          </w:p>
        </w:tc>
        <w:tc>
          <w:tcPr>
            <w:tcW w:w="2440" w:type="dxa"/>
            <w:vAlign w:val="bottom"/>
            <w:shd w:val="clear" w:color="auto" w:fill="E5E5E5"/>
          </w:tcPr>
          <w:p>
            <w:pPr>
              <w:ind w:left="60"/>
              <w:spacing w:after="0"/>
              <w:rPr>
                <w:sz w:val="20"/>
                <w:szCs w:val="20"/>
                <w:color w:val="auto"/>
              </w:rPr>
            </w:pPr>
            <w:r>
              <w:rPr>
                <w:rFonts w:ascii="Arial" w:cs="Arial" w:eastAsia="Arial" w:hAnsi="Arial"/>
                <w:sz w:val="14"/>
                <w:szCs w:val="14"/>
                <w:color w:val="auto"/>
              </w:rPr>
              <w:t>Total as % of Target</w:t>
            </w:r>
          </w:p>
        </w:tc>
        <w:tc>
          <w:tcPr>
            <w:tcW w:w="6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109%</w:t>
            </w:r>
          </w:p>
        </w:tc>
      </w:tr>
      <w:tr>
        <w:trPr>
          <w:trHeight w:val="1034"/>
        </w:trPr>
        <w:tc>
          <w:tcPr>
            <w:tcW w:w="80" w:type="dxa"/>
            <w:vAlign w:val="bottom"/>
            <w:shd w:val="clear" w:color="auto" w:fill="E5E5E5"/>
          </w:tcPr>
          <w:p>
            <w:pPr>
              <w:spacing w:after="0"/>
              <w:rPr>
                <w:sz w:val="24"/>
                <w:szCs w:val="24"/>
                <w:color w:val="auto"/>
              </w:rPr>
            </w:pPr>
          </w:p>
        </w:tc>
        <w:tc>
          <w:tcPr>
            <w:tcW w:w="2440" w:type="dxa"/>
            <w:vAlign w:val="bottom"/>
            <w:shd w:val="clear" w:color="auto" w:fill="E5E5E5"/>
          </w:tcPr>
          <w:p>
            <w:pPr>
              <w:spacing w:after="0"/>
              <w:rPr>
                <w:sz w:val="24"/>
                <w:szCs w:val="24"/>
                <w:color w:val="auto"/>
              </w:rPr>
            </w:pPr>
          </w:p>
        </w:tc>
        <w:tc>
          <w:tcPr>
            <w:tcW w:w="640" w:type="dxa"/>
            <w:vAlign w:val="bottom"/>
            <w:shd w:val="clear" w:color="auto" w:fill="E5E5E5"/>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154305</wp:posOffset>
            </wp:positionV>
            <wp:extent cx="2091690" cy="27857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091690" cy="27857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Responsibilities</w:t>
      </w:r>
    </w:p>
    <w:p>
      <w:pPr>
        <w:spacing w:after="0" w:line="266" w:lineRule="exact"/>
        <w:rPr>
          <w:sz w:val="20"/>
          <w:szCs w:val="20"/>
          <w:color w:val="auto"/>
        </w:rPr>
      </w:pPr>
    </w:p>
    <w:p>
      <w:pPr>
        <w:ind w:right="380"/>
        <w:spacing w:after="0" w:line="253" w:lineRule="auto"/>
        <w:rPr>
          <w:sz w:val="20"/>
          <w:szCs w:val="20"/>
          <w:color w:val="auto"/>
        </w:rPr>
      </w:pPr>
      <w:r>
        <w:rPr>
          <w:rFonts w:ascii="Arial" w:cs="Arial" w:eastAsia="Arial" w:hAnsi="Arial"/>
          <w:sz w:val="18"/>
          <w:szCs w:val="18"/>
          <w:color w:val="auto"/>
        </w:rPr>
        <w:t>Mr. Wood is responsible for setting and overseeing the Company’s strategic direction and priorities, delivering both short- and long-term financial results, setting the culture for the Company and setting direction for all aspects of corporate responsibility.</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2023 Achievements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-118745</wp:posOffset>
            </wp:positionV>
            <wp:extent cx="4817745" cy="24003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4817745" cy="240030"/>
                    </a:xfrm>
                    <a:prstGeom prst="rect">
                      <a:avLst/>
                    </a:prstGeom>
                    <a:noFill/>
                  </pic:spPr>
                </pic:pic>
              </a:graphicData>
            </a:graphic>
          </wp:anchor>
        </w:drawing>
      </w:r>
    </w:p>
    <w:p>
      <w:pPr>
        <w:spacing w:after="0" w:line="111" w:lineRule="exact"/>
        <w:rPr>
          <w:sz w:val="20"/>
          <w:szCs w:val="20"/>
          <w:color w:val="auto"/>
        </w:rPr>
      </w:pPr>
    </w:p>
    <w:p>
      <w:pPr>
        <w:ind w:left="360" w:right="800" w:hanging="359"/>
        <w:spacing w:after="0" w:line="236"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Led the Company’s efforts to review and execute on our long-term strategy and objectives and business plan review</w:t>
      </w:r>
    </w:p>
    <w:p>
      <w:pPr>
        <w:spacing w:after="0" w:line="2" w:lineRule="exact"/>
        <w:rPr>
          <w:sz w:val="20"/>
          <w:szCs w:val="20"/>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Led our overall efforts that drove record level top line revenue</w:t>
      </w:r>
    </w:p>
    <w:p>
      <w:pPr>
        <w:spacing w:after="0" w:line="9" w:lineRule="exact"/>
        <w:rPr>
          <w:sz w:val="20"/>
          <w:szCs w:val="20"/>
          <w:color w:val="auto"/>
        </w:rPr>
      </w:pPr>
    </w:p>
    <w:p>
      <w:pPr>
        <w:ind w:left="360" w:right="180" w:hanging="359"/>
        <w:spacing w:after="0" w:line="209"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Led continued advancement of overall strategy and objectives on environmental, social and governance initiatives</w:t>
      </w:r>
    </w:p>
    <w:p>
      <w:pPr>
        <w:spacing w:after="0" w:line="1" w:lineRule="exact"/>
        <w:rPr>
          <w:sz w:val="20"/>
          <w:szCs w:val="20"/>
          <w:color w:val="auto"/>
        </w:rPr>
      </w:pPr>
    </w:p>
    <w:p>
      <w:pPr>
        <w:ind w:left="360" w:right="1080" w:hanging="359"/>
        <w:spacing w:after="0" w:line="209"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Led decisions on capital investments creating significant future value for our shareholders</w:t>
      </w:r>
    </w:p>
    <w:p>
      <w:pPr>
        <w:spacing w:after="0" w:line="1" w:lineRule="exact"/>
        <w:rPr>
          <w:sz w:val="20"/>
          <w:szCs w:val="20"/>
          <w:color w:val="auto"/>
        </w:rPr>
      </w:pPr>
    </w:p>
    <w:p>
      <w:pPr>
        <w:ind w:left="360" w:right="460" w:hanging="359"/>
        <w:spacing w:after="0" w:line="220"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Led focus on sustainability initiatives as high level corporate priorities to support our overall business objectives</w:t>
      </w:r>
    </w:p>
    <w:p>
      <w:pPr>
        <w:spacing w:after="0" w:line="777" w:lineRule="exact"/>
        <w:rPr>
          <w:sz w:val="20"/>
          <w:szCs w:val="20"/>
          <w:color w:val="auto"/>
        </w:rPr>
      </w:pPr>
    </w:p>
    <w:p>
      <w:pPr>
        <w:sectPr>
          <w:pgSz w:w="11900" w:h="16838" w:orient="portrait"/>
          <w:cols w:equalWidth="0" w:num="2">
            <w:col w:w="3280" w:space="380"/>
            <w:col w:w="7460"/>
          </w:cols>
          <w:pgMar w:left="320" w:top="482" w:right="4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left="120"/>
        <w:spacing w:after="0"/>
        <w:rPr>
          <w:sz w:val="20"/>
          <w:szCs w:val="20"/>
          <w:color w:val="auto"/>
        </w:rPr>
      </w:pPr>
      <w:r>
        <w:rPr>
          <w:rFonts w:ascii="Arial" w:cs="Arial" w:eastAsia="Arial" w:hAnsi="Arial"/>
          <w:sz w:val="18"/>
          <w:szCs w:val="18"/>
          <w:color w:val="FF160F"/>
        </w:rPr>
        <w:t>Jeffrey S. Berkes</w:t>
      </w:r>
    </w:p>
    <w:p>
      <w:pPr>
        <w:spacing w:after="0" w:line="1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President and Chief Operating Officer</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20"/>
        <w:spacing w:after="0"/>
        <w:rPr>
          <w:sz w:val="20"/>
          <w:szCs w:val="20"/>
          <w:color w:val="auto"/>
        </w:rPr>
      </w:pPr>
      <w:r>
        <w:rPr>
          <w:rFonts w:ascii="Arial" w:cs="Arial" w:eastAsia="Arial" w:hAnsi="Arial"/>
          <w:sz w:val="16"/>
          <w:szCs w:val="16"/>
          <w:color w:val="FF160F"/>
        </w:rPr>
        <w:t>  2023 Compensation (in 000s)</w:t>
      </w:r>
    </w:p>
    <w:p>
      <w:pPr>
        <w:spacing w:after="0" w:line="51"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80" w:type="dxa"/>
            <w:vAlign w:val="bottom"/>
            <w:shd w:val="clear" w:color="auto" w:fill="E5E5E5"/>
          </w:tcPr>
          <w:p>
            <w:pPr>
              <w:spacing w:after="0"/>
              <w:rPr>
                <w:sz w:val="20"/>
                <w:szCs w:val="20"/>
                <w:color w:val="auto"/>
              </w:rPr>
            </w:pPr>
            <w:r>
              <w:rPr>
                <w:rFonts w:ascii="Arial" w:cs="Arial" w:eastAsia="Arial" w:hAnsi="Arial"/>
                <w:sz w:val="8"/>
                <w:szCs w:val="8"/>
                <w:color w:val="auto"/>
                <w:w w:val="74"/>
              </w:rPr>
              <w:t> </w:t>
            </w:r>
          </w:p>
        </w:tc>
        <w:tc>
          <w:tcPr>
            <w:tcW w:w="2440" w:type="dxa"/>
            <w:vAlign w:val="bottom"/>
            <w:shd w:val="clear" w:color="auto" w:fill="E5E5E5"/>
          </w:tcPr>
          <w:p>
            <w:pPr>
              <w:ind w:left="60"/>
              <w:spacing w:after="0"/>
              <w:rPr>
                <w:sz w:val="20"/>
                <w:szCs w:val="20"/>
                <w:color w:val="auto"/>
              </w:rPr>
            </w:pPr>
            <w:r>
              <w:rPr>
                <w:rFonts w:ascii="Arial" w:cs="Arial" w:eastAsia="Arial" w:hAnsi="Arial"/>
                <w:sz w:val="14"/>
                <w:szCs w:val="14"/>
                <w:color w:val="auto"/>
              </w:rPr>
              <w:t>Base Pay</w:t>
            </w:r>
          </w:p>
        </w:tc>
        <w:tc>
          <w:tcPr>
            <w:tcW w:w="640" w:type="dxa"/>
            <w:vAlign w:val="bottom"/>
          </w:tcPr>
          <w:p>
            <w:pPr>
              <w:jc w:val="right"/>
              <w:spacing w:after="0"/>
              <w:rPr>
                <w:sz w:val="20"/>
                <w:szCs w:val="20"/>
                <w:color w:val="auto"/>
              </w:rPr>
            </w:pPr>
            <w:r>
              <w:rPr>
                <w:rFonts w:ascii="Arial" w:cs="Arial" w:eastAsia="Arial" w:hAnsi="Arial"/>
                <w:sz w:val="14"/>
                <w:szCs w:val="14"/>
                <w:color w:val="auto"/>
              </w:rPr>
              <w:t>$   650</w:t>
            </w:r>
          </w:p>
        </w:tc>
      </w:tr>
      <w:tr>
        <w:trPr>
          <w:trHeight w:val="190"/>
        </w:trPr>
        <w:tc>
          <w:tcPr>
            <w:tcW w:w="80" w:type="dxa"/>
            <w:vAlign w:val="bottom"/>
            <w:shd w:val="clear" w:color="auto" w:fill="E5E5E5"/>
          </w:tcPr>
          <w:p>
            <w:pPr>
              <w:spacing w:after="0"/>
              <w:rPr>
                <w:sz w:val="20"/>
                <w:szCs w:val="20"/>
                <w:color w:val="auto"/>
              </w:rPr>
            </w:pPr>
            <w:r>
              <w:rPr>
                <w:rFonts w:ascii="Arial" w:cs="Arial" w:eastAsia="Arial" w:hAnsi="Arial"/>
                <w:sz w:val="8"/>
                <w:szCs w:val="8"/>
                <w:color w:val="auto"/>
                <w:w w:val="74"/>
              </w:rPr>
              <w:t> </w:t>
            </w:r>
          </w:p>
        </w:tc>
        <w:tc>
          <w:tcPr>
            <w:tcW w:w="2440" w:type="dxa"/>
            <w:vAlign w:val="bottom"/>
            <w:shd w:val="clear" w:color="auto" w:fill="E5E5E5"/>
          </w:tcPr>
          <w:p>
            <w:pPr>
              <w:ind w:left="60"/>
              <w:spacing w:after="0"/>
              <w:rPr>
                <w:sz w:val="20"/>
                <w:szCs w:val="20"/>
                <w:color w:val="auto"/>
              </w:rPr>
            </w:pPr>
            <w:r>
              <w:rPr>
                <w:rFonts w:ascii="Arial" w:cs="Arial" w:eastAsia="Arial" w:hAnsi="Arial"/>
                <w:sz w:val="14"/>
                <w:szCs w:val="14"/>
                <w:color w:val="auto"/>
              </w:rPr>
              <w:t>Annual Bonus</w:t>
            </w:r>
          </w:p>
        </w:tc>
        <w:tc>
          <w:tcPr>
            <w:tcW w:w="6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$1,016</w:t>
            </w:r>
          </w:p>
        </w:tc>
      </w:tr>
      <w:tr>
        <w:trPr>
          <w:trHeight w:val="220"/>
        </w:trPr>
        <w:tc>
          <w:tcPr>
            <w:tcW w:w="8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8"/>
                <w:szCs w:val="8"/>
                <w:color w:val="auto"/>
                <w:w w:val="74"/>
              </w:rPr>
              <w:t> </w:t>
            </w:r>
          </w:p>
        </w:tc>
        <w:tc>
          <w:tcPr>
            <w:tcW w:w="244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4"/>
                <w:szCs w:val="14"/>
                <w:color w:val="auto"/>
              </w:rPr>
              <w:t>Long-Term Equity</w:t>
            </w:r>
          </w:p>
        </w:tc>
        <w:tc>
          <w:tcPr>
            <w:tcW w:w="64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$1,064</w:t>
            </w:r>
          </w:p>
        </w:tc>
      </w:tr>
      <w:tr>
        <w:trPr>
          <w:trHeight w:val="184"/>
        </w:trPr>
        <w:tc>
          <w:tcPr>
            <w:tcW w:w="80" w:type="dxa"/>
            <w:vAlign w:val="bottom"/>
            <w:tcBorders>
              <w:top w:val="single" w:sz="8" w:color="E5E5E5"/>
            </w:tcBorders>
            <w:shd w:val="clear" w:color="auto" w:fill="E5E5E5"/>
          </w:tcPr>
          <w:p>
            <w:pPr>
              <w:spacing w:after="0"/>
              <w:rPr>
                <w:sz w:val="20"/>
                <w:szCs w:val="20"/>
                <w:color w:val="auto"/>
              </w:rPr>
            </w:pPr>
            <w:r>
              <w:rPr>
                <w:rFonts w:ascii="Arial" w:cs="Arial" w:eastAsia="Arial" w:hAnsi="Arial"/>
                <w:sz w:val="8"/>
                <w:szCs w:val="8"/>
                <w:color w:val="auto"/>
                <w:w w:val="74"/>
              </w:rPr>
              <w:t> </w:t>
            </w:r>
          </w:p>
        </w:tc>
        <w:tc>
          <w:tcPr>
            <w:tcW w:w="2440" w:type="dxa"/>
            <w:vAlign w:val="bottom"/>
            <w:tcBorders>
              <w:top w:val="single" w:sz="8" w:color="E5E5E5"/>
            </w:tcBorders>
            <w:shd w:val="clear" w:color="auto" w:fill="E5E5E5"/>
          </w:tcPr>
          <w:p>
            <w:pPr>
              <w:ind w:left="60"/>
              <w:spacing w:after="0"/>
              <w:rPr>
                <w:sz w:val="20"/>
                <w:szCs w:val="20"/>
                <w:color w:val="auto"/>
              </w:rPr>
            </w:pPr>
            <w:r>
              <w:rPr>
                <w:rFonts w:ascii="Arial" w:cs="Arial" w:eastAsia="Arial" w:hAnsi="Arial"/>
                <w:sz w:val="14"/>
                <w:szCs w:val="14"/>
                <w:color w:val="auto"/>
              </w:rPr>
              <w:t>Total</w:t>
            </w:r>
          </w:p>
        </w:tc>
        <w:tc>
          <w:tcPr>
            <w:tcW w:w="64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$2,730</w:t>
            </w:r>
          </w:p>
        </w:tc>
      </w:tr>
      <w:tr>
        <w:trPr>
          <w:trHeight w:val="193"/>
        </w:trPr>
        <w:tc>
          <w:tcPr>
            <w:tcW w:w="80" w:type="dxa"/>
            <w:vAlign w:val="bottom"/>
            <w:shd w:val="clear" w:color="auto" w:fill="E5E5E5"/>
          </w:tcPr>
          <w:p>
            <w:pPr>
              <w:spacing w:after="0"/>
              <w:rPr>
                <w:sz w:val="20"/>
                <w:szCs w:val="20"/>
                <w:color w:val="auto"/>
              </w:rPr>
            </w:pPr>
            <w:r>
              <w:rPr>
                <w:rFonts w:ascii="Arial" w:cs="Arial" w:eastAsia="Arial" w:hAnsi="Arial"/>
                <w:sz w:val="8"/>
                <w:szCs w:val="8"/>
                <w:color w:val="auto"/>
                <w:w w:val="74"/>
              </w:rPr>
              <w:t> </w:t>
            </w:r>
          </w:p>
        </w:tc>
        <w:tc>
          <w:tcPr>
            <w:tcW w:w="2440" w:type="dxa"/>
            <w:vAlign w:val="bottom"/>
            <w:shd w:val="clear" w:color="auto" w:fill="E5E5E5"/>
          </w:tcPr>
          <w:p>
            <w:pPr>
              <w:ind w:left="60"/>
              <w:spacing w:after="0"/>
              <w:rPr>
                <w:sz w:val="20"/>
                <w:szCs w:val="20"/>
                <w:color w:val="auto"/>
              </w:rPr>
            </w:pPr>
            <w:r>
              <w:rPr>
                <w:rFonts w:ascii="Arial" w:cs="Arial" w:eastAsia="Arial" w:hAnsi="Arial"/>
                <w:sz w:val="14"/>
                <w:szCs w:val="14"/>
                <w:color w:val="auto"/>
              </w:rPr>
              <w:t>Total as % of Target</w:t>
            </w:r>
          </w:p>
        </w:tc>
        <w:tc>
          <w:tcPr>
            <w:tcW w:w="6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111%</w:t>
            </w:r>
          </w:p>
        </w:tc>
      </w:tr>
      <w:tr>
        <w:trPr>
          <w:trHeight w:val="629"/>
        </w:trPr>
        <w:tc>
          <w:tcPr>
            <w:tcW w:w="80" w:type="dxa"/>
            <w:vAlign w:val="bottom"/>
            <w:shd w:val="clear" w:color="auto" w:fill="E5E5E5"/>
          </w:tcPr>
          <w:p>
            <w:pPr>
              <w:spacing w:after="0"/>
              <w:rPr>
                <w:sz w:val="24"/>
                <w:szCs w:val="24"/>
                <w:color w:val="auto"/>
              </w:rPr>
            </w:pPr>
          </w:p>
        </w:tc>
        <w:tc>
          <w:tcPr>
            <w:tcW w:w="2440" w:type="dxa"/>
            <w:vAlign w:val="bottom"/>
            <w:shd w:val="clear" w:color="auto" w:fill="E5E5E5"/>
          </w:tcPr>
          <w:p>
            <w:pPr>
              <w:spacing w:after="0"/>
              <w:rPr>
                <w:sz w:val="24"/>
                <w:szCs w:val="24"/>
                <w:color w:val="auto"/>
              </w:rPr>
            </w:pPr>
          </w:p>
        </w:tc>
        <w:tc>
          <w:tcPr>
            <w:tcW w:w="640" w:type="dxa"/>
            <w:vAlign w:val="bottom"/>
            <w:shd w:val="clear" w:color="auto" w:fill="E5E5E5"/>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Responsibilities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-118745</wp:posOffset>
            </wp:positionV>
            <wp:extent cx="4817745" cy="21399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4817745" cy="213995"/>
                    </a:xfrm>
                    <a:prstGeom prst="rect">
                      <a:avLst/>
                    </a:prstGeom>
                    <a:noFill/>
                  </pic:spPr>
                </pic:pic>
              </a:graphicData>
            </a:graphic>
          </wp:anchor>
        </w:drawing>
      </w:r>
    </w:p>
    <w:p>
      <w:pPr>
        <w:spacing w:after="0" w:line="111"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Mr. Berkes has overall responsibility for the performance of the Company’s operating assets, development and redevelopment projects as well as overall responsibility for property acquisitions and dispositions.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2023 Achievements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-118745</wp:posOffset>
            </wp:positionV>
            <wp:extent cx="4817745" cy="21463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4817745" cy="214630"/>
                    </a:xfrm>
                    <a:prstGeom prst="rect">
                      <a:avLst/>
                    </a:prstGeom>
                    <a:noFill/>
                  </pic:spPr>
                </pic:pic>
              </a:graphicData>
            </a:graphic>
          </wp:anchor>
        </w:drawing>
      </w:r>
    </w:p>
    <w:p>
      <w:pPr>
        <w:spacing w:after="0" w:line="70" w:lineRule="exact"/>
        <w:rPr>
          <w:sz w:val="20"/>
          <w:szCs w:val="20"/>
          <w:color w:val="auto"/>
        </w:rPr>
      </w:pPr>
    </w:p>
    <w:p>
      <w:pPr>
        <w:jc w:val="right"/>
        <w:ind w:right="380"/>
        <w:spacing w:after="0" w:line="231"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Oversaw Company-wide efforts that led to delivery of record level of top line revenue </w:t>
      </w:r>
      <w:r>
        <w:rPr>
          <w:rFonts w:ascii="MS PGothic" w:cs="MS PGothic" w:eastAsia="MS PGothic" w:hAnsi="MS PGothic"/>
          <w:sz w:val="17"/>
          <w:szCs w:val="17"/>
          <w:color w:val="auto"/>
        </w:rPr>
        <w:t>✓</w:t>
      </w:r>
      <w:r>
        <w:rPr>
          <w:rFonts w:ascii="Arial" w:cs="Arial" w:eastAsia="Arial" w:hAnsi="Arial"/>
          <w:sz w:val="17"/>
          <w:szCs w:val="17"/>
          <w:color w:val="auto"/>
        </w:rPr>
        <w:t xml:space="preserve">    Led the Company’s capital investment efforts with productive investments in existing assets contributing to FFO per diluted share growth in 2023 and expected significant</w:t>
      </w:r>
    </w:p>
    <w:p>
      <w:pPr>
        <w:ind w:left="360"/>
        <w:spacing w:after="0" w:line="231" w:lineRule="auto"/>
        <w:rPr>
          <w:sz w:val="20"/>
          <w:szCs w:val="20"/>
          <w:color w:val="auto"/>
        </w:rPr>
      </w:pPr>
      <w:r>
        <w:rPr>
          <w:rFonts w:ascii="Arial" w:cs="Arial" w:eastAsia="Arial" w:hAnsi="Arial"/>
          <w:sz w:val="18"/>
          <w:szCs w:val="18"/>
          <w:color w:val="auto"/>
        </w:rPr>
        <w:t>future contributions</w:t>
      </w: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Oversaw historically strong year of comparable space lease signings that produced</w:t>
      </w:r>
    </w:p>
    <w:p>
      <w:pPr>
        <w:spacing w:after="0" w:line="13" w:lineRule="exact"/>
        <w:rPr>
          <w:sz w:val="20"/>
          <w:szCs w:val="20"/>
          <w:color w:val="auto"/>
        </w:rPr>
      </w:pPr>
    </w:p>
    <w:p>
      <w:pPr>
        <w:ind w:left="360" w:hanging="7"/>
        <w:spacing w:after="0" w:line="239" w:lineRule="auto"/>
        <w:tabs>
          <w:tab w:leader="none" w:pos="509" w:val="left"/>
        </w:tabs>
        <w:numPr>
          <w:ilvl w:val="0"/>
          <w:numId w:val="57"/>
        </w:numPr>
        <w:rPr>
          <w:rFonts w:ascii="Times New Roman" w:cs="Times New Roman" w:eastAsia="Times New Roman" w:hAnsi="Times New Roman"/>
          <w:sz w:val="18"/>
          <w:szCs w:val="18"/>
          <w:color w:val="auto"/>
        </w:rPr>
      </w:pPr>
      <w:r>
        <w:rPr>
          <w:rFonts w:ascii="Arial" w:cs="Arial" w:eastAsia="Arial" w:hAnsi="Arial"/>
          <w:sz w:val="18"/>
          <w:szCs w:val="18"/>
          <w:color w:val="auto"/>
        </w:rPr>
        <w:t>10% rental growth over prior tenants and will deliver $74.5 million of new revenue in the first year of the lease terms</w:t>
      </w:r>
    </w:p>
    <w:p>
      <w:pPr>
        <w:spacing w:after="0" w:line="1" w:lineRule="exact"/>
        <w:rPr>
          <w:sz w:val="20"/>
          <w:szCs w:val="20"/>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Led efforts to grow pipeline of future projects that will add value to existing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-2249805</wp:posOffset>
            </wp:positionH>
            <wp:positionV relativeFrom="paragraph">
              <wp:posOffset>711835</wp:posOffset>
            </wp:positionV>
            <wp:extent cx="7003415" cy="12001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003415" cy="120015"/>
                    </a:xfrm>
                    <a:prstGeom prst="rect">
                      <a:avLst/>
                    </a:prstGeom>
                    <a:noFill/>
                  </pic:spPr>
                </pic:pic>
              </a:graphicData>
            </a:graphic>
          </wp:anchor>
        </w:drawing>
      </w:r>
    </w:p>
    <w:p>
      <w:pPr>
        <w:spacing w:after="0" w:line="1125" w:lineRule="exact"/>
        <w:rPr>
          <w:sz w:val="20"/>
          <w:szCs w:val="20"/>
          <w:color w:val="auto"/>
        </w:rPr>
      </w:pPr>
    </w:p>
    <w:p>
      <w:pPr>
        <w:sectPr>
          <w:pgSz w:w="11900" w:h="16838" w:orient="portrait"/>
          <w:cols w:equalWidth="0" w:num="2">
            <w:col w:w="3280" w:space="380"/>
            <w:col w:w="7460"/>
          </w:cols>
          <w:pgMar w:left="320" w:top="482" w:right="459" w:bottom="1440" w:gutter="0" w:footer="0" w:header="0"/>
          <w:type w:val="continuous"/>
        </w:sectPr>
      </w:pPr>
    </w:p>
    <w:p>
      <w:pPr>
        <w:ind w:left="340"/>
        <w:spacing w:after="0"/>
        <w:rPr>
          <w:sz w:val="20"/>
          <w:szCs w:val="20"/>
          <w:color w:val="auto"/>
        </w:rPr>
      </w:pPr>
      <w:r>
        <w:rPr>
          <w:rFonts w:ascii="Arial" w:cs="Arial" w:eastAsia="Arial" w:hAnsi="Arial"/>
          <w:sz w:val="14"/>
          <w:szCs w:val="14"/>
          <w:color w:val="FF160F"/>
        </w:rPr>
        <w:t>Federal Realty</w:t>
      </w:r>
      <w:r>
        <w:rPr>
          <w:rFonts w:ascii="Arial" w:cs="Arial" w:eastAsia="Arial" w:hAnsi="Arial"/>
          <w:sz w:val="14"/>
          <w:szCs w:val="14"/>
          <w:color w:val="000000"/>
        </w:rPr>
        <w:t xml:space="preserve">      2024 Proxy Statement   26</w:t>
      </w:r>
    </w:p>
    <w:p>
      <w:pPr>
        <w:sectPr>
          <w:pgSz w:w="11900" w:h="16838" w:orient="portrait"/>
          <w:cols w:equalWidth="0" w:num="1">
            <w:col w:w="11120"/>
          </w:cols>
          <w:pgMar w:left="320" w:top="482" w:right="45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2091690" cy="300863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091690" cy="3008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left="120"/>
        <w:spacing w:after="0"/>
        <w:rPr>
          <w:sz w:val="20"/>
          <w:szCs w:val="20"/>
          <w:color w:val="auto"/>
        </w:rPr>
      </w:pPr>
      <w:r>
        <w:rPr>
          <w:rFonts w:ascii="Arial" w:cs="Arial" w:eastAsia="Arial" w:hAnsi="Arial"/>
          <w:sz w:val="18"/>
          <w:szCs w:val="18"/>
          <w:color w:val="FF160F"/>
        </w:rPr>
        <w:t>Daniel Guglielmone</w:t>
      </w:r>
    </w:p>
    <w:p>
      <w:pPr>
        <w:spacing w:after="0" w:line="9" w:lineRule="exact"/>
        <w:rPr>
          <w:sz w:val="20"/>
          <w:szCs w:val="20"/>
          <w:color w:val="auto"/>
        </w:rPr>
      </w:pPr>
    </w:p>
    <w:p>
      <w:pPr>
        <w:jc w:val="center"/>
        <w:ind w:left="120"/>
        <w:spacing w:after="0"/>
        <w:rPr>
          <w:sz w:val="20"/>
          <w:szCs w:val="20"/>
          <w:color w:val="auto"/>
        </w:rPr>
      </w:pPr>
      <w:r>
        <w:rPr>
          <w:rFonts w:ascii="Arial" w:cs="Arial" w:eastAsia="Arial" w:hAnsi="Arial"/>
          <w:sz w:val="18"/>
          <w:szCs w:val="18"/>
          <w:color w:val="auto"/>
        </w:rPr>
        <w:t>Executive Vice President</w:t>
      </w:r>
    </w:p>
    <w:p>
      <w:pPr>
        <w:jc w:val="center"/>
        <w:ind w:left="12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95" w:lineRule="exact"/>
        <w:rPr>
          <w:sz w:val="20"/>
          <w:szCs w:val="20"/>
          <w:color w:val="auto"/>
        </w:rPr>
      </w:pPr>
    </w:p>
    <w:p>
      <w:pPr>
        <w:ind w:left="120"/>
        <w:spacing w:after="0"/>
        <w:rPr>
          <w:sz w:val="20"/>
          <w:szCs w:val="20"/>
          <w:color w:val="auto"/>
        </w:rPr>
      </w:pPr>
      <w:r>
        <w:rPr>
          <w:rFonts w:ascii="Arial" w:cs="Arial" w:eastAsia="Arial" w:hAnsi="Arial"/>
          <w:sz w:val="16"/>
          <w:szCs w:val="16"/>
          <w:color w:val="FF160F"/>
        </w:rPr>
        <w:t>  2023 Compensation (in 000s)</w:t>
      </w:r>
    </w:p>
    <w:p>
      <w:pPr>
        <w:spacing w:after="0" w:line="51"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80" w:type="dxa"/>
            <w:vAlign w:val="bottom"/>
            <w:shd w:val="clear" w:color="auto" w:fill="E5E5E5"/>
          </w:tcPr>
          <w:p>
            <w:pPr>
              <w:spacing w:after="0"/>
              <w:rPr>
                <w:sz w:val="20"/>
                <w:szCs w:val="20"/>
                <w:color w:val="auto"/>
              </w:rPr>
            </w:pPr>
            <w:r>
              <w:rPr>
                <w:rFonts w:ascii="Arial" w:cs="Arial" w:eastAsia="Arial" w:hAnsi="Arial"/>
                <w:sz w:val="8"/>
                <w:szCs w:val="8"/>
                <w:color w:val="auto"/>
                <w:w w:val="74"/>
              </w:rPr>
              <w:t> </w:t>
            </w:r>
          </w:p>
        </w:tc>
        <w:tc>
          <w:tcPr>
            <w:tcW w:w="2440" w:type="dxa"/>
            <w:vAlign w:val="bottom"/>
            <w:shd w:val="clear" w:color="auto" w:fill="E5E5E5"/>
          </w:tcPr>
          <w:p>
            <w:pPr>
              <w:ind w:left="60"/>
              <w:spacing w:after="0"/>
              <w:rPr>
                <w:sz w:val="20"/>
                <w:szCs w:val="20"/>
                <w:color w:val="auto"/>
              </w:rPr>
            </w:pPr>
            <w:r>
              <w:rPr>
                <w:rFonts w:ascii="Arial" w:cs="Arial" w:eastAsia="Arial" w:hAnsi="Arial"/>
                <w:sz w:val="14"/>
                <w:szCs w:val="14"/>
                <w:color w:val="auto"/>
              </w:rPr>
              <w:t>Base Pay</w:t>
            </w:r>
          </w:p>
        </w:tc>
        <w:tc>
          <w:tcPr>
            <w:tcW w:w="640" w:type="dxa"/>
            <w:vAlign w:val="bottom"/>
          </w:tcPr>
          <w:p>
            <w:pPr>
              <w:jc w:val="right"/>
              <w:spacing w:after="0"/>
              <w:rPr>
                <w:sz w:val="20"/>
                <w:szCs w:val="20"/>
                <w:color w:val="auto"/>
              </w:rPr>
            </w:pPr>
            <w:r>
              <w:rPr>
                <w:rFonts w:ascii="Arial" w:cs="Arial" w:eastAsia="Arial" w:hAnsi="Arial"/>
                <w:sz w:val="14"/>
                <w:szCs w:val="14"/>
                <w:color w:val="auto"/>
              </w:rPr>
              <w:t>$   575</w:t>
            </w:r>
          </w:p>
        </w:tc>
      </w:tr>
      <w:tr>
        <w:trPr>
          <w:trHeight w:val="190"/>
        </w:trPr>
        <w:tc>
          <w:tcPr>
            <w:tcW w:w="80" w:type="dxa"/>
            <w:vAlign w:val="bottom"/>
            <w:shd w:val="clear" w:color="auto" w:fill="E5E5E5"/>
          </w:tcPr>
          <w:p>
            <w:pPr>
              <w:spacing w:after="0"/>
              <w:rPr>
                <w:sz w:val="20"/>
                <w:szCs w:val="20"/>
                <w:color w:val="auto"/>
              </w:rPr>
            </w:pPr>
            <w:r>
              <w:rPr>
                <w:rFonts w:ascii="Arial" w:cs="Arial" w:eastAsia="Arial" w:hAnsi="Arial"/>
                <w:sz w:val="8"/>
                <w:szCs w:val="8"/>
                <w:color w:val="auto"/>
                <w:w w:val="74"/>
              </w:rPr>
              <w:t> </w:t>
            </w:r>
          </w:p>
        </w:tc>
        <w:tc>
          <w:tcPr>
            <w:tcW w:w="2440" w:type="dxa"/>
            <w:vAlign w:val="bottom"/>
            <w:shd w:val="clear" w:color="auto" w:fill="E5E5E5"/>
          </w:tcPr>
          <w:p>
            <w:pPr>
              <w:ind w:left="60"/>
              <w:spacing w:after="0"/>
              <w:rPr>
                <w:sz w:val="20"/>
                <w:szCs w:val="20"/>
                <w:color w:val="auto"/>
              </w:rPr>
            </w:pPr>
            <w:r>
              <w:rPr>
                <w:rFonts w:ascii="Arial" w:cs="Arial" w:eastAsia="Arial" w:hAnsi="Arial"/>
                <w:sz w:val="14"/>
                <w:szCs w:val="14"/>
                <w:color w:val="auto"/>
              </w:rPr>
              <w:t>Annual Bonus</w:t>
            </w:r>
          </w:p>
        </w:tc>
        <w:tc>
          <w:tcPr>
            <w:tcW w:w="6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   719</w:t>
            </w:r>
          </w:p>
        </w:tc>
      </w:tr>
      <w:tr>
        <w:trPr>
          <w:trHeight w:val="193"/>
        </w:trPr>
        <w:tc>
          <w:tcPr>
            <w:tcW w:w="80" w:type="dxa"/>
            <w:vAlign w:val="bottom"/>
            <w:shd w:val="clear" w:color="auto" w:fill="E5E5E5"/>
          </w:tcPr>
          <w:p>
            <w:pPr>
              <w:spacing w:after="0"/>
              <w:rPr>
                <w:sz w:val="20"/>
                <w:szCs w:val="20"/>
                <w:color w:val="auto"/>
              </w:rPr>
            </w:pPr>
            <w:r>
              <w:rPr>
                <w:rFonts w:ascii="Arial" w:cs="Arial" w:eastAsia="Arial" w:hAnsi="Arial"/>
                <w:sz w:val="8"/>
                <w:szCs w:val="8"/>
                <w:color w:val="auto"/>
                <w:w w:val="74"/>
              </w:rPr>
              <w:t> </w:t>
            </w:r>
          </w:p>
        </w:tc>
        <w:tc>
          <w:tcPr>
            <w:tcW w:w="2440" w:type="dxa"/>
            <w:vAlign w:val="bottom"/>
            <w:shd w:val="clear" w:color="auto" w:fill="E5E5E5"/>
          </w:tcPr>
          <w:p>
            <w:pPr>
              <w:ind w:left="60"/>
              <w:spacing w:after="0"/>
              <w:rPr>
                <w:sz w:val="20"/>
                <w:szCs w:val="20"/>
                <w:color w:val="auto"/>
              </w:rPr>
            </w:pPr>
            <w:r>
              <w:rPr>
                <w:rFonts w:ascii="Arial" w:cs="Arial" w:eastAsia="Arial" w:hAnsi="Arial"/>
                <w:sz w:val="14"/>
                <w:szCs w:val="14"/>
                <w:color w:val="auto"/>
              </w:rPr>
              <w:t>Supp. Bonus</w:t>
            </w:r>
          </w:p>
        </w:tc>
        <w:tc>
          <w:tcPr>
            <w:tcW w:w="6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   150</w:t>
            </w:r>
          </w:p>
        </w:tc>
      </w:tr>
      <w:tr>
        <w:trPr>
          <w:trHeight w:val="229"/>
        </w:trPr>
        <w:tc>
          <w:tcPr>
            <w:tcW w:w="8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8"/>
                <w:szCs w:val="8"/>
                <w:color w:val="auto"/>
                <w:w w:val="74"/>
              </w:rPr>
              <w:t> </w:t>
            </w:r>
          </w:p>
        </w:tc>
        <w:tc>
          <w:tcPr>
            <w:tcW w:w="244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4"/>
                <w:szCs w:val="14"/>
                <w:color w:val="auto"/>
              </w:rPr>
              <w:t>Long-Term Equity</w:t>
            </w:r>
          </w:p>
        </w:tc>
        <w:tc>
          <w:tcPr>
            <w:tcW w:w="64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$1,064</w:t>
            </w:r>
          </w:p>
        </w:tc>
      </w:tr>
      <w:tr>
        <w:trPr>
          <w:trHeight w:val="184"/>
        </w:trPr>
        <w:tc>
          <w:tcPr>
            <w:tcW w:w="80" w:type="dxa"/>
            <w:vAlign w:val="bottom"/>
            <w:tcBorders>
              <w:top w:val="single" w:sz="8" w:color="E5E5E5"/>
            </w:tcBorders>
            <w:shd w:val="clear" w:color="auto" w:fill="E5E5E5"/>
          </w:tcPr>
          <w:p>
            <w:pPr>
              <w:spacing w:after="0"/>
              <w:rPr>
                <w:sz w:val="20"/>
                <w:szCs w:val="20"/>
                <w:color w:val="auto"/>
              </w:rPr>
            </w:pPr>
            <w:r>
              <w:rPr>
                <w:rFonts w:ascii="Arial" w:cs="Arial" w:eastAsia="Arial" w:hAnsi="Arial"/>
                <w:sz w:val="8"/>
                <w:szCs w:val="8"/>
                <w:color w:val="auto"/>
                <w:w w:val="74"/>
              </w:rPr>
              <w:t> </w:t>
            </w:r>
          </w:p>
        </w:tc>
        <w:tc>
          <w:tcPr>
            <w:tcW w:w="2440" w:type="dxa"/>
            <w:vAlign w:val="bottom"/>
            <w:tcBorders>
              <w:top w:val="single" w:sz="8" w:color="E5E5E5"/>
            </w:tcBorders>
            <w:shd w:val="clear" w:color="auto" w:fill="E5E5E5"/>
          </w:tcPr>
          <w:p>
            <w:pPr>
              <w:ind w:left="60"/>
              <w:spacing w:after="0"/>
              <w:rPr>
                <w:sz w:val="20"/>
                <w:szCs w:val="20"/>
                <w:color w:val="auto"/>
              </w:rPr>
            </w:pPr>
            <w:r>
              <w:rPr>
                <w:rFonts w:ascii="Arial" w:cs="Arial" w:eastAsia="Arial" w:hAnsi="Arial"/>
                <w:sz w:val="14"/>
                <w:szCs w:val="14"/>
                <w:color w:val="auto"/>
              </w:rPr>
              <w:t>Total</w:t>
            </w:r>
          </w:p>
        </w:tc>
        <w:tc>
          <w:tcPr>
            <w:tcW w:w="64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$2,508</w:t>
            </w:r>
          </w:p>
        </w:tc>
      </w:tr>
      <w:tr>
        <w:trPr>
          <w:trHeight w:val="193"/>
        </w:trPr>
        <w:tc>
          <w:tcPr>
            <w:tcW w:w="80" w:type="dxa"/>
            <w:vAlign w:val="bottom"/>
            <w:shd w:val="clear" w:color="auto" w:fill="E5E5E5"/>
          </w:tcPr>
          <w:p>
            <w:pPr>
              <w:spacing w:after="0"/>
              <w:rPr>
                <w:sz w:val="20"/>
                <w:szCs w:val="20"/>
                <w:color w:val="auto"/>
              </w:rPr>
            </w:pPr>
            <w:r>
              <w:rPr>
                <w:rFonts w:ascii="Arial" w:cs="Arial" w:eastAsia="Arial" w:hAnsi="Arial"/>
                <w:sz w:val="8"/>
                <w:szCs w:val="8"/>
                <w:color w:val="auto"/>
                <w:w w:val="74"/>
              </w:rPr>
              <w:t> </w:t>
            </w:r>
          </w:p>
        </w:tc>
        <w:tc>
          <w:tcPr>
            <w:tcW w:w="2440" w:type="dxa"/>
            <w:vAlign w:val="bottom"/>
            <w:shd w:val="clear" w:color="auto" w:fill="E5E5E5"/>
          </w:tcPr>
          <w:p>
            <w:pPr>
              <w:ind w:left="60"/>
              <w:spacing w:after="0"/>
              <w:rPr>
                <w:sz w:val="20"/>
                <w:szCs w:val="20"/>
                <w:color w:val="auto"/>
              </w:rPr>
            </w:pPr>
            <w:r>
              <w:rPr>
                <w:rFonts w:ascii="Arial" w:cs="Arial" w:eastAsia="Arial" w:hAnsi="Arial"/>
                <w:sz w:val="14"/>
                <w:szCs w:val="14"/>
                <w:color w:val="auto"/>
              </w:rPr>
              <w:t>Total as % of Target</w:t>
            </w:r>
          </w:p>
        </w:tc>
        <w:tc>
          <w:tcPr>
            <w:tcW w:w="6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117%</w:t>
            </w:r>
          </w:p>
        </w:tc>
      </w:tr>
      <w:tr>
        <w:trPr>
          <w:trHeight w:val="832"/>
        </w:trPr>
        <w:tc>
          <w:tcPr>
            <w:tcW w:w="80" w:type="dxa"/>
            <w:vAlign w:val="bottom"/>
            <w:shd w:val="clear" w:color="auto" w:fill="E5E5E5"/>
          </w:tcPr>
          <w:p>
            <w:pPr>
              <w:spacing w:after="0"/>
              <w:rPr>
                <w:sz w:val="24"/>
                <w:szCs w:val="24"/>
                <w:color w:val="auto"/>
              </w:rPr>
            </w:pPr>
          </w:p>
        </w:tc>
        <w:tc>
          <w:tcPr>
            <w:tcW w:w="2440" w:type="dxa"/>
            <w:vAlign w:val="bottom"/>
            <w:shd w:val="clear" w:color="auto" w:fill="E5E5E5"/>
          </w:tcPr>
          <w:p>
            <w:pPr>
              <w:spacing w:after="0"/>
              <w:rPr>
                <w:sz w:val="24"/>
                <w:szCs w:val="24"/>
                <w:color w:val="auto"/>
              </w:rPr>
            </w:pPr>
          </w:p>
        </w:tc>
        <w:tc>
          <w:tcPr>
            <w:tcW w:w="640" w:type="dxa"/>
            <w:vAlign w:val="bottom"/>
            <w:shd w:val="clear" w:color="auto" w:fill="E5E5E5"/>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154305</wp:posOffset>
            </wp:positionV>
            <wp:extent cx="2091690" cy="314642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091690" cy="3146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left="120"/>
        <w:spacing w:after="0"/>
        <w:rPr>
          <w:sz w:val="20"/>
          <w:szCs w:val="20"/>
          <w:color w:val="auto"/>
        </w:rPr>
      </w:pPr>
      <w:r>
        <w:rPr>
          <w:rFonts w:ascii="Arial" w:cs="Arial" w:eastAsia="Arial" w:hAnsi="Arial"/>
          <w:sz w:val="18"/>
          <w:szCs w:val="18"/>
          <w:color w:val="FF160F"/>
        </w:rPr>
        <w:t>Dawn M. Becker</w:t>
      </w:r>
    </w:p>
    <w:p>
      <w:pPr>
        <w:spacing w:after="0" w:line="9" w:lineRule="exact"/>
        <w:rPr>
          <w:sz w:val="20"/>
          <w:szCs w:val="20"/>
          <w:color w:val="auto"/>
        </w:rPr>
      </w:pPr>
    </w:p>
    <w:p>
      <w:pPr>
        <w:jc w:val="center"/>
        <w:ind w:left="120"/>
        <w:spacing w:after="0"/>
        <w:rPr>
          <w:sz w:val="20"/>
          <w:szCs w:val="20"/>
          <w:color w:val="auto"/>
        </w:rPr>
      </w:pPr>
      <w:r>
        <w:rPr>
          <w:rFonts w:ascii="Arial" w:cs="Arial" w:eastAsia="Arial" w:hAnsi="Arial"/>
          <w:sz w:val="18"/>
          <w:szCs w:val="18"/>
          <w:color w:val="auto"/>
        </w:rPr>
        <w:t>Executive Vice President</w:t>
      </w:r>
    </w:p>
    <w:p>
      <w:pPr>
        <w:jc w:val="center"/>
        <w:ind w:left="120"/>
        <w:spacing w:after="0"/>
        <w:rPr>
          <w:sz w:val="20"/>
          <w:szCs w:val="20"/>
          <w:color w:val="auto"/>
        </w:rPr>
      </w:pPr>
      <w:r>
        <w:rPr>
          <w:rFonts w:ascii="Arial" w:cs="Arial" w:eastAsia="Arial" w:hAnsi="Arial"/>
          <w:sz w:val="18"/>
          <w:szCs w:val="18"/>
          <w:color w:val="auto"/>
        </w:rPr>
        <w:t>General Counsel</w:t>
      </w:r>
    </w:p>
    <w:p>
      <w:pPr>
        <w:spacing w:after="0" w:line="200" w:lineRule="exact"/>
        <w:rPr>
          <w:sz w:val="20"/>
          <w:szCs w:val="20"/>
          <w:color w:val="auto"/>
        </w:rPr>
      </w:pPr>
    </w:p>
    <w:p>
      <w:pPr>
        <w:spacing w:after="0" w:line="322" w:lineRule="exact"/>
        <w:rPr>
          <w:sz w:val="20"/>
          <w:szCs w:val="20"/>
          <w:color w:val="auto"/>
        </w:rPr>
      </w:pPr>
    </w:p>
    <w:p>
      <w:pPr>
        <w:ind w:left="120"/>
        <w:spacing w:after="0"/>
        <w:rPr>
          <w:sz w:val="20"/>
          <w:szCs w:val="20"/>
          <w:color w:val="auto"/>
        </w:rPr>
      </w:pPr>
      <w:r>
        <w:rPr>
          <w:rFonts w:ascii="Arial" w:cs="Arial" w:eastAsia="Arial" w:hAnsi="Arial"/>
          <w:sz w:val="16"/>
          <w:szCs w:val="16"/>
          <w:color w:val="FF160F"/>
        </w:rPr>
        <w:t>  2023 Compensation (in 000s)</w:t>
      </w:r>
    </w:p>
    <w:p>
      <w:pPr>
        <w:spacing w:after="0" w:line="51"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80" w:type="dxa"/>
            <w:vAlign w:val="bottom"/>
            <w:shd w:val="clear" w:color="auto" w:fill="E5E5E5"/>
          </w:tcPr>
          <w:p>
            <w:pPr>
              <w:spacing w:after="0"/>
              <w:rPr>
                <w:sz w:val="20"/>
                <w:szCs w:val="20"/>
                <w:color w:val="auto"/>
              </w:rPr>
            </w:pPr>
            <w:r>
              <w:rPr>
                <w:rFonts w:ascii="Arial" w:cs="Arial" w:eastAsia="Arial" w:hAnsi="Arial"/>
                <w:sz w:val="8"/>
                <w:szCs w:val="8"/>
                <w:color w:val="auto"/>
                <w:w w:val="74"/>
              </w:rPr>
              <w:t> </w:t>
            </w:r>
          </w:p>
        </w:tc>
        <w:tc>
          <w:tcPr>
            <w:tcW w:w="2440" w:type="dxa"/>
            <w:vAlign w:val="bottom"/>
            <w:shd w:val="clear" w:color="auto" w:fill="E5E5E5"/>
          </w:tcPr>
          <w:p>
            <w:pPr>
              <w:ind w:left="60"/>
              <w:spacing w:after="0"/>
              <w:rPr>
                <w:sz w:val="20"/>
                <w:szCs w:val="20"/>
                <w:color w:val="auto"/>
              </w:rPr>
            </w:pPr>
            <w:r>
              <w:rPr>
                <w:rFonts w:ascii="Arial" w:cs="Arial" w:eastAsia="Arial" w:hAnsi="Arial"/>
                <w:sz w:val="14"/>
                <w:szCs w:val="14"/>
                <w:color w:val="auto"/>
              </w:rPr>
              <w:t>Base Pay</w:t>
            </w:r>
          </w:p>
        </w:tc>
        <w:tc>
          <w:tcPr>
            <w:tcW w:w="640" w:type="dxa"/>
            <w:vAlign w:val="bottom"/>
          </w:tcPr>
          <w:p>
            <w:pPr>
              <w:jc w:val="right"/>
              <w:spacing w:after="0"/>
              <w:rPr>
                <w:sz w:val="20"/>
                <w:szCs w:val="20"/>
                <w:color w:val="auto"/>
              </w:rPr>
            </w:pPr>
            <w:r>
              <w:rPr>
                <w:rFonts w:ascii="Arial" w:cs="Arial" w:eastAsia="Arial" w:hAnsi="Arial"/>
                <w:sz w:val="14"/>
                <w:szCs w:val="14"/>
                <w:color w:val="auto"/>
              </w:rPr>
              <w:t>$   575</w:t>
            </w:r>
          </w:p>
        </w:tc>
      </w:tr>
      <w:tr>
        <w:trPr>
          <w:trHeight w:val="190"/>
        </w:trPr>
        <w:tc>
          <w:tcPr>
            <w:tcW w:w="80" w:type="dxa"/>
            <w:vAlign w:val="bottom"/>
            <w:shd w:val="clear" w:color="auto" w:fill="E5E5E5"/>
          </w:tcPr>
          <w:p>
            <w:pPr>
              <w:spacing w:after="0"/>
              <w:rPr>
                <w:sz w:val="20"/>
                <w:szCs w:val="20"/>
                <w:color w:val="auto"/>
              </w:rPr>
            </w:pPr>
            <w:r>
              <w:rPr>
                <w:rFonts w:ascii="Arial" w:cs="Arial" w:eastAsia="Arial" w:hAnsi="Arial"/>
                <w:sz w:val="8"/>
                <w:szCs w:val="8"/>
                <w:color w:val="auto"/>
                <w:w w:val="74"/>
              </w:rPr>
              <w:t> </w:t>
            </w:r>
          </w:p>
        </w:tc>
        <w:tc>
          <w:tcPr>
            <w:tcW w:w="2440" w:type="dxa"/>
            <w:vAlign w:val="bottom"/>
            <w:shd w:val="clear" w:color="auto" w:fill="E5E5E5"/>
          </w:tcPr>
          <w:p>
            <w:pPr>
              <w:ind w:left="60"/>
              <w:spacing w:after="0"/>
              <w:rPr>
                <w:sz w:val="20"/>
                <w:szCs w:val="20"/>
                <w:color w:val="auto"/>
              </w:rPr>
            </w:pPr>
            <w:r>
              <w:rPr>
                <w:rFonts w:ascii="Arial" w:cs="Arial" w:eastAsia="Arial" w:hAnsi="Arial"/>
                <w:sz w:val="14"/>
                <w:szCs w:val="14"/>
                <w:color w:val="auto"/>
              </w:rPr>
              <w:t>Annual Bonus</w:t>
            </w:r>
          </w:p>
        </w:tc>
        <w:tc>
          <w:tcPr>
            <w:tcW w:w="6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   719</w:t>
            </w:r>
          </w:p>
        </w:tc>
      </w:tr>
      <w:tr>
        <w:trPr>
          <w:trHeight w:val="220"/>
        </w:trPr>
        <w:tc>
          <w:tcPr>
            <w:tcW w:w="8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8"/>
                <w:szCs w:val="8"/>
                <w:color w:val="auto"/>
                <w:w w:val="74"/>
              </w:rPr>
              <w:t> </w:t>
            </w:r>
          </w:p>
        </w:tc>
        <w:tc>
          <w:tcPr>
            <w:tcW w:w="244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4"/>
                <w:szCs w:val="14"/>
                <w:color w:val="auto"/>
              </w:rPr>
              <w:t>Long-Term Equity</w:t>
            </w:r>
          </w:p>
        </w:tc>
        <w:tc>
          <w:tcPr>
            <w:tcW w:w="64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$1,064</w:t>
            </w:r>
          </w:p>
        </w:tc>
      </w:tr>
      <w:tr>
        <w:trPr>
          <w:trHeight w:val="184"/>
        </w:trPr>
        <w:tc>
          <w:tcPr>
            <w:tcW w:w="80" w:type="dxa"/>
            <w:vAlign w:val="bottom"/>
            <w:tcBorders>
              <w:top w:val="single" w:sz="8" w:color="E5E5E5"/>
            </w:tcBorders>
            <w:shd w:val="clear" w:color="auto" w:fill="E5E5E5"/>
          </w:tcPr>
          <w:p>
            <w:pPr>
              <w:spacing w:after="0"/>
              <w:rPr>
                <w:sz w:val="20"/>
                <w:szCs w:val="20"/>
                <w:color w:val="auto"/>
              </w:rPr>
            </w:pPr>
            <w:r>
              <w:rPr>
                <w:rFonts w:ascii="Arial" w:cs="Arial" w:eastAsia="Arial" w:hAnsi="Arial"/>
                <w:sz w:val="8"/>
                <w:szCs w:val="8"/>
                <w:color w:val="auto"/>
                <w:w w:val="74"/>
              </w:rPr>
              <w:t> </w:t>
            </w:r>
          </w:p>
        </w:tc>
        <w:tc>
          <w:tcPr>
            <w:tcW w:w="2440" w:type="dxa"/>
            <w:vAlign w:val="bottom"/>
            <w:tcBorders>
              <w:top w:val="single" w:sz="8" w:color="E5E5E5"/>
            </w:tcBorders>
            <w:shd w:val="clear" w:color="auto" w:fill="E5E5E5"/>
          </w:tcPr>
          <w:p>
            <w:pPr>
              <w:ind w:left="60"/>
              <w:spacing w:after="0"/>
              <w:rPr>
                <w:sz w:val="20"/>
                <w:szCs w:val="20"/>
                <w:color w:val="auto"/>
              </w:rPr>
            </w:pPr>
            <w:r>
              <w:rPr>
                <w:rFonts w:ascii="Arial" w:cs="Arial" w:eastAsia="Arial" w:hAnsi="Arial"/>
                <w:sz w:val="14"/>
                <w:szCs w:val="14"/>
                <w:color w:val="auto"/>
              </w:rPr>
              <w:t>Total</w:t>
            </w:r>
          </w:p>
        </w:tc>
        <w:tc>
          <w:tcPr>
            <w:tcW w:w="64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$2,358</w:t>
            </w:r>
          </w:p>
        </w:tc>
      </w:tr>
      <w:tr>
        <w:trPr>
          <w:trHeight w:val="193"/>
        </w:trPr>
        <w:tc>
          <w:tcPr>
            <w:tcW w:w="80" w:type="dxa"/>
            <w:vAlign w:val="bottom"/>
            <w:shd w:val="clear" w:color="auto" w:fill="E5E5E5"/>
          </w:tcPr>
          <w:p>
            <w:pPr>
              <w:spacing w:after="0"/>
              <w:rPr>
                <w:sz w:val="20"/>
                <w:szCs w:val="20"/>
                <w:color w:val="auto"/>
              </w:rPr>
            </w:pPr>
            <w:r>
              <w:rPr>
                <w:rFonts w:ascii="Arial" w:cs="Arial" w:eastAsia="Arial" w:hAnsi="Arial"/>
                <w:sz w:val="8"/>
                <w:szCs w:val="8"/>
                <w:color w:val="auto"/>
                <w:w w:val="74"/>
              </w:rPr>
              <w:t> </w:t>
            </w:r>
          </w:p>
        </w:tc>
        <w:tc>
          <w:tcPr>
            <w:tcW w:w="2440" w:type="dxa"/>
            <w:vAlign w:val="bottom"/>
            <w:shd w:val="clear" w:color="auto" w:fill="E5E5E5"/>
          </w:tcPr>
          <w:p>
            <w:pPr>
              <w:ind w:left="60"/>
              <w:spacing w:after="0"/>
              <w:rPr>
                <w:sz w:val="20"/>
                <w:szCs w:val="20"/>
                <w:color w:val="auto"/>
              </w:rPr>
            </w:pPr>
            <w:r>
              <w:rPr>
                <w:rFonts w:ascii="Arial" w:cs="Arial" w:eastAsia="Arial" w:hAnsi="Arial"/>
                <w:sz w:val="14"/>
                <w:szCs w:val="14"/>
                <w:color w:val="auto"/>
              </w:rPr>
              <w:t>Total as % of Target</w:t>
            </w:r>
          </w:p>
        </w:tc>
        <w:tc>
          <w:tcPr>
            <w:tcW w:w="6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110%</w:t>
            </w:r>
          </w:p>
        </w:tc>
      </w:tr>
      <w:tr>
        <w:trPr>
          <w:trHeight w:val="1237"/>
        </w:trPr>
        <w:tc>
          <w:tcPr>
            <w:tcW w:w="80" w:type="dxa"/>
            <w:vAlign w:val="bottom"/>
            <w:shd w:val="clear" w:color="auto" w:fill="E5E5E5"/>
          </w:tcPr>
          <w:p>
            <w:pPr>
              <w:spacing w:after="0"/>
              <w:rPr>
                <w:sz w:val="24"/>
                <w:szCs w:val="24"/>
                <w:color w:val="auto"/>
              </w:rPr>
            </w:pPr>
          </w:p>
        </w:tc>
        <w:tc>
          <w:tcPr>
            <w:tcW w:w="2440" w:type="dxa"/>
            <w:vAlign w:val="bottom"/>
            <w:shd w:val="clear" w:color="auto" w:fill="E5E5E5"/>
          </w:tcPr>
          <w:p>
            <w:pPr>
              <w:spacing w:after="0"/>
              <w:rPr>
                <w:sz w:val="24"/>
                <w:szCs w:val="24"/>
                <w:color w:val="auto"/>
              </w:rPr>
            </w:pPr>
          </w:p>
        </w:tc>
        <w:tc>
          <w:tcPr>
            <w:tcW w:w="640" w:type="dxa"/>
            <w:vAlign w:val="bottom"/>
            <w:shd w:val="clear" w:color="auto" w:fill="E5E5E5"/>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Responsibilities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-2331085</wp:posOffset>
            </wp:positionH>
            <wp:positionV relativeFrom="paragraph">
              <wp:posOffset>-804545</wp:posOffset>
            </wp:positionV>
            <wp:extent cx="7174865" cy="552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55245"/>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-118745</wp:posOffset>
            </wp:positionV>
            <wp:extent cx="4817745" cy="21463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4817745" cy="214630"/>
                    </a:xfrm>
                    <a:prstGeom prst="rect">
                      <a:avLst/>
                    </a:prstGeom>
                    <a:noFill/>
                  </pic:spPr>
                </pic:pic>
              </a:graphicData>
            </a:graphic>
          </wp:anchor>
        </w:drawing>
      </w:r>
    </w:p>
    <w:p>
      <w:pPr>
        <w:spacing w:after="0" w:line="111" w:lineRule="exact"/>
        <w:rPr>
          <w:sz w:val="20"/>
          <w:szCs w:val="20"/>
          <w:color w:val="auto"/>
        </w:rPr>
      </w:pPr>
    </w:p>
    <w:p>
      <w:pPr>
        <w:jc w:val="both"/>
        <w:ind w:right="100"/>
        <w:spacing w:after="0" w:line="253" w:lineRule="auto"/>
        <w:rPr>
          <w:sz w:val="20"/>
          <w:szCs w:val="20"/>
          <w:color w:val="auto"/>
        </w:rPr>
      </w:pPr>
      <w:r>
        <w:rPr>
          <w:rFonts w:ascii="Arial" w:cs="Arial" w:eastAsia="Arial" w:hAnsi="Arial"/>
          <w:sz w:val="18"/>
          <w:szCs w:val="18"/>
          <w:color w:val="auto"/>
        </w:rPr>
        <w:t>Mr. Guglielmone has overall responsibility for all Company related financial activity including forecasting, reporting and capital allocation, in addition to management of investor relations activities and East Coast property transactions.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2023 Achievements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-118745</wp:posOffset>
            </wp:positionV>
            <wp:extent cx="4817745" cy="17970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4817745" cy="179705"/>
                    </a:xfrm>
                    <a:prstGeom prst="rect">
                      <a:avLst/>
                    </a:prstGeom>
                    <a:noFill/>
                  </pic:spPr>
                </pic:pic>
              </a:graphicData>
            </a:graphic>
          </wp:anchor>
        </w:drawing>
      </w:r>
    </w:p>
    <w:p>
      <w:pPr>
        <w:spacing w:after="0" w:line="20" w:lineRule="exact"/>
        <w:rPr>
          <w:sz w:val="20"/>
          <w:szCs w:val="20"/>
          <w:color w:val="auto"/>
        </w:rPr>
      </w:pPr>
    </w:p>
    <w:p>
      <w:pPr>
        <w:ind w:left="360" w:right="120" w:hanging="359"/>
        <w:spacing w:after="0" w:line="224"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Co-led the Company’s capital investment efforts with productive investments in existing assets contributing to FFO per diluted share growth in 2023 and expected significant future contributions</w:t>
      </w:r>
    </w:p>
    <w:p>
      <w:pPr>
        <w:spacing w:after="0" w:line="1" w:lineRule="exact"/>
        <w:rPr>
          <w:sz w:val="20"/>
          <w:szCs w:val="20"/>
          <w:color w:val="auto"/>
        </w:rPr>
      </w:pPr>
    </w:p>
    <w:p>
      <w:pPr>
        <w:spacing w:after="0" w:line="218"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Smartly managed the Company’s debt obligations through a period of significant inflation </w:t>
      </w:r>
      <w:r>
        <w:rPr>
          <w:rFonts w:ascii="MS PGothic" w:cs="MS PGothic" w:eastAsia="MS PGothic" w:hAnsi="MS PGothic"/>
          <w:sz w:val="18"/>
          <w:szCs w:val="18"/>
          <w:color w:val="auto"/>
        </w:rPr>
        <w:t>✓</w:t>
      </w:r>
      <w:r>
        <w:rPr>
          <w:rFonts w:ascii="Arial" w:cs="Arial" w:eastAsia="Arial" w:hAnsi="Arial"/>
          <w:sz w:val="18"/>
          <w:szCs w:val="18"/>
          <w:color w:val="auto"/>
        </w:rPr>
        <w:t xml:space="preserve">   Strong balance sheet management that resulted in improvement of key credit metrics </w:t>
      </w:r>
      <w:r>
        <w:rPr>
          <w:rFonts w:ascii="MS PGothic" w:cs="MS PGothic" w:eastAsia="MS PGothic" w:hAnsi="MS PGothic"/>
          <w:sz w:val="18"/>
          <w:szCs w:val="18"/>
          <w:color w:val="auto"/>
        </w:rPr>
        <w:t>✓</w:t>
      </w:r>
      <w:r>
        <w:rPr>
          <w:rFonts w:ascii="Arial" w:cs="Arial" w:eastAsia="Arial" w:hAnsi="Arial"/>
          <w:sz w:val="18"/>
          <w:szCs w:val="18"/>
          <w:color w:val="auto"/>
        </w:rPr>
        <w:t xml:space="preserve">   Led financial efforts enabling the Company to increase our annual dividend rate to</w:t>
      </w:r>
    </w:p>
    <w:p>
      <w:pPr>
        <w:ind w:left="360"/>
        <w:spacing w:after="0"/>
        <w:rPr>
          <w:sz w:val="20"/>
          <w:szCs w:val="20"/>
          <w:color w:val="auto"/>
        </w:rPr>
      </w:pPr>
      <w:r>
        <w:rPr>
          <w:rFonts w:ascii="Arial" w:cs="Arial" w:eastAsia="Arial" w:hAnsi="Arial"/>
          <w:sz w:val="18"/>
          <w:szCs w:val="18"/>
          <w:color w:val="auto"/>
        </w:rPr>
        <w:t>common shareholders for the 56</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consecutive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Responsibilities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-118745</wp:posOffset>
            </wp:positionV>
            <wp:extent cx="4817745" cy="21463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4817745" cy="214630"/>
                    </a:xfrm>
                    <a:prstGeom prst="rect">
                      <a:avLst/>
                    </a:prstGeom>
                    <a:noFill/>
                  </pic:spPr>
                </pic:pic>
              </a:graphicData>
            </a:graphic>
          </wp:anchor>
        </w:drawing>
      </w:r>
    </w:p>
    <w:p>
      <w:pPr>
        <w:spacing w:after="0" w:line="111"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Ms. Becker has overall responsibility for all legal functions within the Company and heads all of our sustainability efforts in addition to overseeing our Human Resources, Information Technology and other administrative functions.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2023 Achievements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-118745</wp:posOffset>
            </wp:positionV>
            <wp:extent cx="4817745" cy="18859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4817745" cy="188595"/>
                    </a:xfrm>
                    <a:prstGeom prst="rect">
                      <a:avLst/>
                    </a:prstGeom>
                    <a:noFill/>
                  </pic:spPr>
                </pic:pic>
              </a:graphicData>
            </a:graphic>
          </wp:anchor>
        </w:drawing>
      </w:r>
    </w:p>
    <w:p>
      <w:pPr>
        <w:spacing w:after="0" w:line="30" w:lineRule="exact"/>
        <w:rPr>
          <w:sz w:val="20"/>
          <w:szCs w:val="20"/>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Led the Company’s sustainability efforts</w:t>
      </w:r>
    </w:p>
    <w:p>
      <w:pPr>
        <w:spacing w:after="0" w:line="63" w:lineRule="exact"/>
        <w:rPr>
          <w:sz w:val="20"/>
          <w:szCs w:val="20"/>
          <w:color w:val="auto"/>
        </w:rPr>
      </w:pPr>
    </w:p>
    <w:p>
      <w:pPr>
        <w:ind w:left="360" w:right="340" w:hanging="359"/>
        <w:spacing w:after="0" w:line="209"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Led the Company’s progress to date on reducing Scope 1 and 2 GHG emissions, on pace to achieve our established science-based emission reduction target</w:t>
      </w:r>
    </w:p>
    <w:p>
      <w:pPr>
        <w:spacing w:after="0" w:line="1" w:lineRule="exact"/>
        <w:rPr>
          <w:sz w:val="20"/>
          <w:szCs w:val="20"/>
          <w:color w:val="auto"/>
        </w:rPr>
      </w:pPr>
    </w:p>
    <w:p>
      <w:pPr>
        <w:jc w:val="center"/>
        <w:ind w:right="260"/>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Led the Company’s corporate sustainability reporting in line with the Global Reporting</w:t>
      </w:r>
    </w:p>
    <w:p>
      <w:pPr>
        <w:spacing w:after="0" w:line="25" w:lineRule="exact"/>
        <w:rPr>
          <w:sz w:val="20"/>
          <w:szCs w:val="20"/>
          <w:color w:val="auto"/>
        </w:rPr>
      </w:pPr>
    </w:p>
    <w:p>
      <w:pPr>
        <w:ind w:left="360" w:right="600"/>
        <w:spacing w:after="0" w:line="232" w:lineRule="auto"/>
        <w:rPr>
          <w:sz w:val="20"/>
          <w:szCs w:val="20"/>
          <w:color w:val="auto"/>
        </w:rPr>
      </w:pPr>
      <w:r>
        <w:rPr>
          <w:rFonts w:ascii="Arial" w:cs="Arial" w:eastAsia="Arial" w:hAnsi="Arial"/>
          <w:sz w:val="18"/>
          <w:szCs w:val="18"/>
          <w:color w:val="auto"/>
        </w:rPr>
        <w:t>Initiative, Task Force on Climate-Related Financial Disclosures and Sustainability Accounting Standards Board</w:t>
      </w:r>
    </w:p>
    <w:p>
      <w:pPr>
        <w:spacing w:after="0" w:line="1" w:lineRule="exact"/>
        <w:rPr>
          <w:sz w:val="20"/>
          <w:szCs w:val="20"/>
          <w:color w:val="auto"/>
        </w:rPr>
      </w:pPr>
    </w:p>
    <w:p>
      <w:pPr>
        <w:ind w:left="360" w:right="360" w:hanging="359"/>
        <w:spacing w:after="0" w:line="209"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Oversaw efforts that resulted in continued strong employee engagement results and improved succession planning in the Company</w:t>
      </w:r>
    </w:p>
    <w:p>
      <w:pPr>
        <w:spacing w:after="0" w:line="1" w:lineRule="exact"/>
        <w:rPr>
          <w:sz w:val="20"/>
          <w:szCs w:val="20"/>
          <w:color w:val="auto"/>
        </w:rPr>
      </w:pPr>
    </w:p>
    <w:p>
      <w:pPr>
        <w:ind w:left="360" w:right="200" w:hanging="359"/>
        <w:spacing w:after="0" w:line="220"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Led continued technology system improvements and reporting to drive Company-wide efficiency and data availability and improved cyber security readiness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-2249805</wp:posOffset>
            </wp:positionH>
            <wp:positionV relativeFrom="paragraph">
              <wp:posOffset>821055</wp:posOffset>
            </wp:positionV>
            <wp:extent cx="7003415" cy="12001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003415" cy="120015"/>
                    </a:xfrm>
                    <a:prstGeom prst="rect">
                      <a:avLst/>
                    </a:prstGeom>
                    <a:noFill/>
                  </pic:spPr>
                </pic:pic>
              </a:graphicData>
            </a:graphic>
          </wp:anchor>
        </w:drawing>
      </w:r>
    </w:p>
    <w:p>
      <w:pPr>
        <w:spacing w:after="0" w:line="1297" w:lineRule="exact"/>
        <w:rPr>
          <w:sz w:val="20"/>
          <w:szCs w:val="20"/>
          <w:color w:val="auto"/>
        </w:rPr>
      </w:pPr>
    </w:p>
    <w:p>
      <w:pPr>
        <w:sectPr>
          <w:pgSz w:w="11900" w:h="16838" w:orient="portrait"/>
          <w:cols w:equalWidth="0" w:num="2">
            <w:col w:w="3280" w:space="380"/>
            <w:col w:w="7400"/>
          </w:cols>
          <w:pgMar w:left="320" w:top="482" w:right="519" w:bottom="1440" w:gutter="0" w:footer="0" w:header="0"/>
        </w:sectPr>
      </w:pPr>
    </w:p>
    <w:p>
      <w:pPr>
        <w:ind w:left="8080"/>
        <w:spacing w:after="0"/>
        <w:rPr>
          <w:sz w:val="20"/>
          <w:szCs w:val="20"/>
          <w:color w:val="auto"/>
        </w:rPr>
      </w:pPr>
      <w:r>
        <w:rPr>
          <w:rFonts w:ascii="Arial" w:cs="Arial" w:eastAsia="Arial" w:hAnsi="Arial"/>
          <w:sz w:val="14"/>
          <w:szCs w:val="14"/>
          <w:color w:val="FF160F"/>
        </w:rPr>
        <w:t>Federal Realty</w:t>
      </w:r>
      <w:r>
        <w:rPr>
          <w:rFonts w:ascii="Arial" w:cs="Arial" w:eastAsia="Arial" w:hAnsi="Arial"/>
          <w:sz w:val="14"/>
          <w:szCs w:val="14"/>
          <w:color w:val="000000"/>
        </w:rPr>
        <w:t xml:space="preserve">      2024 Proxy Statement   27</w:t>
      </w:r>
    </w:p>
    <w:p>
      <w:pPr>
        <w:sectPr>
          <w:pgSz w:w="11900" w:h="16838" w:orient="portrait"/>
          <w:cols w:equalWidth="0" w:num="1">
            <w:col w:w="11060"/>
          </w:cols>
          <w:pgMar w:left="320" w:top="482" w:right="51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225425</wp:posOffset>
            </wp:positionV>
            <wp:extent cx="699516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47" w:lineRule="exact"/>
        <w:rPr>
          <w:sz w:val="20"/>
          <w:szCs w:val="20"/>
          <w:color w:val="auto"/>
        </w:rPr>
      </w:pPr>
    </w:p>
    <w:p>
      <w:pPr>
        <w:ind w:left="220" w:hanging="104"/>
        <w:spacing w:after="0"/>
        <w:tabs>
          <w:tab w:leader="none" w:pos="220" w:val="left"/>
        </w:tabs>
        <w:numPr>
          <w:ilvl w:val="0"/>
          <w:numId w:val="58"/>
        </w:numPr>
        <w:rPr>
          <w:rFonts w:ascii="Arial" w:cs="Arial" w:eastAsia="Arial" w:hAnsi="Arial"/>
          <w:sz w:val="19"/>
          <w:szCs w:val="19"/>
          <w:b w:val="1"/>
          <w:bCs w:val="1"/>
          <w:color w:val="FF160F"/>
        </w:rPr>
      </w:pPr>
      <w:r>
        <w:rPr>
          <w:rFonts w:ascii="Arial" w:cs="Arial" w:eastAsia="Arial" w:hAnsi="Arial"/>
          <w:sz w:val="19"/>
          <w:szCs w:val="19"/>
          <w:b w:val="1"/>
          <w:bCs w:val="1"/>
          <w:color w:val="FF160F"/>
        </w:rPr>
        <w:t>O</w:t>
      </w:r>
      <w:r>
        <w:rPr>
          <w:rFonts w:ascii="Arial" w:cs="Arial" w:eastAsia="Arial" w:hAnsi="Arial"/>
          <w:sz w:val="15"/>
          <w:szCs w:val="15"/>
          <w:b w:val="1"/>
          <w:bCs w:val="1"/>
          <w:color w:val="FF160F"/>
        </w:rPr>
        <w:t>THER</w:t>
      </w:r>
      <w:r>
        <w:rPr>
          <w:rFonts w:ascii="Arial" w:cs="Arial" w:eastAsia="Arial" w:hAnsi="Arial"/>
          <w:sz w:val="19"/>
          <w:szCs w:val="19"/>
          <w:b w:val="1"/>
          <w:bCs w:val="1"/>
          <w:color w:val="FF160F"/>
        </w:rPr>
        <w:t xml:space="preserve"> C</w:t>
      </w:r>
      <w:r>
        <w:rPr>
          <w:rFonts w:ascii="Arial" w:cs="Arial" w:eastAsia="Arial" w:hAnsi="Arial"/>
          <w:sz w:val="15"/>
          <w:szCs w:val="15"/>
          <w:b w:val="1"/>
          <w:bCs w:val="1"/>
          <w:color w:val="FF160F"/>
        </w:rPr>
        <w:t>OMPENSATION</w:t>
      </w:r>
      <w:r>
        <w:rPr>
          <w:rFonts w:ascii="Arial" w:cs="Arial" w:eastAsia="Arial" w:hAnsi="Arial"/>
          <w:sz w:val="19"/>
          <w:szCs w:val="19"/>
          <w:b w:val="1"/>
          <w:bCs w:val="1"/>
          <w:color w:val="FF160F"/>
        </w:rPr>
        <w:t xml:space="preserve"> P</w:t>
      </w:r>
      <w:r>
        <w:rPr>
          <w:rFonts w:ascii="Arial" w:cs="Arial" w:eastAsia="Arial" w:hAnsi="Arial"/>
          <w:sz w:val="15"/>
          <w:szCs w:val="15"/>
          <w:b w:val="1"/>
          <w:bCs w:val="1"/>
          <w:color w:val="FF160F"/>
        </w:rPr>
        <w:t>RACTICES AND</w:t>
      </w:r>
      <w:r>
        <w:rPr>
          <w:rFonts w:ascii="Arial" w:cs="Arial" w:eastAsia="Arial" w:hAnsi="Arial"/>
          <w:sz w:val="19"/>
          <w:szCs w:val="19"/>
          <w:b w:val="1"/>
          <w:bCs w:val="1"/>
          <w:color w:val="FF160F"/>
        </w:rPr>
        <w:t xml:space="preserve"> P</w:t>
      </w:r>
      <w:r>
        <w:rPr>
          <w:rFonts w:ascii="Arial" w:cs="Arial" w:eastAsia="Arial" w:hAnsi="Arial"/>
          <w:sz w:val="15"/>
          <w:szCs w:val="15"/>
          <w:b w:val="1"/>
          <w:bCs w:val="1"/>
          <w:color w:val="FF160F"/>
        </w:rPr>
        <w:t>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102235</wp:posOffset>
            </wp:positionV>
            <wp:extent cx="699516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ind w:left="540" w:hanging="424"/>
        <w:spacing w:after="0"/>
        <w:tabs>
          <w:tab w:leader="none" w:pos="540" w:val="left"/>
        </w:tabs>
        <w:numPr>
          <w:ilvl w:val="0"/>
          <w:numId w:val="59"/>
        </w:numPr>
        <w:rPr>
          <w:rFonts w:ascii="MS PGothic" w:cs="MS PGothic" w:eastAsia="MS PGothic" w:hAnsi="MS PGothic"/>
          <w:sz w:val="18"/>
          <w:szCs w:val="18"/>
          <w:color w:val="FF160F"/>
        </w:rPr>
      </w:pPr>
      <w:r>
        <w:rPr>
          <w:rFonts w:ascii="Arial" w:cs="Arial" w:eastAsia="Arial" w:hAnsi="Arial"/>
          <w:sz w:val="18"/>
          <w:szCs w:val="18"/>
          <w:b w:val="1"/>
          <w:bCs w:val="1"/>
          <w:color w:val="auto"/>
        </w:rPr>
        <w:t>CONSIDERATION OF SAY ON PAY VOTE</w:t>
      </w:r>
    </w:p>
    <w:p>
      <w:pPr>
        <w:spacing w:after="0" w:line="225" w:lineRule="exact"/>
        <w:rPr>
          <w:sz w:val="20"/>
          <w:szCs w:val="20"/>
          <w:color w:val="auto"/>
        </w:rPr>
      </w:pPr>
    </w:p>
    <w:p>
      <w:pPr>
        <w:jc w:val="both"/>
        <w:ind w:left="120"/>
        <w:spacing w:after="0"/>
        <w:rPr>
          <w:sz w:val="20"/>
          <w:szCs w:val="20"/>
          <w:color w:val="auto"/>
        </w:rPr>
      </w:pPr>
      <w:r>
        <w:rPr>
          <w:rFonts w:ascii="Arial" w:cs="Arial" w:eastAsia="Arial" w:hAnsi="Arial"/>
          <w:sz w:val="18"/>
          <w:szCs w:val="18"/>
          <w:color w:val="auto"/>
        </w:rPr>
        <w:t>The Company conducts an annual “say on pay” vote to approve executive compensation. At the 2023 annual meeting of shareholders, more than 94% of the shares voted were in support of the compensation paid to our NEOs. Although the vote is advisory and non-binding on the Board, the Compensation Committee regularly considers the results of this vote in evaluating the Company’s compensation programs, including for 2023 compensation. In light of the feedback from our shareholders and the Committee’s evaluation, the Compensation Committee concluded that the Company provides executive competitive programs that effectively attract, motivate, reward and retain executives in a manner aligned with our shareholder interests and made no material changes to our executive compensation programs for 2024.</w:t>
      </w:r>
    </w:p>
    <w:p>
      <w:pPr>
        <w:spacing w:after="0" w:line="212" w:lineRule="exact"/>
        <w:rPr>
          <w:sz w:val="20"/>
          <w:szCs w:val="20"/>
          <w:color w:val="auto"/>
        </w:rPr>
      </w:pPr>
    </w:p>
    <w:p>
      <w:pPr>
        <w:ind w:left="540" w:hanging="424"/>
        <w:spacing w:after="0"/>
        <w:tabs>
          <w:tab w:leader="none" w:pos="540" w:val="left"/>
        </w:tabs>
        <w:numPr>
          <w:ilvl w:val="0"/>
          <w:numId w:val="60"/>
        </w:numPr>
        <w:rPr>
          <w:rFonts w:ascii="MS PGothic" w:cs="MS PGothic" w:eastAsia="MS PGothic" w:hAnsi="MS PGothic"/>
          <w:sz w:val="18"/>
          <w:szCs w:val="18"/>
          <w:color w:val="FF160F"/>
        </w:rPr>
      </w:pPr>
      <w:r>
        <w:rPr>
          <w:rFonts w:ascii="Arial" w:cs="Arial" w:eastAsia="Arial" w:hAnsi="Arial"/>
          <w:sz w:val="18"/>
          <w:szCs w:val="18"/>
          <w:b w:val="1"/>
          <w:bCs w:val="1"/>
          <w:color w:val="auto"/>
        </w:rPr>
        <w:t>NO HEDGING OR PLEDGING OF OUR SHARES</w:t>
      </w:r>
    </w:p>
    <w:p>
      <w:pPr>
        <w:spacing w:after="0" w:line="225" w:lineRule="exact"/>
        <w:rPr>
          <w:sz w:val="20"/>
          <w:szCs w:val="20"/>
          <w:color w:val="auto"/>
        </w:rPr>
      </w:pPr>
    </w:p>
    <w:p>
      <w:pPr>
        <w:jc w:val="both"/>
        <w:ind w:left="120" w:right="20"/>
        <w:spacing w:after="0" w:line="253" w:lineRule="auto"/>
        <w:rPr>
          <w:sz w:val="20"/>
          <w:szCs w:val="20"/>
          <w:color w:val="auto"/>
        </w:rPr>
      </w:pPr>
      <w:r>
        <w:rPr>
          <w:rFonts w:ascii="Arial" w:cs="Arial" w:eastAsia="Arial" w:hAnsi="Arial"/>
          <w:sz w:val="18"/>
          <w:szCs w:val="18"/>
          <w:color w:val="auto"/>
        </w:rPr>
        <w:t>The Company prohibits all officers and Trustees from engaging in short sales of our securities, establishing margin accounts, pledging our securities as collateral for a loan, buying or selling puts or calls on our securities or otherwise engaging in hedging transactions (such as zero-cost dollars, exchange funds, and forward sale contracts) involving our securities.</w:t>
      </w:r>
    </w:p>
    <w:p>
      <w:pPr>
        <w:spacing w:after="0" w:line="196" w:lineRule="exact"/>
        <w:rPr>
          <w:sz w:val="20"/>
          <w:szCs w:val="20"/>
          <w:color w:val="auto"/>
        </w:rPr>
      </w:pPr>
    </w:p>
    <w:p>
      <w:pPr>
        <w:ind w:left="540" w:hanging="424"/>
        <w:spacing w:after="0"/>
        <w:tabs>
          <w:tab w:leader="none" w:pos="540" w:val="left"/>
        </w:tabs>
        <w:numPr>
          <w:ilvl w:val="0"/>
          <w:numId w:val="61"/>
        </w:numPr>
        <w:rPr>
          <w:rFonts w:ascii="MS PGothic" w:cs="MS PGothic" w:eastAsia="MS PGothic" w:hAnsi="MS PGothic"/>
          <w:sz w:val="18"/>
          <w:szCs w:val="18"/>
          <w:color w:val="FF160F"/>
        </w:rPr>
      </w:pPr>
      <w:r>
        <w:rPr>
          <w:rFonts w:ascii="Arial" w:cs="Arial" w:eastAsia="Arial" w:hAnsi="Arial"/>
          <w:sz w:val="18"/>
          <w:szCs w:val="18"/>
          <w:b w:val="1"/>
          <w:bCs w:val="1"/>
          <w:color w:val="auto"/>
        </w:rPr>
        <w:t>SEVERANCE AND CHANGE-IN-CONTROL ARRANGEMENTS</w:t>
      </w:r>
    </w:p>
    <w:p>
      <w:pPr>
        <w:spacing w:after="0" w:line="225" w:lineRule="exact"/>
        <w:rPr>
          <w:sz w:val="20"/>
          <w:szCs w:val="20"/>
          <w:color w:val="auto"/>
        </w:rPr>
      </w:pPr>
    </w:p>
    <w:p>
      <w:pPr>
        <w:jc w:val="both"/>
        <w:ind w:left="120"/>
        <w:spacing w:after="0"/>
        <w:rPr>
          <w:sz w:val="20"/>
          <w:szCs w:val="20"/>
          <w:color w:val="auto"/>
        </w:rPr>
      </w:pPr>
      <w:r>
        <w:rPr>
          <w:rFonts w:ascii="Arial" w:cs="Arial" w:eastAsia="Arial" w:hAnsi="Arial"/>
          <w:sz w:val="18"/>
          <w:szCs w:val="18"/>
          <w:color w:val="auto"/>
        </w:rPr>
        <w:t>We do not have employment agreements in place with any of our NEOs or any other employee which provides the Compensation Committee with maximum flexibility to modify compensation as warranted based on market conditions and Company considerations. We do, however, have in place with each of our NEOs a severance agreement that provides for certain payments and benefits to be provided to the NEO if he/she is terminated from employment under the conditions set forth in those agreements. The circumstances in which payments may be made and the potential amounts of those payments are described in more detail in the “Potential Payments on Termination of Employment and Change-in-Control” section below. We believe that the payments provided for in these agreements are consistent with market and important as part of the total compensation packages available for our NEOs.</w:t>
      </w:r>
    </w:p>
    <w:p>
      <w:pPr>
        <w:spacing w:after="0" w:line="212" w:lineRule="exact"/>
        <w:rPr>
          <w:sz w:val="20"/>
          <w:szCs w:val="20"/>
          <w:color w:val="auto"/>
        </w:rPr>
      </w:pPr>
    </w:p>
    <w:p>
      <w:pPr>
        <w:ind w:left="540" w:hanging="424"/>
        <w:spacing w:after="0"/>
        <w:tabs>
          <w:tab w:leader="none" w:pos="540" w:val="left"/>
        </w:tabs>
        <w:numPr>
          <w:ilvl w:val="0"/>
          <w:numId w:val="62"/>
        </w:numPr>
        <w:rPr>
          <w:rFonts w:ascii="MS PGothic" w:cs="MS PGothic" w:eastAsia="MS PGothic" w:hAnsi="MS PGothic"/>
          <w:sz w:val="18"/>
          <w:szCs w:val="18"/>
          <w:color w:val="FF160F"/>
        </w:rPr>
      </w:pPr>
      <w:r>
        <w:rPr>
          <w:rFonts w:ascii="Arial" w:cs="Arial" w:eastAsia="Arial" w:hAnsi="Arial"/>
          <w:sz w:val="18"/>
          <w:szCs w:val="18"/>
          <w:b w:val="1"/>
          <w:bCs w:val="1"/>
          <w:color w:val="auto"/>
        </w:rPr>
        <w:t>CLAWBACK POLICY</w:t>
      </w:r>
    </w:p>
    <w:p>
      <w:pPr>
        <w:spacing w:after="0" w:line="225" w:lineRule="exact"/>
        <w:rPr>
          <w:sz w:val="20"/>
          <w:szCs w:val="20"/>
          <w:color w:val="auto"/>
        </w:rPr>
      </w:pPr>
    </w:p>
    <w:p>
      <w:pPr>
        <w:jc w:val="both"/>
        <w:ind w:left="120" w:right="20"/>
        <w:spacing w:after="0" w:line="247" w:lineRule="auto"/>
        <w:rPr>
          <w:sz w:val="20"/>
          <w:szCs w:val="20"/>
          <w:color w:val="auto"/>
        </w:rPr>
      </w:pPr>
      <w:r>
        <w:rPr>
          <w:rFonts w:ascii="Arial" w:cs="Arial" w:eastAsia="Arial" w:hAnsi="Arial"/>
          <w:sz w:val="18"/>
          <w:szCs w:val="18"/>
          <w:color w:val="auto"/>
        </w:rPr>
        <w:t>We have a clawback policy that provides for the return from an NEO of performance based compensation if we issue a restatement of financial results to correct material non-compliance with reporting requirements and the performance compensation paid to that NEO is more than it would have been based on the restated financial results. This clawback policy complies with the most current NYSE requirements.</w:t>
      </w:r>
    </w:p>
    <w:p>
      <w:pPr>
        <w:spacing w:after="0" w:line="201" w:lineRule="exact"/>
        <w:rPr>
          <w:sz w:val="20"/>
          <w:szCs w:val="20"/>
          <w:color w:val="auto"/>
        </w:rPr>
      </w:pPr>
    </w:p>
    <w:p>
      <w:pPr>
        <w:ind w:left="540" w:hanging="424"/>
        <w:spacing w:after="0"/>
        <w:tabs>
          <w:tab w:leader="none" w:pos="540" w:val="left"/>
        </w:tabs>
        <w:numPr>
          <w:ilvl w:val="0"/>
          <w:numId w:val="63"/>
        </w:numPr>
        <w:rPr>
          <w:rFonts w:ascii="MS PGothic" w:cs="MS PGothic" w:eastAsia="MS PGothic" w:hAnsi="MS PGothic"/>
          <w:sz w:val="18"/>
          <w:szCs w:val="18"/>
          <w:color w:val="FF160F"/>
        </w:rPr>
      </w:pPr>
      <w:r>
        <w:rPr>
          <w:rFonts w:ascii="Arial" w:cs="Arial" w:eastAsia="Arial" w:hAnsi="Arial"/>
          <w:sz w:val="18"/>
          <w:szCs w:val="18"/>
          <w:b w:val="1"/>
          <w:bCs w:val="1"/>
          <w:color w:val="auto"/>
        </w:rPr>
        <w:t>SHARE OWNERSHIP GUIDELINES</w:t>
      </w:r>
    </w:p>
    <w:p>
      <w:pPr>
        <w:spacing w:after="0" w:line="225" w:lineRule="exact"/>
        <w:rPr>
          <w:sz w:val="20"/>
          <w:szCs w:val="20"/>
          <w:color w:val="auto"/>
        </w:rPr>
      </w:pPr>
    </w:p>
    <w:p>
      <w:pPr>
        <w:jc w:val="both"/>
        <w:ind w:left="120"/>
        <w:spacing w:after="0" w:line="247" w:lineRule="auto"/>
        <w:rPr>
          <w:sz w:val="20"/>
          <w:szCs w:val="20"/>
          <w:color w:val="auto"/>
        </w:rPr>
      </w:pPr>
      <w:r>
        <w:rPr>
          <w:rFonts w:ascii="Arial" w:cs="Arial" w:eastAsia="Arial" w:hAnsi="Arial"/>
          <w:sz w:val="18"/>
          <w:szCs w:val="18"/>
          <w:color w:val="auto"/>
        </w:rPr>
        <w:t>We maintain guidelines requiring each of our NEOs as well as other executive vice presidents to maintain a specific level of ownership of our shares as shown below. These guidelines are intended to link the interests of our NEOs and other executive vice presidents with the interests of our shareholders. Each individual subject to these guidelines has five years to achieve the required level of ownership after becoming subject to the guidelines.</w:t>
      </w:r>
    </w:p>
    <w:p>
      <w:pPr>
        <w:spacing w:after="0" w:line="174" w:lineRule="exact"/>
        <w:rPr>
          <w:sz w:val="20"/>
          <w:szCs w:val="20"/>
          <w:color w:val="auto"/>
        </w:rPr>
      </w:pPr>
    </w:p>
    <w:p>
      <w:pPr>
        <w:jc w:val="both"/>
        <w:ind w:left="120" w:right="20"/>
        <w:spacing w:after="0" w:line="271" w:lineRule="auto"/>
        <w:rPr>
          <w:sz w:val="20"/>
          <w:szCs w:val="20"/>
          <w:color w:val="auto"/>
        </w:rPr>
      </w:pPr>
      <w:r>
        <w:rPr>
          <w:rFonts w:ascii="Arial" w:cs="Arial" w:eastAsia="Arial" w:hAnsi="Arial"/>
          <w:sz w:val="18"/>
          <w:szCs w:val="18"/>
          <w:color w:val="auto"/>
        </w:rPr>
        <w:t>Compliance with our ownership guidelines gets measured and reviewed by the Board at the end of each fiscal year and the ownership level of each of our NEOs as of December 31, 2023 is shown below based on the closing price of our shares on December 29,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66675</wp:posOffset>
            </wp:positionV>
            <wp:extent cx="7003415" cy="12001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003415" cy="120015"/>
                    </a:xfrm>
                    <a:prstGeom prst="rect">
                      <a:avLst/>
                    </a:prstGeom>
                    <a:noFill/>
                  </pic:spPr>
                </pic:pic>
              </a:graphicData>
            </a:graphic>
          </wp:anchor>
        </w:drawing>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4"/>
          <w:szCs w:val="14"/>
          <w:color w:val="FF160F"/>
        </w:rPr>
        <w:t>Federal Realty</w:t>
      </w:r>
      <w:r>
        <w:rPr>
          <w:rFonts w:ascii="Arial" w:cs="Arial" w:eastAsia="Arial" w:hAnsi="Arial"/>
          <w:sz w:val="14"/>
          <w:szCs w:val="14"/>
          <w:color w:val="000000"/>
        </w:rPr>
        <w:t xml:space="preserve">      2024 Proxy Statement   28</w:t>
      </w:r>
    </w:p>
    <w:p>
      <w:pPr>
        <w:sectPr>
          <w:pgSz w:w="11900" w:h="16838" w:orient="portrait"/>
          <w:cols w:equalWidth="0" w:num="1">
            <w:col w:w="11140"/>
          </w:cols>
          <w:pgMar w:left="320" w:top="482" w:right="4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6995160" cy="3771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995160" cy="377190"/>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FFFFFF"/>
        </w:rPr>
        <w:t>Our NEOs were in compliance with our equity ownership requirements as of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317500</wp:posOffset>
            </wp:positionV>
            <wp:extent cx="5126355" cy="13544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126355" cy="1354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540" w:hanging="424"/>
        <w:spacing w:after="0"/>
        <w:tabs>
          <w:tab w:leader="none" w:pos="540" w:val="left"/>
        </w:tabs>
        <w:numPr>
          <w:ilvl w:val="0"/>
          <w:numId w:val="64"/>
        </w:numPr>
        <w:rPr>
          <w:rFonts w:ascii="MS PGothic" w:cs="MS PGothic" w:eastAsia="MS PGothic" w:hAnsi="MS PGothic"/>
          <w:sz w:val="18"/>
          <w:szCs w:val="18"/>
          <w:color w:val="FF160F"/>
        </w:rPr>
      </w:pPr>
      <w:r>
        <w:rPr>
          <w:rFonts w:ascii="Arial" w:cs="Arial" w:eastAsia="Arial" w:hAnsi="Arial"/>
          <w:sz w:val="18"/>
          <w:szCs w:val="18"/>
          <w:b w:val="1"/>
          <w:bCs w:val="1"/>
          <w:color w:val="auto"/>
        </w:rPr>
        <w:t>RISK ASSESSMENT OF COMPENSATION PROGRAMS</w:t>
      </w:r>
    </w:p>
    <w:p>
      <w:pPr>
        <w:spacing w:after="0" w:line="225" w:lineRule="exact"/>
        <w:rPr>
          <w:sz w:val="20"/>
          <w:szCs w:val="20"/>
          <w:color w:val="auto"/>
        </w:rPr>
      </w:pPr>
    </w:p>
    <w:p>
      <w:pPr>
        <w:jc w:val="both"/>
        <w:ind w:left="120" w:right="20"/>
        <w:spacing w:after="0" w:line="244" w:lineRule="auto"/>
        <w:rPr>
          <w:sz w:val="20"/>
          <w:szCs w:val="20"/>
          <w:color w:val="auto"/>
        </w:rPr>
      </w:pPr>
      <w:r>
        <w:rPr>
          <w:rFonts w:ascii="Arial" w:cs="Arial" w:eastAsia="Arial" w:hAnsi="Arial"/>
          <w:sz w:val="18"/>
          <w:szCs w:val="18"/>
          <w:color w:val="auto"/>
        </w:rPr>
        <w:t>The Compensation Committee completed its last annual review of our compensation programs and policies from a risk perspective in February 2024. The Compensation Committee does not believe that our programs encourage unnecessary or excessive risk or are likely to have a material adverse effect on the Company. Our compensation programs use both short- and long-term incentives with different metrics driven by corporate performance, have differing performance requirements. Further, we have in place policies to mitigate risk including robust share ownership requirements and vesting periods on equity awards made as part of our compensation programs.</w:t>
      </w:r>
    </w:p>
    <w:p>
      <w:pPr>
        <w:spacing w:after="0" w:line="203" w:lineRule="exact"/>
        <w:rPr>
          <w:sz w:val="20"/>
          <w:szCs w:val="20"/>
          <w:color w:val="auto"/>
        </w:rPr>
      </w:pPr>
    </w:p>
    <w:p>
      <w:pPr>
        <w:ind w:left="540" w:hanging="424"/>
        <w:spacing w:after="0"/>
        <w:tabs>
          <w:tab w:leader="none" w:pos="540" w:val="left"/>
        </w:tabs>
        <w:numPr>
          <w:ilvl w:val="0"/>
          <w:numId w:val="65"/>
        </w:numPr>
        <w:rPr>
          <w:rFonts w:ascii="MS PGothic" w:cs="MS PGothic" w:eastAsia="MS PGothic" w:hAnsi="MS PGothic"/>
          <w:sz w:val="18"/>
          <w:szCs w:val="18"/>
          <w:color w:val="FF160F"/>
        </w:rPr>
      </w:pPr>
      <w:r>
        <w:rPr>
          <w:rFonts w:ascii="Arial" w:cs="Arial" w:eastAsia="Arial" w:hAnsi="Arial"/>
          <w:sz w:val="18"/>
          <w:szCs w:val="18"/>
          <w:b w:val="1"/>
          <w:bCs w:val="1"/>
          <w:color w:val="auto"/>
        </w:rPr>
        <w:t>EQUITY GRANT PRACTICES</w:t>
      </w:r>
    </w:p>
    <w:p>
      <w:pPr>
        <w:spacing w:after="0" w:line="225" w:lineRule="exact"/>
        <w:rPr>
          <w:sz w:val="20"/>
          <w:szCs w:val="20"/>
          <w:color w:val="auto"/>
        </w:rPr>
      </w:pPr>
    </w:p>
    <w:p>
      <w:pPr>
        <w:jc w:val="both"/>
        <w:ind w:left="120" w:right="20"/>
        <w:spacing w:after="0" w:line="247" w:lineRule="auto"/>
        <w:rPr>
          <w:sz w:val="20"/>
          <w:szCs w:val="20"/>
          <w:color w:val="auto"/>
        </w:rPr>
      </w:pPr>
      <w:r>
        <w:rPr>
          <w:rFonts w:ascii="Arial" w:cs="Arial" w:eastAsia="Arial" w:hAnsi="Arial"/>
          <w:sz w:val="18"/>
          <w:szCs w:val="18"/>
          <w:color w:val="auto"/>
        </w:rPr>
        <w:t>We do not have a practice or policy of timing our equity grants relative to the release of material non-public information. All of our options have an exercise price equal to the closing price of our shares on the date of grant and our 2020 Performance Incentive Plan (“2020 Plan”) expressly prohibits any repricing of options. The Compensation Committee has delegated to our CEO, in his capacity as a Trustee, authority to make equity awards to non-executive officers, subject to various limitations set forth in the delegation.</w:t>
      </w:r>
    </w:p>
    <w:p>
      <w:pPr>
        <w:spacing w:after="0" w:line="201" w:lineRule="exact"/>
        <w:rPr>
          <w:sz w:val="20"/>
          <w:szCs w:val="20"/>
          <w:color w:val="auto"/>
        </w:rPr>
      </w:pPr>
    </w:p>
    <w:p>
      <w:pPr>
        <w:ind w:left="540" w:hanging="424"/>
        <w:spacing w:after="0"/>
        <w:tabs>
          <w:tab w:leader="none" w:pos="540" w:val="left"/>
        </w:tabs>
        <w:numPr>
          <w:ilvl w:val="0"/>
          <w:numId w:val="66"/>
        </w:numPr>
        <w:rPr>
          <w:rFonts w:ascii="MS PGothic" w:cs="MS PGothic" w:eastAsia="MS PGothic" w:hAnsi="MS PGothic"/>
          <w:sz w:val="18"/>
          <w:szCs w:val="18"/>
          <w:color w:val="FF160F"/>
        </w:rPr>
      </w:pPr>
      <w:r>
        <w:rPr>
          <w:rFonts w:ascii="Arial" w:cs="Arial" w:eastAsia="Arial" w:hAnsi="Arial"/>
          <w:sz w:val="18"/>
          <w:szCs w:val="18"/>
          <w:b w:val="1"/>
          <w:bCs w:val="1"/>
          <w:color w:val="auto"/>
        </w:rPr>
        <w:t>TAX DEDUCTIBILITY OF EXECUTIVE COMPENSATION</w:t>
      </w:r>
    </w:p>
    <w:p>
      <w:pPr>
        <w:spacing w:after="0" w:line="225" w:lineRule="exact"/>
        <w:rPr>
          <w:sz w:val="20"/>
          <w:szCs w:val="20"/>
          <w:color w:val="auto"/>
        </w:rPr>
      </w:pPr>
    </w:p>
    <w:p>
      <w:pPr>
        <w:jc w:val="both"/>
        <w:ind w:left="120"/>
        <w:spacing w:after="0" w:line="244" w:lineRule="auto"/>
        <w:rPr>
          <w:sz w:val="20"/>
          <w:szCs w:val="20"/>
          <w:color w:val="auto"/>
        </w:rPr>
      </w:pPr>
      <w:r>
        <w:rPr>
          <w:rFonts w:ascii="Arial" w:cs="Arial" w:eastAsia="Arial" w:hAnsi="Arial"/>
          <w:sz w:val="18"/>
          <w:szCs w:val="18"/>
          <w:color w:val="auto"/>
        </w:rPr>
        <w:t>Section 162(m) of the Internal Revenue Code generally limits deductibility of compensation paid to our NEOs to $1 million. Although the Compensation Committee considers the impact of Section 162(m) in structuring compensation programs, the primary focus is on creating programs and compensation packages that address the needs and objectives of the Company regardless of the impact of Section 162(m). As a result, the Compensation Committee has made and may continue to make awards and to structure programs that are non-deductible under Section 162(m).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81280</wp:posOffset>
            </wp:positionV>
            <wp:extent cx="7003415" cy="12001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003415" cy="120015"/>
                    </a:xfrm>
                    <a:prstGeom prst="rect">
                      <a:avLst/>
                    </a:prstGeom>
                    <a:noFill/>
                  </pic:spPr>
                </pic:pic>
              </a:graphicData>
            </a:graphic>
          </wp:anchor>
        </w:drawing>
      </w:r>
    </w:p>
    <w:p>
      <w:pPr>
        <w:spacing w:after="0" w:line="112" w:lineRule="exact"/>
        <w:rPr>
          <w:sz w:val="20"/>
          <w:szCs w:val="20"/>
          <w:color w:val="auto"/>
        </w:rPr>
      </w:pPr>
    </w:p>
    <w:p>
      <w:pPr>
        <w:ind w:left="8080"/>
        <w:spacing w:after="0"/>
        <w:rPr>
          <w:sz w:val="20"/>
          <w:szCs w:val="20"/>
          <w:color w:val="auto"/>
        </w:rPr>
      </w:pPr>
      <w:r>
        <w:rPr>
          <w:rFonts w:ascii="Arial" w:cs="Arial" w:eastAsia="Arial" w:hAnsi="Arial"/>
          <w:sz w:val="14"/>
          <w:szCs w:val="14"/>
          <w:color w:val="FF160F"/>
        </w:rPr>
        <w:t>Federal Realty</w:t>
      </w:r>
      <w:r>
        <w:rPr>
          <w:rFonts w:ascii="Arial" w:cs="Arial" w:eastAsia="Arial" w:hAnsi="Arial"/>
          <w:sz w:val="14"/>
          <w:szCs w:val="14"/>
          <w:color w:val="000000"/>
        </w:rPr>
        <w:t xml:space="preserve">      2024 Proxy Statement   29</w:t>
      </w:r>
    </w:p>
    <w:p>
      <w:pPr>
        <w:sectPr>
          <w:pgSz w:w="11900" w:h="16838" w:orient="portrait"/>
          <w:cols w:equalWidth="0" w:num="1">
            <w:col w:w="11140"/>
          </w:cols>
          <w:pgMar w:left="320" w:top="482" w:right="4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540" w:hanging="424"/>
        <w:spacing w:after="0"/>
        <w:tabs>
          <w:tab w:leader="none" w:pos="540" w:val="left"/>
        </w:tabs>
        <w:numPr>
          <w:ilvl w:val="0"/>
          <w:numId w:val="67"/>
        </w:numPr>
        <w:rPr>
          <w:rFonts w:ascii="MS PGothic" w:cs="MS PGothic" w:eastAsia="MS PGothic" w:hAnsi="MS PGothic"/>
          <w:sz w:val="18"/>
          <w:szCs w:val="18"/>
          <w:color w:val="FF160F"/>
        </w:rPr>
      </w:pPr>
      <w:r>
        <w:rPr>
          <w:rFonts w:ascii="Arial" w:cs="Arial" w:eastAsia="Arial" w:hAnsi="Arial"/>
          <w:sz w:val="18"/>
          <w:szCs w:val="18"/>
          <w:b w:val="1"/>
          <w:bCs w:val="1"/>
          <w:color w:val="auto"/>
        </w:rPr>
        <w:t>HEALTH AND WELFARE BENEFITS</w:t>
      </w:r>
    </w:p>
    <w:p>
      <w:pPr>
        <w:spacing w:after="0" w:line="225" w:lineRule="exact"/>
        <w:rPr>
          <w:sz w:val="20"/>
          <w:szCs w:val="20"/>
          <w:color w:val="auto"/>
        </w:rPr>
      </w:pPr>
    </w:p>
    <w:p>
      <w:pPr>
        <w:jc w:val="both"/>
        <w:ind w:left="120" w:right="20"/>
        <w:spacing w:after="0"/>
        <w:rPr>
          <w:sz w:val="20"/>
          <w:szCs w:val="20"/>
          <w:color w:val="auto"/>
        </w:rPr>
      </w:pPr>
      <w:r>
        <w:rPr>
          <w:rFonts w:ascii="Arial" w:cs="Arial" w:eastAsia="Arial" w:hAnsi="Arial"/>
          <w:sz w:val="18"/>
          <w:szCs w:val="18"/>
          <w:color w:val="auto"/>
        </w:rPr>
        <w:t>We provide health and welfare perquisites to our NEOs on the same basis as we provide those benefits to all employees. These benefits are competitive with those offered by companies with whom we compete for talent and provide another tool that allows us to attract and retain talented executives. Since 2005, we have agreed to provide to Mr. Wood, his spouse and one of his children continuation of health coverage after Mr. Wood’s termination upon death, disability, retirement, change in control or otherwise (other than a termination with cause or resignation). This coverage will continue as to Mr. Wood and his spouse until their death, or with respect to his spouse until divorce, if earlier, and coverage continues for one of Mr. Wood’s children until death. We are required to provide coverage of at least the same level as provided to Mr. Wood and his family at the time of his termination and such coverage will be secondary to certain other coverages that may be available to Mr. Wood and his family.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160655</wp:posOffset>
            </wp:positionV>
            <wp:extent cx="699516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45" w:lineRule="exact"/>
        <w:rPr>
          <w:sz w:val="20"/>
          <w:szCs w:val="20"/>
          <w:color w:val="auto"/>
        </w:rPr>
      </w:pPr>
    </w:p>
    <w:p>
      <w:pPr>
        <w:ind w:left="220" w:hanging="104"/>
        <w:spacing w:after="0"/>
        <w:tabs>
          <w:tab w:leader="none" w:pos="220" w:val="left"/>
        </w:tabs>
        <w:numPr>
          <w:ilvl w:val="0"/>
          <w:numId w:val="68"/>
        </w:numPr>
        <w:rPr>
          <w:rFonts w:ascii="Arial" w:cs="Arial" w:eastAsia="Arial" w:hAnsi="Arial"/>
          <w:sz w:val="19"/>
          <w:szCs w:val="19"/>
          <w:b w:val="1"/>
          <w:bCs w:val="1"/>
          <w:color w:val="FF160F"/>
        </w:rPr>
      </w:pPr>
      <w:r>
        <w:rPr>
          <w:rFonts w:ascii="Arial" w:cs="Arial" w:eastAsia="Arial" w:hAnsi="Arial"/>
          <w:sz w:val="19"/>
          <w:szCs w:val="19"/>
          <w:b w:val="1"/>
          <w:bCs w:val="1"/>
          <w:color w:val="FF160F"/>
        </w:rPr>
        <w:t>C</w:t>
      </w:r>
      <w:r>
        <w:rPr>
          <w:rFonts w:ascii="Arial" w:cs="Arial" w:eastAsia="Arial" w:hAnsi="Arial"/>
          <w:sz w:val="15"/>
          <w:szCs w:val="15"/>
          <w:b w:val="1"/>
          <w:bCs w:val="1"/>
          <w:color w:val="FF160F"/>
        </w:rPr>
        <w:t>OMPENSATION</w:t>
      </w:r>
      <w:r>
        <w:rPr>
          <w:rFonts w:ascii="Arial" w:cs="Arial" w:eastAsia="Arial" w:hAnsi="Arial"/>
          <w:sz w:val="19"/>
          <w:szCs w:val="19"/>
          <w:b w:val="1"/>
          <w:bCs w:val="1"/>
          <w:color w:val="FF160F"/>
        </w:rPr>
        <w:t xml:space="preserve"> C</w:t>
      </w:r>
      <w:r>
        <w:rPr>
          <w:rFonts w:ascii="Arial" w:cs="Arial" w:eastAsia="Arial" w:hAnsi="Arial"/>
          <w:sz w:val="15"/>
          <w:szCs w:val="15"/>
          <w:b w:val="1"/>
          <w:bCs w:val="1"/>
          <w:color w:val="FF160F"/>
        </w:rPr>
        <w:t>OMMITTEE</w:t>
      </w:r>
      <w:r>
        <w:rPr>
          <w:rFonts w:ascii="Arial" w:cs="Arial" w:eastAsia="Arial" w:hAnsi="Arial"/>
          <w:sz w:val="19"/>
          <w:szCs w:val="19"/>
          <w:b w:val="1"/>
          <w:bCs w:val="1"/>
          <w:color w:val="FF160F"/>
        </w:rPr>
        <w:t xml:space="preserve"> R</w:t>
      </w:r>
      <w:r>
        <w:rPr>
          <w:rFonts w:ascii="Arial" w:cs="Arial" w:eastAsia="Arial" w:hAnsi="Arial"/>
          <w:sz w:val="15"/>
          <w:szCs w:val="15"/>
          <w:b w:val="1"/>
          <w:bCs w:val="1"/>
          <w:color w:val="FF160F"/>
        </w:rPr>
        <w:t>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102235</wp:posOffset>
            </wp:positionV>
            <wp:extent cx="699516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52" w:lineRule="exact"/>
        <w:rPr>
          <w:sz w:val="20"/>
          <w:szCs w:val="20"/>
          <w:color w:val="auto"/>
        </w:rPr>
      </w:pPr>
    </w:p>
    <w:p>
      <w:pPr>
        <w:jc w:val="both"/>
        <w:ind w:left="120"/>
        <w:spacing w:after="0" w:line="253" w:lineRule="auto"/>
        <w:rPr>
          <w:sz w:val="20"/>
          <w:szCs w:val="20"/>
          <w:color w:val="auto"/>
        </w:rPr>
      </w:pPr>
      <w:r>
        <w:rPr>
          <w:rFonts w:ascii="Arial" w:cs="Arial" w:eastAsia="Arial" w:hAnsi="Arial"/>
          <w:sz w:val="18"/>
          <w:szCs w:val="18"/>
          <w:color w:val="auto"/>
        </w:rPr>
        <w:t>The Compensation Committee of the Board has reviewed and discussed the CD&amp;A required by Item 402(b) of Regulation S-K with management and, based on such review and discussion, the Compensation Committee recommended to the Board that the CD&amp;A be included in this Proxy Statement.</w:t>
      </w:r>
    </w:p>
    <w:p>
      <w:pPr>
        <w:spacing w:after="0" w:line="16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Submitted by:</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Elizabeth I. Holland, Chairperson</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Nicole Y. Lamb-Hale</w:t>
      </w:r>
    </w:p>
    <w:p>
      <w:pPr>
        <w:ind w:left="120"/>
        <w:spacing w:after="0" w:line="234" w:lineRule="auto"/>
        <w:rPr>
          <w:sz w:val="20"/>
          <w:szCs w:val="20"/>
          <w:color w:val="auto"/>
        </w:rPr>
      </w:pPr>
      <w:r>
        <w:rPr>
          <w:rFonts w:ascii="Arial" w:cs="Arial" w:eastAsia="Arial" w:hAnsi="Arial"/>
          <w:sz w:val="18"/>
          <w:szCs w:val="18"/>
          <w:color w:val="auto"/>
        </w:rPr>
        <w:t>Thomas A. McEachin</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Gail P. Steinel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92075</wp:posOffset>
            </wp:positionV>
            <wp:extent cx="7003415" cy="12001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003415" cy="120015"/>
                    </a:xfrm>
                    <a:prstGeom prst="rect">
                      <a:avLst/>
                    </a:prstGeom>
                    <a:noFill/>
                  </pic:spPr>
                </pic:pic>
              </a:graphicData>
            </a:graphic>
          </wp:anchor>
        </w:drawing>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4"/>
          <w:szCs w:val="14"/>
          <w:color w:val="FF160F"/>
        </w:rPr>
        <w:t>Federal Realty</w:t>
      </w:r>
      <w:r>
        <w:rPr>
          <w:rFonts w:ascii="Arial" w:cs="Arial" w:eastAsia="Arial" w:hAnsi="Arial"/>
          <w:sz w:val="14"/>
          <w:szCs w:val="14"/>
          <w:color w:val="000000"/>
        </w:rPr>
        <w:t xml:space="preserve">      2024 Proxy Statement   30</w:t>
      </w:r>
    </w:p>
    <w:p>
      <w:pPr>
        <w:sectPr>
          <w:pgSz w:w="11900" w:h="16838" w:orient="portrait"/>
          <w:cols w:equalWidth="0" w:num="1">
            <w:col w:w="11140"/>
          </w:cols>
          <w:pgMar w:left="320" w:top="482" w:right="4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242570</wp:posOffset>
            </wp:positionV>
            <wp:extent cx="6995160" cy="342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995160" cy="3429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220"/>
        <w:spacing w:after="0"/>
        <w:rPr>
          <w:sz w:val="20"/>
          <w:szCs w:val="20"/>
          <w:color w:val="auto"/>
        </w:rPr>
      </w:pPr>
      <w:r>
        <w:rPr>
          <w:rFonts w:ascii="Arial" w:cs="Arial" w:eastAsia="Arial" w:hAnsi="Arial"/>
          <w:sz w:val="32"/>
          <w:szCs w:val="32"/>
          <w:b w:val="1"/>
          <w:bCs w:val="1"/>
          <w:color w:val="auto"/>
        </w:rPr>
        <w:t>Compensation Tables and Narratives</w:t>
      </w:r>
    </w:p>
    <w:p>
      <w:pPr>
        <w:spacing w:after="0" w:line="197" w:lineRule="exact"/>
        <w:rPr>
          <w:sz w:val="20"/>
          <w:szCs w:val="20"/>
          <w:color w:val="auto"/>
        </w:rPr>
      </w:pPr>
    </w:p>
    <w:p>
      <w:pPr>
        <w:ind w:left="120"/>
        <w:spacing w:after="0" w:line="207" w:lineRule="exact"/>
        <w:rPr>
          <w:sz w:val="20"/>
          <w:szCs w:val="20"/>
          <w:color w:val="auto"/>
        </w:rPr>
      </w:pPr>
      <w:r>
        <w:rPr>
          <w:rFonts w:ascii="MS PGothic" w:cs="MS PGothic" w:eastAsia="MS PGothic" w:hAnsi="MS PGothic"/>
          <w:sz w:val="18"/>
          <w:szCs w:val="18"/>
          <w:color w:val="FF160F"/>
        </w:rPr>
        <w:t>➣</w:t>
      </w:r>
      <w:r>
        <w:rPr>
          <w:rFonts w:ascii="Arial" w:cs="Arial" w:eastAsia="Arial" w:hAnsi="Arial"/>
          <w:sz w:val="18"/>
          <w:szCs w:val="18"/>
          <w:b w:val="1"/>
          <w:bCs w:val="1"/>
          <w:color w:val="auto"/>
        </w:rPr>
        <w:t xml:space="preserve">   SUMMARY COMPENSATION TABLE</w:t>
      </w:r>
    </w:p>
    <w:p>
      <w:pPr>
        <w:spacing w:after="0" w:line="265" w:lineRule="exact"/>
        <w:rPr>
          <w:sz w:val="20"/>
          <w:szCs w:val="20"/>
          <w:color w:val="auto"/>
        </w:rPr>
      </w:pPr>
    </w:p>
    <w:p>
      <w:pPr>
        <w:ind w:left="120" w:right="20"/>
        <w:spacing w:after="0" w:line="271" w:lineRule="auto"/>
        <w:rPr>
          <w:sz w:val="20"/>
          <w:szCs w:val="20"/>
          <w:color w:val="auto"/>
        </w:rPr>
      </w:pPr>
      <w:r>
        <w:rPr>
          <w:rFonts w:ascii="Arial" w:cs="Arial" w:eastAsia="Arial" w:hAnsi="Arial"/>
          <w:sz w:val="18"/>
          <w:szCs w:val="18"/>
          <w:color w:val="auto"/>
        </w:rPr>
        <w:t>The table below summarizes the total compensation earned by or paid to the individuals who were NEOs for the fiscal years ended December 31, 2023, 2022 and 2021. All amounts are calculated in accordance with current SEC rules.</w:t>
      </w:r>
    </w:p>
    <w:p>
      <w:pPr>
        <w:spacing w:after="0" w:line="315"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3140" w:type="dxa"/>
            <w:vAlign w:val="bottom"/>
            <w:shd w:val="clear" w:color="auto" w:fill="FF160F"/>
          </w:tcPr>
          <w:p>
            <w:pPr>
              <w:spacing w:after="0"/>
              <w:rPr>
                <w:sz w:val="13"/>
                <w:szCs w:val="13"/>
                <w:color w:val="auto"/>
              </w:rPr>
            </w:pPr>
          </w:p>
        </w:tc>
        <w:tc>
          <w:tcPr>
            <w:tcW w:w="560" w:type="dxa"/>
            <w:vAlign w:val="bottom"/>
            <w:shd w:val="clear" w:color="auto" w:fill="FF160F"/>
          </w:tcPr>
          <w:p>
            <w:pPr>
              <w:spacing w:after="0"/>
              <w:rPr>
                <w:sz w:val="13"/>
                <w:szCs w:val="13"/>
                <w:color w:val="auto"/>
              </w:rPr>
            </w:pPr>
          </w:p>
        </w:tc>
        <w:tc>
          <w:tcPr>
            <w:tcW w:w="380" w:type="dxa"/>
            <w:vAlign w:val="bottom"/>
            <w:shd w:val="clear" w:color="auto" w:fill="FF160F"/>
          </w:tcPr>
          <w:p>
            <w:pPr>
              <w:spacing w:after="0"/>
              <w:rPr>
                <w:sz w:val="13"/>
                <w:szCs w:val="13"/>
                <w:color w:val="auto"/>
              </w:rPr>
            </w:pPr>
          </w:p>
        </w:tc>
        <w:tc>
          <w:tcPr>
            <w:tcW w:w="860" w:type="dxa"/>
            <w:vAlign w:val="bottom"/>
            <w:shd w:val="clear" w:color="auto" w:fill="FF160F"/>
          </w:tcPr>
          <w:p>
            <w:pPr>
              <w:spacing w:after="0"/>
              <w:rPr>
                <w:sz w:val="13"/>
                <w:szCs w:val="13"/>
                <w:color w:val="auto"/>
              </w:rPr>
            </w:pPr>
          </w:p>
        </w:tc>
        <w:tc>
          <w:tcPr>
            <w:tcW w:w="280" w:type="dxa"/>
            <w:vAlign w:val="bottom"/>
            <w:shd w:val="clear" w:color="auto" w:fill="FF160F"/>
          </w:tcPr>
          <w:p>
            <w:pPr>
              <w:spacing w:after="0"/>
              <w:rPr>
                <w:sz w:val="13"/>
                <w:szCs w:val="13"/>
                <w:color w:val="auto"/>
              </w:rPr>
            </w:pPr>
          </w:p>
        </w:tc>
        <w:tc>
          <w:tcPr>
            <w:tcW w:w="760" w:type="dxa"/>
            <w:vAlign w:val="bottom"/>
            <w:shd w:val="clear" w:color="auto" w:fill="FF160F"/>
          </w:tcPr>
          <w:p>
            <w:pPr>
              <w:spacing w:after="0"/>
              <w:rPr>
                <w:sz w:val="13"/>
                <w:szCs w:val="13"/>
                <w:color w:val="auto"/>
              </w:rPr>
            </w:pPr>
          </w:p>
        </w:tc>
        <w:tc>
          <w:tcPr>
            <w:tcW w:w="220" w:type="dxa"/>
            <w:vAlign w:val="bottom"/>
            <w:shd w:val="clear" w:color="auto" w:fill="FF160F"/>
          </w:tcPr>
          <w:p>
            <w:pPr>
              <w:spacing w:after="0"/>
              <w:rPr>
                <w:sz w:val="13"/>
                <w:szCs w:val="13"/>
                <w:color w:val="auto"/>
              </w:rPr>
            </w:pPr>
          </w:p>
        </w:tc>
        <w:tc>
          <w:tcPr>
            <w:tcW w:w="240" w:type="dxa"/>
            <w:vAlign w:val="bottom"/>
            <w:shd w:val="clear" w:color="auto" w:fill="FF160F"/>
          </w:tcPr>
          <w:p>
            <w:pPr>
              <w:spacing w:after="0"/>
              <w:rPr>
                <w:sz w:val="13"/>
                <w:szCs w:val="13"/>
                <w:color w:val="auto"/>
              </w:rPr>
            </w:pPr>
          </w:p>
        </w:tc>
        <w:tc>
          <w:tcPr>
            <w:tcW w:w="720" w:type="dxa"/>
            <w:vAlign w:val="bottom"/>
            <w:shd w:val="clear" w:color="auto" w:fill="FF160F"/>
          </w:tcPr>
          <w:p>
            <w:pPr>
              <w:spacing w:after="0"/>
              <w:rPr>
                <w:sz w:val="13"/>
                <w:szCs w:val="13"/>
                <w:color w:val="auto"/>
              </w:rPr>
            </w:pPr>
          </w:p>
        </w:tc>
        <w:tc>
          <w:tcPr>
            <w:tcW w:w="320" w:type="dxa"/>
            <w:vAlign w:val="bottom"/>
            <w:shd w:val="clear" w:color="auto" w:fill="FF160F"/>
          </w:tcPr>
          <w:p>
            <w:pPr>
              <w:spacing w:after="0"/>
              <w:rPr>
                <w:sz w:val="13"/>
                <w:szCs w:val="13"/>
                <w:color w:val="auto"/>
              </w:rPr>
            </w:pPr>
          </w:p>
        </w:tc>
        <w:tc>
          <w:tcPr>
            <w:tcW w:w="1220" w:type="dxa"/>
            <w:vAlign w:val="bottom"/>
            <w:shd w:val="clear" w:color="auto" w:fill="FF160F"/>
          </w:tcPr>
          <w:p>
            <w:pPr>
              <w:jc w:val="right"/>
              <w:ind w:right="377"/>
              <w:spacing w:after="0"/>
              <w:rPr>
                <w:sz w:val="20"/>
                <w:szCs w:val="20"/>
                <w:color w:val="auto"/>
              </w:rPr>
            </w:pPr>
            <w:r>
              <w:rPr>
                <w:rFonts w:ascii="Arial" w:cs="Arial" w:eastAsia="Arial" w:hAnsi="Arial"/>
                <w:sz w:val="13"/>
                <w:szCs w:val="13"/>
                <w:b w:val="1"/>
                <w:bCs w:val="1"/>
                <w:color w:val="EAEFED"/>
              </w:rPr>
              <w:t>Non-Equity</w:t>
            </w:r>
          </w:p>
        </w:tc>
        <w:tc>
          <w:tcPr>
            <w:tcW w:w="340" w:type="dxa"/>
            <w:vAlign w:val="bottom"/>
            <w:shd w:val="clear" w:color="auto" w:fill="FF160F"/>
          </w:tcPr>
          <w:p>
            <w:pPr>
              <w:spacing w:after="0"/>
              <w:rPr>
                <w:sz w:val="13"/>
                <w:szCs w:val="13"/>
                <w:color w:val="auto"/>
              </w:rPr>
            </w:pPr>
          </w:p>
        </w:tc>
        <w:tc>
          <w:tcPr>
            <w:tcW w:w="900" w:type="dxa"/>
            <w:vAlign w:val="bottom"/>
            <w:vMerge w:val="restart"/>
            <w:shd w:val="clear" w:color="auto" w:fill="FF160F"/>
          </w:tcPr>
          <w:p>
            <w:pPr>
              <w:jc w:val="right"/>
              <w:ind w:right="57"/>
              <w:spacing w:after="0"/>
              <w:rPr>
                <w:sz w:val="20"/>
                <w:szCs w:val="20"/>
                <w:color w:val="auto"/>
              </w:rPr>
            </w:pPr>
            <w:r>
              <w:rPr>
                <w:rFonts w:ascii="Arial" w:cs="Arial" w:eastAsia="Arial" w:hAnsi="Arial"/>
                <w:sz w:val="13"/>
                <w:szCs w:val="13"/>
                <w:b w:val="1"/>
                <w:bCs w:val="1"/>
                <w:color w:val="EAEFED"/>
              </w:rPr>
              <w:t>All Other</w:t>
            </w:r>
          </w:p>
        </w:tc>
        <w:tc>
          <w:tcPr>
            <w:tcW w:w="300" w:type="dxa"/>
            <w:vAlign w:val="bottom"/>
            <w:shd w:val="clear" w:color="auto" w:fill="FF160F"/>
          </w:tcPr>
          <w:p>
            <w:pPr>
              <w:spacing w:after="0"/>
              <w:rPr>
                <w:sz w:val="13"/>
                <w:szCs w:val="13"/>
                <w:color w:val="auto"/>
              </w:rPr>
            </w:pPr>
          </w:p>
        </w:tc>
        <w:tc>
          <w:tcPr>
            <w:tcW w:w="780" w:type="dxa"/>
            <w:vAlign w:val="bottom"/>
            <w:shd w:val="clear" w:color="auto" w:fill="FF160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140" w:type="dxa"/>
            <w:vAlign w:val="bottom"/>
            <w:shd w:val="clear" w:color="auto" w:fill="FF160F"/>
          </w:tcPr>
          <w:p>
            <w:pPr>
              <w:spacing w:after="0"/>
              <w:rPr>
                <w:sz w:val="13"/>
                <w:szCs w:val="13"/>
                <w:color w:val="auto"/>
              </w:rPr>
            </w:pPr>
          </w:p>
        </w:tc>
        <w:tc>
          <w:tcPr>
            <w:tcW w:w="560" w:type="dxa"/>
            <w:vAlign w:val="bottom"/>
            <w:shd w:val="clear" w:color="auto" w:fill="FF160F"/>
          </w:tcPr>
          <w:p>
            <w:pPr>
              <w:spacing w:after="0"/>
              <w:rPr>
                <w:sz w:val="13"/>
                <w:szCs w:val="13"/>
                <w:color w:val="auto"/>
              </w:rPr>
            </w:pPr>
          </w:p>
        </w:tc>
        <w:tc>
          <w:tcPr>
            <w:tcW w:w="380" w:type="dxa"/>
            <w:vAlign w:val="bottom"/>
            <w:shd w:val="clear" w:color="auto" w:fill="FF160F"/>
          </w:tcPr>
          <w:p>
            <w:pPr>
              <w:spacing w:after="0"/>
              <w:rPr>
                <w:sz w:val="13"/>
                <w:szCs w:val="13"/>
                <w:color w:val="auto"/>
              </w:rPr>
            </w:pPr>
          </w:p>
        </w:tc>
        <w:tc>
          <w:tcPr>
            <w:tcW w:w="860" w:type="dxa"/>
            <w:vAlign w:val="bottom"/>
            <w:shd w:val="clear" w:color="auto" w:fill="FF160F"/>
          </w:tcPr>
          <w:p>
            <w:pPr>
              <w:spacing w:after="0"/>
              <w:rPr>
                <w:sz w:val="13"/>
                <w:szCs w:val="13"/>
                <w:color w:val="auto"/>
              </w:rPr>
            </w:pPr>
          </w:p>
        </w:tc>
        <w:tc>
          <w:tcPr>
            <w:tcW w:w="280" w:type="dxa"/>
            <w:vAlign w:val="bottom"/>
            <w:shd w:val="clear" w:color="auto" w:fill="FF160F"/>
          </w:tcPr>
          <w:p>
            <w:pPr>
              <w:spacing w:after="0"/>
              <w:rPr>
                <w:sz w:val="13"/>
                <w:szCs w:val="13"/>
                <w:color w:val="auto"/>
              </w:rPr>
            </w:pPr>
          </w:p>
        </w:tc>
        <w:tc>
          <w:tcPr>
            <w:tcW w:w="760" w:type="dxa"/>
            <w:vAlign w:val="bottom"/>
            <w:shd w:val="clear" w:color="auto" w:fill="FF160F"/>
          </w:tcPr>
          <w:p>
            <w:pPr>
              <w:spacing w:after="0"/>
              <w:rPr>
                <w:sz w:val="13"/>
                <w:szCs w:val="13"/>
                <w:color w:val="auto"/>
              </w:rPr>
            </w:pPr>
          </w:p>
        </w:tc>
        <w:tc>
          <w:tcPr>
            <w:tcW w:w="220" w:type="dxa"/>
            <w:vAlign w:val="bottom"/>
            <w:shd w:val="clear" w:color="auto" w:fill="FF160F"/>
          </w:tcPr>
          <w:p>
            <w:pPr>
              <w:spacing w:after="0"/>
              <w:rPr>
                <w:sz w:val="13"/>
                <w:szCs w:val="13"/>
                <w:color w:val="auto"/>
              </w:rPr>
            </w:pPr>
          </w:p>
        </w:tc>
        <w:tc>
          <w:tcPr>
            <w:tcW w:w="240" w:type="dxa"/>
            <w:vAlign w:val="bottom"/>
            <w:shd w:val="clear" w:color="auto" w:fill="FF160F"/>
          </w:tcPr>
          <w:p>
            <w:pPr>
              <w:spacing w:after="0"/>
              <w:rPr>
                <w:sz w:val="13"/>
                <w:szCs w:val="13"/>
                <w:color w:val="auto"/>
              </w:rPr>
            </w:pPr>
          </w:p>
        </w:tc>
        <w:tc>
          <w:tcPr>
            <w:tcW w:w="720" w:type="dxa"/>
            <w:vAlign w:val="bottom"/>
            <w:shd w:val="clear" w:color="auto" w:fill="FF160F"/>
          </w:tcPr>
          <w:p>
            <w:pPr>
              <w:spacing w:after="0"/>
              <w:rPr>
                <w:sz w:val="13"/>
                <w:szCs w:val="13"/>
                <w:color w:val="auto"/>
              </w:rPr>
            </w:pPr>
          </w:p>
        </w:tc>
        <w:tc>
          <w:tcPr>
            <w:tcW w:w="320" w:type="dxa"/>
            <w:vAlign w:val="bottom"/>
            <w:shd w:val="clear" w:color="auto" w:fill="FF160F"/>
          </w:tcPr>
          <w:p>
            <w:pPr>
              <w:spacing w:after="0"/>
              <w:rPr>
                <w:sz w:val="13"/>
                <w:szCs w:val="13"/>
                <w:color w:val="auto"/>
              </w:rPr>
            </w:pPr>
          </w:p>
        </w:tc>
        <w:tc>
          <w:tcPr>
            <w:tcW w:w="1220" w:type="dxa"/>
            <w:vAlign w:val="bottom"/>
            <w:shd w:val="clear" w:color="auto" w:fill="FF160F"/>
          </w:tcPr>
          <w:p>
            <w:pPr>
              <w:jc w:val="right"/>
              <w:ind w:right="437"/>
              <w:spacing w:after="0"/>
              <w:rPr>
                <w:sz w:val="20"/>
                <w:szCs w:val="20"/>
                <w:color w:val="auto"/>
              </w:rPr>
            </w:pPr>
            <w:r>
              <w:rPr>
                <w:rFonts w:ascii="Arial" w:cs="Arial" w:eastAsia="Arial" w:hAnsi="Arial"/>
                <w:sz w:val="13"/>
                <w:szCs w:val="13"/>
                <w:b w:val="1"/>
                <w:bCs w:val="1"/>
                <w:color w:val="EAEFED"/>
              </w:rPr>
              <w:t>Incentive</w:t>
            </w:r>
          </w:p>
        </w:tc>
        <w:tc>
          <w:tcPr>
            <w:tcW w:w="340" w:type="dxa"/>
            <w:vAlign w:val="bottom"/>
            <w:shd w:val="clear" w:color="auto" w:fill="FF160F"/>
          </w:tcPr>
          <w:p>
            <w:pPr>
              <w:spacing w:after="0"/>
              <w:rPr>
                <w:sz w:val="13"/>
                <w:szCs w:val="13"/>
                <w:color w:val="auto"/>
              </w:rPr>
            </w:pPr>
          </w:p>
        </w:tc>
        <w:tc>
          <w:tcPr>
            <w:tcW w:w="900" w:type="dxa"/>
            <w:vAlign w:val="bottom"/>
            <w:vMerge w:val="continue"/>
            <w:shd w:val="clear" w:color="auto" w:fill="FF160F"/>
          </w:tcPr>
          <w:p>
            <w:pPr>
              <w:spacing w:after="0"/>
              <w:rPr>
                <w:sz w:val="13"/>
                <w:szCs w:val="13"/>
                <w:color w:val="auto"/>
              </w:rPr>
            </w:pPr>
          </w:p>
        </w:tc>
        <w:tc>
          <w:tcPr>
            <w:tcW w:w="300" w:type="dxa"/>
            <w:vAlign w:val="bottom"/>
            <w:shd w:val="clear" w:color="auto" w:fill="FF160F"/>
          </w:tcPr>
          <w:p>
            <w:pPr>
              <w:spacing w:after="0"/>
              <w:rPr>
                <w:sz w:val="13"/>
                <w:szCs w:val="13"/>
                <w:color w:val="auto"/>
              </w:rPr>
            </w:pPr>
          </w:p>
        </w:tc>
        <w:tc>
          <w:tcPr>
            <w:tcW w:w="780" w:type="dxa"/>
            <w:vAlign w:val="bottom"/>
            <w:shd w:val="clear" w:color="auto" w:fill="FF160F"/>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140" w:type="dxa"/>
            <w:vAlign w:val="bottom"/>
            <w:tcBorders>
              <w:bottom w:val="single" w:sz="8" w:color="auto"/>
            </w:tcBorders>
            <w:shd w:val="clear" w:color="auto" w:fill="FF160F"/>
          </w:tcPr>
          <w:p>
            <w:pPr>
              <w:spacing w:after="0"/>
              <w:rPr>
                <w:sz w:val="20"/>
                <w:szCs w:val="20"/>
                <w:color w:val="auto"/>
              </w:rPr>
            </w:pPr>
            <w:r>
              <w:rPr>
                <w:rFonts w:ascii="Arial" w:cs="Arial" w:eastAsia="Arial" w:hAnsi="Arial"/>
                <w:sz w:val="13"/>
                <w:szCs w:val="13"/>
                <w:b w:val="1"/>
                <w:bCs w:val="1"/>
                <w:color w:val="EAEFED"/>
              </w:rPr>
              <w:t>Name and Principal Position</w:t>
            </w:r>
          </w:p>
        </w:tc>
        <w:tc>
          <w:tcPr>
            <w:tcW w:w="560" w:type="dxa"/>
            <w:vAlign w:val="bottom"/>
            <w:tcBorders>
              <w:bottom w:val="single" w:sz="8" w:color="auto"/>
            </w:tcBorders>
            <w:shd w:val="clear" w:color="auto" w:fill="FF160F"/>
          </w:tcPr>
          <w:p>
            <w:pPr>
              <w:ind w:left="240"/>
              <w:spacing w:after="0"/>
              <w:rPr>
                <w:sz w:val="20"/>
                <w:szCs w:val="20"/>
                <w:color w:val="auto"/>
              </w:rPr>
            </w:pPr>
            <w:r>
              <w:rPr>
                <w:rFonts w:ascii="Arial" w:cs="Arial" w:eastAsia="Arial" w:hAnsi="Arial"/>
                <w:sz w:val="13"/>
                <w:szCs w:val="13"/>
                <w:b w:val="1"/>
                <w:bCs w:val="1"/>
                <w:color w:val="EAEFED"/>
              </w:rPr>
              <w:t>Year</w:t>
            </w:r>
          </w:p>
        </w:tc>
        <w:tc>
          <w:tcPr>
            <w:tcW w:w="380" w:type="dxa"/>
            <w:vAlign w:val="bottom"/>
            <w:tcBorders>
              <w:bottom w:val="single" w:sz="8" w:color="auto"/>
            </w:tcBorders>
            <w:shd w:val="clear" w:color="auto" w:fill="FF160F"/>
          </w:tcPr>
          <w:p>
            <w:pPr>
              <w:spacing w:after="0"/>
              <w:rPr>
                <w:sz w:val="19"/>
                <w:szCs w:val="19"/>
                <w:color w:val="auto"/>
              </w:rPr>
            </w:pPr>
          </w:p>
        </w:tc>
        <w:tc>
          <w:tcPr>
            <w:tcW w:w="860" w:type="dxa"/>
            <w:vAlign w:val="bottom"/>
            <w:tcBorders>
              <w:bottom w:val="single" w:sz="8" w:color="auto"/>
            </w:tcBorders>
            <w:shd w:val="clear" w:color="auto" w:fill="FF160F"/>
          </w:tcPr>
          <w:p>
            <w:pPr>
              <w:jc w:val="right"/>
              <w:ind w:right="257"/>
              <w:spacing w:after="0"/>
              <w:rPr>
                <w:sz w:val="20"/>
                <w:szCs w:val="20"/>
                <w:color w:val="auto"/>
              </w:rPr>
            </w:pPr>
            <w:r>
              <w:rPr>
                <w:rFonts w:ascii="Arial" w:cs="Arial" w:eastAsia="Arial" w:hAnsi="Arial"/>
                <w:sz w:val="13"/>
                <w:szCs w:val="13"/>
                <w:b w:val="1"/>
                <w:bCs w:val="1"/>
                <w:color w:val="EAEFED"/>
                <w:w w:val="96"/>
              </w:rPr>
              <w:t>Salary</w:t>
            </w:r>
            <w:r>
              <w:rPr>
                <w:rFonts w:ascii="Arial" w:cs="Arial" w:eastAsia="Arial" w:hAnsi="Arial"/>
                <w:sz w:val="18"/>
                <w:szCs w:val="18"/>
                <w:b w:val="1"/>
                <w:bCs w:val="1"/>
                <w:color w:val="EAEFED"/>
                <w:w w:val="96"/>
                <w:vertAlign w:val="superscript"/>
              </w:rPr>
              <w:t>(1)</w:t>
            </w:r>
          </w:p>
        </w:tc>
        <w:tc>
          <w:tcPr>
            <w:tcW w:w="280" w:type="dxa"/>
            <w:vAlign w:val="bottom"/>
            <w:tcBorders>
              <w:bottom w:val="single" w:sz="8" w:color="auto"/>
            </w:tcBorders>
            <w:shd w:val="clear" w:color="auto" w:fill="FF160F"/>
          </w:tcPr>
          <w:p>
            <w:pPr>
              <w:spacing w:after="0"/>
              <w:rPr>
                <w:sz w:val="19"/>
                <w:szCs w:val="19"/>
                <w:color w:val="auto"/>
              </w:rPr>
            </w:pPr>
          </w:p>
        </w:tc>
        <w:tc>
          <w:tcPr>
            <w:tcW w:w="760" w:type="dxa"/>
            <w:vAlign w:val="bottom"/>
            <w:tcBorders>
              <w:bottom w:val="single" w:sz="8" w:color="auto"/>
            </w:tcBorders>
            <w:shd w:val="clear" w:color="auto" w:fill="FF160F"/>
          </w:tcPr>
          <w:p>
            <w:pPr>
              <w:jc w:val="right"/>
              <w:ind w:right="57"/>
              <w:spacing w:after="0"/>
              <w:rPr>
                <w:sz w:val="20"/>
                <w:szCs w:val="20"/>
                <w:color w:val="auto"/>
              </w:rPr>
            </w:pPr>
            <w:r>
              <w:rPr>
                <w:rFonts w:ascii="Arial" w:cs="Arial" w:eastAsia="Arial" w:hAnsi="Arial"/>
                <w:sz w:val="13"/>
                <w:szCs w:val="13"/>
                <w:b w:val="1"/>
                <w:bCs w:val="1"/>
                <w:color w:val="EAEFED"/>
              </w:rPr>
              <w:t>Bonus</w:t>
            </w:r>
            <w:r>
              <w:rPr>
                <w:rFonts w:ascii="Arial" w:cs="Arial" w:eastAsia="Arial" w:hAnsi="Arial"/>
                <w:sz w:val="18"/>
                <w:szCs w:val="18"/>
                <w:b w:val="1"/>
                <w:bCs w:val="1"/>
                <w:color w:val="EAEFED"/>
                <w:vertAlign w:val="superscript"/>
              </w:rPr>
              <w:t>(2)</w:t>
            </w:r>
          </w:p>
        </w:tc>
        <w:tc>
          <w:tcPr>
            <w:tcW w:w="1180" w:type="dxa"/>
            <w:vAlign w:val="bottom"/>
            <w:tcBorders>
              <w:bottom w:val="single" w:sz="8" w:color="auto"/>
            </w:tcBorders>
            <w:gridSpan w:val="3"/>
            <w:shd w:val="clear" w:color="auto" w:fill="FF160F"/>
          </w:tcPr>
          <w:p>
            <w:pPr>
              <w:ind w:left="120"/>
              <w:spacing w:after="0"/>
              <w:rPr>
                <w:sz w:val="20"/>
                <w:szCs w:val="20"/>
                <w:color w:val="auto"/>
              </w:rPr>
            </w:pPr>
            <w:r>
              <w:rPr>
                <w:rFonts w:ascii="Arial" w:cs="Arial" w:eastAsia="Arial" w:hAnsi="Arial"/>
                <w:sz w:val="13"/>
                <w:szCs w:val="13"/>
                <w:b w:val="1"/>
                <w:bCs w:val="1"/>
                <w:color w:val="EAEFED"/>
              </w:rPr>
              <w:t>Stock Awards</w:t>
            </w:r>
            <w:r>
              <w:rPr>
                <w:rFonts w:ascii="Arial" w:cs="Arial" w:eastAsia="Arial" w:hAnsi="Arial"/>
                <w:sz w:val="18"/>
                <w:szCs w:val="18"/>
                <w:b w:val="1"/>
                <w:bCs w:val="1"/>
                <w:color w:val="EAEFED"/>
                <w:vertAlign w:val="superscript"/>
              </w:rPr>
              <w:t>(3)</w:t>
            </w:r>
          </w:p>
        </w:tc>
        <w:tc>
          <w:tcPr>
            <w:tcW w:w="1540" w:type="dxa"/>
            <w:vAlign w:val="bottom"/>
            <w:tcBorders>
              <w:bottom w:val="single" w:sz="8" w:color="auto"/>
            </w:tcBorders>
            <w:gridSpan w:val="2"/>
            <w:shd w:val="clear" w:color="auto" w:fill="FF160F"/>
          </w:tcPr>
          <w:p>
            <w:pPr>
              <w:ind w:left="120"/>
              <w:spacing w:after="0"/>
              <w:rPr>
                <w:sz w:val="20"/>
                <w:szCs w:val="20"/>
                <w:color w:val="auto"/>
              </w:rPr>
            </w:pPr>
            <w:r>
              <w:rPr>
                <w:rFonts w:ascii="Arial" w:cs="Arial" w:eastAsia="Arial" w:hAnsi="Arial"/>
                <w:sz w:val="13"/>
                <w:szCs w:val="13"/>
                <w:b w:val="1"/>
                <w:bCs w:val="1"/>
                <w:color w:val="EAEFED"/>
              </w:rPr>
              <w:t>Plan Compensation</w:t>
            </w:r>
            <w:r>
              <w:rPr>
                <w:rFonts w:ascii="Arial" w:cs="Arial" w:eastAsia="Arial" w:hAnsi="Arial"/>
                <w:sz w:val="18"/>
                <w:szCs w:val="18"/>
                <w:b w:val="1"/>
                <w:bCs w:val="1"/>
                <w:color w:val="EAEFED"/>
                <w:vertAlign w:val="superscript"/>
              </w:rPr>
              <w:t>(4)</w:t>
            </w:r>
          </w:p>
        </w:tc>
        <w:tc>
          <w:tcPr>
            <w:tcW w:w="1240" w:type="dxa"/>
            <w:vAlign w:val="bottom"/>
            <w:tcBorders>
              <w:bottom w:val="single" w:sz="8" w:color="auto"/>
            </w:tcBorders>
            <w:gridSpan w:val="2"/>
            <w:shd w:val="clear" w:color="auto" w:fill="FF160F"/>
          </w:tcPr>
          <w:p>
            <w:pPr>
              <w:ind w:left="120"/>
              <w:spacing w:after="0"/>
              <w:rPr>
                <w:sz w:val="20"/>
                <w:szCs w:val="20"/>
                <w:color w:val="auto"/>
              </w:rPr>
            </w:pPr>
            <w:r>
              <w:rPr>
                <w:rFonts w:ascii="Arial" w:cs="Arial" w:eastAsia="Arial" w:hAnsi="Arial"/>
                <w:sz w:val="13"/>
                <w:szCs w:val="13"/>
                <w:b w:val="1"/>
                <w:bCs w:val="1"/>
                <w:color w:val="EAEFED"/>
              </w:rPr>
              <w:t>Compensation</w:t>
            </w:r>
            <w:r>
              <w:rPr>
                <w:rFonts w:ascii="Arial" w:cs="Arial" w:eastAsia="Arial" w:hAnsi="Arial"/>
                <w:sz w:val="18"/>
                <w:szCs w:val="18"/>
                <w:b w:val="1"/>
                <w:bCs w:val="1"/>
                <w:color w:val="EAEFED"/>
                <w:vertAlign w:val="superscript"/>
              </w:rPr>
              <w:t>(5)</w:t>
            </w:r>
          </w:p>
        </w:tc>
        <w:tc>
          <w:tcPr>
            <w:tcW w:w="300" w:type="dxa"/>
            <w:vAlign w:val="bottom"/>
            <w:tcBorders>
              <w:bottom w:val="single" w:sz="8" w:color="auto"/>
            </w:tcBorders>
            <w:shd w:val="clear" w:color="auto" w:fill="FF160F"/>
          </w:tcPr>
          <w:p>
            <w:pPr>
              <w:spacing w:after="0"/>
              <w:rPr>
                <w:sz w:val="19"/>
                <w:szCs w:val="19"/>
                <w:color w:val="auto"/>
              </w:rPr>
            </w:pPr>
          </w:p>
        </w:tc>
        <w:tc>
          <w:tcPr>
            <w:tcW w:w="780" w:type="dxa"/>
            <w:vAlign w:val="bottom"/>
            <w:tcBorders>
              <w:bottom w:val="single" w:sz="8" w:color="auto"/>
            </w:tcBorders>
            <w:shd w:val="clear" w:color="auto" w:fill="FF160F"/>
          </w:tcPr>
          <w:p>
            <w:pPr>
              <w:jc w:val="right"/>
              <w:spacing w:after="0"/>
              <w:rPr>
                <w:sz w:val="20"/>
                <w:szCs w:val="20"/>
                <w:color w:val="auto"/>
              </w:rPr>
            </w:pPr>
            <w:r>
              <w:rPr>
                <w:rFonts w:ascii="Arial" w:cs="Arial" w:eastAsia="Arial" w:hAnsi="Arial"/>
                <w:sz w:val="13"/>
                <w:szCs w:val="13"/>
                <w:b w:val="1"/>
                <w:bCs w:val="1"/>
                <w:color w:val="EAEFED"/>
              </w:rPr>
              <w:t>Total</w:t>
            </w:r>
          </w:p>
        </w:tc>
        <w:tc>
          <w:tcPr>
            <w:tcW w:w="0" w:type="dxa"/>
            <w:vAlign w:val="bottom"/>
          </w:tcPr>
          <w:p>
            <w:pPr>
              <w:spacing w:after="0"/>
              <w:rPr>
                <w:sz w:val="1"/>
                <w:szCs w:val="1"/>
                <w:color w:val="auto"/>
              </w:rPr>
            </w:pPr>
          </w:p>
        </w:tc>
      </w:tr>
      <w:tr>
        <w:trPr>
          <w:trHeight w:val="165"/>
        </w:trPr>
        <w:tc>
          <w:tcPr>
            <w:tcW w:w="3140" w:type="dxa"/>
            <w:vAlign w:val="bottom"/>
            <w:shd w:val="clear" w:color="auto" w:fill="D8D8D8"/>
          </w:tcPr>
          <w:p>
            <w:pPr>
              <w:spacing w:after="0"/>
              <w:rPr>
                <w:sz w:val="20"/>
                <w:szCs w:val="20"/>
                <w:color w:val="auto"/>
              </w:rPr>
            </w:pPr>
            <w:r>
              <w:rPr>
                <w:rFonts w:ascii="Arial" w:cs="Arial" w:eastAsia="Arial" w:hAnsi="Arial"/>
                <w:sz w:val="13"/>
                <w:szCs w:val="13"/>
                <w:b w:val="1"/>
                <w:bCs w:val="1"/>
                <w:color w:val="auto"/>
              </w:rPr>
              <w:t>Donald C. Wood (PEO)</w:t>
            </w:r>
          </w:p>
        </w:tc>
        <w:tc>
          <w:tcPr>
            <w:tcW w:w="560" w:type="dxa"/>
            <w:vAlign w:val="bottom"/>
          </w:tcPr>
          <w:p>
            <w:pPr>
              <w:ind w:left="240"/>
              <w:spacing w:after="0"/>
              <w:rPr>
                <w:sz w:val="20"/>
                <w:szCs w:val="20"/>
                <w:color w:val="auto"/>
              </w:rPr>
            </w:pPr>
            <w:r>
              <w:rPr>
                <w:rFonts w:ascii="Arial" w:cs="Arial" w:eastAsia="Arial" w:hAnsi="Arial"/>
                <w:sz w:val="13"/>
                <w:szCs w:val="13"/>
                <w:color w:val="auto"/>
              </w:rPr>
              <w:t>2023</w:t>
            </w:r>
          </w:p>
        </w:tc>
        <w:tc>
          <w:tcPr>
            <w:tcW w:w="380" w:type="dxa"/>
            <w:vAlign w:val="bottom"/>
          </w:tcPr>
          <w:p>
            <w:pPr>
              <w:ind w:left="220"/>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57"/>
              <w:spacing w:after="0"/>
              <w:rPr>
                <w:sz w:val="20"/>
                <w:szCs w:val="20"/>
                <w:color w:val="auto"/>
              </w:rPr>
            </w:pPr>
            <w:r>
              <w:rPr>
                <w:rFonts w:ascii="Arial" w:cs="Arial" w:eastAsia="Arial" w:hAnsi="Arial"/>
                <w:sz w:val="13"/>
                <w:szCs w:val="13"/>
                <w:color w:val="auto"/>
              </w:rPr>
              <w:t>1,000,000</w:t>
            </w:r>
          </w:p>
        </w:tc>
        <w:tc>
          <w:tcPr>
            <w:tcW w:w="280" w:type="dxa"/>
            <w:vAlign w:val="bottom"/>
          </w:tcPr>
          <w:p>
            <w:pPr>
              <w:ind w:left="120"/>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220" w:type="dxa"/>
            <w:vAlign w:val="bottom"/>
          </w:tcPr>
          <w:p>
            <w:pPr>
              <w:ind w:left="12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6,502,565</w:t>
            </w:r>
          </w:p>
        </w:tc>
        <w:tc>
          <w:tcPr>
            <w:tcW w:w="320" w:type="dxa"/>
            <w:vAlign w:val="bottom"/>
          </w:tcPr>
          <w:p>
            <w:pPr>
              <w:ind w:left="120"/>
              <w:spacing w:after="0"/>
              <w:rPr>
                <w:sz w:val="20"/>
                <w:szCs w:val="20"/>
                <w:color w:val="auto"/>
              </w:rPr>
            </w:pPr>
            <w:r>
              <w:rPr>
                <w:rFonts w:ascii="Arial" w:cs="Arial" w:eastAsia="Arial" w:hAnsi="Arial"/>
                <w:sz w:val="13"/>
                <w:szCs w:val="13"/>
                <w:color w:val="auto"/>
              </w:rPr>
              <w:t>$</w:t>
            </w:r>
          </w:p>
        </w:tc>
        <w:tc>
          <w:tcPr>
            <w:tcW w:w="1220" w:type="dxa"/>
            <w:vAlign w:val="bottom"/>
          </w:tcPr>
          <w:p>
            <w:pPr>
              <w:jc w:val="right"/>
              <w:ind w:right="57"/>
              <w:spacing w:after="0"/>
              <w:rPr>
                <w:sz w:val="20"/>
                <w:szCs w:val="20"/>
                <w:color w:val="auto"/>
              </w:rPr>
            </w:pPr>
            <w:r>
              <w:rPr>
                <w:rFonts w:ascii="Arial" w:cs="Arial" w:eastAsia="Arial" w:hAnsi="Arial"/>
                <w:sz w:val="13"/>
                <w:szCs w:val="13"/>
                <w:color w:val="auto"/>
              </w:rPr>
              <w:t>1,406,250</w:t>
            </w:r>
          </w:p>
        </w:tc>
        <w:tc>
          <w:tcPr>
            <w:tcW w:w="340" w:type="dxa"/>
            <w:vAlign w:val="bottom"/>
          </w:tcPr>
          <w:p>
            <w:pPr>
              <w:ind w:left="120"/>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33,005</w:t>
            </w:r>
          </w:p>
        </w:tc>
        <w:tc>
          <w:tcPr>
            <w:tcW w:w="300" w:type="dxa"/>
            <w:vAlign w:val="bottom"/>
          </w:tcPr>
          <w:p>
            <w:pPr>
              <w:ind w:left="120"/>
              <w:spacing w:after="0"/>
              <w:rPr>
                <w:sz w:val="20"/>
                <w:szCs w:val="20"/>
                <w:color w:val="auto"/>
              </w:rPr>
            </w:pPr>
            <w:r>
              <w:rPr>
                <w:rFonts w:ascii="Arial" w:cs="Arial" w:eastAsia="Arial" w:hAnsi="Arial"/>
                <w:sz w:val="13"/>
                <w:szCs w:val="13"/>
                <w:color w:val="auto"/>
              </w:rPr>
              <w:t xml:space="preserve">$  </w:t>
            </w:r>
          </w:p>
        </w:tc>
        <w:tc>
          <w:tcPr>
            <w:tcW w:w="780" w:type="dxa"/>
            <w:vAlign w:val="bottom"/>
          </w:tcPr>
          <w:p>
            <w:pPr>
              <w:jc w:val="right"/>
              <w:spacing w:after="0"/>
              <w:rPr>
                <w:sz w:val="20"/>
                <w:szCs w:val="20"/>
                <w:color w:val="auto"/>
              </w:rPr>
            </w:pPr>
            <w:r>
              <w:rPr>
                <w:rFonts w:ascii="Arial" w:cs="Arial" w:eastAsia="Arial" w:hAnsi="Arial"/>
                <w:sz w:val="13"/>
                <w:szCs w:val="13"/>
                <w:color w:val="auto"/>
                <w:w w:val="92"/>
              </w:rPr>
              <w:t>   8,941,820</w:t>
            </w:r>
          </w:p>
        </w:tc>
        <w:tc>
          <w:tcPr>
            <w:tcW w:w="0" w:type="dxa"/>
            <w:vAlign w:val="bottom"/>
          </w:tcPr>
          <w:p>
            <w:pPr>
              <w:spacing w:after="0"/>
              <w:rPr>
                <w:sz w:val="1"/>
                <w:szCs w:val="1"/>
                <w:color w:val="auto"/>
              </w:rPr>
            </w:pPr>
          </w:p>
        </w:tc>
      </w:tr>
      <w:tr>
        <w:trPr>
          <w:trHeight w:val="198"/>
        </w:trPr>
        <w:tc>
          <w:tcPr>
            <w:tcW w:w="3140" w:type="dxa"/>
            <w:vAlign w:val="bottom"/>
            <w:shd w:val="clear" w:color="auto" w:fill="D8D8D8"/>
          </w:tcPr>
          <w:p>
            <w:pPr>
              <w:spacing w:after="0"/>
              <w:rPr>
                <w:sz w:val="20"/>
                <w:szCs w:val="20"/>
                <w:color w:val="auto"/>
              </w:rPr>
            </w:pPr>
            <w:r>
              <w:rPr>
                <w:rFonts w:ascii="Arial" w:cs="Arial" w:eastAsia="Arial" w:hAnsi="Arial"/>
                <w:sz w:val="13"/>
                <w:szCs w:val="13"/>
                <w:b w:val="1"/>
                <w:bCs w:val="1"/>
                <w:color w:val="auto"/>
              </w:rPr>
              <w:t>Chief Executive Officer</w:t>
            </w:r>
          </w:p>
        </w:tc>
        <w:tc>
          <w:tcPr>
            <w:tcW w:w="560" w:type="dxa"/>
            <w:vAlign w:val="bottom"/>
          </w:tcPr>
          <w:p>
            <w:pPr>
              <w:ind w:left="240"/>
              <w:spacing w:after="0"/>
              <w:rPr>
                <w:sz w:val="20"/>
                <w:szCs w:val="20"/>
                <w:color w:val="auto"/>
              </w:rPr>
            </w:pPr>
            <w:r>
              <w:rPr>
                <w:rFonts w:ascii="Arial" w:cs="Arial" w:eastAsia="Arial" w:hAnsi="Arial"/>
                <w:sz w:val="13"/>
                <w:szCs w:val="13"/>
                <w:color w:val="auto"/>
              </w:rPr>
              <w:t>2022</w:t>
            </w:r>
          </w:p>
        </w:tc>
        <w:tc>
          <w:tcPr>
            <w:tcW w:w="380" w:type="dxa"/>
            <w:vAlign w:val="bottom"/>
          </w:tcPr>
          <w:p>
            <w:pPr>
              <w:ind w:left="220"/>
              <w:spacing w:after="0"/>
              <w:rPr>
                <w:sz w:val="20"/>
                <w:szCs w:val="20"/>
                <w:color w:val="auto"/>
              </w:rPr>
            </w:pPr>
            <w:r>
              <w:rPr>
                <w:rFonts w:ascii="Arial" w:cs="Arial" w:eastAsia="Arial" w:hAnsi="Arial"/>
                <w:sz w:val="13"/>
                <w:szCs w:val="13"/>
                <w:color w:val="auto"/>
              </w:rPr>
              <w:t xml:space="preserve">$  </w:t>
            </w:r>
          </w:p>
        </w:tc>
        <w:tc>
          <w:tcPr>
            <w:tcW w:w="860" w:type="dxa"/>
            <w:vAlign w:val="bottom"/>
          </w:tcPr>
          <w:p>
            <w:pPr>
              <w:jc w:val="right"/>
              <w:ind w:right="57"/>
              <w:spacing w:after="0"/>
              <w:rPr>
                <w:sz w:val="20"/>
                <w:szCs w:val="20"/>
                <w:color w:val="auto"/>
              </w:rPr>
            </w:pPr>
            <w:r>
              <w:rPr>
                <w:rFonts w:ascii="Arial" w:cs="Arial" w:eastAsia="Arial" w:hAnsi="Arial"/>
                <w:sz w:val="13"/>
                <w:szCs w:val="13"/>
                <w:color w:val="auto"/>
                <w:w w:val="92"/>
              </w:rPr>
              <w:t>   1,000,000</w:t>
            </w:r>
          </w:p>
        </w:tc>
        <w:tc>
          <w:tcPr>
            <w:tcW w:w="280" w:type="dxa"/>
            <w:vAlign w:val="bottom"/>
          </w:tcPr>
          <w:p>
            <w:pPr>
              <w:ind w:left="120"/>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220" w:type="dxa"/>
            <w:vAlign w:val="bottom"/>
          </w:tcPr>
          <w:p>
            <w:pPr>
              <w:ind w:left="12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7"/>
                <w:szCs w:val="17"/>
                <w:color w:val="auto"/>
              </w:rPr>
            </w:pP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6,474,391</w:t>
            </w:r>
          </w:p>
        </w:tc>
        <w:tc>
          <w:tcPr>
            <w:tcW w:w="320" w:type="dxa"/>
            <w:vAlign w:val="bottom"/>
          </w:tcPr>
          <w:p>
            <w:pPr>
              <w:ind w:left="120"/>
              <w:spacing w:after="0"/>
              <w:rPr>
                <w:sz w:val="20"/>
                <w:szCs w:val="20"/>
                <w:color w:val="auto"/>
              </w:rPr>
            </w:pPr>
            <w:r>
              <w:rPr>
                <w:rFonts w:ascii="Arial" w:cs="Arial" w:eastAsia="Arial" w:hAnsi="Arial"/>
                <w:sz w:val="13"/>
                <w:szCs w:val="13"/>
                <w:color w:val="auto"/>
              </w:rPr>
              <w:t>$</w:t>
            </w:r>
          </w:p>
        </w:tc>
        <w:tc>
          <w:tcPr>
            <w:tcW w:w="1220" w:type="dxa"/>
            <w:vAlign w:val="bottom"/>
          </w:tcPr>
          <w:p>
            <w:pPr>
              <w:jc w:val="right"/>
              <w:ind w:right="57"/>
              <w:spacing w:after="0"/>
              <w:rPr>
                <w:sz w:val="20"/>
                <w:szCs w:val="20"/>
                <w:color w:val="auto"/>
              </w:rPr>
            </w:pPr>
            <w:r>
              <w:rPr>
                <w:rFonts w:ascii="Arial" w:cs="Arial" w:eastAsia="Arial" w:hAnsi="Arial"/>
                <w:sz w:val="13"/>
                <w:szCs w:val="13"/>
                <w:color w:val="auto"/>
              </w:rPr>
              <w:t>1,406,250</w:t>
            </w:r>
          </w:p>
        </w:tc>
        <w:tc>
          <w:tcPr>
            <w:tcW w:w="340" w:type="dxa"/>
            <w:vAlign w:val="bottom"/>
          </w:tcPr>
          <w:p>
            <w:pPr>
              <w:ind w:left="120"/>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35,391</w:t>
            </w:r>
          </w:p>
        </w:tc>
        <w:tc>
          <w:tcPr>
            <w:tcW w:w="300" w:type="dxa"/>
            <w:vAlign w:val="bottom"/>
          </w:tcPr>
          <w:p>
            <w:pPr>
              <w:ind w:left="120"/>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8,916,031</w:t>
            </w:r>
          </w:p>
        </w:tc>
        <w:tc>
          <w:tcPr>
            <w:tcW w:w="0" w:type="dxa"/>
            <w:vAlign w:val="bottom"/>
          </w:tcPr>
          <w:p>
            <w:pPr>
              <w:spacing w:after="0"/>
              <w:rPr>
                <w:sz w:val="1"/>
                <w:szCs w:val="1"/>
                <w:color w:val="auto"/>
              </w:rPr>
            </w:pPr>
          </w:p>
        </w:tc>
      </w:tr>
      <w:tr>
        <w:trPr>
          <w:trHeight w:val="204"/>
        </w:trPr>
        <w:tc>
          <w:tcPr>
            <w:tcW w:w="3140" w:type="dxa"/>
            <w:vAlign w:val="bottom"/>
            <w:tcBorders>
              <w:bottom w:val="single" w:sz="8" w:color="auto"/>
            </w:tcBorders>
            <w:shd w:val="clear" w:color="auto" w:fill="D8D8D8"/>
          </w:tcPr>
          <w:p>
            <w:pPr>
              <w:spacing w:after="0"/>
              <w:rPr>
                <w:sz w:val="17"/>
                <w:szCs w:val="17"/>
                <w:color w:val="auto"/>
              </w:rPr>
            </w:pPr>
          </w:p>
        </w:tc>
        <w:tc>
          <w:tcPr>
            <w:tcW w:w="560" w:type="dxa"/>
            <w:vAlign w:val="bottom"/>
            <w:tcBorders>
              <w:bottom w:val="single" w:sz="8" w:color="auto"/>
            </w:tcBorders>
          </w:tcPr>
          <w:p>
            <w:pPr>
              <w:ind w:left="240"/>
              <w:spacing w:after="0"/>
              <w:rPr>
                <w:sz w:val="20"/>
                <w:szCs w:val="20"/>
                <w:color w:val="auto"/>
              </w:rPr>
            </w:pPr>
            <w:r>
              <w:rPr>
                <w:rFonts w:ascii="Arial" w:cs="Arial" w:eastAsia="Arial" w:hAnsi="Arial"/>
                <w:sz w:val="13"/>
                <w:szCs w:val="13"/>
                <w:color w:val="auto"/>
              </w:rPr>
              <w:t>2021</w:t>
            </w:r>
          </w:p>
        </w:tc>
        <w:tc>
          <w:tcPr>
            <w:tcW w:w="380" w:type="dxa"/>
            <w:vAlign w:val="bottom"/>
            <w:tcBorders>
              <w:bottom w:val="single" w:sz="8" w:color="auto"/>
            </w:tcBorders>
          </w:tcPr>
          <w:p>
            <w:pPr>
              <w:ind w:left="220"/>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950,000</w:t>
            </w:r>
          </w:p>
        </w:tc>
        <w:tc>
          <w:tcPr>
            <w:tcW w:w="280" w:type="dxa"/>
            <w:vAlign w:val="bottom"/>
            <w:tcBorders>
              <w:bottom w:val="single" w:sz="8" w:color="auto"/>
            </w:tcBorders>
          </w:tcPr>
          <w:p>
            <w:pPr>
              <w:ind w:left="120"/>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auto"/>
            </w:tcBorders>
          </w:tcPr>
          <w:p>
            <w:pPr>
              <w:ind w:left="120"/>
              <w:spacing w:after="0"/>
              <w:rPr>
                <w:sz w:val="20"/>
                <w:szCs w:val="20"/>
                <w:color w:val="auto"/>
              </w:rPr>
            </w:pPr>
            <w:r>
              <w:rPr>
                <w:rFonts w:ascii="Arial" w:cs="Arial" w:eastAsia="Arial" w:hAnsi="Arial"/>
                <w:sz w:val="13"/>
                <w:szCs w:val="13"/>
                <w:color w:val="auto"/>
              </w:rPr>
              <w:t>$</w:t>
            </w:r>
          </w:p>
        </w:tc>
        <w:tc>
          <w:tcPr>
            <w:tcW w:w="2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5,213,719</w:t>
            </w:r>
          </w:p>
        </w:tc>
        <w:tc>
          <w:tcPr>
            <w:tcW w:w="320" w:type="dxa"/>
            <w:vAlign w:val="bottom"/>
            <w:tcBorders>
              <w:bottom w:val="single" w:sz="8" w:color="auto"/>
            </w:tcBorders>
          </w:tcPr>
          <w:p>
            <w:pPr>
              <w:ind w:left="120"/>
              <w:spacing w:after="0"/>
              <w:rPr>
                <w:sz w:val="20"/>
                <w:szCs w:val="20"/>
                <w:color w:val="auto"/>
              </w:rPr>
            </w:pPr>
            <w:r>
              <w:rPr>
                <w:rFonts w:ascii="Arial" w:cs="Arial" w:eastAsia="Arial" w:hAnsi="Arial"/>
                <w:sz w:val="13"/>
                <w:szCs w:val="13"/>
                <w:color w:val="auto"/>
              </w:rPr>
              <w:t>$</w:t>
            </w:r>
          </w:p>
        </w:tc>
        <w:tc>
          <w:tcPr>
            <w:tcW w:w="12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      1,335,938</w:t>
            </w:r>
          </w:p>
        </w:tc>
        <w:tc>
          <w:tcPr>
            <w:tcW w:w="340" w:type="dxa"/>
            <w:vAlign w:val="bottom"/>
            <w:tcBorders>
              <w:bottom w:val="single" w:sz="8" w:color="auto"/>
            </w:tcBorders>
          </w:tcPr>
          <w:p>
            <w:pPr>
              <w:ind w:left="120"/>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21,260</w:t>
            </w:r>
          </w:p>
        </w:tc>
        <w:tc>
          <w:tcPr>
            <w:tcW w:w="300" w:type="dxa"/>
            <w:vAlign w:val="bottom"/>
            <w:tcBorders>
              <w:bottom w:val="single" w:sz="8" w:color="auto"/>
            </w:tcBorders>
          </w:tcPr>
          <w:p>
            <w:pPr>
              <w:ind w:left="120"/>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7,520,917</w:t>
            </w:r>
          </w:p>
        </w:tc>
        <w:tc>
          <w:tcPr>
            <w:tcW w:w="0" w:type="dxa"/>
            <w:vAlign w:val="bottom"/>
          </w:tcPr>
          <w:p>
            <w:pPr>
              <w:spacing w:after="0"/>
              <w:rPr>
                <w:sz w:val="1"/>
                <w:szCs w:val="1"/>
                <w:color w:val="auto"/>
              </w:rPr>
            </w:pPr>
          </w:p>
        </w:tc>
      </w:tr>
      <w:tr>
        <w:trPr>
          <w:trHeight w:val="208"/>
        </w:trPr>
        <w:tc>
          <w:tcPr>
            <w:tcW w:w="3140" w:type="dxa"/>
            <w:vAlign w:val="bottom"/>
            <w:shd w:val="clear" w:color="auto" w:fill="D8D8D8"/>
          </w:tcPr>
          <w:p>
            <w:pPr>
              <w:spacing w:after="0"/>
              <w:rPr>
                <w:sz w:val="20"/>
                <w:szCs w:val="20"/>
                <w:color w:val="auto"/>
              </w:rPr>
            </w:pPr>
            <w:r>
              <w:rPr>
                <w:rFonts w:ascii="Arial" w:cs="Arial" w:eastAsia="Arial" w:hAnsi="Arial"/>
                <w:sz w:val="13"/>
                <w:szCs w:val="13"/>
                <w:b w:val="1"/>
                <w:bCs w:val="1"/>
                <w:color w:val="auto"/>
              </w:rPr>
              <w:t>Jeffrey S. Berkes</w:t>
            </w:r>
          </w:p>
        </w:tc>
        <w:tc>
          <w:tcPr>
            <w:tcW w:w="560" w:type="dxa"/>
            <w:vAlign w:val="bottom"/>
          </w:tcPr>
          <w:p>
            <w:pPr>
              <w:ind w:left="240"/>
              <w:spacing w:after="0"/>
              <w:rPr>
                <w:sz w:val="20"/>
                <w:szCs w:val="20"/>
                <w:color w:val="auto"/>
              </w:rPr>
            </w:pPr>
            <w:r>
              <w:rPr>
                <w:rFonts w:ascii="Arial" w:cs="Arial" w:eastAsia="Arial" w:hAnsi="Arial"/>
                <w:sz w:val="13"/>
                <w:szCs w:val="13"/>
                <w:color w:val="auto"/>
              </w:rPr>
              <w:t>2023</w:t>
            </w:r>
          </w:p>
        </w:tc>
        <w:tc>
          <w:tcPr>
            <w:tcW w:w="380" w:type="dxa"/>
            <w:vAlign w:val="bottom"/>
          </w:tcPr>
          <w:p>
            <w:pPr>
              <w:ind w:left="220"/>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57"/>
              <w:spacing w:after="0"/>
              <w:rPr>
                <w:sz w:val="20"/>
                <w:szCs w:val="20"/>
                <w:color w:val="auto"/>
              </w:rPr>
            </w:pPr>
            <w:r>
              <w:rPr>
                <w:rFonts w:ascii="Arial" w:cs="Arial" w:eastAsia="Arial" w:hAnsi="Arial"/>
                <w:sz w:val="13"/>
                <w:szCs w:val="13"/>
                <w:color w:val="auto"/>
              </w:rPr>
              <w:t>650,000</w:t>
            </w:r>
          </w:p>
        </w:tc>
        <w:tc>
          <w:tcPr>
            <w:tcW w:w="280" w:type="dxa"/>
            <w:vAlign w:val="bottom"/>
          </w:tcPr>
          <w:p>
            <w:pPr>
              <w:ind w:left="120"/>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220" w:type="dxa"/>
            <w:vAlign w:val="bottom"/>
          </w:tcPr>
          <w:p>
            <w:pPr>
              <w:ind w:left="12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8"/>
                <w:szCs w:val="18"/>
                <w:color w:val="auto"/>
              </w:rPr>
            </w:pP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1,233,773</w:t>
            </w:r>
          </w:p>
        </w:tc>
        <w:tc>
          <w:tcPr>
            <w:tcW w:w="320" w:type="dxa"/>
            <w:vAlign w:val="bottom"/>
          </w:tcPr>
          <w:p>
            <w:pPr>
              <w:ind w:left="120"/>
              <w:spacing w:after="0"/>
              <w:rPr>
                <w:sz w:val="20"/>
                <w:szCs w:val="20"/>
                <w:color w:val="auto"/>
              </w:rPr>
            </w:pPr>
            <w:r>
              <w:rPr>
                <w:rFonts w:ascii="Arial" w:cs="Arial" w:eastAsia="Arial" w:hAnsi="Arial"/>
                <w:sz w:val="13"/>
                <w:szCs w:val="13"/>
                <w:color w:val="auto"/>
              </w:rPr>
              <w:t>$</w:t>
            </w:r>
          </w:p>
        </w:tc>
        <w:tc>
          <w:tcPr>
            <w:tcW w:w="1220" w:type="dxa"/>
            <w:vAlign w:val="bottom"/>
          </w:tcPr>
          <w:p>
            <w:pPr>
              <w:jc w:val="right"/>
              <w:ind w:right="57"/>
              <w:spacing w:after="0"/>
              <w:rPr>
                <w:sz w:val="20"/>
                <w:szCs w:val="20"/>
                <w:color w:val="auto"/>
              </w:rPr>
            </w:pPr>
            <w:r>
              <w:rPr>
                <w:rFonts w:ascii="Arial" w:cs="Arial" w:eastAsia="Arial" w:hAnsi="Arial"/>
                <w:sz w:val="13"/>
                <w:szCs w:val="13"/>
                <w:color w:val="auto"/>
              </w:rPr>
              <w:t>761,719</w:t>
            </w:r>
          </w:p>
        </w:tc>
        <w:tc>
          <w:tcPr>
            <w:tcW w:w="340" w:type="dxa"/>
            <w:vAlign w:val="bottom"/>
          </w:tcPr>
          <w:p>
            <w:pPr>
              <w:ind w:left="120"/>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18,904</w:t>
            </w:r>
          </w:p>
        </w:tc>
        <w:tc>
          <w:tcPr>
            <w:tcW w:w="300" w:type="dxa"/>
            <w:vAlign w:val="bottom"/>
          </w:tcPr>
          <w:p>
            <w:pPr>
              <w:ind w:left="120"/>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2,664,395</w:t>
            </w:r>
          </w:p>
        </w:tc>
        <w:tc>
          <w:tcPr>
            <w:tcW w:w="0" w:type="dxa"/>
            <w:vAlign w:val="bottom"/>
          </w:tcPr>
          <w:p>
            <w:pPr>
              <w:spacing w:after="0"/>
              <w:rPr>
                <w:sz w:val="1"/>
                <w:szCs w:val="1"/>
                <w:color w:val="auto"/>
              </w:rPr>
            </w:pPr>
          </w:p>
        </w:tc>
      </w:tr>
      <w:tr>
        <w:trPr>
          <w:trHeight w:val="203"/>
        </w:trPr>
        <w:tc>
          <w:tcPr>
            <w:tcW w:w="3140" w:type="dxa"/>
            <w:vAlign w:val="bottom"/>
            <w:shd w:val="clear" w:color="auto" w:fill="D8D8D8"/>
          </w:tcPr>
          <w:p>
            <w:pPr>
              <w:spacing w:after="0"/>
              <w:rPr>
                <w:sz w:val="20"/>
                <w:szCs w:val="20"/>
                <w:color w:val="auto"/>
              </w:rPr>
            </w:pPr>
            <w:r>
              <w:rPr>
                <w:rFonts w:ascii="Arial" w:cs="Arial" w:eastAsia="Arial" w:hAnsi="Arial"/>
                <w:sz w:val="13"/>
                <w:szCs w:val="13"/>
                <w:b w:val="1"/>
                <w:bCs w:val="1"/>
                <w:color w:val="auto"/>
              </w:rPr>
              <w:t>President &amp; Chief Operating Officer</w:t>
            </w:r>
          </w:p>
        </w:tc>
        <w:tc>
          <w:tcPr>
            <w:tcW w:w="560" w:type="dxa"/>
            <w:vAlign w:val="bottom"/>
          </w:tcPr>
          <w:p>
            <w:pPr>
              <w:ind w:left="240"/>
              <w:spacing w:after="0"/>
              <w:rPr>
                <w:sz w:val="20"/>
                <w:szCs w:val="20"/>
                <w:color w:val="auto"/>
              </w:rPr>
            </w:pPr>
            <w:r>
              <w:rPr>
                <w:rFonts w:ascii="Arial" w:cs="Arial" w:eastAsia="Arial" w:hAnsi="Arial"/>
                <w:sz w:val="13"/>
                <w:szCs w:val="13"/>
                <w:color w:val="auto"/>
              </w:rPr>
              <w:t>2022</w:t>
            </w:r>
          </w:p>
        </w:tc>
        <w:tc>
          <w:tcPr>
            <w:tcW w:w="380" w:type="dxa"/>
            <w:vAlign w:val="bottom"/>
          </w:tcPr>
          <w:p>
            <w:pPr>
              <w:ind w:left="220"/>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57"/>
              <w:spacing w:after="0"/>
              <w:rPr>
                <w:sz w:val="20"/>
                <w:szCs w:val="20"/>
                <w:color w:val="auto"/>
              </w:rPr>
            </w:pPr>
            <w:r>
              <w:rPr>
                <w:rFonts w:ascii="Arial" w:cs="Arial" w:eastAsia="Arial" w:hAnsi="Arial"/>
                <w:sz w:val="13"/>
                <w:szCs w:val="13"/>
                <w:color w:val="auto"/>
              </w:rPr>
              <w:t>650,000</w:t>
            </w:r>
          </w:p>
        </w:tc>
        <w:tc>
          <w:tcPr>
            <w:tcW w:w="280" w:type="dxa"/>
            <w:vAlign w:val="bottom"/>
          </w:tcPr>
          <w:p>
            <w:pPr>
              <w:ind w:left="120"/>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220" w:type="dxa"/>
            <w:vAlign w:val="bottom"/>
          </w:tcPr>
          <w:p>
            <w:pPr>
              <w:ind w:left="12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7"/>
                <w:szCs w:val="17"/>
                <w:color w:val="auto"/>
              </w:rPr>
            </w:pP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1,205,703</w:t>
            </w:r>
          </w:p>
        </w:tc>
        <w:tc>
          <w:tcPr>
            <w:tcW w:w="320" w:type="dxa"/>
            <w:vAlign w:val="bottom"/>
          </w:tcPr>
          <w:p>
            <w:pPr>
              <w:ind w:left="120"/>
              <w:spacing w:after="0"/>
              <w:rPr>
                <w:sz w:val="20"/>
                <w:szCs w:val="20"/>
                <w:color w:val="auto"/>
              </w:rPr>
            </w:pPr>
            <w:r>
              <w:rPr>
                <w:rFonts w:ascii="Arial" w:cs="Arial" w:eastAsia="Arial" w:hAnsi="Arial"/>
                <w:sz w:val="13"/>
                <w:szCs w:val="13"/>
                <w:color w:val="auto"/>
              </w:rPr>
              <w:t>$</w:t>
            </w:r>
          </w:p>
        </w:tc>
        <w:tc>
          <w:tcPr>
            <w:tcW w:w="1220" w:type="dxa"/>
            <w:vAlign w:val="bottom"/>
          </w:tcPr>
          <w:p>
            <w:pPr>
              <w:jc w:val="right"/>
              <w:ind w:right="57"/>
              <w:spacing w:after="0"/>
              <w:rPr>
                <w:sz w:val="20"/>
                <w:szCs w:val="20"/>
                <w:color w:val="auto"/>
              </w:rPr>
            </w:pPr>
            <w:r>
              <w:rPr>
                <w:rFonts w:ascii="Arial" w:cs="Arial" w:eastAsia="Arial" w:hAnsi="Arial"/>
                <w:sz w:val="13"/>
                <w:szCs w:val="13"/>
                <w:color w:val="auto"/>
              </w:rPr>
              <w:t>609,375</w:t>
            </w:r>
          </w:p>
        </w:tc>
        <w:tc>
          <w:tcPr>
            <w:tcW w:w="340" w:type="dxa"/>
            <w:vAlign w:val="bottom"/>
          </w:tcPr>
          <w:p>
            <w:pPr>
              <w:ind w:left="120"/>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15,613</w:t>
            </w:r>
          </w:p>
        </w:tc>
        <w:tc>
          <w:tcPr>
            <w:tcW w:w="300" w:type="dxa"/>
            <w:vAlign w:val="bottom"/>
          </w:tcPr>
          <w:p>
            <w:pPr>
              <w:ind w:left="120"/>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2,480,691</w:t>
            </w:r>
          </w:p>
        </w:tc>
        <w:tc>
          <w:tcPr>
            <w:tcW w:w="0" w:type="dxa"/>
            <w:vAlign w:val="bottom"/>
          </w:tcPr>
          <w:p>
            <w:pPr>
              <w:spacing w:after="0"/>
              <w:rPr>
                <w:sz w:val="1"/>
                <w:szCs w:val="1"/>
                <w:color w:val="auto"/>
              </w:rPr>
            </w:pPr>
          </w:p>
        </w:tc>
      </w:tr>
      <w:tr>
        <w:trPr>
          <w:trHeight w:val="204"/>
        </w:trPr>
        <w:tc>
          <w:tcPr>
            <w:tcW w:w="3140" w:type="dxa"/>
            <w:vAlign w:val="bottom"/>
            <w:tcBorders>
              <w:bottom w:val="single" w:sz="8" w:color="auto"/>
            </w:tcBorders>
            <w:shd w:val="clear" w:color="auto" w:fill="D8D8D8"/>
          </w:tcPr>
          <w:p>
            <w:pPr>
              <w:spacing w:after="0"/>
              <w:rPr>
                <w:sz w:val="17"/>
                <w:szCs w:val="17"/>
                <w:color w:val="auto"/>
              </w:rPr>
            </w:pPr>
          </w:p>
        </w:tc>
        <w:tc>
          <w:tcPr>
            <w:tcW w:w="560" w:type="dxa"/>
            <w:vAlign w:val="bottom"/>
            <w:tcBorders>
              <w:bottom w:val="single" w:sz="8" w:color="auto"/>
            </w:tcBorders>
          </w:tcPr>
          <w:p>
            <w:pPr>
              <w:ind w:left="240"/>
              <w:spacing w:after="0"/>
              <w:rPr>
                <w:sz w:val="20"/>
                <w:szCs w:val="20"/>
                <w:color w:val="auto"/>
              </w:rPr>
            </w:pPr>
            <w:r>
              <w:rPr>
                <w:rFonts w:ascii="Arial" w:cs="Arial" w:eastAsia="Arial" w:hAnsi="Arial"/>
                <w:sz w:val="13"/>
                <w:szCs w:val="13"/>
                <w:color w:val="auto"/>
              </w:rPr>
              <w:t>2021</w:t>
            </w:r>
          </w:p>
        </w:tc>
        <w:tc>
          <w:tcPr>
            <w:tcW w:w="380" w:type="dxa"/>
            <w:vAlign w:val="bottom"/>
            <w:tcBorders>
              <w:bottom w:val="single" w:sz="8" w:color="auto"/>
            </w:tcBorders>
          </w:tcPr>
          <w:p>
            <w:pPr>
              <w:ind w:left="220"/>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575,000</w:t>
            </w:r>
          </w:p>
        </w:tc>
        <w:tc>
          <w:tcPr>
            <w:tcW w:w="280" w:type="dxa"/>
            <w:vAlign w:val="bottom"/>
            <w:tcBorders>
              <w:bottom w:val="single" w:sz="8" w:color="auto"/>
            </w:tcBorders>
          </w:tcPr>
          <w:p>
            <w:pPr>
              <w:ind w:left="120"/>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75,000</w:t>
            </w:r>
          </w:p>
        </w:tc>
        <w:tc>
          <w:tcPr>
            <w:tcW w:w="220" w:type="dxa"/>
            <w:vAlign w:val="bottom"/>
            <w:tcBorders>
              <w:bottom w:val="single" w:sz="8" w:color="auto"/>
            </w:tcBorders>
          </w:tcPr>
          <w:p>
            <w:pPr>
              <w:ind w:left="120"/>
              <w:spacing w:after="0"/>
              <w:rPr>
                <w:sz w:val="20"/>
                <w:szCs w:val="20"/>
                <w:color w:val="auto"/>
              </w:rPr>
            </w:pPr>
            <w:r>
              <w:rPr>
                <w:rFonts w:ascii="Arial" w:cs="Arial" w:eastAsia="Arial" w:hAnsi="Arial"/>
                <w:sz w:val="13"/>
                <w:szCs w:val="13"/>
                <w:color w:val="auto"/>
              </w:rPr>
              <w:t>$</w:t>
            </w:r>
          </w:p>
        </w:tc>
        <w:tc>
          <w:tcPr>
            <w:tcW w:w="24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 xml:space="preserve">    </w:t>
            </w:r>
          </w:p>
        </w:tc>
        <w:tc>
          <w:tcPr>
            <w:tcW w:w="7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3,131,027</w:t>
            </w:r>
          </w:p>
        </w:tc>
        <w:tc>
          <w:tcPr>
            <w:tcW w:w="320" w:type="dxa"/>
            <w:vAlign w:val="bottom"/>
            <w:tcBorders>
              <w:bottom w:val="single" w:sz="8" w:color="auto"/>
            </w:tcBorders>
          </w:tcPr>
          <w:p>
            <w:pPr>
              <w:ind w:left="120"/>
              <w:spacing w:after="0"/>
              <w:rPr>
                <w:sz w:val="20"/>
                <w:szCs w:val="20"/>
                <w:color w:val="auto"/>
              </w:rPr>
            </w:pPr>
            <w:r>
              <w:rPr>
                <w:rFonts w:ascii="Arial" w:cs="Arial" w:eastAsia="Arial" w:hAnsi="Arial"/>
                <w:sz w:val="13"/>
                <w:szCs w:val="13"/>
                <w:color w:val="auto"/>
              </w:rPr>
              <w:t>$</w:t>
            </w:r>
          </w:p>
        </w:tc>
        <w:tc>
          <w:tcPr>
            <w:tcW w:w="12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539,063</w:t>
            </w:r>
          </w:p>
        </w:tc>
        <w:tc>
          <w:tcPr>
            <w:tcW w:w="340" w:type="dxa"/>
            <w:vAlign w:val="bottom"/>
            <w:tcBorders>
              <w:bottom w:val="single" w:sz="8" w:color="auto"/>
            </w:tcBorders>
          </w:tcPr>
          <w:p>
            <w:pPr>
              <w:ind w:left="120"/>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      14,486</w:t>
            </w:r>
          </w:p>
        </w:tc>
        <w:tc>
          <w:tcPr>
            <w:tcW w:w="300" w:type="dxa"/>
            <w:vAlign w:val="bottom"/>
            <w:tcBorders>
              <w:bottom w:val="single" w:sz="8" w:color="auto"/>
            </w:tcBorders>
          </w:tcPr>
          <w:p>
            <w:pPr>
              <w:ind w:left="120"/>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4,334,576</w:t>
            </w:r>
          </w:p>
        </w:tc>
        <w:tc>
          <w:tcPr>
            <w:tcW w:w="0" w:type="dxa"/>
            <w:vAlign w:val="bottom"/>
          </w:tcPr>
          <w:p>
            <w:pPr>
              <w:spacing w:after="0"/>
              <w:rPr>
                <w:sz w:val="1"/>
                <w:szCs w:val="1"/>
                <w:color w:val="auto"/>
              </w:rPr>
            </w:pPr>
          </w:p>
        </w:tc>
      </w:tr>
      <w:tr>
        <w:trPr>
          <w:trHeight w:val="172"/>
        </w:trPr>
        <w:tc>
          <w:tcPr>
            <w:tcW w:w="3140" w:type="dxa"/>
            <w:vAlign w:val="bottom"/>
            <w:shd w:val="clear" w:color="auto" w:fill="D8D8D8"/>
          </w:tcPr>
          <w:p>
            <w:pPr>
              <w:spacing w:after="0"/>
              <w:rPr>
                <w:sz w:val="20"/>
                <w:szCs w:val="20"/>
                <w:color w:val="auto"/>
              </w:rPr>
            </w:pPr>
            <w:r>
              <w:rPr>
                <w:rFonts w:ascii="Arial" w:cs="Arial" w:eastAsia="Arial" w:hAnsi="Arial"/>
                <w:sz w:val="13"/>
                <w:szCs w:val="13"/>
                <w:b w:val="1"/>
                <w:bCs w:val="1"/>
                <w:color w:val="auto"/>
              </w:rPr>
              <w:t>Daniel Guglielmone (PFO)</w:t>
            </w:r>
          </w:p>
        </w:tc>
        <w:tc>
          <w:tcPr>
            <w:tcW w:w="560" w:type="dxa"/>
            <w:vAlign w:val="bottom"/>
          </w:tcPr>
          <w:p>
            <w:pPr>
              <w:ind w:left="240"/>
              <w:spacing w:after="0"/>
              <w:rPr>
                <w:sz w:val="20"/>
                <w:szCs w:val="20"/>
                <w:color w:val="auto"/>
              </w:rPr>
            </w:pPr>
            <w:r>
              <w:rPr>
                <w:rFonts w:ascii="Arial" w:cs="Arial" w:eastAsia="Arial" w:hAnsi="Arial"/>
                <w:sz w:val="13"/>
                <w:szCs w:val="13"/>
                <w:color w:val="auto"/>
              </w:rPr>
              <w:t>2023</w:t>
            </w:r>
          </w:p>
        </w:tc>
        <w:tc>
          <w:tcPr>
            <w:tcW w:w="380" w:type="dxa"/>
            <w:vAlign w:val="bottom"/>
          </w:tcPr>
          <w:p>
            <w:pPr>
              <w:ind w:left="220"/>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57"/>
              <w:spacing w:after="0"/>
              <w:rPr>
                <w:sz w:val="20"/>
                <w:szCs w:val="20"/>
                <w:color w:val="auto"/>
              </w:rPr>
            </w:pPr>
            <w:r>
              <w:rPr>
                <w:rFonts w:ascii="Arial" w:cs="Arial" w:eastAsia="Arial" w:hAnsi="Arial"/>
                <w:sz w:val="13"/>
                <w:szCs w:val="13"/>
                <w:color w:val="auto"/>
              </w:rPr>
              <w:t>575,000</w:t>
            </w:r>
          </w:p>
        </w:tc>
        <w:tc>
          <w:tcPr>
            <w:tcW w:w="280" w:type="dxa"/>
            <w:vAlign w:val="bottom"/>
          </w:tcPr>
          <w:p>
            <w:pPr>
              <w:ind w:left="120"/>
              <w:spacing w:after="0"/>
              <w:rPr>
                <w:sz w:val="20"/>
                <w:szCs w:val="20"/>
                <w:color w:val="auto"/>
              </w:rPr>
            </w:pPr>
            <w:r>
              <w:rPr>
                <w:rFonts w:ascii="Arial" w:cs="Arial" w:eastAsia="Arial" w:hAnsi="Arial"/>
                <w:sz w:val="13"/>
                <w:szCs w:val="13"/>
                <w:color w:val="auto"/>
              </w:rPr>
              <w:t xml:space="preserve">$  </w:t>
            </w:r>
          </w:p>
        </w:tc>
        <w:tc>
          <w:tcPr>
            <w:tcW w:w="760" w:type="dxa"/>
            <w:vAlign w:val="bottom"/>
          </w:tcPr>
          <w:p>
            <w:pPr>
              <w:jc w:val="right"/>
              <w:ind w:right="57"/>
              <w:spacing w:after="0"/>
              <w:rPr>
                <w:sz w:val="20"/>
                <w:szCs w:val="20"/>
                <w:color w:val="auto"/>
              </w:rPr>
            </w:pPr>
            <w:r>
              <w:rPr>
                <w:rFonts w:ascii="Arial" w:cs="Arial" w:eastAsia="Arial" w:hAnsi="Arial"/>
                <w:sz w:val="13"/>
                <w:szCs w:val="13"/>
                <w:color w:val="auto"/>
                <w:w w:val="92"/>
              </w:rPr>
              <w:t>   150,000</w:t>
            </w:r>
          </w:p>
        </w:tc>
        <w:tc>
          <w:tcPr>
            <w:tcW w:w="220" w:type="dxa"/>
            <w:vAlign w:val="bottom"/>
          </w:tcPr>
          <w:p>
            <w:pPr>
              <w:ind w:left="12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989,990</w:t>
            </w:r>
          </w:p>
        </w:tc>
        <w:tc>
          <w:tcPr>
            <w:tcW w:w="320" w:type="dxa"/>
            <w:vAlign w:val="bottom"/>
          </w:tcPr>
          <w:p>
            <w:pPr>
              <w:ind w:left="120"/>
              <w:spacing w:after="0"/>
              <w:rPr>
                <w:sz w:val="20"/>
                <w:szCs w:val="20"/>
                <w:color w:val="auto"/>
              </w:rPr>
            </w:pPr>
            <w:r>
              <w:rPr>
                <w:rFonts w:ascii="Arial" w:cs="Arial" w:eastAsia="Arial" w:hAnsi="Arial"/>
                <w:sz w:val="13"/>
                <w:szCs w:val="13"/>
                <w:color w:val="auto"/>
              </w:rPr>
              <w:t>$</w:t>
            </w:r>
          </w:p>
        </w:tc>
        <w:tc>
          <w:tcPr>
            <w:tcW w:w="1220" w:type="dxa"/>
            <w:vAlign w:val="bottom"/>
          </w:tcPr>
          <w:p>
            <w:pPr>
              <w:jc w:val="right"/>
              <w:ind w:right="57"/>
              <w:spacing w:after="0"/>
              <w:rPr>
                <w:sz w:val="20"/>
                <w:szCs w:val="20"/>
                <w:color w:val="auto"/>
              </w:rPr>
            </w:pPr>
            <w:r>
              <w:rPr>
                <w:rFonts w:ascii="Arial" w:cs="Arial" w:eastAsia="Arial" w:hAnsi="Arial"/>
                <w:sz w:val="13"/>
                <w:szCs w:val="13"/>
                <w:color w:val="auto"/>
              </w:rPr>
              <w:t>718,750</w:t>
            </w:r>
          </w:p>
        </w:tc>
        <w:tc>
          <w:tcPr>
            <w:tcW w:w="340" w:type="dxa"/>
            <w:vAlign w:val="bottom"/>
          </w:tcPr>
          <w:p>
            <w:pPr>
              <w:ind w:left="120"/>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12,389</w:t>
            </w:r>
          </w:p>
        </w:tc>
        <w:tc>
          <w:tcPr>
            <w:tcW w:w="300" w:type="dxa"/>
            <w:vAlign w:val="bottom"/>
          </w:tcPr>
          <w:p>
            <w:pPr>
              <w:ind w:left="120"/>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2,446,128</w:t>
            </w:r>
          </w:p>
        </w:tc>
        <w:tc>
          <w:tcPr>
            <w:tcW w:w="0" w:type="dxa"/>
            <w:vAlign w:val="bottom"/>
          </w:tcPr>
          <w:p>
            <w:pPr>
              <w:spacing w:after="0"/>
              <w:rPr>
                <w:sz w:val="1"/>
                <w:szCs w:val="1"/>
                <w:color w:val="auto"/>
              </w:rPr>
            </w:pPr>
          </w:p>
        </w:tc>
      </w:tr>
      <w:tr>
        <w:trPr>
          <w:trHeight w:val="198"/>
        </w:trPr>
        <w:tc>
          <w:tcPr>
            <w:tcW w:w="3140" w:type="dxa"/>
            <w:vAlign w:val="bottom"/>
            <w:shd w:val="clear" w:color="auto" w:fill="D8D8D8"/>
          </w:tcPr>
          <w:p>
            <w:pPr>
              <w:spacing w:after="0"/>
              <w:rPr>
                <w:sz w:val="20"/>
                <w:szCs w:val="20"/>
                <w:color w:val="auto"/>
              </w:rPr>
            </w:pPr>
            <w:r>
              <w:rPr>
                <w:rFonts w:ascii="Arial" w:cs="Arial" w:eastAsia="Arial" w:hAnsi="Arial"/>
                <w:sz w:val="13"/>
                <w:szCs w:val="13"/>
                <w:b w:val="1"/>
                <w:bCs w:val="1"/>
                <w:color w:val="auto"/>
              </w:rPr>
              <w:t>Executive Vice President-</w:t>
            </w:r>
          </w:p>
        </w:tc>
        <w:tc>
          <w:tcPr>
            <w:tcW w:w="560" w:type="dxa"/>
            <w:vAlign w:val="bottom"/>
          </w:tcPr>
          <w:p>
            <w:pPr>
              <w:ind w:left="240"/>
              <w:spacing w:after="0"/>
              <w:rPr>
                <w:sz w:val="20"/>
                <w:szCs w:val="20"/>
                <w:color w:val="auto"/>
              </w:rPr>
            </w:pPr>
            <w:r>
              <w:rPr>
                <w:rFonts w:ascii="Arial" w:cs="Arial" w:eastAsia="Arial" w:hAnsi="Arial"/>
                <w:sz w:val="13"/>
                <w:szCs w:val="13"/>
                <w:color w:val="auto"/>
              </w:rPr>
              <w:t>2022</w:t>
            </w:r>
          </w:p>
        </w:tc>
        <w:tc>
          <w:tcPr>
            <w:tcW w:w="380" w:type="dxa"/>
            <w:vAlign w:val="bottom"/>
          </w:tcPr>
          <w:p>
            <w:pPr>
              <w:ind w:left="220"/>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57"/>
              <w:spacing w:after="0"/>
              <w:rPr>
                <w:sz w:val="20"/>
                <w:szCs w:val="20"/>
                <w:color w:val="auto"/>
              </w:rPr>
            </w:pPr>
            <w:r>
              <w:rPr>
                <w:rFonts w:ascii="Arial" w:cs="Arial" w:eastAsia="Arial" w:hAnsi="Arial"/>
                <w:sz w:val="13"/>
                <w:szCs w:val="13"/>
                <w:color w:val="auto"/>
              </w:rPr>
              <w:t>575,000</w:t>
            </w:r>
          </w:p>
        </w:tc>
        <w:tc>
          <w:tcPr>
            <w:tcW w:w="280" w:type="dxa"/>
            <w:vAlign w:val="bottom"/>
          </w:tcPr>
          <w:p>
            <w:pPr>
              <w:ind w:left="120"/>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220" w:type="dxa"/>
            <w:vAlign w:val="bottom"/>
          </w:tcPr>
          <w:p>
            <w:pPr>
              <w:ind w:left="12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7"/>
                <w:szCs w:val="17"/>
                <w:color w:val="auto"/>
              </w:rPr>
            </w:pP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890,996</w:t>
            </w:r>
          </w:p>
        </w:tc>
        <w:tc>
          <w:tcPr>
            <w:tcW w:w="320" w:type="dxa"/>
            <w:vAlign w:val="bottom"/>
          </w:tcPr>
          <w:p>
            <w:pPr>
              <w:ind w:left="120"/>
              <w:spacing w:after="0"/>
              <w:rPr>
                <w:sz w:val="20"/>
                <w:szCs w:val="20"/>
                <w:color w:val="auto"/>
              </w:rPr>
            </w:pPr>
            <w:r>
              <w:rPr>
                <w:rFonts w:ascii="Arial" w:cs="Arial" w:eastAsia="Arial" w:hAnsi="Arial"/>
                <w:sz w:val="13"/>
                <w:szCs w:val="13"/>
                <w:color w:val="auto"/>
              </w:rPr>
              <w:t>$</w:t>
            </w:r>
          </w:p>
        </w:tc>
        <w:tc>
          <w:tcPr>
            <w:tcW w:w="1220" w:type="dxa"/>
            <w:vAlign w:val="bottom"/>
          </w:tcPr>
          <w:p>
            <w:pPr>
              <w:jc w:val="right"/>
              <w:ind w:right="57"/>
              <w:spacing w:after="0"/>
              <w:rPr>
                <w:sz w:val="20"/>
                <w:szCs w:val="20"/>
                <w:color w:val="auto"/>
              </w:rPr>
            </w:pPr>
            <w:r>
              <w:rPr>
                <w:rFonts w:ascii="Arial" w:cs="Arial" w:eastAsia="Arial" w:hAnsi="Arial"/>
                <w:sz w:val="13"/>
                <w:szCs w:val="13"/>
                <w:color w:val="auto"/>
              </w:rPr>
              <w:t>718,750</w:t>
            </w:r>
          </w:p>
        </w:tc>
        <w:tc>
          <w:tcPr>
            <w:tcW w:w="340" w:type="dxa"/>
            <w:vAlign w:val="bottom"/>
          </w:tcPr>
          <w:p>
            <w:pPr>
              <w:ind w:left="120"/>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11,736</w:t>
            </w:r>
          </w:p>
        </w:tc>
        <w:tc>
          <w:tcPr>
            <w:tcW w:w="300" w:type="dxa"/>
            <w:vAlign w:val="bottom"/>
          </w:tcPr>
          <w:p>
            <w:pPr>
              <w:ind w:left="120"/>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2,196,482</w:t>
            </w:r>
          </w:p>
        </w:tc>
        <w:tc>
          <w:tcPr>
            <w:tcW w:w="0" w:type="dxa"/>
            <w:vAlign w:val="bottom"/>
          </w:tcPr>
          <w:p>
            <w:pPr>
              <w:spacing w:after="0"/>
              <w:rPr>
                <w:sz w:val="1"/>
                <w:szCs w:val="1"/>
                <w:color w:val="auto"/>
              </w:rPr>
            </w:pPr>
          </w:p>
        </w:tc>
      </w:tr>
      <w:tr>
        <w:trPr>
          <w:trHeight w:val="206"/>
        </w:trPr>
        <w:tc>
          <w:tcPr>
            <w:tcW w:w="3140" w:type="dxa"/>
            <w:vAlign w:val="bottom"/>
            <w:tcBorders>
              <w:bottom w:val="single" w:sz="8" w:color="auto"/>
            </w:tcBorders>
            <w:shd w:val="clear" w:color="auto" w:fill="D8D8D8"/>
          </w:tcPr>
          <w:p>
            <w:pPr>
              <w:spacing w:after="0"/>
              <w:rPr>
                <w:sz w:val="20"/>
                <w:szCs w:val="20"/>
                <w:color w:val="auto"/>
              </w:rPr>
            </w:pPr>
            <w:r>
              <w:rPr>
                <w:rFonts w:ascii="Arial" w:cs="Arial" w:eastAsia="Arial" w:hAnsi="Arial"/>
                <w:sz w:val="13"/>
                <w:szCs w:val="13"/>
                <w:b w:val="1"/>
                <w:bCs w:val="1"/>
                <w:color w:val="auto"/>
              </w:rPr>
              <w:t>Chief Financial Officer &amp; Treasurer</w:t>
            </w:r>
          </w:p>
        </w:tc>
        <w:tc>
          <w:tcPr>
            <w:tcW w:w="560" w:type="dxa"/>
            <w:vAlign w:val="bottom"/>
            <w:tcBorders>
              <w:bottom w:val="single" w:sz="8" w:color="auto"/>
            </w:tcBorders>
          </w:tcPr>
          <w:p>
            <w:pPr>
              <w:ind w:left="240"/>
              <w:spacing w:after="0"/>
              <w:rPr>
                <w:sz w:val="20"/>
                <w:szCs w:val="20"/>
                <w:color w:val="auto"/>
              </w:rPr>
            </w:pPr>
            <w:r>
              <w:rPr>
                <w:rFonts w:ascii="Arial" w:cs="Arial" w:eastAsia="Arial" w:hAnsi="Arial"/>
                <w:sz w:val="13"/>
                <w:szCs w:val="13"/>
                <w:color w:val="auto"/>
              </w:rPr>
              <w:t>2021</w:t>
            </w:r>
          </w:p>
        </w:tc>
        <w:tc>
          <w:tcPr>
            <w:tcW w:w="380" w:type="dxa"/>
            <w:vAlign w:val="bottom"/>
            <w:tcBorders>
              <w:bottom w:val="single" w:sz="8" w:color="auto"/>
            </w:tcBorders>
          </w:tcPr>
          <w:p>
            <w:pPr>
              <w:ind w:left="220"/>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500,000</w:t>
            </w:r>
          </w:p>
        </w:tc>
        <w:tc>
          <w:tcPr>
            <w:tcW w:w="280" w:type="dxa"/>
            <w:vAlign w:val="bottom"/>
            <w:tcBorders>
              <w:bottom w:val="single" w:sz="8" w:color="auto"/>
            </w:tcBorders>
          </w:tcPr>
          <w:p>
            <w:pPr>
              <w:ind w:left="120"/>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75,000</w:t>
            </w:r>
          </w:p>
        </w:tc>
        <w:tc>
          <w:tcPr>
            <w:tcW w:w="220" w:type="dxa"/>
            <w:vAlign w:val="bottom"/>
            <w:tcBorders>
              <w:bottom w:val="single" w:sz="8" w:color="auto"/>
            </w:tcBorders>
          </w:tcPr>
          <w:p>
            <w:pPr>
              <w:ind w:left="120"/>
              <w:spacing w:after="0"/>
              <w:rPr>
                <w:sz w:val="20"/>
                <w:szCs w:val="20"/>
                <w:color w:val="auto"/>
              </w:rPr>
            </w:pPr>
            <w:r>
              <w:rPr>
                <w:rFonts w:ascii="Arial" w:cs="Arial" w:eastAsia="Arial" w:hAnsi="Arial"/>
                <w:sz w:val="13"/>
                <w:szCs w:val="13"/>
                <w:color w:val="auto"/>
              </w:rPr>
              <w:t>$</w:t>
            </w:r>
          </w:p>
        </w:tc>
        <w:tc>
          <w:tcPr>
            <w:tcW w:w="2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1,900,046</w:t>
            </w:r>
          </w:p>
        </w:tc>
        <w:tc>
          <w:tcPr>
            <w:tcW w:w="320" w:type="dxa"/>
            <w:vAlign w:val="bottom"/>
            <w:tcBorders>
              <w:bottom w:val="single" w:sz="8" w:color="auto"/>
            </w:tcBorders>
          </w:tcPr>
          <w:p>
            <w:pPr>
              <w:ind w:left="120"/>
              <w:spacing w:after="0"/>
              <w:rPr>
                <w:sz w:val="20"/>
                <w:szCs w:val="20"/>
                <w:color w:val="auto"/>
              </w:rPr>
            </w:pPr>
            <w:r>
              <w:rPr>
                <w:rFonts w:ascii="Arial" w:cs="Arial" w:eastAsia="Arial" w:hAnsi="Arial"/>
                <w:sz w:val="13"/>
                <w:szCs w:val="13"/>
                <w:color w:val="auto"/>
              </w:rPr>
              <w:t>$</w:t>
            </w:r>
          </w:p>
        </w:tc>
        <w:tc>
          <w:tcPr>
            <w:tcW w:w="12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468,750</w:t>
            </w:r>
          </w:p>
        </w:tc>
        <w:tc>
          <w:tcPr>
            <w:tcW w:w="340" w:type="dxa"/>
            <w:vAlign w:val="bottom"/>
            <w:tcBorders>
              <w:bottom w:val="single" w:sz="8" w:color="auto"/>
            </w:tcBorders>
          </w:tcPr>
          <w:p>
            <w:pPr>
              <w:ind w:left="120"/>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11,427</w:t>
            </w:r>
          </w:p>
        </w:tc>
        <w:tc>
          <w:tcPr>
            <w:tcW w:w="300" w:type="dxa"/>
            <w:vAlign w:val="bottom"/>
            <w:tcBorders>
              <w:bottom w:val="single" w:sz="8" w:color="auto"/>
            </w:tcBorders>
          </w:tcPr>
          <w:p>
            <w:pPr>
              <w:ind w:left="120"/>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2,955,223</w:t>
            </w:r>
          </w:p>
        </w:tc>
        <w:tc>
          <w:tcPr>
            <w:tcW w:w="0" w:type="dxa"/>
            <w:vAlign w:val="bottom"/>
          </w:tcPr>
          <w:p>
            <w:pPr>
              <w:spacing w:after="0"/>
              <w:rPr>
                <w:sz w:val="1"/>
                <w:szCs w:val="1"/>
                <w:color w:val="auto"/>
              </w:rPr>
            </w:pPr>
          </w:p>
        </w:tc>
      </w:tr>
      <w:tr>
        <w:trPr>
          <w:trHeight w:val="169"/>
        </w:trPr>
        <w:tc>
          <w:tcPr>
            <w:tcW w:w="3140" w:type="dxa"/>
            <w:vAlign w:val="bottom"/>
            <w:shd w:val="clear" w:color="auto" w:fill="D8D8D8"/>
          </w:tcPr>
          <w:p>
            <w:pPr>
              <w:spacing w:after="0"/>
              <w:rPr>
                <w:sz w:val="20"/>
                <w:szCs w:val="20"/>
                <w:color w:val="auto"/>
              </w:rPr>
            </w:pPr>
            <w:r>
              <w:rPr>
                <w:rFonts w:ascii="Arial" w:cs="Arial" w:eastAsia="Arial" w:hAnsi="Arial"/>
                <w:sz w:val="13"/>
                <w:szCs w:val="13"/>
                <w:b w:val="1"/>
                <w:bCs w:val="1"/>
                <w:color w:val="auto"/>
              </w:rPr>
              <w:t>Dawn M. Becker</w:t>
            </w:r>
          </w:p>
        </w:tc>
        <w:tc>
          <w:tcPr>
            <w:tcW w:w="560" w:type="dxa"/>
            <w:vAlign w:val="bottom"/>
          </w:tcPr>
          <w:p>
            <w:pPr>
              <w:ind w:left="240"/>
              <w:spacing w:after="0"/>
              <w:rPr>
                <w:sz w:val="20"/>
                <w:szCs w:val="20"/>
                <w:color w:val="auto"/>
              </w:rPr>
            </w:pPr>
            <w:r>
              <w:rPr>
                <w:rFonts w:ascii="Arial" w:cs="Arial" w:eastAsia="Arial" w:hAnsi="Arial"/>
                <w:sz w:val="13"/>
                <w:szCs w:val="13"/>
                <w:color w:val="auto"/>
              </w:rPr>
              <w:t>2023</w:t>
            </w:r>
          </w:p>
        </w:tc>
        <w:tc>
          <w:tcPr>
            <w:tcW w:w="380" w:type="dxa"/>
            <w:vAlign w:val="bottom"/>
          </w:tcPr>
          <w:p>
            <w:pPr>
              <w:ind w:left="220"/>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57"/>
              <w:spacing w:after="0"/>
              <w:rPr>
                <w:sz w:val="20"/>
                <w:szCs w:val="20"/>
                <w:color w:val="auto"/>
              </w:rPr>
            </w:pPr>
            <w:r>
              <w:rPr>
                <w:rFonts w:ascii="Arial" w:cs="Arial" w:eastAsia="Arial" w:hAnsi="Arial"/>
                <w:sz w:val="13"/>
                <w:szCs w:val="13"/>
                <w:color w:val="auto"/>
              </w:rPr>
              <w:t>575,000</w:t>
            </w:r>
          </w:p>
        </w:tc>
        <w:tc>
          <w:tcPr>
            <w:tcW w:w="280" w:type="dxa"/>
            <w:vAlign w:val="bottom"/>
          </w:tcPr>
          <w:p>
            <w:pPr>
              <w:ind w:left="120"/>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220" w:type="dxa"/>
            <w:vAlign w:val="bottom"/>
          </w:tcPr>
          <w:p>
            <w:pPr>
              <w:ind w:left="12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1,205,597</w:t>
            </w:r>
          </w:p>
        </w:tc>
        <w:tc>
          <w:tcPr>
            <w:tcW w:w="320" w:type="dxa"/>
            <w:vAlign w:val="bottom"/>
          </w:tcPr>
          <w:p>
            <w:pPr>
              <w:ind w:left="120"/>
              <w:spacing w:after="0"/>
              <w:rPr>
                <w:sz w:val="20"/>
                <w:szCs w:val="20"/>
                <w:color w:val="auto"/>
              </w:rPr>
            </w:pPr>
            <w:r>
              <w:rPr>
                <w:rFonts w:ascii="Arial" w:cs="Arial" w:eastAsia="Arial" w:hAnsi="Arial"/>
                <w:sz w:val="13"/>
                <w:szCs w:val="13"/>
                <w:color w:val="auto"/>
              </w:rPr>
              <w:t>$</w:t>
            </w:r>
          </w:p>
        </w:tc>
        <w:tc>
          <w:tcPr>
            <w:tcW w:w="1220" w:type="dxa"/>
            <w:vAlign w:val="bottom"/>
          </w:tcPr>
          <w:p>
            <w:pPr>
              <w:jc w:val="right"/>
              <w:ind w:right="57"/>
              <w:spacing w:after="0"/>
              <w:rPr>
                <w:sz w:val="20"/>
                <w:szCs w:val="20"/>
                <w:color w:val="auto"/>
              </w:rPr>
            </w:pPr>
            <w:r>
              <w:rPr>
                <w:rFonts w:ascii="Arial" w:cs="Arial" w:eastAsia="Arial" w:hAnsi="Arial"/>
                <w:sz w:val="13"/>
                <w:szCs w:val="13"/>
                <w:color w:val="auto"/>
              </w:rPr>
              <w:t>539,063</w:t>
            </w:r>
          </w:p>
        </w:tc>
        <w:tc>
          <w:tcPr>
            <w:tcW w:w="340" w:type="dxa"/>
            <w:vAlign w:val="bottom"/>
          </w:tcPr>
          <w:p>
            <w:pPr>
              <w:ind w:left="120"/>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17,644</w:t>
            </w:r>
          </w:p>
        </w:tc>
        <w:tc>
          <w:tcPr>
            <w:tcW w:w="300" w:type="dxa"/>
            <w:vAlign w:val="bottom"/>
          </w:tcPr>
          <w:p>
            <w:pPr>
              <w:ind w:left="120"/>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2,337,304</w:t>
            </w:r>
          </w:p>
        </w:tc>
        <w:tc>
          <w:tcPr>
            <w:tcW w:w="0" w:type="dxa"/>
            <w:vAlign w:val="bottom"/>
          </w:tcPr>
          <w:p>
            <w:pPr>
              <w:spacing w:after="0"/>
              <w:rPr>
                <w:sz w:val="1"/>
                <w:szCs w:val="1"/>
                <w:color w:val="auto"/>
              </w:rPr>
            </w:pPr>
          </w:p>
        </w:tc>
      </w:tr>
      <w:tr>
        <w:trPr>
          <w:trHeight w:val="198"/>
        </w:trPr>
        <w:tc>
          <w:tcPr>
            <w:tcW w:w="3140" w:type="dxa"/>
            <w:vAlign w:val="bottom"/>
            <w:shd w:val="clear" w:color="auto" w:fill="D8D8D8"/>
          </w:tcPr>
          <w:p>
            <w:pPr>
              <w:spacing w:after="0"/>
              <w:rPr>
                <w:sz w:val="20"/>
                <w:szCs w:val="20"/>
                <w:color w:val="auto"/>
              </w:rPr>
            </w:pPr>
            <w:r>
              <w:rPr>
                <w:rFonts w:ascii="Arial" w:cs="Arial" w:eastAsia="Arial" w:hAnsi="Arial"/>
                <w:sz w:val="13"/>
                <w:szCs w:val="13"/>
                <w:b w:val="1"/>
                <w:bCs w:val="1"/>
                <w:color w:val="auto"/>
              </w:rPr>
              <w:t>Executive Vice President-</w:t>
            </w:r>
          </w:p>
        </w:tc>
        <w:tc>
          <w:tcPr>
            <w:tcW w:w="560" w:type="dxa"/>
            <w:vAlign w:val="bottom"/>
          </w:tcPr>
          <w:p>
            <w:pPr>
              <w:ind w:left="240"/>
              <w:spacing w:after="0"/>
              <w:rPr>
                <w:sz w:val="20"/>
                <w:szCs w:val="20"/>
                <w:color w:val="auto"/>
              </w:rPr>
            </w:pPr>
            <w:r>
              <w:rPr>
                <w:rFonts w:ascii="Arial" w:cs="Arial" w:eastAsia="Arial" w:hAnsi="Arial"/>
                <w:sz w:val="13"/>
                <w:szCs w:val="13"/>
                <w:color w:val="auto"/>
              </w:rPr>
              <w:t>2022</w:t>
            </w:r>
          </w:p>
        </w:tc>
        <w:tc>
          <w:tcPr>
            <w:tcW w:w="380" w:type="dxa"/>
            <w:vAlign w:val="bottom"/>
          </w:tcPr>
          <w:p>
            <w:pPr>
              <w:ind w:left="220"/>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57"/>
              <w:spacing w:after="0"/>
              <w:rPr>
                <w:sz w:val="20"/>
                <w:szCs w:val="20"/>
                <w:color w:val="auto"/>
              </w:rPr>
            </w:pPr>
            <w:r>
              <w:rPr>
                <w:rFonts w:ascii="Arial" w:cs="Arial" w:eastAsia="Arial" w:hAnsi="Arial"/>
                <w:sz w:val="13"/>
                <w:szCs w:val="13"/>
                <w:color w:val="auto"/>
              </w:rPr>
              <w:t>575,000</w:t>
            </w:r>
          </w:p>
        </w:tc>
        <w:tc>
          <w:tcPr>
            <w:tcW w:w="280" w:type="dxa"/>
            <w:vAlign w:val="bottom"/>
          </w:tcPr>
          <w:p>
            <w:pPr>
              <w:ind w:left="120"/>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220" w:type="dxa"/>
            <w:vAlign w:val="bottom"/>
          </w:tcPr>
          <w:p>
            <w:pPr>
              <w:ind w:left="12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7"/>
                <w:szCs w:val="17"/>
                <w:color w:val="auto"/>
              </w:rPr>
            </w:pP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727,570</w:t>
            </w:r>
          </w:p>
        </w:tc>
        <w:tc>
          <w:tcPr>
            <w:tcW w:w="320" w:type="dxa"/>
            <w:vAlign w:val="bottom"/>
          </w:tcPr>
          <w:p>
            <w:pPr>
              <w:ind w:left="120"/>
              <w:spacing w:after="0"/>
              <w:rPr>
                <w:sz w:val="20"/>
                <w:szCs w:val="20"/>
                <w:color w:val="auto"/>
              </w:rPr>
            </w:pPr>
            <w:r>
              <w:rPr>
                <w:rFonts w:ascii="Arial" w:cs="Arial" w:eastAsia="Arial" w:hAnsi="Arial"/>
                <w:sz w:val="13"/>
                <w:szCs w:val="13"/>
                <w:color w:val="auto"/>
              </w:rPr>
              <w:t>$</w:t>
            </w:r>
          </w:p>
        </w:tc>
        <w:tc>
          <w:tcPr>
            <w:tcW w:w="1220" w:type="dxa"/>
            <w:vAlign w:val="bottom"/>
          </w:tcPr>
          <w:p>
            <w:pPr>
              <w:jc w:val="right"/>
              <w:ind w:right="57"/>
              <w:spacing w:after="0"/>
              <w:rPr>
                <w:sz w:val="20"/>
                <w:szCs w:val="20"/>
                <w:color w:val="auto"/>
              </w:rPr>
            </w:pPr>
            <w:r>
              <w:rPr>
                <w:rFonts w:ascii="Arial" w:cs="Arial" w:eastAsia="Arial" w:hAnsi="Arial"/>
                <w:sz w:val="13"/>
                <w:szCs w:val="13"/>
                <w:color w:val="auto"/>
              </w:rPr>
              <w:t>539,063</w:t>
            </w:r>
          </w:p>
        </w:tc>
        <w:tc>
          <w:tcPr>
            <w:tcW w:w="340" w:type="dxa"/>
            <w:vAlign w:val="bottom"/>
          </w:tcPr>
          <w:p>
            <w:pPr>
              <w:ind w:left="120"/>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14,521</w:t>
            </w:r>
          </w:p>
        </w:tc>
        <w:tc>
          <w:tcPr>
            <w:tcW w:w="300" w:type="dxa"/>
            <w:vAlign w:val="bottom"/>
          </w:tcPr>
          <w:p>
            <w:pPr>
              <w:ind w:left="120"/>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1,856,154</w:t>
            </w:r>
          </w:p>
        </w:tc>
        <w:tc>
          <w:tcPr>
            <w:tcW w:w="0" w:type="dxa"/>
            <w:vAlign w:val="bottom"/>
          </w:tcPr>
          <w:p>
            <w:pPr>
              <w:spacing w:after="0"/>
              <w:rPr>
                <w:sz w:val="1"/>
                <w:szCs w:val="1"/>
                <w:color w:val="auto"/>
              </w:rPr>
            </w:pPr>
          </w:p>
        </w:tc>
      </w:tr>
      <w:tr>
        <w:trPr>
          <w:trHeight w:val="207"/>
        </w:trPr>
        <w:tc>
          <w:tcPr>
            <w:tcW w:w="3140" w:type="dxa"/>
            <w:vAlign w:val="bottom"/>
            <w:tcBorders>
              <w:bottom w:val="single" w:sz="8" w:color="auto"/>
            </w:tcBorders>
            <w:shd w:val="clear" w:color="auto" w:fill="D8D8D8"/>
          </w:tcPr>
          <w:p>
            <w:pPr>
              <w:spacing w:after="0"/>
              <w:rPr>
                <w:sz w:val="20"/>
                <w:szCs w:val="20"/>
                <w:color w:val="auto"/>
              </w:rPr>
            </w:pPr>
            <w:r>
              <w:rPr>
                <w:rFonts w:ascii="Arial" w:cs="Arial" w:eastAsia="Arial" w:hAnsi="Arial"/>
                <w:sz w:val="13"/>
                <w:szCs w:val="13"/>
                <w:b w:val="1"/>
                <w:bCs w:val="1"/>
                <w:color w:val="auto"/>
              </w:rPr>
              <w:t>General Counsel &amp; Secretary</w:t>
            </w:r>
          </w:p>
        </w:tc>
        <w:tc>
          <w:tcPr>
            <w:tcW w:w="560" w:type="dxa"/>
            <w:vAlign w:val="bottom"/>
            <w:tcBorders>
              <w:bottom w:val="single" w:sz="8" w:color="auto"/>
            </w:tcBorders>
          </w:tcPr>
          <w:p>
            <w:pPr>
              <w:ind w:left="240"/>
              <w:spacing w:after="0"/>
              <w:rPr>
                <w:sz w:val="20"/>
                <w:szCs w:val="20"/>
                <w:color w:val="auto"/>
              </w:rPr>
            </w:pPr>
            <w:r>
              <w:rPr>
                <w:rFonts w:ascii="Arial" w:cs="Arial" w:eastAsia="Arial" w:hAnsi="Arial"/>
                <w:sz w:val="13"/>
                <w:szCs w:val="13"/>
                <w:color w:val="auto"/>
              </w:rPr>
              <w:t>2021</w:t>
            </w:r>
          </w:p>
        </w:tc>
        <w:tc>
          <w:tcPr>
            <w:tcW w:w="380" w:type="dxa"/>
            <w:vAlign w:val="bottom"/>
            <w:tcBorders>
              <w:bottom w:val="single" w:sz="8" w:color="auto"/>
            </w:tcBorders>
          </w:tcPr>
          <w:p>
            <w:pPr>
              <w:ind w:left="220"/>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475,000</w:t>
            </w:r>
          </w:p>
        </w:tc>
        <w:tc>
          <w:tcPr>
            <w:tcW w:w="280" w:type="dxa"/>
            <w:vAlign w:val="bottom"/>
            <w:tcBorders>
              <w:bottom w:val="single" w:sz="8" w:color="auto"/>
            </w:tcBorders>
          </w:tcPr>
          <w:p>
            <w:pPr>
              <w:ind w:left="120"/>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75,000</w:t>
            </w:r>
          </w:p>
        </w:tc>
        <w:tc>
          <w:tcPr>
            <w:tcW w:w="220" w:type="dxa"/>
            <w:vAlign w:val="bottom"/>
            <w:tcBorders>
              <w:bottom w:val="single" w:sz="8" w:color="auto"/>
            </w:tcBorders>
          </w:tcPr>
          <w:p>
            <w:pPr>
              <w:ind w:left="120"/>
              <w:spacing w:after="0"/>
              <w:rPr>
                <w:sz w:val="20"/>
                <w:szCs w:val="20"/>
                <w:color w:val="auto"/>
              </w:rPr>
            </w:pPr>
            <w:r>
              <w:rPr>
                <w:rFonts w:ascii="Arial" w:cs="Arial" w:eastAsia="Arial" w:hAnsi="Arial"/>
                <w:sz w:val="13"/>
                <w:szCs w:val="13"/>
                <w:color w:val="auto"/>
              </w:rPr>
              <w:t>$</w:t>
            </w:r>
          </w:p>
        </w:tc>
        <w:tc>
          <w:tcPr>
            <w:tcW w:w="2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680,159</w:t>
            </w:r>
          </w:p>
        </w:tc>
        <w:tc>
          <w:tcPr>
            <w:tcW w:w="320" w:type="dxa"/>
            <w:vAlign w:val="bottom"/>
            <w:tcBorders>
              <w:bottom w:val="single" w:sz="8" w:color="auto"/>
            </w:tcBorders>
          </w:tcPr>
          <w:p>
            <w:pPr>
              <w:ind w:left="120"/>
              <w:spacing w:after="0"/>
              <w:rPr>
                <w:sz w:val="20"/>
                <w:szCs w:val="20"/>
                <w:color w:val="auto"/>
              </w:rPr>
            </w:pPr>
            <w:r>
              <w:rPr>
                <w:rFonts w:ascii="Arial" w:cs="Arial" w:eastAsia="Arial" w:hAnsi="Arial"/>
                <w:sz w:val="13"/>
                <w:szCs w:val="13"/>
                <w:color w:val="auto"/>
              </w:rPr>
              <w:t>$</w:t>
            </w:r>
          </w:p>
        </w:tc>
        <w:tc>
          <w:tcPr>
            <w:tcW w:w="12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333,984</w:t>
            </w:r>
          </w:p>
        </w:tc>
        <w:tc>
          <w:tcPr>
            <w:tcW w:w="340" w:type="dxa"/>
            <w:vAlign w:val="bottom"/>
            <w:tcBorders>
              <w:bottom w:val="single" w:sz="8" w:color="auto"/>
            </w:tcBorders>
          </w:tcPr>
          <w:p>
            <w:pPr>
              <w:ind w:left="120"/>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13,638</w:t>
            </w:r>
          </w:p>
        </w:tc>
        <w:tc>
          <w:tcPr>
            <w:tcW w:w="300" w:type="dxa"/>
            <w:vAlign w:val="bottom"/>
            <w:tcBorders>
              <w:bottom w:val="single" w:sz="8" w:color="auto"/>
            </w:tcBorders>
          </w:tcPr>
          <w:p>
            <w:pPr>
              <w:ind w:left="120"/>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1,577,781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84" w:lineRule="exact"/>
        <w:rPr>
          <w:sz w:val="20"/>
          <w:szCs w:val="20"/>
          <w:color w:val="auto"/>
        </w:rPr>
      </w:pPr>
    </w:p>
    <w:p>
      <w:pPr>
        <w:ind w:left="540" w:hanging="424"/>
        <w:spacing w:after="0"/>
        <w:tabs>
          <w:tab w:leader="none" w:pos="540" w:val="left"/>
        </w:tabs>
        <w:numPr>
          <w:ilvl w:val="0"/>
          <w:numId w:val="69"/>
        </w:numPr>
        <w:rPr>
          <w:rFonts w:ascii="Arial" w:cs="Arial" w:eastAsia="Arial" w:hAnsi="Arial"/>
          <w:sz w:val="24"/>
          <w:szCs w:val="24"/>
          <w:color w:val="auto"/>
          <w:vertAlign w:val="superscript"/>
        </w:rPr>
      </w:pPr>
      <w:r>
        <w:rPr>
          <w:rFonts w:ascii="Arial" w:cs="Arial" w:eastAsia="Arial" w:hAnsi="Arial"/>
          <w:sz w:val="16"/>
          <w:szCs w:val="16"/>
          <w:color w:val="auto"/>
        </w:rPr>
        <w:t>Amounts shown in the Salary column include all amounts deferred at the election of the NEOs into our non-qualified deferred compensation plan.</w:t>
      </w:r>
    </w:p>
    <w:p>
      <w:pPr>
        <w:ind w:left="540" w:hanging="424"/>
        <w:spacing w:after="0" w:line="187" w:lineRule="auto"/>
        <w:tabs>
          <w:tab w:leader="none" w:pos="540" w:val="left"/>
        </w:tabs>
        <w:numPr>
          <w:ilvl w:val="0"/>
          <w:numId w:val="69"/>
        </w:numPr>
        <w:rPr>
          <w:rFonts w:ascii="Arial" w:cs="Arial" w:eastAsia="Arial" w:hAnsi="Arial"/>
          <w:sz w:val="21"/>
          <w:szCs w:val="21"/>
          <w:color w:val="auto"/>
          <w:vertAlign w:val="superscript"/>
        </w:rPr>
      </w:pPr>
      <w:r>
        <w:rPr>
          <w:rFonts w:ascii="Arial" w:cs="Arial" w:eastAsia="Arial" w:hAnsi="Arial"/>
          <w:sz w:val="14"/>
          <w:szCs w:val="14"/>
          <w:color w:val="auto"/>
        </w:rPr>
        <w:t>Amounts represent a one-time cash bonus.</w:t>
      </w:r>
    </w:p>
    <w:p>
      <w:pPr>
        <w:jc w:val="both"/>
        <w:ind w:left="540" w:right="20" w:hanging="424"/>
        <w:spacing w:after="0" w:line="232" w:lineRule="auto"/>
        <w:tabs>
          <w:tab w:leader="none" w:pos="540" w:val="left"/>
        </w:tabs>
        <w:numPr>
          <w:ilvl w:val="0"/>
          <w:numId w:val="69"/>
        </w:numPr>
        <w:rPr>
          <w:rFonts w:ascii="Arial" w:cs="Arial" w:eastAsia="Arial" w:hAnsi="Arial"/>
          <w:sz w:val="24"/>
          <w:szCs w:val="24"/>
          <w:color w:val="auto"/>
          <w:vertAlign w:val="superscript"/>
        </w:rPr>
      </w:pPr>
      <w:r>
        <w:rPr>
          <w:rFonts w:ascii="Arial" w:cs="Arial" w:eastAsia="Arial" w:hAnsi="Arial"/>
          <w:sz w:val="16"/>
          <w:szCs w:val="16"/>
          <w:color w:val="auto"/>
        </w:rPr>
        <w:t>Amounts shown in this column reflect the aggregate grant date fair value of the awards calculated in accordance with FASB ASC Topic 718 that were issued in the year shown. With the exception of the performance based restricted share units issued to Mr. Berkes in 2021, all other awards in this column were valued based on the closing price of our shares on the grant date. The performance-based restricted share units issued to Mr. Berkes in February 2021 are tied to our total shareholder return versus the total shareholder return for the BBRESHOP over the performance period. These restricted share units were valued based on our data and that of the index using a Monte Carlo simulation method. The key assumptions used in the valuation were: (a) stock price volatility of 38.0% for the Company and 38.8% for the index; (b) risk-free interest rate of 0.31%; and (c) no dividend yield assumption given that the award includes dividend equivalent rights that are earned only if the underlying shares are earned. Based on the performance goals and these assumptions, the award was valued at $97.01 per share.</w:t>
      </w:r>
    </w:p>
    <w:p>
      <w:pPr>
        <w:ind w:left="540" w:right="20" w:hanging="424"/>
        <w:spacing w:after="0" w:line="197" w:lineRule="auto"/>
        <w:tabs>
          <w:tab w:leader="none" w:pos="540" w:val="left"/>
        </w:tabs>
        <w:numPr>
          <w:ilvl w:val="0"/>
          <w:numId w:val="69"/>
        </w:numPr>
        <w:rPr>
          <w:rFonts w:ascii="Arial" w:cs="Arial" w:eastAsia="Arial" w:hAnsi="Arial"/>
          <w:sz w:val="24"/>
          <w:szCs w:val="24"/>
          <w:color w:val="auto"/>
          <w:vertAlign w:val="superscript"/>
        </w:rPr>
      </w:pPr>
      <w:r>
        <w:rPr>
          <w:rFonts w:ascii="Arial" w:cs="Arial" w:eastAsia="Arial" w:hAnsi="Arial"/>
          <w:sz w:val="16"/>
          <w:szCs w:val="16"/>
          <w:color w:val="auto"/>
        </w:rPr>
        <w:t>Amounts shown in this column represent the cash amount paid under our annual bonus plan and include amounts deferred by our NEOs into our non-qualified deferred compensation plan.</w:t>
      </w:r>
    </w:p>
    <w:p>
      <w:pPr>
        <w:ind w:left="540" w:hanging="424"/>
        <w:spacing w:after="0" w:line="187" w:lineRule="auto"/>
        <w:tabs>
          <w:tab w:leader="none" w:pos="540" w:val="left"/>
        </w:tabs>
        <w:numPr>
          <w:ilvl w:val="0"/>
          <w:numId w:val="69"/>
        </w:numPr>
        <w:rPr>
          <w:rFonts w:ascii="Arial" w:cs="Arial" w:eastAsia="Arial" w:hAnsi="Arial"/>
          <w:sz w:val="21"/>
          <w:szCs w:val="21"/>
          <w:color w:val="auto"/>
          <w:vertAlign w:val="superscript"/>
        </w:rPr>
      </w:pPr>
      <w:r>
        <w:rPr>
          <w:rFonts w:ascii="Arial" w:cs="Arial" w:eastAsia="Arial" w:hAnsi="Arial"/>
          <w:sz w:val="14"/>
          <w:szCs w:val="14"/>
          <w:color w:val="auto"/>
        </w:rPr>
        <w:t>The amounts shown in this column for the most recent fiscal year include: (a) contributions to our 401(k) plan of $8,125 for each of our NEOs; and</w:t>
      </w:r>
    </w:p>
    <w:p>
      <w:pPr>
        <w:ind w:left="540" w:right="20"/>
        <w:spacing w:after="0" w:line="265" w:lineRule="auto"/>
        <w:rPr>
          <w:rFonts w:ascii="Arial" w:cs="Arial" w:eastAsia="Arial" w:hAnsi="Arial"/>
          <w:sz w:val="21"/>
          <w:szCs w:val="21"/>
          <w:color w:val="auto"/>
          <w:vertAlign w:val="superscript"/>
        </w:rPr>
      </w:pPr>
      <w:r>
        <w:rPr>
          <w:rFonts w:ascii="Arial" w:cs="Arial" w:eastAsia="Arial" w:hAnsi="Arial"/>
          <w:sz w:val="16"/>
          <w:szCs w:val="16"/>
          <w:color w:val="auto"/>
        </w:rPr>
        <w:t>(b) payments for various life, long-term disability and other medical related insurance of $24,880 for Mr. Wood, $10,779 for Mr. Berkes, $4,264 for Mr. Guglielmone and $9,519 for Ms. Becker.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74930</wp:posOffset>
            </wp:positionV>
            <wp:extent cx="7003415" cy="12001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003415" cy="120015"/>
                    </a:xfrm>
                    <a:prstGeom prst="rect">
                      <a:avLst/>
                    </a:prstGeom>
                    <a:noFill/>
                  </pic:spPr>
                </pic:pic>
              </a:graphicData>
            </a:graphic>
          </wp:anchor>
        </w:drawing>
      </w:r>
    </w:p>
    <w:p>
      <w:pPr>
        <w:spacing w:after="0" w:line="103" w:lineRule="exact"/>
        <w:rPr>
          <w:sz w:val="20"/>
          <w:szCs w:val="20"/>
          <w:color w:val="auto"/>
        </w:rPr>
      </w:pPr>
    </w:p>
    <w:p>
      <w:pPr>
        <w:ind w:left="8080"/>
        <w:spacing w:after="0"/>
        <w:rPr>
          <w:sz w:val="20"/>
          <w:szCs w:val="20"/>
          <w:color w:val="auto"/>
        </w:rPr>
      </w:pPr>
      <w:r>
        <w:rPr>
          <w:rFonts w:ascii="Arial" w:cs="Arial" w:eastAsia="Arial" w:hAnsi="Arial"/>
          <w:sz w:val="14"/>
          <w:szCs w:val="14"/>
          <w:color w:val="FF160F"/>
        </w:rPr>
        <w:t>Federal Realty</w:t>
      </w:r>
      <w:r>
        <w:rPr>
          <w:rFonts w:ascii="Arial" w:cs="Arial" w:eastAsia="Arial" w:hAnsi="Arial"/>
          <w:sz w:val="14"/>
          <w:szCs w:val="14"/>
          <w:color w:val="000000"/>
        </w:rPr>
        <w:t xml:space="preserve">      2024 Proxy Statement   31</w:t>
      </w:r>
    </w:p>
    <w:p>
      <w:pPr>
        <w:sectPr>
          <w:pgSz w:w="11900" w:h="16838" w:orient="portrait"/>
          <w:cols w:equalWidth="0" w:num="1">
            <w:col w:w="11140"/>
          </w:cols>
          <w:pgMar w:left="320" w:top="482" w:right="4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69" w:lineRule="exact"/>
        <w:rPr>
          <w:sz w:val="20"/>
          <w:szCs w:val="20"/>
          <w:color w:val="auto"/>
        </w:rPr>
      </w:pPr>
    </w:p>
    <w:p>
      <w:pPr>
        <w:ind w:left="120"/>
        <w:spacing w:after="0" w:line="207" w:lineRule="exact"/>
        <w:rPr>
          <w:sz w:val="20"/>
          <w:szCs w:val="20"/>
          <w:color w:val="auto"/>
        </w:rPr>
      </w:pPr>
      <w:r>
        <w:rPr>
          <w:rFonts w:ascii="MS PGothic" w:cs="MS PGothic" w:eastAsia="MS PGothic" w:hAnsi="MS PGothic"/>
          <w:sz w:val="18"/>
          <w:szCs w:val="18"/>
          <w:color w:val="FF160F"/>
        </w:rPr>
        <w:t>➣</w:t>
      </w:r>
      <w:r>
        <w:rPr>
          <w:rFonts w:ascii="Arial" w:cs="Arial" w:eastAsia="Arial" w:hAnsi="Arial"/>
          <w:sz w:val="18"/>
          <w:szCs w:val="18"/>
          <w:b w:val="1"/>
          <w:bCs w:val="1"/>
          <w:color w:val="auto"/>
        </w:rPr>
        <w:t xml:space="preserve">   GRANTS OF PLAN BASED AWARDS TABLE</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equity awards were made in 2023 to our NEOs.</w:t>
      </w:r>
    </w:p>
    <w:p>
      <w:pPr>
        <w:spacing w:after="0" w:line="257" w:lineRule="exact"/>
        <w:rPr>
          <w:sz w:val="20"/>
          <w:szCs w:val="20"/>
          <w:color w:val="auto"/>
        </w:rPr>
      </w:pPr>
    </w:p>
    <w:tbl>
      <w:tblPr>
        <w:tblLayout w:type="fixed"/>
        <w:tblInd w:w="120" w:type="dxa"/>
        <w:tblCellMar>
          <w:top w:w="0" w:type="dxa"/>
          <w:left w:w="0" w:type="dxa"/>
          <w:bottom w:w="0" w:type="dxa"/>
          <w:right w:w="0" w:type="dxa"/>
        </w:tblCellMar>
      </w:tblPr>
      <w:tr>
        <w:trPr>
          <w:trHeight w:val="220"/>
        </w:trPr>
        <w:tc>
          <w:tcPr>
            <w:tcW w:w="5320" w:type="dxa"/>
            <w:vAlign w:val="bottom"/>
            <w:shd w:val="clear" w:color="auto" w:fill="FF160F"/>
          </w:tcPr>
          <w:p>
            <w:pPr>
              <w:spacing w:after="0"/>
              <w:rPr>
                <w:sz w:val="19"/>
                <w:szCs w:val="19"/>
                <w:color w:val="auto"/>
              </w:rPr>
            </w:pPr>
          </w:p>
        </w:tc>
        <w:tc>
          <w:tcPr>
            <w:tcW w:w="1940" w:type="dxa"/>
            <w:vAlign w:val="bottom"/>
            <w:shd w:val="clear" w:color="auto" w:fill="FF160F"/>
          </w:tcPr>
          <w:p>
            <w:pPr>
              <w:spacing w:after="0"/>
              <w:rPr>
                <w:sz w:val="19"/>
                <w:szCs w:val="19"/>
                <w:color w:val="auto"/>
              </w:rPr>
            </w:pPr>
          </w:p>
        </w:tc>
        <w:tc>
          <w:tcPr>
            <w:tcW w:w="2460" w:type="dxa"/>
            <w:vAlign w:val="bottom"/>
            <w:shd w:val="clear" w:color="auto" w:fill="FF160F"/>
          </w:tcPr>
          <w:p>
            <w:pPr>
              <w:jc w:val="right"/>
              <w:ind w:right="328"/>
              <w:spacing w:after="0"/>
              <w:rPr>
                <w:sz w:val="20"/>
                <w:szCs w:val="20"/>
                <w:color w:val="auto"/>
              </w:rPr>
            </w:pPr>
            <w:r>
              <w:rPr>
                <w:rFonts w:ascii="Arial" w:cs="Arial" w:eastAsia="Arial" w:hAnsi="Arial"/>
                <w:sz w:val="14"/>
                <w:szCs w:val="14"/>
                <w:b w:val="1"/>
                <w:bCs w:val="1"/>
                <w:color w:val="EAEFED"/>
              </w:rPr>
              <w:t>All Other Stock Awards:</w:t>
            </w:r>
          </w:p>
        </w:tc>
        <w:tc>
          <w:tcPr>
            <w:tcW w:w="480" w:type="dxa"/>
            <w:vAlign w:val="bottom"/>
            <w:shd w:val="clear" w:color="auto" w:fill="FF160F"/>
          </w:tcPr>
          <w:p>
            <w:pPr>
              <w:spacing w:after="0"/>
              <w:rPr>
                <w:sz w:val="19"/>
                <w:szCs w:val="19"/>
                <w:color w:val="auto"/>
              </w:rPr>
            </w:pPr>
          </w:p>
        </w:tc>
        <w:tc>
          <w:tcPr>
            <w:tcW w:w="820" w:type="dxa"/>
            <w:vAlign w:val="bottom"/>
            <w:shd w:val="clear" w:color="auto" w:fill="FF160F"/>
          </w:tcPr>
          <w:p>
            <w:pPr>
              <w:spacing w:after="0"/>
              <w:rPr>
                <w:sz w:val="19"/>
                <w:szCs w:val="19"/>
                <w:color w:val="auto"/>
              </w:rPr>
            </w:pPr>
          </w:p>
        </w:tc>
      </w:tr>
      <w:tr>
        <w:trPr>
          <w:trHeight w:val="158"/>
        </w:trPr>
        <w:tc>
          <w:tcPr>
            <w:tcW w:w="5320" w:type="dxa"/>
            <w:vAlign w:val="bottom"/>
            <w:shd w:val="clear" w:color="auto" w:fill="FF160F"/>
          </w:tcPr>
          <w:p>
            <w:pPr>
              <w:spacing w:after="0"/>
              <w:rPr>
                <w:sz w:val="13"/>
                <w:szCs w:val="13"/>
                <w:color w:val="auto"/>
              </w:rPr>
            </w:pPr>
          </w:p>
        </w:tc>
        <w:tc>
          <w:tcPr>
            <w:tcW w:w="1940" w:type="dxa"/>
            <w:vAlign w:val="bottom"/>
            <w:shd w:val="clear" w:color="auto" w:fill="FF160F"/>
          </w:tcPr>
          <w:p>
            <w:pPr>
              <w:jc w:val="right"/>
              <w:ind w:right="610"/>
              <w:spacing w:after="0" w:line="158" w:lineRule="exact"/>
              <w:rPr>
                <w:sz w:val="20"/>
                <w:szCs w:val="20"/>
                <w:color w:val="auto"/>
              </w:rPr>
            </w:pPr>
            <w:r>
              <w:rPr>
                <w:rFonts w:ascii="Arial" w:cs="Arial" w:eastAsia="Arial" w:hAnsi="Arial"/>
                <w:sz w:val="14"/>
                <w:szCs w:val="14"/>
                <w:b w:val="1"/>
                <w:bCs w:val="1"/>
                <w:color w:val="EAEFED"/>
              </w:rPr>
              <w:t>Grant</w:t>
            </w:r>
          </w:p>
        </w:tc>
        <w:tc>
          <w:tcPr>
            <w:tcW w:w="2460" w:type="dxa"/>
            <w:vAlign w:val="bottom"/>
            <w:shd w:val="clear" w:color="auto" w:fill="FF160F"/>
          </w:tcPr>
          <w:p>
            <w:pPr>
              <w:jc w:val="right"/>
              <w:ind w:right="328"/>
              <w:spacing w:after="0" w:line="158" w:lineRule="exact"/>
              <w:rPr>
                <w:sz w:val="20"/>
                <w:szCs w:val="20"/>
                <w:color w:val="auto"/>
              </w:rPr>
            </w:pPr>
            <w:r>
              <w:rPr>
                <w:rFonts w:ascii="Arial" w:cs="Arial" w:eastAsia="Arial" w:hAnsi="Arial"/>
                <w:sz w:val="14"/>
                <w:szCs w:val="14"/>
                <w:b w:val="1"/>
                <w:bCs w:val="1"/>
                <w:color w:val="EAEFED"/>
              </w:rPr>
              <w:t>Number of Shares of</w:t>
            </w:r>
          </w:p>
        </w:tc>
        <w:tc>
          <w:tcPr>
            <w:tcW w:w="480" w:type="dxa"/>
            <w:vAlign w:val="bottom"/>
            <w:shd w:val="clear" w:color="auto" w:fill="FF160F"/>
          </w:tcPr>
          <w:p>
            <w:pPr>
              <w:spacing w:after="0"/>
              <w:rPr>
                <w:sz w:val="13"/>
                <w:szCs w:val="13"/>
                <w:color w:val="auto"/>
              </w:rPr>
            </w:pPr>
          </w:p>
        </w:tc>
        <w:tc>
          <w:tcPr>
            <w:tcW w:w="820" w:type="dxa"/>
            <w:vAlign w:val="bottom"/>
            <w:shd w:val="clear" w:color="auto" w:fill="FF160F"/>
          </w:tcPr>
          <w:p>
            <w:pPr>
              <w:jc w:val="right"/>
              <w:ind w:right="8"/>
              <w:spacing w:after="0" w:line="158" w:lineRule="exact"/>
              <w:rPr>
                <w:sz w:val="20"/>
                <w:szCs w:val="20"/>
                <w:color w:val="auto"/>
              </w:rPr>
            </w:pPr>
            <w:r>
              <w:rPr>
                <w:rFonts w:ascii="Arial" w:cs="Arial" w:eastAsia="Arial" w:hAnsi="Arial"/>
                <w:sz w:val="14"/>
                <w:szCs w:val="14"/>
                <w:b w:val="1"/>
                <w:bCs w:val="1"/>
                <w:color w:val="EAEFED"/>
              </w:rPr>
              <w:t>Grant Date</w:t>
            </w:r>
          </w:p>
        </w:tc>
      </w:tr>
      <w:tr>
        <w:trPr>
          <w:trHeight w:val="189"/>
        </w:trPr>
        <w:tc>
          <w:tcPr>
            <w:tcW w:w="5320" w:type="dxa"/>
            <w:vAlign w:val="bottom"/>
            <w:tcBorders>
              <w:bottom w:val="single" w:sz="8" w:color="auto"/>
            </w:tcBorders>
            <w:shd w:val="clear" w:color="auto" w:fill="FF160F"/>
          </w:tcPr>
          <w:p>
            <w:pPr>
              <w:spacing w:after="0"/>
              <w:rPr>
                <w:sz w:val="20"/>
                <w:szCs w:val="20"/>
                <w:color w:val="auto"/>
              </w:rPr>
            </w:pPr>
            <w:r>
              <w:rPr>
                <w:rFonts w:ascii="Arial" w:cs="Arial" w:eastAsia="Arial" w:hAnsi="Arial"/>
                <w:sz w:val="14"/>
                <w:szCs w:val="14"/>
                <w:b w:val="1"/>
                <w:bCs w:val="1"/>
                <w:color w:val="EAEFED"/>
              </w:rPr>
              <w:t>Name</w:t>
            </w:r>
          </w:p>
        </w:tc>
        <w:tc>
          <w:tcPr>
            <w:tcW w:w="1940" w:type="dxa"/>
            <w:vAlign w:val="bottom"/>
            <w:tcBorders>
              <w:bottom w:val="single" w:sz="8" w:color="auto"/>
            </w:tcBorders>
            <w:shd w:val="clear" w:color="auto" w:fill="FF160F"/>
          </w:tcPr>
          <w:p>
            <w:pPr>
              <w:jc w:val="right"/>
              <w:ind w:right="650"/>
              <w:spacing w:after="0"/>
              <w:rPr>
                <w:sz w:val="20"/>
                <w:szCs w:val="20"/>
                <w:color w:val="auto"/>
              </w:rPr>
            </w:pPr>
            <w:r>
              <w:rPr>
                <w:rFonts w:ascii="Arial" w:cs="Arial" w:eastAsia="Arial" w:hAnsi="Arial"/>
                <w:sz w:val="14"/>
                <w:szCs w:val="14"/>
                <w:b w:val="1"/>
                <w:bCs w:val="1"/>
                <w:color w:val="EAEFED"/>
              </w:rPr>
              <w:t>Date</w:t>
            </w:r>
          </w:p>
        </w:tc>
        <w:tc>
          <w:tcPr>
            <w:tcW w:w="2460" w:type="dxa"/>
            <w:vAlign w:val="bottom"/>
            <w:tcBorders>
              <w:bottom w:val="single" w:sz="8" w:color="auto"/>
            </w:tcBorders>
            <w:shd w:val="clear" w:color="auto" w:fill="FF160F"/>
          </w:tcPr>
          <w:p>
            <w:pPr>
              <w:jc w:val="right"/>
              <w:ind w:right="328"/>
              <w:spacing w:after="0" w:line="189" w:lineRule="exact"/>
              <w:rPr>
                <w:sz w:val="20"/>
                <w:szCs w:val="20"/>
                <w:color w:val="auto"/>
              </w:rPr>
            </w:pPr>
            <w:r>
              <w:rPr>
                <w:rFonts w:ascii="Arial" w:cs="Arial" w:eastAsia="Arial" w:hAnsi="Arial"/>
                <w:sz w:val="14"/>
                <w:szCs w:val="14"/>
                <w:b w:val="1"/>
                <w:bCs w:val="1"/>
                <w:color w:val="EAEFED"/>
              </w:rPr>
              <w:t>Stock or Units</w:t>
            </w:r>
            <w:r>
              <w:rPr>
                <w:rFonts w:ascii="Arial" w:cs="Arial" w:eastAsia="Arial" w:hAnsi="Arial"/>
                <w:sz w:val="21"/>
                <w:szCs w:val="21"/>
                <w:b w:val="1"/>
                <w:bCs w:val="1"/>
                <w:color w:val="EAEFED"/>
                <w:vertAlign w:val="superscript"/>
              </w:rPr>
              <w:t>(3)</w:t>
            </w:r>
          </w:p>
        </w:tc>
        <w:tc>
          <w:tcPr>
            <w:tcW w:w="1300" w:type="dxa"/>
            <w:vAlign w:val="bottom"/>
            <w:tcBorders>
              <w:bottom w:val="single" w:sz="8" w:color="auto"/>
            </w:tcBorders>
            <w:gridSpan w:val="2"/>
            <w:shd w:val="clear" w:color="auto" w:fill="FF160F"/>
          </w:tcPr>
          <w:p>
            <w:pPr>
              <w:ind w:left="420"/>
              <w:spacing w:after="0" w:line="189" w:lineRule="exact"/>
              <w:rPr>
                <w:sz w:val="20"/>
                <w:szCs w:val="20"/>
                <w:color w:val="auto"/>
              </w:rPr>
            </w:pPr>
            <w:r>
              <w:rPr>
                <w:rFonts w:ascii="Arial" w:cs="Arial" w:eastAsia="Arial" w:hAnsi="Arial"/>
                <w:sz w:val="14"/>
                <w:szCs w:val="14"/>
                <w:b w:val="1"/>
                <w:bCs w:val="1"/>
                <w:color w:val="EAEFED"/>
              </w:rPr>
              <w:t>Fair Value</w:t>
            </w:r>
            <w:r>
              <w:rPr>
                <w:rFonts w:ascii="Arial" w:cs="Arial" w:eastAsia="Arial" w:hAnsi="Arial"/>
                <w:sz w:val="21"/>
                <w:szCs w:val="21"/>
                <w:b w:val="1"/>
                <w:bCs w:val="1"/>
                <w:color w:val="EAEFED"/>
                <w:vertAlign w:val="superscript"/>
              </w:rPr>
              <w:t>(4)</w:t>
            </w:r>
            <w:r>
              <w:rPr>
                <w:rFonts w:ascii="Arial" w:cs="Arial" w:eastAsia="Arial" w:hAnsi="Arial"/>
                <w:sz w:val="14"/>
                <w:szCs w:val="14"/>
                <w:b w:val="1"/>
                <w:bCs w:val="1"/>
                <w:color w:val="EAEFED"/>
              </w:rPr>
              <w:t xml:space="preserve"> </w:t>
            </w:r>
          </w:p>
        </w:tc>
      </w:tr>
      <w:tr>
        <w:trPr>
          <w:trHeight w:val="183"/>
        </w:trPr>
        <w:tc>
          <w:tcPr>
            <w:tcW w:w="5320" w:type="dxa"/>
            <w:vAlign w:val="bottom"/>
            <w:shd w:val="clear" w:color="auto" w:fill="D8D8D8"/>
          </w:tcPr>
          <w:p>
            <w:pPr>
              <w:spacing w:after="0"/>
              <w:rPr>
                <w:sz w:val="20"/>
                <w:szCs w:val="20"/>
                <w:color w:val="auto"/>
              </w:rPr>
            </w:pPr>
            <w:r>
              <w:rPr>
                <w:rFonts w:ascii="Arial" w:cs="Arial" w:eastAsia="Arial" w:hAnsi="Arial"/>
                <w:sz w:val="14"/>
                <w:szCs w:val="14"/>
                <w:color w:val="auto"/>
              </w:rPr>
              <w:t>Donald C. Wood</w:t>
            </w:r>
          </w:p>
        </w:tc>
        <w:tc>
          <w:tcPr>
            <w:tcW w:w="1940" w:type="dxa"/>
            <w:vAlign w:val="bottom"/>
          </w:tcPr>
          <w:p>
            <w:pPr>
              <w:jc w:val="right"/>
              <w:ind w:right="330"/>
              <w:spacing w:after="0" w:line="183" w:lineRule="exact"/>
              <w:rPr>
                <w:sz w:val="20"/>
                <w:szCs w:val="20"/>
                <w:color w:val="auto"/>
              </w:rPr>
            </w:pPr>
            <w:r>
              <w:rPr>
                <w:rFonts w:ascii="Arial" w:cs="Arial" w:eastAsia="Arial" w:hAnsi="Arial"/>
                <w:sz w:val="14"/>
                <w:szCs w:val="14"/>
                <w:color w:val="auto"/>
              </w:rPr>
              <w:t xml:space="preserve">2/7/2023 </w:t>
            </w:r>
            <w:r>
              <w:rPr>
                <w:rFonts w:ascii="Arial" w:cs="Arial" w:eastAsia="Arial" w:hAnsi="Arial"/>
                <w:sz w:val="21"/>
                <w:szCs w:val="21"/>
                <w:color w:val="auto"/>
                <w:vertAlign w:val="superscript"/>
              </w:rPr>
              <w:t>(1)</w:t>
            </w:r>
          </w:p>
        </w:tc>
        <w:tc>
          <w:tcPr>
            <w:tcW w:w="2460" w:type="dxa"/>
            <w:vAlign w:val="bottom"/>
          </w:tcPr>
          <w:p>
            <w:pPr>
              <w:jc w:val="right"/>
              <w:ind w:right="328"/>
              <w:spacing w:after="0"/>
              <w:rPr>
                <w:sz w:val="20"/>
                <w:szCs w:val="20"/>
                <w:color w:val="auto"/>
              </w:rPr>
            </w:pPr>
            <w:r>
              <w:rPr>
                <w:rFonts w:ascii="Arial" w:cs="Arial" w:eastAsia="Arial" w:hAnsi="Arial"/>
                <w:sz w:val="14"/>
                <w:szCs w:val="14"/>
                <w:color w:val="auto"/>
              </w:rPr>
              <w:t>5,111</w:t>
            </w:r>
          </w:p>
        </w:tc>
        <w:tc>
          <w:tcPr>
            <w:tcW w:w="480" w:type="dxa"/>
            <w:vAlign w:val="bottom"/>
          </w:tcPr>
          <w:p>
            <w:pPr>
              <w:ind w:left="400"/>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562,517  </w:t>
            </w:r>
          </w:p>
        </w:tc>
      </w:tr>
      <w:tr>
        <w:trPr>
          <w:trHeight w:val="175"/>
        </w:trPr>
        <w:tc>
          <w:tcPr>
            <w:tcW w:w="5320" w:type="dxa"/>
            <w:vAlign w:val="bottom"/>
            <w:tcBorders>
              <w:bottom w:val="single" w:sz="8" w:color="auto"/>
            </w:tcBorders>
            <w:shd w:val="clear" w:color="auto" w:fill="D8D8D8"/>
          </w:tcPr>
          <w:p>
            <w:pPr>
              <w:spacing w:after="0"/>
              <w:rPr>
                <w:sz w:val="15"/>
                <w:szCs w:val="15"/>
                <w:color w:val="auto"/>
              </w:rPr>
            </w:pPr>
          </w:p>
        </w:tc>
        <w:tc>
          <w:tcPr>
            <w:tcW w:w="1940" w:type="dxa"/>
            <w:vAlign w:val="bottom"/>
            <w:tcBorders>
              <w:bottom w:val="single" w:sz="8" w:color="auto"/>
            </w:tcBorders>
          </w:tcPr>
          <w:p>
            <w:pPr>
              <w:jc w:val="right"/>
              <w:ind w:right="330"/>
              <w:spacing w:after="0" w:line="175" w:lineRule="exact"/>
              <w:rPr>
                <w:sz w:val="20"/>
                <w:szCs w:val="20"/>
                <w:color w:val="auto"/>
              </w:rPr>
            </w:pPr>
            <w:r>
              <w:rPr>
                <w:rFonts w:ascii="Arial" w:cs="Arial" w:eastAsia="Arial" w:hAnsi="Arial"/>
                <w:sz w:val="14"/>
                <w:szCs w:val="14"/>
                <w:color w:val="auto"/>
              </w:rPr>
              <w:t xml:space="preserve">2/7/2023 </w:t>
            </w:r>
            <w:r>
              <w:rPr>
                <w:rFonts w:ascii="Arial" w:cs="Arial" w:eastAsia="Arial" w:hAnsi="Arial"/>
                <w:sz w:val="20"/>
                <w:szCs w:val="20"/>
                <w:color w:val="auto"/>
                <w:vertAlign w:val="superscript"/>
              </w:rPr>
              <w:t>(2)</w:t>
            </w:r>
          </w:p>
        </w:tc>
        <w:tc>
          <w:tcPr>
            <w:tcW w:w="24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53,971</w:t>
            </w:r>
          </w:p>
        </w:tc>
        <w:tc>
          <w:tcPr>
            <w:tcW w:w="480" w:type="dxa"/>
            <w:vAlign w:val="bottom"/>
            <w:tcBorders>
              <w:bottom w:val="single" w:sz="8" w:color="auto"/>
            </w:tcBorders>
          </w:tcPr>
          <w:p>
            <w:pPr>
              <w:ind w:left="400"/>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9"/>
              </w:rPr>
              <w:t>  5,940,048  </w:t>
            </w:r>
          </w:p>
        </w:tc>
      </w:tr>
      <w:tr>
        <w:trPr>
          <w:trHeight w:val="183"/>
        </w:trPr>
        <w:tc>
          <w:tcPr>
            <w:tcW w:w="5320" w:type="dxa"/>
            <w:vAlign w:val="bottom"/>
            <w:shd w:val="clear" w:color="auto" w:fill="D8D8D8"/>
          </w:tcPr>
          <w:p>
            <w:pPr>
              <w:spacing w:after="0"/>
              <w:rPr>
                <w:sz w:val="20"/>
                <w:szCs w:val="20"/>
                <w:color w:val="auto"/>
              </w:rPr>
            </w:pPr>
            <w:r>
              <w:rPr>
                <w:rFonts w:ascii="Arial" w:cs="Arial" w:eastAsia="Arial" w:hAnsi="Arial"/>
                <w:sz w:val="14"/>
                <w:szCs w:val="14"/>
                <w:color w:val="auto"/>
              </w:rPr>
              <w:t>Jeffrey S. Berkes</w:t>
            </w:r>
          </w:p>
        </w:tc>
        <w:tc>
          <w:tcPr>
            <w:tcW w:w="1940" w:type="dxa"/>
            <w:vAlign w:val="bottom"/>
          </w:tcPr>
          <w:p>
            <w:pPr>
              <w:jc w:val="right"/>
              <w:ind w:right="330"/>
              <w:spacing w:after="0" w:line="183" w:lineRule="exact"/>
              <w:rPr>
                <w:sz w:val="20"/>
                <w:szCs w:val="20"/>
                <w:color w:val="auto"/>
              </w:rPr>
            </w:pPr>
            <w:r>
              <w:rPr>
                <w:rFonts w:ascii="Arial" w:cs="Arial" w:eastAsia="Arial" w:hAnsi="Arial"/>
                <w:sz w:val="14"/>
                <w:szCs w:val="14"/>
                <w:color w:val="auto"/>
              </w:rPr>
              <w:t xml:space="preserve">2/7/2023 </w:t>
            </w:r>
            <w:r>
              <w:rPr>
                <w:rFonts w:ascii="Arial" w:cs="Arial" w:eastAsia="Arial" w:hAnsi="Arial"/>
                <w:sz w:val="21"/>
                <w:szCs w:val="21"/>
                <w:color w:val="auto"/>
                <w:vertAlign w:val="superscript"/>
              </w:rPr>
              <w:t>(1)</w:t>
            </w:r>
          </w:p>
        </w:tc>
        <w:tc>
          <w:tcPr>
            <w:tcW w:w="2460" w:type="dxa"/>
            <w:vAlign w:val="bottom"/>
          </w:tcPr>
          <w:p>
            <w:pPr>
              <w:jc w:val="right"/>
              <w:ind w:right="328"/>
              <w:spacing w:after="0"/>
              <w:rPr>
                <w:sz w:val="20"/>
                <w:szCs w:val="20"/>
                <w:color w:val="auto"/>
              </w:rPr>
            </w:pPr>
            <w:r>
              <w:rPr>
                <w:rFonts w:ascii="Arial" w:cs="Arial" w:eastAsia="Arial" w:hAnsi="Arial"/>
                <w:sz w:val="14"/>
                <w:szCs w:val="14"/>
                <w:color w:val="auto"/>
              </w:rPr>
              <w:t>2,215</w:t>
            </w:r>
          </w:p>
        </w:tc>
        <w:tc>
          <w:tcPr>
            <w:tcW w:w="480" w:type="dxa"/>
            <w:vAlign w:val="bottom"/>
          </w:tcPr>
          <w:p>
            <w:pPr>
              <w:ind w:left="400"/>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243,783  </w:t>
            </w:r>
          </w:p>
        </w:tc>
      </w:tr>
      <w:tr>
        <w:trPr>
          <w:trHeight w:val="175"/>
        </w:trPr>
        <w:tc>
          <w:tcPr>
            <w:tcW w:w="5320" w:type="dxa"/>
            <w:vAlign w:val="bottom"/>
            <w:tcBorders>
              <w:bottom w:val="single" w:sz="8" w:color="auto"/>
            </w:tcBorders>
            <w:shd w:val="clear" w:color="auto" w:fill="D8D8D8"/>
          </w:tcPr>
          <w:p>
            <w:pPr>
              <w:spacing w:after="0"/>
              <w:rPr>
                <w:sz w:val="15"/>
                <w:szCs w:val="15"/>
                <w:color w:val="auto"/>
              </w:rPr>
            </w:pPr>
          </w:p>
        </w:tc>
        <w:tc>
          <w:tcPr>
            <w:tcW w:w="1940" w:type="dxa"/>
            <w:vAlign w:val="bottom"/>
            <w:tcBorders>
              <w:bottom w:val="single" w:sz="8" w:color="auto"/>
            </w:tcBorders>
          </w:tcPr>
          <w:p>
            <w:pPr>
              <w:jc w:val="right"/>
              <w:ind w:right="330"/>
              <w:spacing w:after="0" w:line="175" w:lineRule="exact"/>
              <w:rPr>
                <w:sz w:val="20"/>
                <w:szCs w:val="20"/>
                <w:color w:val="auto"/>
              </w:rPr>
            </w:pPr>
            <w:r>
              <w:rPr>
                <w:rFonts w:ascii="Arial" w:cs="Arial" w:eastAsia="Arial" w:hAnsi="Arial"/>
                <w:sz w:val="14"/>
                <w:szCs w:val="14"/>
                <w:color w:val="auto"/>
              </w:rPr>
              <w:t xml:space="preserve">2/7/2023 </w:t>
            </w:r>
            <w:r>
              <w:rPr>
                <w:rFonts w:ascii="Arial" w:cs="Arial" w:eastAsia="Arial" w:hAnsi="Arial"/>
                <w:sz w:val="20"/>
                <w:szCs w:val="20"/>
                <w:color w:val="auto"/>
                <w:vertAlign w:val="superscript"/>
              </w:rPr>
              <w:t>(2)</w:t>
            </w:r>
          </w:p>
        </w:tc>
        <w:tc>
          <w:tcPr>
            <w:tcW w:w="24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8,995</w:t>
            </w:r>
          </w:p>
        </w:tc>
        <w:tc>
          <w:tcPr>
            <w:tcW w:w="480" w:type="dxa"/>
            <w:vAlign w:val="bottom"/>
            <w:tcBorders>
              <w:bottom w:val="single" w:sz="8" w:color="auto"/>
            </w:tcBorders>
          </w:tcPr>
          <w:p>
            <w:pPr>
              <w:ind w:left="400"/>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989,990  </w:t>
            </w:r>
          </w:p>
        </w:tc>
      </w:tr>
      <w:tr>
        <w:trPr>
          <w:trHeight w:val="169"/>
        </w:trPr>
        <w:tc>
          <w:tcPr>
            <w:tcW w:w="5320" w:type="dxa"/>
            <w:vAlign w:val="bottom"/>
            <w:tcBorders>
              <w:bottom w:val="single" w:sz="8" w:color="auto"/>
            </w:tcBorders>
            <w:shd w:val="clear" w:color="auto" w:fill="D8D8D8"/>
          </w:tcPr>
          <w:p>
            <w:pPr>
              <w:spacing w:after="0"/>
              <w:rPr>
                <w:sz w:val="20"/>
                <w:szCs w:val="20"/>
                <w:color w:val="auto"/>
              </w:rPr>
            </w:pPr>
            <w:r>
              <w:rPr>
                <w:rFonts w:ascii="Arial" w:cs="Arial" w:eastAsia="Arial" w:hAnsi="Arial"/>
                <w:sz w:val="14"/>
                <w:szCs w:val="14"/>
                <w:color w:val="auto"/>
              </w:rPr>
              <w:t>Daniel Guglielmone</w:t>
            </w:r>
          </w:p>
        </w:tc>
        <w:tc>
          <w:tcPr>
            <w:tcW w:w="1940" w:type="dxa"/>
            <w:vAlign w:val="bottom"/>
            <w:tcBorders>
              <w:bottom w:val="single" w:sz="8" w:color="auto"/>
            </w:tcBorders>
          </w:tcPr>
          <w:p>
            <w:pPr>
              <w:jc w:val="right"/>
              <w:ind w:right="330"/>
              <w:spacing w:after="0" w:line="169" w:lineRule="exact"/>
              <w:rPr>
                <w:sz w:val="20"/>
                <w:szCs w:val="20"/>
                <w:color w:val="auto"/>
              </w:rPr>
            </w:pPr>
            <w:r>
              <w:rPr>
                <w:rFonts w:ascii="Arial" w:cs="Arial" w:eastAsia="Arial" w:hAnsi="Arial"/>
                <w:sz w:val="13"/>
                <w:szCs w:val="13"/>
                <w:color w:val="auto"/>
              </w:rPr>
              <w:t xml:space="preserve">2/7/2023 </w:t>
            </w:r>
            <w:r>
              <w:rPr>
                <w:rFonts w:ascii="Arial" w:cs="Arial" w:eastAsia="Arial" w:hAnsi="Arial"/>
                <w:sz w:val="19"/>
                <w:szCs w:val="19"/>
                <w:color w:val="auto"/>
                <w:vertAlign w:val="superscript"/>
              </w:rPr>
              <w:t>(2)</w:t>
            </w:r>
          </w:p>
        </w:tc>
        <w:tc>
          <w:tcPr>
            <w:tcW w:w="24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8,995</w:t>
            </w:r>
          </w:p>
        </w:tc>
        <w:tc>
          <w:tcPr>
            <w:tcW w:w="480" w:type="dxa"/>
            <w:vAlign w:val="bottom"/>
            <w:tcBorders>
              <w:bottom w:val="single" w:sz="8" w:color="auto"/>
            </w:tcBorders>
          </w:tcPr>
          <w:p>
            <w:pPr>
              <w:ind w:left="400"/>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989,990  </w:t>
            </w:r>
          </w:p>
        </w:tc>
      </w:tr>
      <w:tr>
        <w:trPr>
          <w:trHeight w:val="183"/>
        </w:trPr>
        <w:tc>
          <w:tcPr>
            <w:tcW w:w="5320" w:type="dxa"/>
            <w:vAlign w:val="bottom"/>
            <w:shd w:val="clear" w:color="auto" w:fill="D8D8D8"/>
          </w:tcPr>
          <w:p>
            <w:pPr>
              <w:spacing w:after="0"/>
              <w:rPr>
                <w:sz w:val="20"/>
                <w:szCs w:val="20"/>
                <w:color w:val="auto"/>
              </w:rPr>
            </w:pPr>
            <w:r>
              <w:rPr>
                <w:rFonts w:ascii="Arial" w:cs="Arial" w:eastAsia="Arial" w:hAnsi="Arial"/>
                <w:sz w:val="14"/>
                <w:szCs w:val="14"/>
                <w:color w:val="auto"/>
              </w:rPr>
              <w:t>Dawn M. Becker</w:t>
            </w:r>
          </w:p>
        </w:tc>
        <w:tc>
          <w:tcPr>
            <w:tcW w:w="1940" w:type="dxa"/>
            <w:vAlign w:val="bottom"/>
          </w:tcPr>
          <w:p>
            <w:pPr>
              <w:jc w:val="right"/>
              <w:ind w:right="330"/>
              <w:spacing w:after="0" w:line="183" w:lineRule="exact"/>
              <w:rPr>
                <w:sz w:val="20"/>
                <w:szCs w:val="20"/>
                <w:color w:val="auto"/>
              </w:rPr>
            </w:pPr>
            <w:r>
              <w:rPr>
                <w:rFonts w:ascii="Arial" w:cs="Arial" w:eastAsia="Arial" w:hAnsi="Arial"/>
                <w:sz w:val="14"/>
                <w:szCs w:val="14"/>
                <w:color w:val="auto"/>
              </w:rPr>
              <w:t xml:space="preserve">2/7/2023 </w:t>
            </w:r>
            <w:r>
              <w:rPr>
                <w:rFonts w:ascii="Arial" w:cs="Arial" w:eastAsia="Arial" w:hAnsi="Arial"/>
                <w:sz w:val="21"/>
                <w:szCs w:val="21"/>
                <w:color w:val="auto"/>
                <w:vertAlign w:val="superscript"/>
              </w:rPr>
              <w:t>(1)</w:t>
            </w:r>
          </w:p>
        </w:tc>
        <w:tc>
          <w:tcPr>
            <w:tcW w:w="2460" w:type="dxa"/>
            <w:vAlign w:val="bottom"/>
          </w:tcPr>
          <w:p>
            <w:pPr>
              <w:jc w:val="right"/>
              <w:ind w:right="328"/>
              <w:spacing w:after="0"/>
              <w:rPr>
                <w:sz w:val="20"/>
                <w:szCs w:val="20"/>
                <w:color w:val="auto"/>
              </w:rPr>
            </w:pPr>
            <w:r>
              <w:rPr>
                <w:rFonts w:ascii="Arial" w:cs="Arial" w:eastAsia="Arial" w:hAnsi="Arial"/>
                <w:sz w:val="14"/>
                <w:szCs w:val="14"/>
                <w:color w:val="auto"/>
              </w:rPr>
              <w:t>1,959</w:t>
            </w:r>
          </w:p>
        </w:tc>
        <w:tc>
          <w:tcPr>
            <w:tcW w:w="480" w:type="dxa"/>
            <w:vAlign w:val="bottom"/>
          </w:tcPr>
          <w:p>
            <w:pPr>
              <w:ind w:left="400"/>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215,608  </w:t>
            </w:r>
          </w:p>
        </w:tc>
      </w:tr>
      <w:tr>
        <w:trPr>
          <w:trHeight w:val="175"/>
        </w:trPr>
        <w:tc>
          <w:tcPr>
            <w:tcW w:w="5320" w:type="dxa"/>
            <w:vAlign w:val="bottom"/>
            <w:tcBorders>
              <w:bottom w:val="single" w:sz="8" w:color="auto"/>
            </w:tcBorders>
            <w:shd w:val="clear" w:color="auto" w:fill="D8D8D8"/>
          </w:tcPr>
          <w:p>
            <w:pPr>
              <w:spacing w:after="0"/>
              <w:rPr>
                <w:sz w:val="15"/>
                <w:szCs w:val="15"/>
                <w:color w:val="auto"/>
              </w:rPr>
            </w:pPr>
          </w:p>
        </w:tc>
        <w:tc>
          <w:tcPr>
            <w:tcW w:w="1940" w:type="dxa"/>
            <w:vAlign w:val="bottom"/>
            <w:tcBorders>
              <w:bottom w:val="single" w:sz="8" w:color="auto"/>
            </w:tcBorders>
          </w:tcPr>
          <w:p>
            <w:pPr>
              <w:jc w:val="right"/>
              <w:ind w:right="330"/>
              <w:spacing w:after="0" w:line="175" w:lineRule="exact"/>
              <w:rPr>
                <w:sz w:val="20"/>
                <w:szCs w:val="20"/>
                <w:color w:val="auto"/>
              </w:rPr>
            </w:pPr>
            <w:r>
              <w:rPr>
                <w:rFonts w:ascii="Arial" w:cs="Arial" w:eastAsia="Arial" w:hAnsi="Arial"/>
                <w:sz w:val="14"/>
                <w:szCs w:val="14"/>
                <w:color w:val="auto"/>
              </w:rPr>
              <w:t xml:space="preserve">2/7/2023 </w:t>
            </w:r>
            <w:r>
              <w:rPr>
                <w:rFonts w:ascii="Arial" w:cs="Arial" w:eastAsia="Arial" w:hAnsi="Arial"/>
                <w:sz w:val="20"/>
                <w:szCs w:val="20"/>
                <w:color w:val="auto"/>
                <w:vertAlign w:val="superscript"/>
              </w:rPr>
              <w:t>(2)</w:t>
            </w:r>
          </w:p>
        </w:tc>
        <w:tc>
          <w:tcPr>
            <w:tcW w:w="24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8,995</w:t>
            </w:r>
          </w:p>
        </w:tc>
        <w:tc>
          <w:tcPr>
            <w:tcW w:w="480" w:type="dxa"/>
            <w:vAlign w:val="bottom"/>
            <w:tcBorders>
              <w:bottom w:val="single" w:sz="8" w:color="auto"/>
            </w:tcBorders>
          </w:tcPr>
          <w:p>
            <w:pPr>
              <w:ind w:left="400"/>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989,990  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97" w:lineRule="exact"/>
        <w:rPr>
          <w:sz w:val="20"/>
          <w:szCs w:val="20"/>
          <w:color w:val="auto"/>
        </w:rPr>
      </w:pPr>
    </w:p>
    <w:p>
      <w:pPr>
        <w:ind w:left="540" w:hanging="424"/>
        <w:spacing w:after="0"/>
        <w:tabs>
          <w:tab w:leader="none" w:pos="540" w:val="left"/>
        </w:tabs>
        <w:numPr>
          <w:ilvl w:val="0"/>
          <w:numId w:val="70"/>
        </w:numPr>
        <w:rPr>
          <w:rFonts w:ascii="Arial" w:cs="Arial" w:eastAsia="Arial" w:hAnsi="Arial"/>
          <w:sz w:val="24"/>
          <w:szCs w:val="24"/>
          <w:color w:val="auto"/>
          <w:vertAlign w:val="superscript"/>
        </w:rPr>
      </w:pPr>
      <w:r>
        <w:rPr>
          <w:rFonts w:ascii="Arial" w:cs="Arial" w:eastAsia="Arial" w:hAnsi="Arial"/>
          <w:sz w:val="16"/>
          <w:szCs w:val="16"/>
          <w:color w:val="auto"/>
        </w:rPr>
        <w:t>Issued under our annual bonus plan for the 1-year performance period ending December 31, 2022. These shares vest equally over 3 years.</w:t>
      </w:r>
    </w:p>
    <w:p>
      <w:pPr>
        <w:ind w:left="540" w:right="20" w:hanging="424"/>
        <w:spacing w:after="0"/>
        <w:tabs>
          <w:tab w:leader="none" w:pos="540" w:val="left"/>
        </w:tabs>
        <w:numPr>
          <w:ilvl w:val="0"/>
          <w:numId w:val="70"/>
        </w:numPr>
        <w:rPr>
          <w:rFonts w:ascii="Arial" w:cs="Arial" w:eastAsia="Arial" w:hAnsi="Arial"/>
          <w:sz w:val="24"/>
          <w:szCs w:val="24"/>
          <w:color w:val="auto"/>
          <w:vertAlign w:val="superscript"/>
        </w:rPr>
      </w:pPr>
      <w:r>
        <w:rPr>
          <w:rFonts w:ascii="Arial" w:cs="Arial" w:eastAsia="Arial" w:hAnsi="Arial"/>
          <w:sz w:val="16"/>
          <w:szCs w:val="16"/>
          <w:color w:val="auto"/>
        </w:rPr>
        <w:t>Issued under our long-term incentive program for the 3-year performance period ending December 31, 2022. These shares vest equally over 3 years.</w:t>
      </w:r>
    </w:p>
    <w:p>
      <w:pPr>
        <w:spacing w:after="0" w:line="102" w:lineRule="exact"/>
        <w:rPr>
          <w:rFonts w:ascii="Arial" w:cs="Arial" w:eastAsia="Arial" w:hAnsi="Arial"/>
          <w:sz w:val="24"/>
          <w:szCs w:val="24"/>
          <w:color w:val="auto"/>
          <w:vertAlign w:val="superscript"/>
        </w:rPr>
      </w:pPr>
    </w:p>
    <w:p>
      <w:pPr>
        <w:ind w:left="540" w:right="20" w:hanging="424"/>
        <w:spacing w:after="0" w:line="197" w:lineRule="auto"/>
        <w:tabs>
          <w:tab w:leader="none" w:pos="540" w:val="left"/>
        </w:tabs>
        <w:numPr>
          <w:ilvl w:val="0"/>
          <w:numId w:val="70"/>
        </w:numPr>
        <w:rPr>
          <w:rFonts w:ascii="Arial" w:cs="Arial" w:eastAsia="Arial" w:hAnsi="Arial"/>
          <w:sz w:val="24"/>
          <w:szCs w:val="24"/>
          <w:color w:val="auto"/>
          <w:vertAlign w:val="superscript"/>
        </w:rPr>
      </w:pPr>
      <w:r>
        <w:rPr>
          <w:rFonts w:ascii="Arial" w:cs="Arial" w:eastAsia="Arial" w:hAnsi="Arial"/>
          <w:sz w:val="16"/>
          <w:szCs w:val="16"/>
          <w:color w:val="auto"/>
        </w:rPr>
        <w:t>Dividends are paid on these shares issued at the same rate and time as paid to all other holders of our shares as declared by our Board from time to time.</w:t>
      </w:r>
    </w:p>
    <w:p>
      <w:pPr>
        <w:ind w:left="540" w:hanging="424"/>
        <w:spacing w:after="0" w:line="180" w:lineRule="auto"/>
        <w:tabs>
          <w:tab w:leader="none" w:pos="540" w:val="left"/>
        </w:tabs>
        <w:numPr>
          <w:ilvl w:val="0"/>
          <w:numId w:val="70"/>
        </w:numPr>
        <w:rPr>
          <w:rFonts w:ascii="Arial" w:cs="Arial" w:eastAsia="Arial" w:hAnsi="Arial"/>
          <w:sz w:val="23"/>
          <w:szCs w:val="23"/>
          <w:color w:val="auto"/>
          <w:vertAlign w:val="superscript"/>
        </w:rPr>
      </w:pPr>
      <w:r>
        <w:rPr>
          <w:rFonts w:ascii="Arial" w:cs="Arial" w:eastAsia="Arial" w:hAnsi="Arial"/>
          <w:sz w:val="16"/>
          <w:szCs w:val="16"/>
          <w:color w:val="auto"/>
        </w:rPr>
        <w:t>Represents the grant date fair value of share awards as computed in accordance with FASB ASC Topic 718.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86995</wp:posOffset>
            </wp:positionV>
            <wp:extent cx="7003415" cy="12001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003415" cy="120015"/>
                    </a:xfrm>
                    <a:prstGeom prst="rect">
                      <a:avLst/>
                    </a:prstGeom>
                    <a:noFill/>
                  </pic:spPr>
                </pic:pic>
              </a:graphicData>
            </a:graphic>
          </wp:anchor>
        </w:drawing>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4"/>
          <w:szCs w:val="14"/>
          <w:color w:val="FF160F"/>
        </w:rPr>
        <w:t>Federal Realty</w:t>
      </w:r>
      <w:r>
        <w:rPr>
          <w:rFonts w:ascii="Arial" w:cs="Arial" w:eastAsia="Arial" w:hAnsi="Arial"/>
          <w:sz w:val="14"/>
          <w:szCs w:val="14"/>
          <w:color w:val="000000"/>
        </w:rPr>
        <w:t xml:space="preserve">      2024 Proxy Statement   32</w:t>
      </w:r>
    </w:p>
    <w:p>
      <w:pPr>
        <w:sectPr>
          <w:pgSz w:w="11900" w:h="16838" w:orient="portrait"/>
          <w:cols w:equalWidth="0" w:num="1">
            <w:col w:w="11140"/>
          </w:cols>
          <w:pgMar w:left="320" w:top="482" w:right="4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69" w:lineRule="exact"/>
        <w:rPr>
          <w:sz w:val="20"/>
          <w:szCs w:val="20"/>
          <w:color w:val="auto"/>
        </w:rPr>
      </w:pPr>
    </w:p>
    <w:p>
      <w:pPr>
        <w:ind w:left="120"/>
        <w:spacing w:after="0" w:line="207" w:lineRule="exact"/>
        <w:rPr>
          <w:sz w:val="20"/>
          <w:szCs w:val="20"/>
          <w:color w:val="auto"/>
        </w:rPr>
      </w:pPr>
      <w:r>
        <w:rPr>
          <w:rFonts w:ascii="MS PGothic" w:cs="MS PGothic" w:eastAsia="MS PGothic" w:hAnsi="MS PGothic"/>
          <w:sz w:val="18"/>
          <w:szCs w:val="18"/>
          <w:color w:val="FF160F"/>
        </w:rPr>
        <w:t>➣</w:t>
      </w:r>
      <w:r>
        <w:rPr>
          <w:rFonts w:ascii="Arial" w:cs="Arial" w:eastAsia="Arial" w:hAnsi="Arial"/>
          <w:sz w:val="18"/>
          <w:szCs w:val="18"/>
          <w:b w:val="1"/>
          <w:bCs w:val="1"/>
          <w:color w:val="auto"/>
        </w:rPr>
        <w:t xml:space="preserve">   OUTSTANDING EQUITY AWARDS AT FISCAL YEAR END TABLE</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sets forth information about outstanding equity awards held by our NEOs as of December 31, 2023:</w:t>
      </w:r>
    </w:p>
    <w:p>
      <w:pPr>
        <w:spacing w:after="0" w:line="257" w:lineRule="exact"/>
        <w:rPr>
          <w:sz w:val="20"/>
          <w:szCs w:val="20"/>
          <w:color w:val="auto"/>
        </w:rPr>
      </w:pPr>
    </w:p>
    <w:tbl>
      <w:tblPr>
        <w:tblLayout w:type="fixed"/>
        <w:tblInd w:w="120" w:type="dxa"/>
        <w:tblCellMar>
          <w:top w:w="0" w:type="dxa"/>
          <w:left w:w="0" w:type="dxa"/>
          <w:bottom w:w="0" w:type="dxa"/>
          <w:right w:w="0" w:type="dxa"/>
        </w:tblCellMar>
      </w:tblPr>
      <w:tr>
        <w:trPr>
          <w:trHeight w:val="254"/>
        </w:trPr>
        <w:tc>
          <w:tcPr>
            <w:tcW w:w="2620" w:type="dxa"/>
            <w:vAlign w:val="bottom"/>
            <w:shd w:val="clear" w:color="auto" w:fill="FF160F"/>
          </w:tcPr>
          <w:p>
            <w:pPr>
              <w:spacing w:after="0"/>
              <w:rPr>
                <w:sz w:val="22"/>
                <w:szCs w:val="22"/>
                <w:color w:val="auto"/>
              </w:rPr>
            </w:pPr>
          </w:p>
        </w:tc>
        <w:tc>
          <w:tcPr>
            <w:tcW w:w="1920" w:type="dxa"/>
            <w:vAlign w:val="bottom"/>
            <w:shd w:val="clear" w:color="auto" w:fill="FF160F"/>
          </w:tcPr>
          <w:p>
            <w:pPr>
              <w:spacing w:after="0"/>
              <w:rPr>
                <w:sz w:val="22"/>
                <w:szCs w:val="22"/>
                <w:color w:val="auto"/>
              </w:rPr>
            </w:pPr>
          </w:p>
        </w:tc>
        <w:tc>
          <w:tcPr>
            <w:tcW w:w="300" w:type="dxa"/>
            <w:vAlign w:val="bottom"/>
            <w:shd w:val="clear" w:color="auto" w:fill="FF160F"/>
          </w:tcPr>
          <w:p>
            <w:pPr>
              <w:spacing w:after="0"/>
              <w:rPr>
                <w:sz w:val="22"/>
                <w:szCs w:val="22"/>
                <w:color w:val="auto"/>
              </w:rPr>
            </w:pPr>
          </w:p>
        </w:tc>
        <w:tc>
          <w:tcPr>
            <w:tcW w:w="1820" w:type="dxa"/>
            <w:vAlign w:val="bottom"/>
            <w:shd w:val="clear" w:color="auto" w:fill="FF160F"/>
          </w:tcPr>
          <w:p>
            <w:pPr>
              <w:jc w:val="right"/>
              <w:ind w:right="708"/>
              <w:spacing w:after="0"/>
              <w:rPr>
                <w:sz w:val="20"/>
                <w:szCs w:val="20"/>
                <w:color w:val="auto"/>
              </w:rPr>
            </w:pPr>
            <w:r>
              <w:rPr>
                <w:rFonts w:ascii="Arial" w:cs="Arial" w:eastAsia="Arial" w:hAnsi="Arial"/>
                <w:sz w:val="14"/>
                <w:szCs w:val="14"/>
                <w:b w:val="1"/>
                <w:bCs w:val="1"/>
                <w:color w:val="EAEFED"/>
              </w:rPr>
              <w:t>Stock Awards</w:t>
            </w:r>
          </w:p>
        </w:tc>
        <w:tc>
          <w:tcPr>
            <w:tcW w:w="2280" w:type="dxa"/>
            <w:vAlign w:val="bottom"/>
            <w:shd w:val="clear" w:color="auto" w:fill="FF160F"/>
          </w:tcPr>
          <w:p>
            <w:pPr>
              <w:spacing w:after="0"/>
              <w:rPr>
                <w:sz w:val="22"/>
                <w:szCs w:val="22"/>
                <w:color w:val="auto"/>
              </w:rPr>
            </w:pPr>
          </w:p>
        </w:tc>
        <w:tc>
          <w:tcPr>
            <w:tcW w:w="220" w:type="dxa"/>
            <w:vAlign w:val="bottom"/>
            <w:shd w:val="clear" w:color="auto" w:fill="FF160F"/>
          </w:tcPr>
          <w:p>
            <w:pPr>
              <w:spacing w:after="0"/>
              <w:rPr>
                <w:sz w:val="22"/>
                <w:szCs w:val="22"/>
                <w:color w:val="auto"/>
              </w:rPr>
            </w:pPr>
          </w:p>
        </w:tc>
        <w:tc>
          <w:tcPr>
            <w:tcW w:w="1860" w:type="dxa"/>
            <w:vAlign w:val="bottom"/>
            <w:shd w:val="clear" w:color="auto" w:fill="FF160F"/>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2620" w:type="dxa"/>
            <w:vAlign w:val="bottom"/>
            <w:shd w:val="clear" w:color="auto" w:fill="FF160F"/>
          </w:tcPr>
          <w:p>
            <w:pPr>
              <w:spacing w:after="0"/>
              <w:rPr>
                <w:sz w:val="21"/>
                <w:szCs w:val="21"/>
                <w:color w:val="auto"/>
              </w:rPr>
            </w:pPr>
          </w:p>
        </w:tc>
        <w:tc>
          <w:tcPr>
            <w:tcW w:w="1920" w:type="dxa"/>
            <w:vAlign w:val="bottom"/>
            <w:shd w:val="clear" w:color="auto" w:fill="FF160F"/>
          </w:tcPr>
          <w:p>
            <w:pPr>
              <w:spacing w:after="0"/>
              <w:rPr>
                <w:sz w:val="21"/>
                <w:szCs w:val="21"/>
                <w:color w:val="auto"/>
              </w:rPr>
            </w:pPr>
          </w:p>
        </w:tc>
        <w:tc>
          <w:tcPr>
            <w:tcW w:w="300" w:type="dxa"/>
            <w:vAlign w:val="bottom"/>
            <w:shd w:val="clear" w:color="auto" w:fill="FF160F"/>
          </w:tcPr>
          <w:p>
            <w:pPr>
              <w:spacing w:after="0"/>
              <w:rPr>
                <w:sz w:val="21"/>
                <w:szCs w:val="21"/>
                <w:color w:val="auto"/>
              </w:rPr>
            </w:pPr>
          </w:p>
        </w:tc>
        <w:tc>
          <w:tcPr>
            <w:tcW w:w="1820" w:type="dxa"/>
            <w:vAlign w:val="bottom"/>
            <w:shd w:val="clear" w:color="auto" w:fill="FF160F"/>
          </w:tcPr>
          <w:p>
            <w:pPr>
              <w:spacing w:after="0"/>
              <w:rPr>
                <w:sz w:val="21"/>
                <w:szCs w:val="21"/>
                <w:color w:val="auto"/>
              </w:rPr>
            </w:pPr>
          </w:p>
        </w:tc>
        <w:tc>
          <w:tcPr>
            <w:tcW w:w="2280" w:type="dxa"/>
            <w:vAlign w:val="bottom"/>
            <w:shd w:val="clear" w:color="auto" w:fill="FF160F"/>
          </w:tcPr>
          <w:p>
            <w:pPr>
              <w:spacing w:after="0"/>
              <w:rPr>
                <w:sz w:val="21"/>
                <w:szCs w:val="21"/>
                <w:color w:val="auto"/>
              </w:rPr>
            </w:pPr>
          </w:p>
        </w:tc>
        <w:tc>
          <w:tcPr>
            <w:tcW w:w="220" w:type="dxa"/>
            <w:vAlign w:val="bottom"/>
            <w:shd w:val="clear" w:color="auto" w:fill="FF160F"/>
          </w:tcPr>
          <w:p>
            <w:pPr>
              <w:spacing w:after="0"/>
              <w:rPr>
                <w:sz w:val="21"/>
                <w:szCs w:val="21"/>
                <w:color w:val="auto"/>
              </w:rPr>
            </w:pPr>
          </w:p>
        </w:tc>
        <w:tc>
          <w:tcPr>
            <w:tcW w:w="1860" w:type="dxa"/>
            <w:vAlign w:val="bottom"/>
            <w:shd w:val="clear" w:color="auto" w:fill="FF160F"/>
          </w:tcPr>
          <w:p>
            <w:pPr>
              <w:jc w:val="center"/>
              <w:ind w:right="268"/>
              <w:spacing w:after="0"/>
              <w:rPr>
                <w:sz w:val="20"/>
                <w:szCs w:val="20"/>
                <w:color w:val="auto"/>
              </w:rPr>
            </w:pPr>
            <w:r>
              <w:rPr>
                <w:rFonts w:ascii="Arial" w:cs="Arial" w:eastAsia="Arial" w:hAnsi="Arial"/>
                <w:sz w:val="14"/>
                <w:szCs w:val="14"/>
                <w:b w:val="1"/>
                <w:bCs w:val="1"/>
                <w:color w:val="EAEFED"/>
              </w:rPr>
              <w:t>Equity incentive plan</w:t>
            </w:r>
          </w:p>
        </w:tc>
        <w:tc>
          <w:tcPr>
            <w:tcW w:w="0" w:type="dxa"/>
            <w:vAlign w:val="bottom"/>
          </w:tcPr>
          <w:p>
            <w:pPr>
              <w:spacing w:after="0"/>
              <w:rPr>
                <w:sz w:val="1"/>
                <w:szCs w:val="1"/>
                <w:color w:val="auto"/>
              </w:rPr>
            </w:pPr>
          </w:p>
        </w:tc>
      </w:tr>
      <w:tr>
        <w:trPr>
          <w:trHeight w:val="162"/>
        </w:trPr>
        <w:tc>
          <w:tcPr>
            <w:tcW w:w="2620" w:type="dxa"/>
            <w:vAlign w:val="bottom"/>
            <w:shd w:val="clear" w:color="auto" w:fill="FF160F"/>
          </w:tcPr>
          <w:p>
            <w:pPr>
              <w:spacing w:after="0"/>
              <w:rPr>
                <w:sz w:val="14"/>
                <w:szCs w:val="14"/>
                <w:color w:val="auto"/>
              </w:rPr>
            </w:pPr>
          </w:p>
        </w:tc>
        <w:tc>
          <w:tcPr>
            <w:tcW w:w="1920" w:type="dxa"/>
            <w:vAlign w:val="bottom"/>
            <w:shd w:val="clear" w:color="auto" w:fill="FF160F"/>
          </w:tcPr>
          <w:p>
            <w:pPr>
              <w:spacing w:after="0"/>
              <w:rPr>
                <w:sz w:val="14"/>
                <w:szCs w:val="14"/>
                <w:color w:val="auto"/>
              </w:rPr>
            </w:pPr>
          </w:p>
        </w:tc>
        <w:tc>
          <w:tcPr>
            <w:tcW w:w="300" w:type="dxa"/>
            <w:vAlign w:val="bottom"/>
            <w:shd w:val="clear" w:color="auto" w:fill="FF160F"/>
          </w:tcPr>
          <w:p>
            <w:pPr>
              <w:spacing w:after="0"/>
              <w:rPr>
                <w:sz w:val="14"/>
                <w:szCs w:val="14"/>
                <w:color w:val="auto"/>
              </w:rPr>
            </w:pPr>
          </w:p>
        </w:tc>
        <w:tc>
          <w:tcPr>
            <w:tcW w:w="1820" w:type="dxa"/>
            <w:vAlign w:val="bottom"/>
            <w:shd w:val="clear" w:color="auto" w:fill="FF160F"/>
          </w:tcPr>
          <w:p>
            <w:pPr>
              <w:spacing w:after="0"/>
              <w:rPr>
                <w:sz w:val="14"/>
                <w:szCs w:val="14"/>
                <w:color w:val="auto"/>
              </w:rPr>
            </w:pPr>
          </w:p>
        </w:tc>
        <w:tc>
          <w:tcPr>
            <w:tcW w:w="2280" w:type="dxa"/>
            <w:vAlign w:val="bottom"/>
            <w:shd w:val="clear" w:color="auto" w:fill="FF160F"/>
          </w:tcPr>
          <w:p>
            <w:pPr>
              <w:jc w:val="center"/>
              <w:ind w:left="8"/>
              <w:spacing w:after="0"/>
              <w:rPr>
                <w:sz w:val="20"/>
                <w:szCs w:val="20"/>
                <w:color w:val="auto"/>
              </w:rPr>
            </w:pPr>
            <w:r>
              <w:rPr>
                <w:rFonts w:ascii="Arial" w:cs="Arial" w:eastAsia="Arial" w:hAnsi="Arial"/>
                <w:sz w:val="14"/>
                <w:szCs w:val="14"/>
                <w:b w:val="1"/>
                <w:bCs w:val="1"/>
                <w:color w:val="EAEFED"/>
              </w:rPr>
              <w:t>Equity incentive plan awards:</w:t>
            </w:r>
          </w:p>
        </w:tc>
        <w:tc>
          <w:tcPr>
            <w:tcW w:w="2080" w:type="dxa"/>
            <w:vAlign w:val="bottom"/>
            <w:gridSpan w:val="2"/>
            <w:shd w:val="clear" w:color="auto" w:fill="FF160F"/>
          </w:tcPr>
          <w:p>
            <w:pPr>
              <w:jc w:val="center"/>
              <w:ind w:right="48"/>
              <w:spacing w:after="0"/>
              <w:rPr>
                <w:sz w:val="20"/>
                <w:szCs w:val="20"/>
                <w:color w:val="auto"/>
              </w:rPr>
            </w:pPr>
            <w:r>
              <w:rPr>
                <w:rFonts w:ascii="Arial" w:cs="Arial" w:eastAsia="Arial" w:hAnsi="Arial"/>
                <w:sz w:val="14"/>
                <w:szCs w:val="14"/>
                <w:b w:val="1"/>
                <w:bCs w:val="1"/>
                <w:color w:val="EAEFED"/>
              </w:rPr>
              <w:t>awards: market or payout</w:t>
            </w:r>
          </w:p>
        </w:tc>
        <w:tc>
          <w:tcPr>
            <w:tcW w:w="0" w:type="dxa"/>
            <w:vAlign w:val="bottom"/>
          </w:tcPr>
          <w:p>
            <w:pPr>
              <w:spacing w:after="0"/>
              <w:rPr>
                <w:sz w:val="1"/>
                <w:szCs w:val="1"/>
                <w:color w:val="auto"/>
              </w:rPr>
            </w:pPr>
          </w:p>
        </w:tc>
      </w:tr>
      <w:tr>
        <w:trPr>
          <w:trHeight w:val="162"/>
        </w:trPr>
        <w:tc>
          <w:tcPr>
            <w:tcW w:w="2620" w:type="dxa"/>
            <w:vAlign w:val="bottom"/>
            <w:shd w:val="clear" w:color="auto" w:fill="FF160F"/>
          </w:tcPr>
          <w:p>
            <w:pPr>
              <w:spacing w:after="0"/>
              <w:rPr>
                <w:sz w:val="14"/>
                <w:szCs w:val="14"/>
                <w:color w:val="auto"/>
              </w:rPr>
            </w:pPr>
          </w:p>
        </w:tc>
        <w:tc>
          <w:tcPr>
            <w:tcW w:w="1920" w:type="dxa"/>
            <w:vAlign w:val="bottom"/>
            <w:shd w:val="clear" w:color="auto" w:fill="FF160F"/>
          </w:tcPr>
          <w:p>
            <w:pPr>
              <w:jc w:val="right"/>
              <w:ind w:right="115"/>
              <w:spacing w:after="0"/>
              <w:rPr>
                <w:sz w:val="20"/>
                <w:szCs w:val="20"/>
                <w:color w:val="auto"/>
              </w:rPr>
            </w:pPr>
            <w:r>
              <w:rPr>
                <w:rFonts w:ascii="Arial" w:cs="Arial" w:eastAsia="Arial" w:hAnsi="Arial"/>
                <w:sz w:val="14"/>
                <w:szCs w:val="14"/>
                <w:b w:val="1"/>
                <w:bCs w:val="1"/>
                <w:color w:val="EAEFED"/>
              </w:rPr>
              <w:t>Number of Shares or</w:t>
            </w:r>
          </w:p>
        </w:tc>
        <w:tc>
          <w:tcPr>
            <w:tcW w:w="2120" w:type="dxa"/>
            <w:vAlign w:val="bottom"/>
            <w:gridSpan w:val="2"/>
            <w:shd w:val="clear" w:color="auto" w:fill="FF160F"/>
          </w:tcPr>
          <w:p>
            <w:pPr>
              <w:ind w:left="180"/>
              <w:spacing w:after="0"/>
              <w:rPr>
                <w:sz w:val="20"/>
                <w:szCs w:val="20"/>
                <w:color w:val="auto"/>
              </w:rPr>
            </w:pPr>
            <w:r>
              <w:rPr>
                <w:rFonts w:ascii="Arial" w:cs="Arial" w:eastAsia="Arial" w:hAnsi="Arial"/>
                <w:sz w:val="14"/>
                <w:szCs w:val="14"/>
                <w:b w:val="1"/>
                <w:bCs w:val="1"/>
                <w:color w:val="EAEFED"/>
              </w:rPr>
              <w:t>Market Value of Shares or</w:t>
            </w:r>
          </w:p>
        </w:tc>
        <w:tc>
          <w:tcPr>
            <w:tcW w:w="2280" w:type="dxa"/>
            <w:vAlign w:val="bottom"/>
            <w:shd w:val="clear" w:color="auto" w:fill="FF160F"/>
          </w:tcPr>
          <w:p>
            <w:pPr>
              <w:jc w:val="center"/>
              <w:ind w:left="8"/>
              <w:spacing w:after="0"/>
              <w:rPr>
                <w:sz w:val="20"/>
                <w:szCs w:val="20"/>
                <w:color w:val="auto"/>
              </w:rPr>
            </w:pPr>
            <w:r>
              <w:rPr>
                <w:rFonts w:ascii="Arial" w:cs="Arial" w:eastAsia="Arial" w:hAnsi="Arial"/>
                <w:sz w:val="14"/>
                <w:szCs w:val="14"/>
                <w:b w:val="1"/>
                <w:bCs w:val="1"/>
                <w:color w:val="EAEFED"/>
              </w:rPr>
              <w:t>number of unearned shares,</w:t>
            </w:r>
          </w:p>
        </w:tc>
        <w:tc>
          <w:tcPr>
            <w:tcW w:w="2080" w:type="dxa"/>
            <w:vAlign w:val="bottom"/>
            <w:gridSpan w:val="2"/>
            <w:shd w:val="clear" w:color="auto" w:fill="FF160F"/>
          </w:tcPr>
          <w:p>
            <w:pPr>
              <w:jc w:val="center"/>
              <w:ind w:right="48"/>
              <w:spacing w:after="0"/>
              <w:rPr>
                <w:sz w:val="20"/>
                <w:szCs w:val="20"/>
                <w:color w:val="auto"/>
              </w:rPr>
            </w:pPr>
            <w:r>
              <w:rPr>
                <w:rFonts w:ascii="Arial" w:cs="Arial" w:eastAsia="Arial" w:hAnsi="Arial"/>
                <w:sz w:val="14"/>
                <w:szCs w:val="14"/>
                <w:b w:val="1"/>
                <w:bCs w:val="1"/>
                <w:color w:val="EAEFED"/>
              </w:rPr>
              <w:t>value of unearned shares,</w:t>
            </w:r>
          </w:p>
        </w:tc>
        <w:tc>
          <w:tcPr>
            <w:tcW w:w="0" w:type="dxa"/>
            <w:vAlign w:val="bottom"/>
          </w:tcPr>
          <w:p>
            <w:pPr>
              <w:spacing w:after="0"/>
              <w:rPr>
                <w:sz w:val="1"/>
                <w:szCs w:val="1"/>
                <w:color w:val="auto"/>
              </w:rPr>
            </w:pPr>
          </w:p>
        </w:tc>
      </w:tr>
      <w:tr>
        <w:trPr>
          <w:trHeight w:val="158"/>
        </w:trPr>
        <w:tc>
          <w:tcPr>
            <w:tcW w:w="2620" w:type="dxa"/>
            <w:vAlign w:val="bottom"/>
            <w:shd w:val="clear" w:color="auto" w:fill="FF160F"/>
          </w:tcPr>
          <w:p>
            <w:pPr>
              <w:spacing w:after="0"/>
              <w:rPr>
                <w:sz w:val="13"/>
                <w:szCs w:val="13"/>
                <w:color w:val="auto"/>
              </w:rPr>
            </w:pPr>
          </w:p>
        </w:tc>
        <w:tc>
          <w:tcPr>
            <w:tcW w:w="1920" w:type="dxa"/>
            <w:vAlign w:val="bottom"/>
            <w:shd w:val="clear" w:color="auto" w:fill="FF160F"/>
          </w:tcPr>
          <w:p>
            <w:pPr>
              <w:jc w:val="right"/>
              <w:ind w:right="115"/>
              <w:spacing w:after="0" w:line="158" w:lineRule="exact"/>
              <w:rPr>
                <w:sz w:val="20"/>
                <w:szCs w:val="20"/>
                <w:color w:val="auto"/>
              </w:rPr>
            </w:pPr>
            <w:r>
              <w:rPr>
                <w:rFonts w:ascii="Arial" w:cs="Arial" w:eastAsia="Arial" w:hAnsi="Arial"/>
                <w:sz w:val="14"/>
                <w:szCs w:val="14"/>
                <w:b w:val="1"/>
                <w:bCs w:val="1"/>
                <w:color w:val="EAEFED"/>
              </w:rPr>
              <w:t>Units of Stock That</w:t>
            </w:r>
          </w:p>
        </w:tc>
        <w:tc>
          <w:tcPr>
            <w:tcW w:w="2120" w:type="dxa"/>
            <w:vAlign w:val="bottom"/>
            <w:gridSpan w:val="2"/>
            <w:shd w:val="clear" w:color="auto" w:fill="FF160F"/>
          </w:tcPr>
          <w:p>
            <w:pPr>
              <w:jc w:val="right"/>
              <w:ind w:right="108"/>
              <w:spacing w:after="0" w:line="158" w:lineRule="exact"/>
              <w:rPr>
                <w:sz w:val="20"/>
                <w:szCs w:val="20"/>
                <w:color w:val="auto"/>
              </w:rPr>
            </w:pPr>
            <w:r>
              <w:rPr>
                <w:rFonts w:ascii="Arial" w:cs="Arial" w:eastAsia="Arial" w:hAnsi="Arial"/>
                <w:sz w:val="14"/>
                <w:szCs w:val="14"/>
                <w:b w:val="1"/>
                <w:bCs w:val="1"/>
                <w:color w:val="EAEFED"/>
              </w:rPr>
              <w:t>Units of Stock That Have</w:t>
            </w:r>
          </w:p>
        </w:tc>
        <w:tc>
          <w:tcPr>
            <w:tcW w:w="2280" w:type="dxa"/>
            <w:vAlign w:val="bottom"/>
            <w:shd w:val="clear" w:color="auto" w:fill="FF160F"/>
          </w:tcPr>
          <w:p>
            <w:pPr>
              <w:jc w:val="center"/>
              <w:ind w:left="8"/>
              <w:spacing w:after="0" w:line="158" w:lineRule="exact"/>
              <w:rPr>
                <w:sz w:val="20"/>
                <w:szCs w:val="20"/>
                <w:color w:val="auto"/>
              </w:rPr>
            </w:pPr>
            <w:r>
              <w:rPr>
                <w:rFonts w:ascii="Arial" w:cs="Arial" w:eastAsia="Arial" w:hAnsi="Arial"/>
                <w:sz w:val="14"/>
                <w:szCs w:val="14"/>
                <w:b w:val="1"/>
                <w:bCs w:val="1"/>
                <w:color w:val="EAEFED"/>
              </w:rPr>
              <w:t>units or other rights that</w:t>
            </w:r>
          </w:p>
        </w:tc>
        <w:tc>
          <w:tcPr>
            <w:tcW w:w="2080" w:type="dxa"/>
            <w:vAlign w:val="bottom"/>
            <w:gridSpan w:val="2"/>
            <w:shd w:val="clear" w:color="auto" w:fill="FF160F"/>
          </w:tcPr>
          <w:p>
            <w:pPr>
              <w:jc w:val="center"/>
              <w:ind w:right="48"/>
              <w:spacing w:after="0" w:line="158" w:lineRule="exact"/>
              <w:rPr>
                <w:sz w:val="20"/>
                <w:szCs w:val="20"/>
                <w:color w:val="auto"/>
              </w:rPr>
            </w:pPr>
            <w:r>
              <w:rPr>
                <w:rFonts w:ascii="Arial" w:cs="Arial" w:eastAsia="Arial" w:hAnsi="Arial"/>
                <w:sz w:val="14"/>
                <w:szCs w:val="14"/>
                <w:b w:val="1"/>
                <w:bCs w:val="1"/>
                <w:color w:val="EAEFED"/>
              </w:rPr>
              <w:t>units or other rights that</w:t>
            </w:r>
          </w:p>
        </w:tc>
        <w:tc>
          <w:tcPr>
            <w:tcW w:w="0" w:type="dxa"/>
            <w:vAlign w:val="bottom"/>
          </w:tcPr>
          <w:p>
            <w:pPr>
              <w:spacing w:after="0"/>
              <w:rPr>
                <w:sz w:val="1"/>
                <w:szCs w:val="1"/>
                <w:color w:val="auto"/>
              </w:rPr>
            </w:pPr>
          </w:p>
        </w:tc>
      </w:tr>
      <w:tr>
        <w:trPr>
          <w:trHeight w:val="256"/>
        </w:trPr>
        <w:tc>
          <w:tcPr>
            <w:tcW w:w="2620" w:type="dxa"/>
            <w:vAlign w:val="bottom"/>
            <w:shd w:val="clear" w:color="auto" w:fill="FF160F"/>
          </w:tcPr>
          <w:p>
            <w:pPr>
              <w:spacing w:after="0"/>
              <w:rPr>
                <w:sz w:val="20"/>
                <w:szCs w:val="20"/>
                <w:color w:val="auto"/>
              </w:rPr>
            </w:pPr>
            <w:r>
              <w:rPr>
                <w:rFonts w:ascii="Arial" w:cs="Arial" w:eastAsia="Arial" w:hAnsi="Arial"/>
                <w:sz w:val="14"/>
                <w:szCs w:val="14"/>
                <w:b w:val="1"/>
                <w:bCs w:val="1"/>
                <w:color w:val="EAEFED"/>
              </w:rPr>
              <w:t>Name</w:t>
            </w:r>
          </w:p>
        </w:tc>
        <w:tc>
          <w:tcPr>
            <w:tcW w:w="1920" w:type="dxa"/>
            <w:vAlign w:val="bottom"/>
            <w:shd w:val="clear" w:color="auto" w:fill="FF160F"/>
          </w:tcPr>
          <w:p>
            <w:pPr>
              <w:jc w:val="right"/>
              <w:ind w:right="115"/>
              <w:spacing w:after="0"/>
              <w:rPr>
                <w:sz w:val="20"/>
                <w:szCs w:val="20"/>
                <w:color w:val="auto"/>
              </w:rPr>
            </w:pPr>
            <w:r>
              <w:rPr>
                <w:rFonts w:ascii="Arial" w:cs="Arial" w:eastAsia="Arial" w:hAnsi="Arial"/>
                <w:sz w:val="14"/>
                <w:szCs w:val="14"/>
                <w:b w:val="1"/>
                <w:bCs w:val="1"/>
                <w:color w:val="EAEFED"/>
              </w:rPr>
              <w:t>Have Not Vested</w:t>
            </w:r>
          </w:p>
        </w:tc>
        <w:tc>
          <w:tcPr>
            <w:tcW w:w="300" w:type="dxa"/>
            <w:vAlign w:val="bottom"/>
            <w:shd w:val="clear" w:color="auto" w:fill="FF160F"/>
          </w:tcPr>
          <w:p>
            <w:pPr>
              <w:spacing w:after="0"/>
              <w:rPr>
                <w:sz w:val="22"/>
                <w:szCs w:val="22"/>
                <w:color w:val="auto"/>
              </w:rPr>
            </w:pPr>
          </w:p>
        </w:tc>
        <w:tc>
          <w:tcPr>
            <w:tcW w:w="1820" w:type="dxa"/>
            <w:vAlign w:val="bottom"/>
            <w:shd w:val="clear" w:color="auto" w:fill="FF160F"/>
          </w:tcPr>
          <w:p>
            <w:pPr>
              <w:jc w:val="right"/>
              <w:ind w:right="108"/>
              <w:spacing w:after="0"/>
              <w:rPr>
                <w:sz w:val="20"/>
                <w:szCs w:val="20"/>
                <w:color w:val="auto"/>
              </w:rPr>
            </w:pPr>
            <w:r>
              <w:rPr>
                <w:rFonts w:ascii="Arial" w:cs="Arial" w:eastAsia="Arial" w:hAnsi="Arial"/>
                <w:sz w:val="14"/>
                <w:szCs w:val="14"/>
                <w:b w:val="1"/>
                <w:bCs w:val="1"/>
                <w:color w:val="EAEFED"/>
              </w:rPr>
              <w:t>Not Vested</w:t>
            </w:r>
            <w:r>
              <w:rPr>
                <w:rFonts w:ascii="Arial" w:cs="Arial" w:eastAsia="Arial" w:hAnsi="Arial"/>
                <w:sz w:val="21"/>
                <w:szCs w:val="21"/>
                <w:b w:val="1"/>
                <w:bCs w:val="1"/>
                <w:color w:val="EAEFED"/>
                <w:vertAlign w:val="superscript"/>
              </w:rPr>
              <w:t>(6)</w:t>
            </w:r>
          </w:p>
        </w:tc>
        <w:tc>
          <w:tcPr>
            <w:tcW w:w="2280" w:type="dxa"/>
            <w:vAlign w:val="bottom"/>
            <w:shd w:val="clear" w:color="auto" w:fill="FF160F"/>
          </w:tcPr>
          <w:p>
            <w:pPr>
              <w:jc w:val="center"/>
              <w:ind w:left="8"/>
              <w:spacing w:after="0"/>
              <w:rPr>
                <w:sz w:val="20"/>
                <w:szCs w:val="20"/>
                <w:color w:val="auto"/>
              </w:rPr>
            </w:pPr>
            <w:r>
              <w:rPr>
                <w:rFonts w:ascii="Arial" w:cs="Arial" w:eastAsia="Arial" w:hAnsi="Arial"/>
                <w:sz w:val="14"/>
                <w:szCs w:val="14"/>
                <w:b w:val="1"/>
                <w:bCs w:val="1"/>
                <w:color w:val="EAEFED"/>
              </w:rPr>
              <w:t>have not vested</w:t>
            </w:r>
          </w:p>
        </w:tc>
        <w:tc>
          <w:tcPr>
            <w:tcW w:w="220" w:type="dxa"/>
            <w:vAlign w:val="bottom"/>
            <w:shd w:val="clear" w:color="auto" w:fill="FF160F"/>
          </w:tcPr>
          <w:p>
            <w:pPr>
              <w:spacing w:after="0"/>
              <w:rPr>
                <w:sz w:val="22"/>
                <w:szCs w:val="22"/>
                <w:color w:val="auto"/>
              </w:rPr>
            </w:pPr>
          </w:p>
        </w:tc>
        <w:tc>
          <w:tcPr>
            <w:tcW w:w="1860" w:type="dxa"/>
            <w:vAlign w:val="bottom"/>
            <w:shd w:val="clear" w:color="auto" w:fill="FF160F"/>
          </w:tcPr>
          <w:p>
            <w:pPr>
              <w:jc w:val="center"/>
              <w:ind w:right="288"/>
              <w:spacing w:after="0"/>
              <w:rPr>
                <w:sz w:val="20"/>
                <w:szCs w:val="20"/>
                <w:color w:val="auto"/>
              </w:rPr>
            </w:pPr>
            <w:r>
              <w:rPr>
                <w:rFonts w:ascii="Arial" w:cs="Arial" w:eastAsia="Arial" w:hAnsi="Arial"/>
                <w:sz w:val="14"/>
                <w:szCs w:val="14"/>
                <w:b w:val="1"/>
                <w:bCs w:val="1"/>
                <w:color w:val="EAEFED"/>
                <w:w w:val="99"/>
              </w:rPr>
              <w:t>have not vested</w:t>
            </w:r>
            <w:r>
              <w:rPr>
                <w:rFonts w:ascii="Arial" w:cs="Arial" w:eastAsia="Arial" w:hAnsi="Arial"/>
                <w:sz w:val="21"/>
                <w:szCs w:val="21"/>
                <w:b w:val="1"/>
                <w:bCs w:val="1"/>
                <w:color w:val="EAEFED"/>
                <w:w w:val="99"/>
                <w:vertAlign w:val="superscript"/>
              </w:rPr>
              <w:t>(6)</w:t>
            </w:r>
          </w:p>
        </w:tc>
        <w:tc>
          <w:tcPr>
            <w:tcW w:w="0" w:type="dxa"/>
            <w:vAlign w:val="bottom"/>
          </w:tcPr>
          <w:p>
            <w:pPr>
              <w:spacing w:after="0"/>
              <w:rPr>
                <w:sz w:val="1"/>
                <w:szCs w:val="1"/>
                <w:color w:val="auto"/>
              </w:rPr>
            </w:pPr>
          </w:p>
        </w:tc>
      </w:tr>
      <w:tr>
        <w:trPr>
          <w:trHeight w:val="176"/>
        </w:trPr>
        <w:tc>
          <w:tcPr>
            <w:tcW w:w="2620" w:type="dxa"/>
            <w:vAlign w:val="bottom"/>
            <w:shd w:val="clear" w:color="auto" w:fill="D8D8D8"/>
          </w:tcPr>
          <w:p>
            <w:pPr>
              <w:spacing w:after="0"/>
              <w:rPr>
                <w:sz w:val="20"/>
                <w:szCs w:val="20"/>
                <w:color w:val="auto"/>
              </w:rPr>
            </w:pPr>
            <w:r>
              <w:rPr>
                <w:rFonts w:ascii="Arial" w:cs="Arial" w:eastAsia="Arial" w:hAnsi="Arial"/>
                <w:sz w:val="14"/>
                <w:szCs w:val="14"/>
                <w:color w:val="auto"/>
              </w:rPr>
              <w:t>Donald C. Wood</w:t>
            </w:r>
          </w:p>
        </w:tc>
        <w:tc>
          <w:tcPr>
            <w:tcW w:w="1920" w:type="dxa"/>
            <w:vAlign w:val="bottom"/>
          </w:tcPr>
          <w:p>
            <w:pPr>
              <w:jc w:val="right"/>
              <w:ind w:right="115"/>
              <w:spacing w:after="0" w:line="176" w:lineRule="exact"/>
              <w:rPr>
                <w:sz w:val="20"/>
                <w:szCs w:val="20"/>
                <w:color w:val="auto"/>
              </w:rPr>
            </w:pPr>
            <w:r>
              <w:rPr>
                <w:rFonts w:ascii="Arial" w:cs="Arial" w:eastAsia="Arial" w:hAnsi="Arial"/>
                <w:sz w:val="14"/>
                <w:szCs w:val="14"/>
                <w:color w:val="auto"/>
              </w:rPr>
              <w:t xml:space="preserve">5,111  </w:t>
            </w:r>
            <w:r>
              <w:rPr>
                <w:rFonts w:ascii="Arial" w:cs="Arial" w:eastAsia="Arial" w:hAnsi="Arial"/>
                <w:sz w:val="20"/>
                <w:szCs w:val="20"/>
                <w:color w:val="auto"/>
                <w:vertAlign w:val="superscript"/>
              </w:rPr>
              <w:t>(1)</w:t>
            </w:r>
          </w:p>
        </w:tc>
        <w:tc>
          <w:tcPr>
            <w:tcW w:w="300" w:type="dxa"/>
            <w:vAlign w:val="bottom"/>
          </w:tcPr>
          <w:p>
            <w:pPr>
              <w:ind w:left="160"/>
              <w:spacing w:after="0"/>
              <w:rPr>
                <w:sz w:val="20"/>
                <w:szCs w:val="20"/>
                <w:color w:val="auto"/>
              </w:rPr>
            </w:pPr>
            <w:r>
              <w:rPr>
                <w:rFonts w:ascii="Arial" w:cs="Arial" w:eastAsia="Arial" w:hAnsi="Arial"/>
                <w:sz w:val="14"/>
                <w:szCs w:val="14"/>
                <w:color w:val="auto"/>
              </w:rPr>
              <w:t>$</w:t>
            </w:r>
          </w:p>
        </w:tc>
        <w:tc>
          <w:tcPr>
            <w:tcW w:w="1820" w:type="dxa"/>
            <w:vAlign w:val="bottom"/>
          </w:tcPr>
          <w:p>
            <w:pPr>
              <w:jc w:val="right"/>
              <w:ind w:right="108"/>
              <w:spacing w:after="0"/>
              <w:rPr>
                <w:sz w:val="20"/>
                <w:szCs w:val="20"/>
                <w:color w:val="auto"/>
              </w:rPr>
            </w:pPr>
            <w:r>
              <w:rPr>
                <w:rFonts w:ascii="Arial" w:cs="Arial" w:eastAsia="Arial" w:hAnsi="Arial"/>
                <w:sz w:val="14"/>
                <w:szCs w:val="14"/>
                <w:color w:val="auto"/>
              </w:rPr>
              <w:t>526,689</w:t>
            </w:r>
          </w:p>
        </w:tc>
        <w:tc>
          <w:tcPr>
            <w:tcW w:w="2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620" w:type="dxa"/>
            <w:vAlign w:val="bottom"/>
            <w:shd w:val="clear" w:color="auto" w:fill="D8D8D8"/>
          </w:tcPr>
          <w:p>
            <w:pPr>
              <w:spacing w:after="0"/>
              <w:rPr>
                <w:sz w:val="14"/>
                <w:szCs w:val="14"/>
                <w:color w:val="auto"/>
              </w:rPr>
            </w:pPr>
          </w:p>
        </w:tc>
        <w:tc>
          <w:tcPr>
            <w:tcW w:w="1920" w:type="dxa"/>
            <w:vAlign w:val="bottom"/>
          </w:tcPr>
          <w:p>
            <w:pPr>
              <w:jc w:val="right"/>
              <w:ind w:right="115"/>
              <w:spacing w:after="0" w:line="162" w:lineRule="exact"/>
              <w:rPr>
                <w:sz w:val="20"/>
                <w:szCs w:val="20"/>
                <w:color w:val="auto"/>
              </w:rPr>
            </w:pPr>
            <w:r>
              <w:rPr>
                <w:rFonts w:ascii="Arial" w:cs="Arial" w:eastAsia="Arial" w:hAnsi="Arial"/>
                <w:sz w:val="13"/>
                <w:szCs w:val="13"/>
                <w:color w:val="auto"/>
              </w:rPr>
              <w:t xml:space="preserve">53,971  </w:t>
            </w:r>
            <w:r>
              <w:rPr>
                <w:rFonts w:ascii="Arial" w:cs="Arial" w:eastAsia="Arial" w:hAnsi="Arial"/>
                <w:sz w:val="18"/>
                <w:szCs w:val="18"/>
                <w:color w:val="auto"/>
                <w:vertAlign w:val="superscript"/>
              </w:rPr>
              <w:t>(1)</w:t>
            </w:r>
          </w:p>
        </w:tc>
        <w:tc>
          <w:tcPr>
            <w:tcW w:w="300" w:type="dxa"/>
            <w:vAlign w:val="bottom"/>
          </w:tcPr>
          <w:p>
            <w:pPr>
              <w:ind w:left="160"/>
              <w:spacing w:after="0"/>
              <w:rPr>
                <w:sz w:val="20"/>
                <w:szCs w:val="20"/>
                <w:color w:val="auto"/>
              </w:rPr>
            </w:pPr>
            <w:r>
              <w:rPr>
                <w:rFonts w:ascii="Arial" w:cs="Arial" w:eastAsia="Arial" w:hAnsi="Arial"/>
                <w:sz w:val="14"/>
                <w:szCs w:val="14"/>
                <w:color w:val="auto"/>
              </w:rPr>
              <w:t>$</w:t>
            </w:r>
          </w:p>
        </w:tc>
        <w:tc>
          <w:tcPr>
            <w:tcW w:w="1820" w:type="dxa"/>
            <w:vAlign w:val="bottom"/>
          </w:tcPr>
          <w:p>
            <w:pPr>
              <w:jc w:val="right"/>
              <w:ind w:right="108"/>
              <w:spacing w:after="0"/>
              <w:rPr>
                <w:sz w:val="20"/>
                <w:szCs w:val="20"/>
                <w:color w:val="auto"/>
              </w:rPr>
            </w:pPr>
            <w:r>
              <w:rPr>
                <w:rFonts w:ascii="Arial" w:cs="Arial" w:eastAsia="Arial" w:hAnsi="Arial"/>
                <w:sz w:val="14"/>
                <w:szCs w:val="14"/>
                <w:color w:val="auto"/>
              </w:rPr>
              <w:t>5,561,712</w:t>
            </w:r>
          </w:p>
        </w:tc>
        <w:tc>
          <w:tcPr>
            <w:tcW w:w="2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20" w:type="dxa"/>
            <w:vAlign w:val="bottom"/>
            <w:shd w:val="clear" w:color="auto" w:fill="D8D8D8"/>
          </w:tcPr>
          <w:p>
            <w:pPr>
              <w:spacing w:after="0"/>
              <w:rPr>
                <w:sz w:val="14"/>
                <w:szCs w:val="14"/>
                <w:color w:val="auto"/>
              </w:rPr>
            </w:pPr>
          </w:p>
        </w:tc>
        <w:tc>
          <w:tcPr>
            <w:tcW w:w="1920" w:type="dxa"/>
            <w:vAlign w:val="bottom"/>
          </w:tcPr>
          <w:p>
            <w:pPr>
              <w:jc w:val="right"/>
              <w:ind w:right="115"/>
              <w:spacing w:after="0" w:line="162" w:lineRule="exact"/>
              <w:rPr>
                <w:sz w:val="20"/>
                <w:szCs w:val="20"/>
                <w:color w:val="auto"/>
              </w:rPr>
            </w:pPr>
            <w:r>
              <w:rPr>
                <w:rFonts w:ascii="Arial" w:cs="Arial" w:eastAsia="Arial" w:hAnsi="Arial"/>
                <w:sz w:val="13"/>
                <w:szCs w:val="13"/>
                <w:color w:val="auto"/>
              </w:rPr>
              <w:t xml:space="preserve">2,817  </w:t>
            </w:r>
            <w:r>
              <w:rPr>
                <w:rFonts w:ascii="Arial" w:cs="Arial" w:eastAsia="Arial" w:hAnsi="Arial"/>
                <w:sz w:val="18"/>
                <w:szCs w:val="18"/>
                <w:color w:val="auto"/>
                <w:vertAlign w:val="superscript"/>
              </w:rPr>
              <w:t>(2)</w:t>
            </w:r>
          </w:p>
        </w:tc>
        <w:tc>
          <w:tcPr>
            <w:tcW w:w="300" w:type="dxa"/>
            <w:vAlign w:val="bottom"/>
          </w:tcPr>
          <w:p>
            <w:pPr>
              <w:ind w:left="160"/>
              <w:spacing w:after="0"/>
              <w:rPr>
                <w:sz w:val="20"/>
                <w:szCs w:val="20"/>
                <w:color w:val="auto"/>
              </w:rPr>
            </w:pPr>
            <w:r>
              <w:rPr>
                <w:rFonts w:ascii="Arial" w:cs="Arial" w:eastAsia="Arial" w:hAnsi="Arial"/>
                <w:sz w:val="14"/>
                <w:szCs w:val="14"/>
                <w:color w:val="auto"/>
              </w:rPr>
              <w:t>$</w:t>
            </w:r>
          </w:p>
        </w:tc>
        <w:tc>
          <w:tcPr>
            <w:tcW w:w="1820" w:type="dxa"/>
            <w:vAlign w:val="bottom"/>
          </w:tcPr>
          <w:p>
            <w:pPr>
              <w:jc w:val="right"/>
              <w:ind w:right="108"/>
              <w:spacing w:after="0"/>
              <w:rPr>
                <w:sz w:val="20"/>
                <w:szCs w:val="20"/>
                <w:color w:val="auto"/>
              </w:rPr>
            </w:pPr>
            <w:r>
              <w:rPr>
                <w:rFonts w:ascii="Arial" w:cs="Arial" w:eastAsia="Arial" w:hAnsi="Arial"/>
                <w:sz w:val="14"/>
                <w:szCs w:val="14"/>
                <w:color w:val="auto"/>
              </w:rPr>
              <w:t>290,292</w:t>
            </w:r>
          </w:p>
        </w:tc>
        <w:tc>
          <w:tcPr>
            <w:tcW w:w="2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20" w:type="dxa"/>
            <w:vAlign w:val="bottom"/>
            <w:shd w:val="clear" w:color="auto" w:fill="D8D8D8"/>
          </w:tcPr>
          <w:p>
            <w:pPr>
              <w:spacing w:after="0"/>
              <w:rPr>
                <w:sz w:val="14"/>
                <w:szCs w:val="14"/>
                <w:color w:val="auto"/>
              </w:rPr>
            </w:pPr>
          </w:p>
        </w:tc>
        <w:tc>
          <w:tcPr>
            <w:tcW w:w="1920" w:type="dxa"/>
            <w:vAlign w:val="bottom"/>
          </w:tcPr>
          <w:p>
            <w:pPr>
              <w:jc w:val="right"/>
              <w:ind w:right="115"/>
              <w:spacing w:after="0" w:line="162" w:lineRule="exact"/>
              <w:rPr>
                <w:sz w:val="20"/>
                <w:szCs w:val="20"/>
                <w:color w:val="auto"/>
              </w:rPr>
            </w:pPr>
            <w:r>
              <w:rPr>
                <w:rFonts w:ascii="Arial" w:cs="Arial" w:eastAsia="Arial" w:hAnsi="Arial"/>
                <w:sz w:val="13"/>
                <w:szCs w:val="13"/>
                <w:color w:val="auto"/>
              </w:rPr>
              <w:t xml:space="preserve">31,307  </w:t>
            </w:r>
            <w:r>
              <w:rPr>
                <w:rFonts w:ascii="Arial" w:cs="Arial" w:eastAsia="Arial" w:hAnsi="Arial"/>
                <w:sz w:val="18"/>
                <w:szCs w:val="18"/>
                <w:color w:val="auto"/>
                <w:vertAlign w:val="superscript"/>
              </w:rPr>
              <w:t>(2)</w:t>
            </w:r>
          </w:p>
        </w:tc>
        <w:tc>
          <w:tcPr>
            <w:tcW w:w="300" w:type="dxa"/>
            <w:vAlign w:val="bottom"/>
          </w:tcPr>
          <w:p>
            <w:pPr>
              <w:ind w:left="160"/>
              <w:spacing w:after="0"/>
              <w:rPr>
                <w:sz w:val="20"/>
                <w:szCs w:val="20"/>
                <w:color w:val="auto"/>
              </w:rPr>
            </w:pPr>
            <w:r>
              <w:rPr>
                <w:rFonts w:ascii="Arial" w:cs="Arial" w:eastAsia="Arial" w:hAnsi="Arial"/>
                <w:sz w:val="14"/>
                <w:szCs w:val="14"/>
                <w:color w:val="auto"/>
              </w:rPr>
              <w:t>$</w:t>
            </w:r>
          </w:p>
        </w:tc>
        <w:tc>
          <w:tcPr>
            <w:tcW w:w="1820" w:type="dxa"/>
            <w:vAlign w:val="bottom"/>
          </w:tcPr>
          <w:p>
            <w:pPr>
              <w:jc w:val="right"/>
              <w:ind w:right="108"/>
              <w:spacing w:after="0"/>
              <w:rPr>
                <w:sz w:val="20"/>
                <w:szCs w:val="20"/>
                <w:color w:val="auto"/>
              </w:rPr>
            </w:pPr>
            <w:r>
              <w:rPr>
                <w:rFonts w:ascii="Arial" w:cs="Arial" w:eastAsia="Arial" w:hAnsi="Arial"/>
                <w:sz w:val="14"/>
                <w:szCs w:val="14"/>
                <w:color w:val="auto"/>
              </w:rPr>
              <w:t>                    3,226,186</w:t>
            </w:r>
          </w:p>
        </w:tc>
        <w:tc>
          <w:tcPr>
            <w:tcW w:w="2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20" w:type="dxa"/>
            <w:vAlign w:val="bottom"/>
            <w:shd w:val="clear" w:color="auto" w:fill="D8D8D8"/>
          </w:tcPr>
          <w:p>
            <w:pPr>
              <w:spacing w:after="0"/>
              <w:rPr>
                <w:sz w:val="14"/>
                <w:szCs w:val="14"/>
                <w:color w:val="auto"/>
              </w:rPr>
            </w:pPr>
          </w:p>
        </w:tc>
        <w:tc>
          <w:tcPr>
            <w:tcW w:w="1920" w:type="dxa"/>
            <w:vAlign w:val="bottom"/>
          </w:tcPr>
          <w:p>
            <w:pPr>
              <w:jc w:val="right"/>
              <w:ind w:right="115"/>
              <w:spacing w:after="0" w:line="162" w:lineRule="exact"/>
              <w:rPr>
                <w:sz w:val="20"/>
                <w:szCs w:val="20"/>
                <w:color w:val="auto"/>
              </w:rPr>
            </w:pPr>
            <w:r>
              <w:rPr>
                <w:rFonts w:ascii="Arial" w:cs="Arial" w:eastAsia="Arial" w:hAnsi="Arial"/>
                <w:sz w:val="13"/>
                <w:szCs w:val="13"/>
                <w:color w:val="auto"/>
              </w:rPr>
              <w:t xml:space="preserve">744  </w:t>
            </w:r>
            <w:r>
              <w:rPr>
                <w:rFonts w:ascii="Arial" w:cs="Arial" w:eastAsia="Arial" w:hAnsi="Arial"/>
                <w:sz w:val="18"/>
                <w:szCs w:val="18"/>
                <w:color w:val="auto"/>
                <w:vertAlign w:val="superscript"/>
              </w:rPr>
              <w:t>(3)</w:t>
            </w:r>
          </w:p>
        </w:tc>
        <w:tc>
          <w:tcPr>
            <w:tcW w:w="300" w:type="dxa"/>
            <w:vAlign w:val="bottom"/>
          </w:tcPr>
          <w:p>
            <w:pPr>
              <w:ind w:left="160"/>
              <w:spacing w:after="0"/>
              <w:rPr>
                <w:sz w:val="20"/>
                <w:szCs w:val="20"/>
                <w:color w:val="auto"/>
              </w:rPr>
            </w:pPr>
            <w:r>
              <w:rPr>
                <w:rFonts w:ascii="Arial" w:cs="Arial" w:eastAsia="Arial" w:hAnsi="Arial"/>
                <w:sz w:val="14"/>
                <w:szCs w:val="14"/>
                <w:color w:val="auto"/>
              </w:rPr>
              <w:t>$</w:t>
            </w:r>
          </w:p>
        </w:tc>
        <w:tc>
          <w:tcPr>
            <w:tcW w:w="1820" w:type="dxa"/>
            <w:vAlign w:val="bottom"/>
          </w:tcPr>
          <w:p>
            <w:pPr>
              <w:jc w:val="right"/>
              <w:ind w:right="108"/>
              <w:spacing w:after="0"/>
              <w:rPr>
                <w:sz w:val="20"/>
                <w:szCs w:val="20"/>
                <w:color w:val="auto"/>
              </w:rPr>
            </w:pPr>
            <w:r>
              <w:rPr>
                <w:rFonts w:ascii="Arial" w:cs="Arial" w:eastAsia="Arial" w:hAnsi="Arial"/>
                <w:sz w:val="14"/>
                <w:szCs w:val="14"/>
                <w:color w:val="auto"/>
              </w:rPr>
              <w:t>76,669</w:t>
            </w:r>
          </w:p>
        </w:tc>
        <w:tc>
          <w:tcPr>
            <w:tcW w:w="2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620" w:type="dxa"/>
            <w:vAlign w:val="bottom"/>
            <w:tcBorders>
              <w:bottom w:val="single" w:sz="8" w:color="auto"/>
            </w:tcBorders>
            <w:shd w:val="clear" w:color="auto" w:fill="D8D8D8"/>
          </w:tcPr>
          <w:p>
            <w:pPr>
              <w:spacing w:after="0"/>
              <w:rPr>
                <w:sz w:val="19"/>
                <w:szCs w:val="19"/>
                <w:color w:val="auto"/>
              </w:rPr>
            </w:pPr>
          </w:p>
        </w:tc>
        <w:tc>
          <w:tcPr>
            <w:tcW w:w="1920" w:type="dxa"/>
            <w:vAlign w:val="bottom"/>
            <w:tcBorders>
              <w:bottom w:val="single" w:sz="8" w:color="auto"/>
            </w:tcBorders>
          </w:tcPr>
          <w:p>
            <w:pPr>
              <w:jc w:val="right"/>
              <w:ind w:right="115"/>
              <w:spacing w:after="0" w:line="229" w:lineRule="exact"/>
              <w:rPr>
                <w:sz w:val="20"/>
                <w:szCs w:val="20"/>
                <w:color w:val="auto"/>
              </w:rPr>
            </w:pPr>
            <w:r>
              <w:rPr>
                <w:rFonts w:ascii="Arial" w:cs="Arial" w:eastAsia="Arial" w:hAnsi="Arial"/>
                <w:sz w:val="14"/>
                <w:szCs w:val="14"/>
                <w:color w:val="auto"/>
              </w:rPr>
              <w:t xml:space="preserve">17,403  </w:t>
            </w:r>
            <w:r>
              <w:rPr>
                <w:rFonts w:ascii="Arial" w:cs="Arial" w:eastAsia="Arial" w:hAnsi="Arial"/>
                <w:sz w:val="21"/>
                <w:szCs w:val="21"/>
                <w:color w:val="auto"/>
                <w:vertAlign w:val="superscript"/>
              </w:rPr>
              <w:t>(3)</w:t>
            </w:r>
          </w:p>
        </w:tc>
        <w:tc>
          <w:tcPr>
            <w:tcW w:w="30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w:t>
            </w:r>
          </w:p>
        </w:tc>
        <w:tc>
          <w:tcPr>
            <w:tcW w:w="18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1,793,379</w:t>
            </w:r>
          </w:p>
        </w:tc>
        <w:tc>
          <w:tcPr>
            <w:tcW w:w="22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2620" w:type="dxa"/>
            <w:vAlign w:val="bottom"/>
            <w:shd w:val="clear" w:color="auto" w:fill="D8D8D8"/>
          </w:tcPr>
          <w:p>
            <w:pPr>
              <w:spacing w:after="0" w:line="156" w:lineRule="exact"/>
              <w:rPr>
                <w:sz w:val="20"/>
                <w:szCs w:val="20"/>
                <w:color w:val="auto"/>
              </w:rPr>
            </w:pPr>
            <w:r>
              <w:rPr>
                <w:rFonts w:ascii="Arial" w:cs="Arial" w:eastAsia="Arial" w:hAnsi="Arial"/>
                <w:sz w:val="14"/>
                <w:szCs w:val="14"/>
                <w:color w:val="auto"/>
              </w:rPr>
              <w:t>Jeffrey S. Berkes</w:t>
            </w:r>
          </w:p>
        </w:tc>
        <w:tc>
          <w:tcPr>
            <w:tcW w:w="1920" w:type="dxa"/>
            <w:vAlign w:val="bottom"/>
          </w:tcPr>
          <w:p>
            <w:pPr>
              <w:jc w:val="right"/>
              <w:ind w:right="115"/>
              <w:spacing w:after="0" w:line="156" w:lineRule="exact"/>
              <w:rPr>
                <w:sz w:val="20"/>
                <w:szCs w:val="20"/>
                <w:color w:val="auto"/>
              </w:rPr>
            </w:pPr>
            <w:r>
              <w:rPr>
                <w:rFonts w:ascii="Arial" w:cs="Arial" w:eastAsia="Arial" w:hAnsi="Arial"/>
                <w:sz w:val="13"/>
                <w:szCs w:val="13"/>
                <w:color w:val="auto"/>
              </w:rPr>
              <w:t xml:space="preserve">2,215  </w:t>
            </w:r>
            <w:r>
              <w:rPr>
                <w:rFonts w:ascii="Arial" w:cs="Arial" w:eastAsia="Arial" w:hAnsi="Arial"/>
                <w:sz w:val="18"/>
                <w:szCs w:val="18"/>
                <w:color w:val="auto"/>
                <w:vertAlign w:val="superscript"/>
              </w:rPr>
              <w:t>(1)</w:t>
            </w:r>
          </w:p>
        </w:tc>
        <w:tc>
          <w:tcPr>
            <w:tcW w:w="300" w:type="dxa"/>
            <w:vAlign w:val="bottom"/>
          </w:tcPr>
          <w:p>
            <w:pPr>
              <w:ind w:left="160"/>
              <w:spacing w:after="0" w:line="156" w:lineRule="exact"/>
              <w:rPr>
                <w:sz w:val="20"/>
                <w:szCs w:val="20"/>
                <w:color w:val="auto"/>
              </w:rPr>
            </w:pPr>
            <w:r>
              <w:rPr>
                <w:rFonts w:ascii="Arial" w:cs="Arial" w:eastAsia="Arial" w:hAnsi="Arial"/>
                <w:sz w:val="14"/>
                <w:szCs w:val="14"/>
                <w:color w:val="auto"/>
              </w:rPr>
              <w:t>$</w:t>
            </w:r>
          </w:p>
        </w:tc>
        <w:tc>
          <w:tcPr>
            <w:tcW w:w="1820" w:type="dxa"/>
            <w:vAlign w:val="bottom"/>
          </w:tcPr>
          <w:p>
            <w:pPr>
              <w:jc w:val="right"/>
              <w:ind w:right="108"/>
              <w:spacing w:after="0" w:line="156" w:lineRule="exact"/>
              <w:rPr>
                <w:sz w:val="20"/>
                <w:szCs w:val="20"/>
                <w:color w:val="auto"/>
              </w:rPr>
            </w:pPr>
            <w:r>
              <w:rPr>
                <w:rFonts w:ascii="Arial" w:cs="Arial" w:eastAsia="Arial" w:hAnsi="Arial"/>
                <w:sz w:val="14"/>
                <w:szCs w:val="14"/>
                <w:color w:val="auto"/>
              </w:rPr>
              <w:t>228,256</w:t>
            </w:r>
          </w:p>
        </w:tc>
        <w:tc>
          <w:tcPr>
            <w:tcW w:w="2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620" w:type="dxa"/>
            <w:vAlign w:val="bottom"/>
            <w:shd w:val="clear" w:color="auto" w:fill="D8D8D8"/>
          </w:tcPr>
          <w:p>
            <w:pPr>
              <w:spacing w:after="0"/>
              <w:rPr>
                <w:sz w:val="14"/>
                <w:szCs w:val="14"/>
                <w:color w:val="auto"/>
              </w:rPr>
            </w:pPr>
          </w:p>
        </w:tc>
        <w:tc>
          <w:tcPr>
            <w:tcW w:w="1920" w:type="dxa"/>
            <w:vAlign w:val="bottom"/>
          </w:tcPr>
          <w:p>
            <w:pPr>
              <w:jc w:val="right"/>
              <w:ind w:right="115"/>
              <w:spacing w:after="0" w:line="162" w:lineRule="exact"/>
              <w:rPr>
                <w:sz w:val="20"/>
                <w:szCs w:val="20"/>
                <w:color w:val="auto"/>
              </w:rPr>
            </w:pPr>
            <w:r>
              <w:rPr>
                <w:rFonts w:ascii="Arial" w:cs="Arial" w:eastAsia="Arial" w:hAnsi="Arial"/>
                <w:sz w:val="13"/>
                <w:szCs w:val="13"/>
                <w:color w:val="auto"/>
              </w:rPr>
              <w:t xml:space="preserve">8,995  </w:t>
            </w:r>
            <w:r>
              <w:rPr>
                <w:rFonts w:ascii="Arial" w:cs="Arial" w:eastAsia="Arial" w:hAnsi="Arial"/>
                <w:sz w:val="18"/>
                <w:szCs w:val="18"/>
                <w:color w:val="auto"/>
                <w:vertAlign w:val="superscript"/>
              </w:rPr>
              <w:t>(1)</w:t>
            </w:r>
          </w:p>
        </w:tc>
        <w:tc>
          <w:tcPr>
            <w:tcW w:w="300" w:type="dxa"/>
            <w:vAlign w:val="bottom"/>
          </w:tcPr>
          <w:p>
            <w:pPr>
              <w:ind w:left="160"/>
              <w:spacing w:after="0"/>
              <w:rPr>
                <w:sz w:val="20"/>
                <w:szCs w:val="20"/>
                <w:color w:val="auto"/>
              </w:rPr>
            </w:pPr>
            <w:r>
              <w:rPr>
                <w:rFonts w:ascii="Arial" w:cs="Arial" w:eastAsia="Arial" w:hAnsi="Arial"/>
                <w:sz w:val="14"/>
                <w:szCs w:val="14"/>
                <w:color w:val="auto"/>
              </w:rPr>
              <w:t>$</w:t>
            </w:r>
          </w:p>
        </w:tc>
        <w:tc>
          <w:tcPr>
            <w:tcW w:w="1820" w:type="dxa"/>
            <w:vAlign w:val="bottom"/>
          </w:tcPr>
          <w:p>
            <w:pPr>
              <w:jc w:val="right"/>
              <w:ind w:right="108"/>
              <w:spacing w:after="0"/>
              <w:rPr>
                <w:sz w:val="20"/>
                <w:szCs w:val="20"/>
                <w:color w:val="auto"/>
              </w:rPr>
            </w:pPr>
            <w:r>
              <w:rPr>
                <w:rFonts w:ascii="Arial" w:cs="Arial" w:eastAsia="Arial" w:hAnsi="Arial"/>
                <w:sz w:val="14"/>
                <w:szCs w:val="14"/>
                <w:color w:val="auto"/>
              </w:rPr>
              <w:t>926,935</w:t>
            </w:r>
          </w:p>
        </w:tc>
        <w:tc>
          <w:tcPr>
            <w:tcW w:w="2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20" w:type="dxa"/>
            <w:vAlign w:val="bottom"/>
            <w:shd w:val="clear" w:color="auto" w:fill="D8D8D8"/>
          </w:tcPr>
          <w:p>
            <w:pPr>
              <w:spacing w:after="0"/>
              <w:rPr>
                <w:sz w:val="14"/>
                <w:szCs w:val="14"/>
                <w:color w:val="auto"/>
              </w:rPr>
            </w:pPr>
          </w:p>
        </w:tc>
        <w:tc>
          <w:tcPr>
            <w:tcW w:w="1920" w:type="dxa"/>
            <w:vAlign w:val="bottom"/>
          </w:tcPr>
          <w:p>
            <w:pPr>
              <w:jc w:val="right"/>
              <w:ind w:right="115"/>
              <w:spacing w:after="0" w:line="162" w:lineRule="exact"/>
              <w:rPr>
                <w:sz w:val="20"/>
                <w:szCs w:val="20"/>
                <w:color w:val="auto"/>
              </w:rPr>
            </w:pPr>
            <w:r>
              <w:rPr>
                <w:rFonts w:ascii="Arial" w:cs="Arial" w:eastAsia="Arial" w:hAnsi="Arial"/>
                <w:sz w:val="13"/>
                <w:szCs w:val="13"/>
                <w:color w:val="auto"/>
              </w:rPr>
              <w:t xml:space="preserve">1,137  </w:t>
            </w:r>
            <w:r>
              <w:rPr>
                <w:rFonts w:ascii="Arial" w:cs="Arial" w:eastAsia="Arial" w:hAnsi="Arial"/>
                <w:sz w:val="18"/>
                <w:szCs w:val="18"/>
                <w:color w:val="auto"/>
                <w:vertAlign w:val="superscript"/>
              </w:rPr>
              <w:t>(2)</w:t>
            </w:r>
          </w:p>
        </w:tc>
        <w:tc>
          <w:tcPr>
            <w:tcW w:w="300" w:type="dxa"/>
            <w:vAlign w:val="bottom"/>
          </w:tcPr>
          <w:p>
            <w:pPr>
              <w:ind w:left="160"/>
              <w:spacing w:after="0"/>
              <w:rPr>
                <w:sz w:val="20"/>
                <w:szCs w:val="20"/>
                <w:color w:val="auto"/>
              </w:rPr>
            </w:pPr>
            <w:r>
              <w:rPr>
                <w:rFonts w:ascii="Arial" w:cs="Arial" w:eastAsia="Arial" w:hAnsi="Arial"/>
                <w:sz w:val="14"/>
                <w:szCs w:val="14"/>
                <w:color w:val="auto"/>
              </w:rPr>
              <w:t>$</w:t>
            </w:r>
          </w:p>
        </w:tc>
        <w:tc>
          <w:tcPr>
            <w:tcW w:w="1820" w:type="dxa"/>
            <w:vAlign w:val="bottom"/>
          </w:tcPr>
          <w:p>
            <w:pPr>
              <w:jc w:val="right"/>
              <w:ind w:right="108"/>
              <w:spacing w:after="0"/>
              <w:rPr>
                <w:sz w:val="20"/>
                <w:szCs w:val="20"/>
                <w:color w:val="auto"/>
              </w:rPr>
            </w:pPr>
            <w:r>
              <w:rPr>
                <w:rFonts w:ascii="Arial" w:cs="Arial" w:eastAsia="Arial" w:hAnsi="Arial"/>
                <w:sz w:val="14"/>
                <w:szCs w:val="14"/>
                <w:color w:val="auto"/>
              </w:rPr>
              <w:t>117,168</w:t>
            </w:r>
          </w:p>
        </w:tc>
        <w:tc>
          <w:tcPr>
            <w:tcW w:w="2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20" w:type="dxa"/>
            <w:vAlign w:val="bottom"/>
            <w:shd w:val="clear" w:color="auto" w:fill="D8D8D8"/>
          </w:tcPr>
          <w:p>
            <w:pPr>
              <w:spacing w:after="0"/>
              <w:rPr>
                <w:sz w:val="14"/>
                <w:szCs w:val="14"/>
                <w:color w:val="auto"/>
              </w:rPr>
            </w:pPr>
          </w:p>
        </w:tc>
        <w:tc>
          <w:tcPr>
            <w:tcW w:w="1920" w:type="dxa"/>
            <w:vAlign w:val="bottom"/>
          </w:tcPr>
          <w:p>
            <w:pPr>
              <w:jc w:val="right"/>
              <w:ind w:right="115"/>
              <w:spacing w:after="0" w:line="162" w:lineRule="exact"/>
              <w:rPr>
                <w:sz w:val="20"/>
                <w:szCs w:val="20"/>
                <w:color w:val="auto"/>
              </w:rPr>
            </w:pPr>
            <w:r>
              <w:rPr>
                <w:rFonts w:ascii="Arial" w:cs="Arial" w:eastAsia="Arial" w:hAnsi="Arial"/>
                <w:sz w:val="13"/>
                <w:szCs w:val="13"/>
                <w:color w:val="auto"/>
              </w:rPr>
              <w:t xml:space="preserve">5,218  </w:t>
            </w:r>
            <w:r>
              <w:rPr>
                <w:rFonts w:ascii="Arial" w:cs="Arial" w:eastAsia="Arial" w:hAnsi="Arial"/>
                <w:sz w:val="18"/>
                <w:szCs w:val="18"/>
                <w:color w:val="auto"/>
                <w:vertAlign w:val="superscript"/>
              </w:rPr>
              <w:t>(2)</w:t>
            </w:r>
          </w:p>
        </w:tc>
        <w:tc>
          <w:tcPr>
            <w:tcW w:w="300" w:type="dxa"/>
            <w:vAlign w:val="bottom"/>
          </w:tcPr>
          <w:p>
            <w:pPr>
              <w:ind w:left="160"/>
              <w:spacing w:after="0"/>
              <w:rPr>
                <w:sz w:val="20"/>
                <w:szCs w:val="20"/>
                <w:color w:val="auto"/>
              </w:rPr>
            </w:pPr>
            <w:r>
              <w:rPr>
                <w:rFonts w:ascii="Arial" w:cs="Arial" w:eastAsia="Arial" w:hAnsi="Arial"/>
                <w:sz w:val="14"/>
                <w:szCs w:val="14"/>
                <w:color w:val="auto"/>
              </w:rPr>
              <w:t>$</w:t>
            </w:r>
          </w:p>
        </w:tc>
        <w:tc>
          <w:tcPr>
            <w:tcW w:w="1820" w:type="dxa"/>
            <w:vAlign w:val="bottom"/>
          </w:tcPr>
          <w:p>
            <w:pPr>
              <w:jc w:val="right"/>
              <w:ind w:right="108"/>
              <w:spacing w:after="0"/>
              <w:rPr>
                <w:sz w:val="20"/>
                <w:szCs w:val="20"/>
                <w:color w:val="auto"/>
              </w:rPr>
            </w:pPr>
            <w:r>
              <w:rPr>
                <w:rFonts w:ascii="Arial" w:cs="Arial" w:eastAsia="Arial" w:hAnsi="Arial"/>
                <w:sz w:val="14"/>
                <w:szCs w:val="14"/>
                <w:color w:val="auto"/>
              </w:rPr>
              <w:t>537,715</w:t>
            </w:r>
          </w:p>
        </w:tc>
        <w:tc>
          <w:tcPr>
            <w:tcW w:w="2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20" w:type="dxa"/>
            <w:vAlign w:val="bottom"/>
            <w:shd w:val="clear" w:color="auto" w:fill="D8D8D8"/>
          </w:tcPr>
          <w:p>
            <w:pPr>
              <w:spacing w:after="0"/>
              <w:rPr>
                <w:sz w:val="14"/>
                <w:szCs w:val="14"/>
                <w:color w:val="auto"/>
              </w:rPr>
            </w:pPr>
          </w:p>
        </w:tc>
        <w:tc>
          <w:tcPr>
            <w:tcW w:w="1920" w:type="dxa"/>
            <w:vAlign w:val="bottom"/>
          </w:tcPr>
          <w:p>
            <w:pPr>
              <w:jc w:val="right"/>
              <w:ind w:right="115"/>
              <w:spacing w:after="0" w:line="162" w:lineRule="exact"/>
              <w:rPr>
                <w:sz w:val="20"/>
                <w:szCs w:val="20"/>
                <w:color w:val="auto"/>
              </w:rPr>
            </w:pPr>
            <w:r>
              <w:rPr>
                <w:rFonts w:ascii="Arial" w:cs="Arial" w:eastAsia="Arial" w:hAnsi="Arial"/>
                <w:sz w:val="13"/>
                <w:szCs w:val="13"/>
                <w:color w:val="auto"/>
              </w:rPr>
              <w:t xml:space="preserve">411  </w:t>
            </w:r>
            <w:r>
              <w:rPr>
                <w:rFonts w:ascii="Arial" w:cs="Arial" w:eastAsia="Arial" w:hAnsi="Arial"/>
                <w:sz w:val="18"/>
                <w:szCs w:val="18"/>
                <w:color w:val="auto"/>
                <w:vertAlign w:val="superscript"/>
              </w:rPr>
              <w:t>(3)</w:t>
            </w:r>
          </w:p>
        </w:tc>
        <w:tc>
          <w:tcPr>
            <w:tcW w:w="300" w:type="dxa"/>
            <w:vAlign w:val="bottom"/>
          </w:tcPr>
          <w:p>
            <w:pPr>
              <w:ind w:left="160"/>
              <w:spacing w:after="0"/>
              <w:rPr>
                <w:sz w:val="20"/>
                <w:szCs w:val="20"/>
                <w:color w:val="auto"/>
              </w:rPr>
            </w:pPr>
            <w:r>
              <w:rPr>
                <w:rFonts w:ascii="Arial" w:cs="Arial" w:eastAsia="Arial" w:hAnsi="Arial"/>
                <w:sz w:val="14"/>
                <w:szCs w:val="14"/>
                <w:color w:val="auto"/>
              </w:rPr>
              <w:t>$</w:t>
            </w:r>
          </w:p>
        </w:tc>
        <w:tc>
          <w:tcPr>
            <w:tcW w:w="1820" w:type="dxa"/>
            <w:vAlign w:val="bottom"/>
          </w:tcPr>
          <w:p>
            <w:pPr>
              <w:jc w:val="right"/>
              <w:ind w:right="108"/>
              <w:spacing w:after="0"/>
              <w:rPr>
                <w:sz w:val="20"/>
                <w:szCs w:val="20"/>
                <w:color w:val="auto"/>
              </w:rPr>
            </w:pPr>
            <w:r>
              <w:rPr>
                <w:rFonts w:ascii="Arial" w:cs="Arial" w:eastAsia="Arial" w:hAnsi="Arial"/>
                <w:sz w:val="14"/>
                <w:szCs w:val="14"/>
                <w:color w:val="auto"/>
              </w:rPr>
              <w:t>42,354</w:t>
            </w:r>
          </w:p>
        </w:tc>
        <w:tc>
          <w:tcPr>
            <w:tcW w:w="2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20" w:type="dxa"/>
            <w:vAlign w:val="bottom"/>
            <w:shd w:val="clear" w:color="auto" w:fill="D8D8D8"/>
          </w:tcPr>
          <w:p>
            <w:pPr>
              <w:spacing w:after="0"/>
              <w:rPr>
                <w:sz w:val="14"/>
                <w:szCs w:val="14"/>
                <w:color w:val="auto"/>
              </w:rPr>
            </w:pPr>
          </w:p>
        </w:tc>
        <w:tc>
          <w:tcPr>
            <w:tcW w:w="1920" w:type="dxa"/>
            <w:vAlign w:val="bottom"/>
          </w:tcPr>
          <w:p>
            <w:pPr>
              <w:jc w:val="right"/>
              <w:ind w:right="115"/>
              <w:spacing w:after="0" w:line="162" w:lineRule="exact"/>
              <w:rPr>
                <w:sz w:val="20"/>
                <w:szCs w:val="20"/>
                <w:color w:val="auto"/>
              </w:rPr>
            </w:pPr>
            <w:r>
              <w:rPr>
                <w:rFonts w:ascii="Arial" w:cs="Arial" w:eastAsia="Arial" w:hAnsi="Arial"/>
                <w:sz w:val="13"/>
                <w:szCs w:val="13"/>
                <w:color w:val="auto"/>
              </w:rPr>
              <w:t xml:space="preserve">3,481  </w:t>
            </w:r>
            <w:r>
              <w:rPr>
                <w:rFonts w:ascii="Arial" w:cs="Arial" w:eastAsia="Arial" w:hAnsi="Arial"/>
                <w:sz w:val="18"/>
                <w:szCs w:val="18"/>
                <w:color w:val="auto"/>
                <w:vertAlign w:val="superscript"/>
              </w:rPr>
              <w:t>(3)</w:t>
            </w:r>
          </w:p>
        </w:tc>
        <w:tc>
          <w:tcPr>
            <w:tcW w:w="300" w:type="dxa"/>
            <w:vAlign w:val="bottom"/>
          </w:tcPr>
          <w:p>
            <w:pPr>
              <w:ind w:left="160"/>
              <w:spacing w:after="0"/>
              <w:rPr>
                <w:sz w:val="20"/>
                <w:szCs w:val="20"/>
                <w:color w:val="auto"/>
              </w:rPr>
            </w:pPr>
            <w:r>
              <w:rPr>
                <w:rFonts w:ascii="Arial" w:cs="Arial" w:eastAsia="Arial" w:hAnsi="Arial"/>
                <w:sz w:val="14"/>
                <w:szCs w:val="14"/>
                <w:color w:val="auto"/>
              </w:rPr>
              <w:t>$</w:t>
            </w:r>
          </w:p>
        </w:tc>
        <w:tc>
          <w:tcPr>
            <w:tcW w:w="1820" w:type="dxa"/>
            <w:vAlign w:val="bottom"/>
          </w:tcPr>
          <w:p>
            <w:pPr>
              <w:jc w:val="right"/>
              <w:ind w:right="108"/>
              <w:spacing w:after="0"/>
              <w:rPr>
                <w:sz w:val="20"/>
                <w:szCs w:val="20"/>
                <w:color w:val="auto"/>
              </w:rPr>
            </w:pPr>
            <w:r>
              <w:rPr>
                <w:rFonts w:ascii="Arial" w:cs="Arial" w:eastAsia="Arial" w:hAnsi="Arial"/>
                <w:sz w:val="14"/>
                <w:szCs w:val="14"/>
                <w:color w:val="auto"/>
              </w:rPr>
              <w:t>358,717</w:t>
            </w:r>
          </w:p>
        </w:tc>
        <w:tc>
          <w:tcPr>
            <w:tcW w:w="2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20" w:type="dxa"/>
            <w:vAlign w:val="bottom"/>
            <w:shd w:val="clear" w:color="auto" w:fill="D8D8D8"/>
          </w:tcPr>
          <w:p>
            <w:pPr>
              <w:spacing w:after="0"/>
              <w:rPr>
                <w:sz w:val="14"/>
                <w:szCs w:val="14"/>
                <w:color w:val="auto"/>
              </w:rPr>
            </w:pPr>
          </w:p>
        </w:tc>
        <w:tc>
          <w:tcPr>
            <w:tcW w:w="1920" w:type="dxa"/>
            <w:vAlign w:val="bottom"/>
          </w:tcPr>
          <w:p>
            <w:pPr>
              <w:jc w:val="right"/>
              <w:ind w:right="115"/>
              <w:spacing w:after="0" w:line="162" w:lineRule="exact"/>
              <w:rPr>
                <w:sz w:val="20"/>
                <w:szCs w:val="20"/>
                <w:color w:val="auto"/>
              </w:rPr>
            </w:pPr>
            <w:r>
              <w:rPr>
                <w:rFonts w:ascii="Arial" w:cs="Arial" w:eastAsia="Arial" w:hAnsi="Arial"/>
                <w:sz w:val="13"/>
                <w:szCs w:val="13"/>
                <w:color w:val="auto"/>
              </w:rPr>
              <w:t xml:space="preserve">3,725  </w:t>
            </w:r>
            <w:r>
              <w:rPr>
                <w:rFonts w:ascii="Arial" w:cs="Arial" w:eastAsia="Arial" w:hAnsi="Arial"/>
                <w:sz w:val="18"/>
                <w:szCs w:val="18"/>
                <w:color w:val="auto"/>
                <w:vertAlign w:val="superscript"/>
              </w:rPr>
              <w:t>(3)</w:t>
            </w:r>
          </w:p>
        </w:tc>
        <w:tc>
          <w:tcPr>
            <w:tcW w:w="300" w:type="dxa"/>
            <w:vAlign w:val="bottom"/>
          </w:tcPr>
          <w:p>
            <w:pPr>
              <w:ind w:left="160"/>
              <w:spacing w:after="0"/>
              <w:rPr>
                <w:sz w:val="20"/>
                <w:szCs w:val="20"/>
                <w:color w:val="auto"/>
              </w:rPr>
            </w:pPr>
            <w:r>
              <w:rPr>
                <w:rFonts w:ascii="Arial" w:cs="Arial" w:eastAsia="Arial" w:hAnsi="Arial"/>
                <w:sz w:val="14"/>
                <w:szCs w:val="14"/>
                <w:color w:val="auto"/>
              </w:rPr>
              <w:t>$</w:t>
            </w:r>
          </w:p>
        </w:tc>
        <w:tc>
          <w:tcPr>
            <w:tcW w:w="1820" w:type="dxa"/>
            <w:vAlign w:val="bottom"/>
          </w:tcPr>
          <w:p>
            <w:pPr>
              <w:jc w:val="right"/>
              <w:ind w:right="108"/>
              <w:spacing w:after="0"/>
              <w:rPr>
                <w:sz w:val="20"/>
                <w:szCs w:val="20"/>
                <w:color w:val="auto"/>
              </w:rPr>
            </w:pPr>
            <w:r>
              <w:rPr>
                <w:rFonts w:ascii="Arial" w:cs="Arial" w:eastAsia="Arial" w:hAnsi="Arial"/>
                <w:sz w:val="14"/>
                <w:szCs w:val="14"/>
                <w:color w:val="auto"/>
              </w:rPr>
              <w:t>383,861</w:t>
            </w:r>
          </w:p>
        </w:tc>
        <w:tc>
          <w:tcPr>
            <w:tcW w:w="2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8"/>
        </w:trPr>
        <w:tc>
          <w:tcPr>
            <w:tcW w:w="2620" w:type="dxa"/>
            <w:vAlign w:val="bottom"/>
            <w:shd w:val="clear" w:color="auto" w:fill="D8D8D8"/>
          </w:tcPr>
          <w:p>
            <w:pPr>
              <w:spacing w:after="0"/>
              <w:rPr>
                <w:sz w:val="24"/>
                <w:szCs w:val="24"/>
                <w:color w:val="auto"/>
              </w:rPr>
            </w:pPr>
          </w:p>
        </w:tc>
        <w:tc>
          <w:tcPr>
            <w:tcW w:w="1920" w:type="dxa"/>
            <w:vAlign w:val="bottom"/>
          </w:tcPr>
          <w:p>
            <w:pPr>
              <w:jc w:val="right"/>
              <w:ind w:right="115"/>
              <w:spacing w:after="0"/>
              <w:rPr>
                <w:sz w:val="20"/>
                <w:szCs w:val="20"/>
                <w:color w:val="auto"/>
              </w:rPr>
            </w:pPr>
            <w:r>
              <w:rPr>
                <w:rFonts w:ascii="Arial" w:cs="Arial" w:eastAsia="Arial" w:hAnsi="Arial"/>
                <w:sz w:val="14"/>
                <w:szCs w:val="14"/>
                <w:color w:val="auto"/>
              </w:rPr>
              <w:t xml:space="preserve">6,265  </w:t>
            </w:r>
            <w:r>
              <w:rPr>
                <w:rFonts w:ascii="Arial" w:cs="Arial" w:eastAsia="Arial" w:hAnsi="Arial"/>
                <w:sz w:val="21"/>
                <w:szCs w:val="21"/>
                <w:color w:val="auto"/>
                <w:vertAlign w:val="superscript"/>
              </w:rPr>
              <w:t>(1)</w:t>
            </w:r>
          </w:p>
        </w:tc>
        <w:tc>
          <w:tcPr>
            <w:tcW w:w="300" w:type="dxa"/>
            <w:vAlign w:val="bottom"/>
          </w:tcPr>
          <w:p>
            <w:pPr>
              <w:ind w:left="160"/>
              <w:spacing w:after="0"/>
              <w:rPr>
                <w:sz w:val="20"/>
                <w:szCs w:val="20"/>
                <w:color w:val="auto"/>
              </w:rPr>
            </w:pPr>
            <w:r>
              <w:rPr>
                <w:rFonts w:ascii="Arial" w:cs="Arial" w:eastAsia="Arial" w:hAnsi="Arial"/>
                <w:sz w:val="14"/>
                <w:szCs w:val="14"/>
                <w:color w:val="auto"/>
              </w:rPr>
              <w:t>$</w:t>
            </w:r>
          </w:p>
        </w:tc>
        <w:tc>
          <w:tcPr>
            <w:tcW w:w="1820" w:type="dxa"/>
            <w:vAlign w:val="bottom"/>
          </w:tcPr>
          <w:p>
            <w:pPr>
              <w:jc w:val="right"/>
              <w:ind w:right="108"/>
              <w:spacing w:after="0"/>
              <w:rPr>
                <w:sz w:val="20"/>
                <w:szCs w:val="20"/>
                <w:color w:val="auto"/>
              </w:rPr>
            </w:pPr>
            <w:r>
              <w:rPr>
                <w:rFonts w:ascii="Arial" w:cs="Arial" w:eastAsia="Arial" w:hAnsi="Arial"/>
                <w:sz w:val="14"/>
                <w:szCs w:val="14"/>
                <w:color w:val="auto"/>
              </w:rPr>
              <w:t>645,608</w:t>
            </w:r>
          </w:p>
        </w:tc>
        <w:tc>
          <w:tcPr>
            <w:tcW w:w="2280" w:type="dxa"/>
            <w:vAlign w:val="bottom"/>
            <w:vMerge w:val="restart"/>
          </w:tcPr>
          <w:p>
            <w:pPr>
              <w:jc w:val="right"/>
              <w:ind w:right="8"/>
              <w:spacing w:after="0"/>
              <w:rPr>
                <w:sz w:val="20"/>
                <w:szCs w:val="20"/>
                <w:color w:val="auto"/>
              </w:rPr>
            </w:pPr>
            <w:r>
              <w:rPr>
                <w:rFonts w:ascii="Arial" w:cs="Arial" w:eastAsia="Arial" w:hAnsi="Arial"/>
                <w:sz w:val="14"/>
                <w:szCs w:val="14"/>
                <w:color w:val="auto"/>
              </w:rPr>
              <w:t xml:space="preserve">5,221 </w:t>
            </w:r>
            <w:r>
              <w:rPr>
                <w:rFonts w:ascii="Arial" w:cs="Arial" w:eastAsia="Arial" w:hAnsi="Arial"/>
                <w:sz w:val="21"/>
                <w:szCs w:val="21"/>
                <w:color w:val="auto"/>
                <w:vertAlign w:val="superscript"/>
              </w:rPr>
              <w:t>(4)</w:t>
            </w:r>
          </w:p>
        </w:tc>
        <w:tc>
          <w:tcPr>
            <w:tcW w:w="2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860" w:type="dxa"/>
            <w:vAlign w:val="bottom"/>
            <w:vMerge w:val="restart"/>
          </w:tcPr>
          <w:p>
            <w:pPr>
              <w:ind w:left="120"/>
              <w:spacing w:after="0"/>
              <w:rPr>
                <w:sz w:val="20"/>
                <w:szCs w:val="20"/>
                <w:color w:val="auto"/>
              </w:rPr>
            </w:pPr>
            <w:r>
              <w:rPr>
                <w:rFonts w:ascii="Arial" w:cs="Arial" w:eastAsia="Arial" w:hAnsi="Arial"/>
                <w:sz w:val="14"/>
                <w:szCs w:val="14"/>
                <w:color w:val="auto"/>
              </w:rPr>
              <w:t>                     538,024</w:t>
            </w:r>
          </w:p>
        </w:tc>
        <w:tc>
          <w:tcPr>
            <w:tcW w:w="0" w:type="dxa"/>
            <w:vAlign w:val="bottom"/>
          </w:tcPr>
          <w:p>
            <w:pPr>
              <w:spacing w:after="0"/>
              <w:rPr>
                <w:sz w:val="1"/>
                <w:szCs w:val="1"/>
                <w:color w:val="auto"/>
              </w:rPr>
            </w:pPr>
          </w:p>
        </w:tc>
      </w:tr>
      <w:tr>
        <w:trPr>
          <w:trHeight w:val="103"/>
        </w:trPr>
        <w:tc>
          <w:tcPr>
            <w:tcW w:w="2620" w:type="dxa"/>
            <w:vAlign w:val="bottom"/>
            <w:tcBorders>
              <w:bottom w:val="single" w:sz="8" w:color="auto"/>
            </w:tcBorders>
            <w:shd w:val="clear" w:color="auto" w:fill="D8D8D8"/>
          </w:tcPr>
          <w:p>
            <w:pPr>
              <w:spacing w:after="0"/>
              <w:rPr>
                <w:sz w:val="8"/>
                <w:szCs w:val="8"/>
                <w:color w:val="auto"/>
              </w:rPr>
            </w:pPr>
          </w:p>
        </w:tc>
        <w:tc>
          <w:tcPr>
            <w:tcW w:w="19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820" w:type="dxa"/>
            <w:vAlign w:val="bottom"/>
            <w:tcBorders>
              <w:bottom w:val="single" w:sz="8" w:color="auto"/>
            </w:tcBorders>
          </w:tcPr>
          <w:p>
            <w:pPr>
              <w:spacing w:after="0"/>
              <w:rPr>
                <w:sz w:val="8"/>
                <w:szCs w:val="8"/>
                <w:color w:val="auto"/>
              </w:rPr>
            </w:pPr>
          </w:p>
        </w:tc>
        <w:tc>
          <w:tcPr>
            <w:tcW w:w="2280" w:type="dxa"/>
            <w:vAlign w:val="bottom"/>
            <w:tcBorders>
              <w:bottom w:val="single" w:sz="8" w:color="auto"/>
            </w:tcBorders>
            <w:vMerge w:val="continue"/>
          </w:tcPr>
          <w:p>
            <w:pPr>
              <w:spacing w:after="0"/>
              <w:rPr>
                <w:sz w:val="8"/>
                <w:szCs w:val="8"/>
                <w:color w:val="auto"/>
              </w:rPr>
            </w:pPr>
          </w:p>
        </w:tc>
        <w:tc>
          <w:tcPr>
            <w:tcW w:w="220" w:type="dxa"/>
            <w:vAlign w:val="bottom"/>
            <w:tcBorders>
              <w:bottom w:val="single" w:sz="8" w:color="auto"/>
            </w:tcBorders>
            <w:vMerge w:val="continue"/>
          </w:tcPr>
          <w:p>
            <w:pPr>
              <w:spacing w:after="0"/>
              <w:rPr>
                <w:sz w:val="8"/>
                <w:szCs w:val="8"/>
                <w:color w:val="auto"/>
              </w:rPr>
            </w:pPr>
          </w:p>
        </w:tc>
        <w:tc>
          <w:tcPr>
            <w:tcW w:w="186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56"/>
        </w:trPr>
        <w:tc>
          <w:tcPr>
            <w:tcW w:w="2620" w:type="dxa"/>
            <w:vAlign w:val="bottom"/>
            <w:shd w:val="clear" w:color="auto" w:fill="D8D8D8"/>
          </w:tcPr>
          <w:p>
            <w:pPr>
              <w:spacing w:after="0" w:line="156" w:lineRule="exact"/>
              <w:rPr>
                <w:sz w:val="20"/>
                <w:szCs w:val="20"/>
                <w:color w:val="auto"/>
              </w:rPr>
            </w:pPr>
            <w:r>
              <w:rPr>
                <w:rFonts w:ascii="Arial" w:cs="Arial" w:eastAsia="Arial" w:hAnsi="Arial"/>
                <w:sz w:val="14"/>
                <w:szCs w:val="14"/>
                <w:color w:val="auto"/>
              </w:rPr>
              <w:t>Daniel Guglielmone</w:t>
            </w:r>
          </w:p>
        </w:tc>
        <w:tc>
          <w:tcPr>
            <w:tcW w:w="1920" w:type="dxa"/>
            <w:vAlign w:val="bottom"/>
          </w:tcPr>
          <w:p>
            <w:pPr>
              <w:jc w:val="right"/>
              <w:ind w:right="115"/>
              <w:spacing w:after="0" w:line="156" w:lineRule="exact"/>
              <w:rPr>
                <w:sz w:val="20"/>
                <w:szCs w:val="20"/>
                <w:color w:val="auto"/>
              </w:rPr>
            </w:pPr>
            <w:r>
              <w:rPr>
                <w:rFonts w:ascii="Arial" w:cs="Arial" w:eastAsia="Arial" w:hAnsi="Arial"/>
                <w:sz w:val="13"/>
                <w:szCs w:val="13"/>
                <w:color w:val="auto"/>
              </w:rPr>
              <w:t xml:space="preserve">8,995  </w:t>
            </w:r>
            <w:r>
              <w:rPr>
                <w:rFonts w:ascii="Arial" w:cs="Arial" w:eastAsia="Arial" w:hAnsi="Arial"/>
                <w:sz w:val="18"/>
                <w:szCs w:val="18"/>
                <w:color w:val="auto"/>
                <w:vertAlign w:val="superscript"/>
              </w:rPr>
              <w:t>(1)</w:t>
            </w:r>
          </w:p>
        </w:tc>
        <w:tc>
          <w:tcPr>
            <w:tcW w:w="300" w:type="dxa"/>
            <w:vAlign w:val="bottom"/>
          </w:tcPr>
          <w:p>
            <w:pPr>
              <w:ind w:left="160"/>
              <w:spacing w:after="0" w:line="156" w:lineRule="exact"/>
              <w:rPr>
                <w:sz w:val="20"/>
                <w:szCs w:val="20"/>
                <w:color w:val="auto"/>
              </w:rPr>
            </w:pPr>
            <w:r>
              <w:rPr>
                <w:rFonts w:ascii="Arial" w:cs="Arial" w:eastAsia="Arial" w:hAnsi="Arial"/>
                <w:sz w:val="14"/>
                <w:szCs w:val="14"/>
                <w:color w:val="auto"/>
              </w:rPr>
              <w:t>$</w:t>
            </w:r>
          </w:p>
        </w:tc>
        <w:tc>
          <w:tcPr>
            <w:tcW w:w="1820" w:type="dxa"/>
            <w:vAlign w:val="bottom"/>
          </w:tcPr>
          <w:p>
            <w:pPr>
              <w:jc w:val="right"/>
              <w:ind w:right="108"/>
              <w:spacing w:after="0" w:line="156" w:lineRule="exact"/>
              <w:rPr>
                <w:sz w:val="20"/>
                <w:szCs w:val="20"/>
                <w:color w:val="auto"/>
              </w:rPr>
            </w:pPr>
            <w:r>
              <w:rPr>
                <w:rFonts w:ascii="Arial" w:cs="Arial" w:eastAsia="Arial" w:hAnsi="Arial"/>
                <w:sz w:val="14"/>
                <w:szCs w:val="14"/>
                <w:color w:val="auto"/>
              </w:rPr>
              <w:t>926,935</w:t>
            </w:r>
          </w:p>
        </w:tc>
        <w:tc>
          <w:tcPr>
            <w:tcW w:w="2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620" w:type="dxa"/>
            <w:vAlign w:val="bottom"/>
            <w:shd w:val="clear" w:color="auto" w:fill="D8D8D8"/>
          </w:tcPr>
          <w:p>
            <w:pPr>
              <w:spacing w:after="0"/>
              <w:rPr>
                <w:sz w:val="14"/>
                <w:szCs w:val="14"/>
                <w:color w:val="auto"/>
              </w:rPr>
            </w:pPr>
          </w:p>
        </w:tc>
        <w:tc>
          <w:tcPr>
            <w:tcW w:w="1920" w:type="dxa"/>
            <w:vAlign w:val="bottom"/>
          </w:tcPr>
          <w:p>
            <w:pPr>
              <w:jc w:val="right"/>
              <w:ind w:right="115"/>
              <w:spacing w:after="0" w:line="162" w:lineRule="exact"/>
              <w:rPr>
                <w:sz w:val="20"/>
                <w:szCs w:val="20"/>
                <w:color w:val="auto"/>
              </w:rPr>
            </w:pPr>
            <w:r>
              <w:rPr>
                <w:rFonts w:ascii="Arial" w:cs="Arial" w:eastAsia="Arial" w:hAnsi="Arial"/>
                <w:sz w:val="13"/>
                <w:szCs w:val="13"/>
                <w:color w:val="auto"/>
              </w:rPr>
              <w:t xml:space="preserve">4,696  </w:t>
            </w:r>
            <w:r>
              <w:rPr>
                <w:rFonts w:ascii="Arial" w:cs="Arial" w:eastAsia="Arial" w:hAnsi="Arial"/>
                <w:sz w:val="18"/>
                <w:szCs w:val="18"/>
                <w:color w:val="auto"/>
                <w:vertAlign w:val="superscript"/>
              </w:rPr>
              <w:t>(2)</w:t>
            </w:r>
          </w:p>
        </w:tc>
        <w:tc>
          <w:tcPr>
            <w:tcW w:w="300" w:type="dxa"/>
            <w:vAlign w:val="bottom"/>
          </w:tcPr>
          <w:p>
            <w:pPr>
              <w:ind w:left="160"/>
              <w:spacing w:after="0"/>
              <w:rPr>
                <w:sz w:val="20"/>
                <w:szCs w:val="20"/>
                <w:color w:val="auto"/>
              </w:rPr>
            </w:pPr>
            <w:r>
              <w:rPr>
                <w:rFonts w:ascii="Arial" w:cs="Arial" w:eastAsia="Arial" w:hAnsi="Arial"/>
                <w:sz w:val="14"/>
                <w:szCs w:val="14"/>
                <w:color w:val="auto"/>
              </w:rPr>
              <w:t>$</w:t>
            </w:r>
          </w:p>
        </w:tc>
        <w:tc>
          <w:tcPr>
            <w:tcW w:w="1820" w:type="dxa"/>
            <w:vAlign w:val="bottom"/>
          </w:tcPr>
          <w:p>
            <w:pPr>
              <w:jc w:val="right"/>
              <w:ind w:right="108"/>
              <w:spacing w:after="0"/>
              <w:rPr>
                <w:sz w:val="20"/>
                <w:szCs w:val="20"/>
                <w:color w:val="auto"/>
              </w:rPr>
            </w:pPr>
            <w:r>
              <w:rPr>
                <w:rFonts w:ascii="Arial" w:cs="Arial" w:eastAsia="Arial" w:hAnsi="Arial"/>
                <w:sz w:val="14"/>
                <w:szCs w:val="14"/>
                <w:color w:val="auto"/>
              </w:rPr>
              <w:t>483,923</w:t>
            </w:r>
          </w:p>
        </w:tc>
        <w:tc>
          <w:tcPr>
            <w:tcW w:w="2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20" w:type="dxa"/>
            <w:vAlign w:val="bottom"/>
            <w:shd w:val="clear" w:color="auto" w:fill="D8D8D8"/>
          </w:tcPr>
          <w:p>
            <w:pPr>
              <w:spacing w:after="0"/>
              <w:rPr>
                <w:sz w:val="14"/>
                <w:szCs w:val="14"/>
                <w:color w:val="auto"/>
              </w:rPr>
            </w:pPr>
          </w:p>
        </w:tc>
        <w:tc>
          <w:tcPr>
            <w:tcW w:w="1920" w:type="dxa"/>
            <w:vAlign w:val="bottom"/>
          </w:tcPr>
          <w:p>
            <w:pPr>
              <w:jc w:val="right"/>
              <w:ind w:right="115"/>
              <w:spacing w:after="0" w:line="162" w:lineRule="exact"/>
              <w:rPr>
                <w:sz w:val="20"/>
                <w:szCs w:val="20"/>
                <w:color w:val="auto"/>
              </w:rPr>
            </w:pPr>
            <w:r>
              <w:rPr>
                <w:rFonts w:ascii="Arial" w:cs="Arial" w:eastAsia="Arial" w:hAnsi="Arial"/>
                <w:sz w:val="13"/>
                <w:szCs w:val="13"/>
                <w:color w:val="auto"/>
              </w:rPr>
              <w:t xml:space="preserve">3,133  </w:t>
            </w:r>
            <w:r>
              <w:rPr>
                <w:rFonts w:ascii="Arial" w:cs="Arial" w:eastAsia="Arial" w:hAnsi="Arial"/>
                <w:sz w:val="18"/>
                <w:szCs w:val="18"/>
                <w:color w:val="auto"/>
                <w:vertAlign w:val="superscript"/>
              </w:rPr>
              <w:t>(3)</w:t>
            </w:r>
          </w:p>
        </w:tc>
        <w:tc>
          <w:tcPr>
            <w:tcW w:w="300" w:type="dxa"/>
            <w:vAlign w:val="bottom"/>
          </w:tcPr>
          <w:p>
            <w:pPr>
              <w:ind w:left="160"/>
              <w:spacing w:after="0"/>
              <w:rPr>
                <w:sz w:val="20"/>
                <w:szCs w:val="20"/>
                <w:color w:val="auto"/>
              </w:rPr>
            </w:pPr>
            <w:r>
              <w:rPr>
                <w:rFonts w:ascii="Arial" w:cs="Arial" w:eastAsia="Arial" w:hAnsi="Arial"/>
                <w:sz w:val="14"/>
                <w:szCs w:val="14"/>
                <w:color w:val="auto"/>
              </w:rPr>
              <w:t>$</w:t>
            </w:r>
          </w:p>
        </w:tc>
        <w:tc>
          <w:tcPr>
            <w:tcW w:w="1820" w:type="dxa"/>
            <w:vAlign w:val="bottom"/>
          </w:tcPr>
          <w:p>
            <w:pPr>
              <w:jc w:val="right"/>
              <w:ind w:right="108"/>
              <w:spacing w:after="0"/>
              <w:rPr>
                <w:sz w:val="20"/>
                <w:szCs w:val="20"/>
                <w:color w:val="auto"/>
              </w:rPr>
            </w:pPr>
            <w:r>
              <w:rPr>
                <w:rFonts w:ascii="Arial" w:cs="Arial" w:eastAsia="Arial" w:hAnsi="Arial"/>
                <w:sz w:val="14"/>
                <w:szCs w:val="14"/>
                <w:color w:val="auto"/>
              </w:rPr>
              <w:t>322,856</w:t>
            </w:r>
          </w:p>
        </w:tc>
        <w:tc>
          <w:tcPr>
            <w:tcW w:w="2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620" w:type="dxa"/>
            <w:vAlign w:val="bottom"/>
            <w:tcBorders>
              <w:bottom w:val="single" w:sz="8" w:color="auto"/>
            </w:tcBorders>
            <w:shd w:val="clear" w:color="auto" w:fill="D8D8D8"/>
          </w:tcPr>
          <w:p>
            <w:pPr>
              <w:spacing w:after="0"/>
              <w:rPr>
                <w:sz w:val="19"/>
                <w:szCs w:val="19"/>
                <w:color w:val="auto"/>
              </w:rPr>
            </w:pPr>
          </w:p>
        </w:tc>
        <w:tc>
          <w:tcPr>
            <w:tcW w:w="1920" w:type="dxa"/>
            <w:vAlign w:val="bottom"/>
            <w:tcBorders>
              <w:bottom w:val="single" w:sz="8" w:color="auto"/>
            </w:tcBorders>
          </w:tcPr>
          <w:p>
            <w:pPr>
              <w:jc w:val="right"/>
              <w:ind w:right="115"/>
              <w:spacing w:after="0" w:line="229" w:lineRule="exact"/>
              <w:rPr>
                <w:sz w:val="20"/>
                <w:szCs w:val="20"/>
                <w:color w:val="auto"/>
              </w:rPr>
            </w:pPr>
            <w:r>
              <w:rPr>
                <w:rFonts w:ascii="Arial" w:cs="Arial" w:eastAsia="Arial" w:hAnsi="Arial"/>
                <w:sz w:val="14"/>
                <w:szCs w:val="14"/>
                <w:color w:val="auto"/>
              </w:rPr>
              <w:t xml:space="preserve">5,141  </w:t>
            </w:r>
            <w:r>
              <w:rPr>
                <w:rFonts w:ascii="Arial" w:cs="Arial" w:eastAsia="Arial" w:hAnsi="Arial"/>
                <w:sz w:val="21"/>
                <w:szCs w:val="21"/>
                <w:color w:val="auto"/>
                <w:vertAlign w:val="superscript"/>
              </w:rPr>
              <w:t>(5)</w:t>
            </w:r>
          </w:p>
        </w:tc>
        <w:tc>
          <w:tcPr>
            <w:tcW w:w="30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w:t>
            </w:r>
          </w:p>
        </w:tc>
        <w:tc>
          <w:tcPr>
            <w:tcW w:w="18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529,780</w:t>
            </w:r>
          </w:p>
        </w:tc>
        <w:tc>
          <w:tcPr>
            <w:tcW w:w="22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2620" w:type="dxa"/>
            <w:vAlign w:val="bottom"/>
            <w:shd w:val="clear" w:color="auto" w:fill="D8D8D8"/>
          </w:tcPr>
          <w:p>
            <w:pPr>
              <w:spacing w:after="0" w:line="156" w:lineRule="exact"/>
              <w:rPr>
                <w:sz w:val="20"/>
                <w:szCs w:val="20"/>
                <w:color w:val="auto"/>
              </w:rPr>
            </w:pPr>
            <w:r>
              <w:rPr>
                <w:rFonts w:ascii="Arial" w:cs="Arial" w:eastAsia="Arial" w:hAnsi="Arial"/>
                <w:sz w:val="14"/>
                <w:szCs w:val="14"/>
                <w:color w:val="auto"/>
              </w:rPr>
              <w:t>Dawn M. Becker</w:t>
            </w:r>
          </w:p>
        </w:tc>
        <w:tc>
          <w:tcPr>
            <w:tcW w:w="1920" w:type="dxa"/>
            <w:vAlign w:val="bottom"/>
          </w:tcPr>
          <w:p>
            <w:pPr>
              <w:jc w:val="right"/>
              <w:ind w:right="115"/>
              <w:spacing w:after="0" w:line="156" w:lineRule="exact"/>
              <w:rPr>
                <w:sz w:val="20"/>
                <w:szCs w:val="20"/>
                <w:color w:val="auto"/>
              </w:rPr>
            </w:pPr>
            <w:r>
              <w:rPr>
                <w:rFonts w:ascii="Arial" w:cs="Arial" w:eastAsia="Arial" w:hAnsi="Arial"/>
                <w:sz w:val="13"/>
                <w:szCs w:val="13"/>
                <w:color w:val="auto"/>
              </w:rPr>
              <w:t xml:space="preserve">1,959  </w:t>
            </w:r>
            <w:r>
              <w:rPr>
                <w:rFonts w:ascii="Arial" w:cs="Arial" w:eastAsia="Arial" w:hAnsi="Arial"/>
                <w:sz w:val="18"/>
                <w:szCs w:val="18"/>
                <w:color w:val="auto"/>
                <w:vertAlign w:val="superscript"/>
              </w:rPr>
              <w:t>(1)</w:t>
            </w:r>
          </w:p>
        </w:tc>
        <w:tc>
          <w:tcPr>
            <w:tcW w:w="300" w:type="dxa"/>
            <w:vAlign w:val="bottom"/>
          </w:tcPr>
          <w:p>
            <w:pPr>
              <w:ind w:left="160"/>
              <w:spacing w:after="0" w:line="156" w:lineRule="exact"/>
              <w:rPr>
                <w:sz w:val="20"/>
                <w:szCs w:val="20"/>
                <w:color w:val="auto"/>
              </w:rPr>
            </w:pPr>
            <w:r>
              <w:rPr>
                <w:rFonts w:ascii="Arial" w:cs="Arial" w:eastAsia="Arial" w:hAnsi="Arial"/>
                <w:sz w:val="14"/>
                <w:szCs w:val="14"/>
                <w:color w:val="auto"/>
              </w:rPr>
              <w:t>$</w:t>
            </w:r>
          </w:p>
        </w:tc>
        <w:tc>
          <w:tcPr>
            <w:tcW w:w="1820" w:type="dxa"/>
            <w:vAlign w:val="bottom"/>
          </w:tcPr>
          <w:p>
            <w:pPr>
              <w:jc w:val="right"/>
              <w:ind w:right="108"/>
              <w:spacing w:after="0" w:line="156" w:lineRule="exact"/>
              <w:rPr>
                <w:sz w:val="20"/>
                <w:szCs w:val="20"/>
                <w:color w:val="auto"/>
              </w:rPr>
            </w:pPr>
            <w:r>
              <w:rPr>
                <w:rFonts w:ascii="Arial" w:cs="Arial" w:eastAsia="Arial" w:hAnsi="Arial"/>
                <w:sz w:val="14"/>
                <w:szCs w:val="14"/>
                <w:color w:val="auto"/>
              </w:rPr>
              <w:t>201,875</w:t>
            </w:r>
          </w:p>
        </w:tc>
        <w:tc>
          <w:tcPr>
            <w:tcW w:w="2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620" w:type="dxa"/>
            <w:vAlign w:val="bottom"/>
            <w:shd w:val="clear" w:color="auto" w:fill="D8D8D8"/>
          </w:tcPr>
          <w:p>
            <w:pPr>
              <w:spacing w:after="0"/>
              <w:rPr>
                <w:sz w:val="14"/>
                <w:szCs w:val="14"/>
                <w:color w:val="auto"/>
              </w:rPr>
            </w:pPr>
          </w:p>
        </w:tc>
        <w:tc>
          <w:tcPr>
            <w:tcW w:w="1920" w:type="dxa"/>
            <w:vAlign w:val="bottom"/>
          </w:tcPr>
          <w:p>
            <w:pPr>
              <w:jc w:val="right"/>
              <w:ind w:right="115"/>
              <w:spacing w:after="0" w:line="162" w:lineRule="exact"/>
              <w:rPr>
                <w:sz w:val="20"/>
                <w:szCs w:val="20"/>
                <w:color w:val="auto"/>
              </w:rPr>
            </w:pPr>
            <w:r>
              <w:rPr>
                <w:rFonts w:ascii="Arial" w:cs="Arial" w:eastAsia="Arial" w:hAnsi="Arial"/>
                <w:sz w:val="13"/>
                <w:szCs w:val="13"/>
                <w:color w:val="auto"/>
              </w:rPr>
              <w:t xml:space="preserve">8,995  </w:t>
            </w:r>
            <w:r>
              <w:rPr>
                <w:rFonts w:ascii="Arial" w:cs="Arial" w:eastAsia="Arial" w:hAnsi="Arial"/>
                <w:sz w:val="18"/>
                <w:szCs w:val="18"/>
                <w:color w:val="auto"/>
                <w:vertAlign w:val="superscript"/>
              </w:rPr>
              <w:t>(1)</w:t>
            </w:r>
          </w:p>
        </w:tc>
        <w:tc>
          <w:tcPr>
            <w:tcW w:w="300" w:type="dxa"/>
            <w:vAlign w:val="bottom"/>
          </w:tcPr>
          <w:p>
            <w:pPr>
              <w:ind w:left="160"/>
              <w:spacing w:after="0"/>
              <w:rPr>
                <w:sz w:val="20"/>
                <w:szCs w:val="20"/>
                <w:color w:val="auto"/>
              </w:rPr>
            </w:pPr>
            <w:r>
              <w:rPr>
                <w:rFonts w:ascii="Arial" w:cs="Arial" w:eastAsia="Arial" w:hAnsi="Arial"/>
                <w:sz w:val="14"/>
                <w:szCs w:val="14"/>
                <w:color w:val="auto"/>
              </w:rPr>
              <w:t>$</w:t>
            </w:r>
          </w:p>
        </w:tc>
        <w:tc>
          <w:tcPr>
            <w:tcW w:w="1820" w:type="dxa"/>
            <w:vAlign w:val="bottom"/>
          </w:tcPr>
          <w:p>
            <w:pPr>
              <w:jc w:val="right"/>
              <w:ind w:right="108"/>
              <w:spacing w:after="0"/>
              <w:rPr>
                <w:sz w:val="20"/>
                <w:szCs w:val="20"/>
                <w:color w:val="auto"/>
              </w:rPr>
            </w:pPr>
            <w:r>
              <w:rPr>
                <w:rFonts w:ascii="Arial" w:cs="Arial" w:eastAsia="Arial" w:hAnsi="Arial"/>
                <w:sz w:val="14"/>
                <w:szCs w:val="14"/>
                <w:color w:val="auto"/>
              </w:rPr>
              <w:t>926,935</w:t>
            </w:r>
          </w:p>
        </w:tc>
        <w:tc>
          <w:tcPr>
            <w:tcW w:w="2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20" w:type="dxa"/>
            <w:vAlign w:val="bottom"/>
            <w:shd w:val="clear" w:color="auto" w:fill="D8D8D8"/>
          </w:tcPr>
          <w:p>
            <w:pPr>
              <w:spacing w:after="0"/>
              <w:rPr>
                <w:sz w:val="14"/>
                <w:szCs w:val="14"/>
                <w:color w:val="auto"/>
              </w:rPr>
            </w:pPr>
          </w:p>
        </w:tc>
        <w:tc>
          <w:tcPr>
            <w:tcW w:w="1920" w:type="dxa"/>
            <w:vAlign w:val="bottom"/>
          </w:tcPr>
          <w:p>
            <w:pPr>
              <w:jc w:val="right"/>
              <w:ind w:right="115"/>
              <w:spacing w:after="0" w:line="162" w:lineRule="exact"/>
              <w:rPr>
                <w:sz w:val="20"/>
                <w:szCs w:val="20"/>
                <w:color w:val="auto"/>
              </w:rPr>
            </w:pPr>
            <w:r>
              <w:rPr>
                <w:rFonts w:ascii="Arial" w:cs="Arial" w:eastAsia="Arial" w:hAnsi="Arial"/>
                <w:sz w:val="13"/>
                <w:szCs w:val="13"/>
                <w:color w:val="auto"/>
              </w:rPr>
              <w:t xml:space="preserve">704  </w:t>
            </w:r>
            <w:r>
              <w:rPr>
                <w:rFonts w:ascii="Arial" w:cs="Arial" w:eastAsia="Arial" w:hAnsi="Arial"/>
                <w:sz w:val="18"/>
                <w:szCs w:val="18"/>
                <w:color w:val="auto"/>
                <w:vertAlign w:val="superscript"/>
              </w:rPr>
              <w:t>(2)</w:t>
            </w:r>
          </w:p>
        </w:tc>
        <w:tc>
          <w:tcPr>
            <w:tcW w:w="300" w:type="dxa"/>
            <w:vAlign w:val="bottom"/>
          </w:tcPr>
          <w:p>
            <w:pPr>
              <w:ind w:left="160"/>
              <w:spacing w:after="0"/>
              <w:rPr>
                <w:sz w:val="20"/>
                <w:szCs w:val="20"/>
                <w:color w:val="auto"/>
              </w:rPr>
            </w:pPr>
            <w:r>
              <w:rPr>
                <w:rFonts w:ascii="Arial" w:cs="Arial" w:eastAsia="Arial" w:hAnsi="Arial"/>
                <w:sz w:val="14"/>
                <w:szCs w:val="14"/>
                <w:color w:val="auto"/>
              </w:rPr>
              <w:t>$</w:t>
            </w:r>
          </w:p>
        </w:tc>
        <w:tc>
          <w:tcPr>
            <w:tcW w:w="1820" w:type="dxa"/>
            <w:vAlign w:val="bottom"/>
          </w:tcPr>
          <w:p>
            <w:pPr>
              <w:jc w:val="right"/>
              <w:ind w:right="108"/>
              <w:spacing w:after="0"/>
              <w:rPr>
                <w:sz w:val="20"/>
                <w:szCs w:val="20"/>
                <w:color w:val="auto"/>
              </w:rPr>
            </w:pPr>
            <w:r>
              <w:rPr>
                <w:rFonts w:ascii="Arial" w:cs="Arial" w:eastAsia="Arial" w:hAnsi="Arial"/>
                <w:sz w:val="14"/>
                <w:szCs w:val="14"/>
                <w:color w:val="auto"/>
              </w:rPr>
              <w:t>72,547</w:t>
            </w:r>
          </w:p>
        </w:tc>
        <w:tc>
          <w:tcPr>
            <w:tcW w:w="2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20" w:type="dxa"/>
            <w:vAlign w:val="bottom"/>
            <w:shd w:val="clear" w:color="auto" w:fill="D8D8D8"/>
          </w:tcPr>
          <w:p>
            <w:pPr>
              <w:spacing w:after="0"/>
              <w:rPr>
                <w:sz w:val="14"/>
                <w:szCs w:val="14"/>
                <w:color w:val="auto"/>
              </w:rPr>
            </w:pPr>
          </w:p>
        </w:tc>
        <w:tc>
          <w:tcPr>
            <w:tcW w:w="1920" w:type="dxa"/>
            <w:vAlign w:val="bottom"/>
          </w:tcPr>
          <w:p>
            <w:pPr>
              <w:jc w:val="right"/>
              <w:ind w:right="115"/>
              <w:spacing w:after="0" w:line="162" w:lineRule="exact"/>
              <w:rPr>
                <w:sz w:val="20"/>
                <w:szCs w:val="20"/>
                <w:color w:val="auto"/>
              </w:rPr>
            </w:pPr>
            <w:r>
              <w:rPr>
                <w:rFonts w:ascii="Arial" w:cs="Arial" w:eastAsia="Arial" w:hAnsi="Arial"/>
                <w:sz w:val="13"/>
                <w:szCs w:val="13"/>
                <w:color w:val="auto"/>
              </w:rPr>
              <w:t xml:space="preserve">3,131  </w:t>
            </w:r>
            <w:r>
              <w:rPr>
                <w:rFonts w:ascii="Arial" w:cs="Arial" w:eastAsia="Arial" w:hAnsi="Arial"/>
                <w:sz w:val="18"/>
                <w:szCs w:val="18"/>
                <w:color w:val="auto"/>
                <w:vertAlign w:val="superscript"/>
              </w:rPr>
              <w:t>(2)</w:t>
            </w:r>
          </w:p>
        </w:tc>
        <w:tc>
          <w:tcPr>
            <w:tcW w:w="300" w:type="dxa"/>
            <w:vAlign w:val="bottom"/>
          </w:tcPr>
          <w:p>
            <w:pPr>
              <w:ind w:left="160"/>
              <w:spacing w:after="0"/>
              <w:rPr>
                <w:sz w:val="20"/>
                <w:szCs w:val="20"/>
                <w:color w:val="auto"/>
              </w:rPr>
            </w:pPr>
            <w:r>
              <w:rPr>
                <w:rFonts w:ascii="Arial" w:cs="Arial" w:eastAsia="Arial" w:hAnsi="Arial"/>
                <w:sz w:val="14"/>
                <w:szCs w:val="14"/>
                <w:color w:val="auto"/>
              </w:rPr>
              <w:t>$</w:t>
            </w:r>
          </w:p>
        </w:tc>
        <w:tc>
          <w:tcPr>
            <w:tcW w:w="1820" w:type="dxa"/>
            <w:vAlign w:val="bottom"/>
          </w:tcPr>
          <w:p>
            <w:pPr>
              <w:jc w:val="right"/>
              <w:ind w:right="108"/>
              <w:spacing w:after="0"/>
              <w:rPr>
                <w:sz w:val="20"/>
                <w:szCs w:val="20"/>
                <w:color w:val="auto"/>
              </w:rPr>
            </w:pPr>
            <w:r>
              <w:rPr>
                <w:rFonts w:ascii="Arial" w:cs="Arial" w:eastAsia="Arial" w:hAnsi="Arial"/>
                <w:sz w:val="14"/>
                <w:szCs w:val="14"/>
                <w:color w:val="auto"/>
              </w:rPr>
              <w:t>322,650</w:t>
            </w:r>
          </w:p>
        </w:tc>
        <w:tc>
          <w:tcPr>
            <w:tcW w:w="2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20" w:type="dxa"/>
            <w:vAlign w:val="bottom"/>
            <w:shd w:val="clear" w:color="auto" w:fill="D8D8D8"/>
          </w:tcPr>
          <w:p>
            <w:pPr>
              <w:spacing w:after="0"/>
              <w:rPr>
                <w:sz w:val="14"/>
                <w:szCs w:val="14"/>
                <w:color w:val="auto"/>
              </w:rPr>
            </w:pPr>
          </w:p>
        </w:tc>
        <w:tc>
          <w:tcPr>
            <w:tcW w:w="1920" w:type="dxa"/>
            <w:vAlign w:val="bottom"/>
          </w:tcPr>
          <w:p>
            <w:pPr>
              <w:jc w:val="right"/>
              <w:ind w:right="115"/>
              <w:spacing w:after="0" w:line="162" w:lineRule="exact"/>
              <w:rPr>
                <w:sz w:val="20"/>
                <w:szCs w:val="20"/>
                <w:color w:val="auto"/>
              </w:rPr>
            </w:pPr>
            <w:r>
              <w:rPr>
                <w:rFonts w:ascii="Arial" w:cs="Arial" w:eastAsia="Arial" w:hAnsi="Arial"/>
                <w:sz w:val="13"/>
                <w:szCs w:val="13"/>
                <w:color w:val="auto"/>
              </w:rPr>
              <w:t xml:space="preserve">279  </w:t>
            </w:r>
            <w:r>
              <w:rPr>
                <w:rFonts w:ascii="Arial" w:cs="Arial" w:eastAsia="Arial" w:hAnsi="Arial"/>
                <w:sz w:val="18"/>
                <w:szCs w:val="18"/>
                <w:color w:val="auto"/>
                <w:vertAlign w:val="superscript"/>
              </w:rPr>
              <w:t>(3)</w:t>
            </w:r>
          </w:p>
        </w:tc>
        <w:tc>
          <w:tcPr>
            <w:tcW w:w="300" w:type="dxa"/>
            <w:vAlign w:val="bottom"/>
          </w:tcPr>
          <w:p>
            <w:pPr>
              <w:ind w:left="160"/>
              <w:spacing w:after="0"/>
              <w:rPr>
                <w:sz w:val="20"/>
                <w:szCs w:val="20"/>
                <w:color w:val="auto"/>
              </w:rPr>
            </w:pPr>
            <w:r>
              <w:rPr>
                <w:rFonts w:ascii="Arial" w:cs="Arial" w:eastAsia="Arial" w:hAnsi="Arial"/>
                <w:sz w:val="14"/>
                <w:szCs w:val="14"/>
                <w:color w:val="auto"/>
              </w:rPr>
              <w:t>$</w:t>
            </w:r>
          </w:p>
        </w:tc>
        <w:tc>
          <w:tcPr>
            <w:tcW w:w="1820" w:type="dxa"/>
            <w:vAlign w:val="bottom"/>
          </w:tcPr>
          <w:p>
            <w:pPr>
              <w:jc w:val="right"/>
              <w:ind w:right="108"/>
              <w:spacing w:after="0"/>
              <w:rPr>
                <w:sz w:val="20"/>
                <w:szCs w:val="20"/>
                <w:color w:val="auto"/>
              </w:rPr>
            </w:pPr>
            <w:r>
              <w:rPr>
                <w:rFonts w:ascii="Arial" w:cs="Arial" w:eastAsia="Arial" w:hAnsi="Arial"/>
                <w:sz w:val="14"/>
                <w:szCs w:val="14"/>
                <w:color w:val="auto"/>
              </w:rPr>
              <w:t>28,751</w:t>
            </w:r>
          </w:p>
        </w:tc>
        <w:tc>
          <w:tcPr>
            <w:tcW w:w="2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620" w:type="dxa"/>
            <w:vAlign w:val="bottom"/>
            <w:tcBorders>
              <w:bottom w:val="single" w:sz="8" w:color="auto"/>
            </w:tcBorders>
            <w:shd w:val="clear" w:color="auto" w:fill="D8D8D8"/>
          </w:tcPr>
          <w:p>
            <w:pPr>
              <w:spacing w:after="0"/>
              <w:rPr>
                <w:sz w:val="19"/>
                <w:szCs w:val="19"/>
                <w:color w:val="auto"/>
              </w:rPr>
            </w:pPr>
          </w:p>
        </w:tc>
        <w:tc>
          <w:tcPr>
            <w:tcW w:w="1920" w:type="dxa"/>
            <w:vAlign w:val="bottom"/>
            <w:tcBorders>
              <w:bottom w:val="single" w:sz="8" w:color="auto"/>
            </w:tcBorders>
          </w:tcPr>
          <w:p>
            <w:pPr>
              <w:jc w:val="right"/>
              <w:ind w:right="115"/>
              <w:spacing w:after="0" w:line="229" w:lineRule="exact"/>
              <w:rPr>
                <w:sz w:val="20"/>
                <w:szCs w:val="20"/>
                <w:color w:val="auto"/>
              </w:rPr>
            </w:pPr>
            <w:r>
              <w:rPr>
                <w:rFonts w:ascii="Arial" w:cs="Arial" w:eastAsia="Arial" w:hAnsi="Arial"/>
                <w:sz w:val="14"/>
                <w:szCs w:val="14"/>
                <w:color w:val="auto"/>
              </w:rPr>
              <w:t xml:space="preserve">2,088  </w:t>
            </w:r>
            <w:r>
              <w:rPr>
                <w:rFonts w:ascii="Arial" w:cs="Arial" w:eastAsia="Arial" w:hAnsi="Arial"/>
                <w:sz w:val="21"/>
                <w:szCs w:val="21"/>
                <w:color w:val="auto"/>
                <w:vertAlign w:val="superscript"/>
              </w:rPr>
              <w:t>(3)</w:t>
            </w:r>
          </w:p>
        </w:tc>
        <w:tc>
          <w:tcPr>
            <w:tcW w:w="30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w:t>
            </w:r>
          </w:p>
        </w:tc>
        <w:tc>
          <w:tcPr>
            <w:tcW w:w="18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215,168</w:t>
            </w:r>
          </w:p>
        </w:tc>
        <w:tc>
          <w:tcPr>
            <w:tcW w:w="22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97" w:lineRule="exact"/>
        <w:rPr>
          <w:sz w:val="20"/>
          <w:szCs w:val="20"/>
          <w:color w:val="auto"/>
        </w:rPr>
      </w:pPr>
    </w:p>
    <w:p>
      <w:pPr>
        <w:ind w:left="540" w:hanging="424"/>
        <w:spacing w:after="0"/>
        <w:tabs>
          <w:tab w:leader="none" w:pos="540" w:val="left"/>
        </w:tabs>
        <w:numPr>
          <w:ilvl w:val="0"/>
          <w:numId w:val="71"/>
        </w:numPr>
        <w:rPr>
          <w:rFonts w:ascii="Arial" w:cs="Arial" w:eastAsia="Arial" w:hAnsi="Arial"/>
          <w:sz w:val="24"/>
          <w:szCs w:val="24"/>
          <w:color w:val="auto"/>
          <w:vertAlign w:val="superscript"/>
        </w:rPr>
      </w:pPr>
      <w:r>
        <w:rPr>
          <w:rFonts w:ascii="Arial" w:cs="Arial" w:eastAsia="Arial" w:hAnsi="Arial"/>
          <w:sz w:val="16"/>
          <w:szCs w:val="16"/>
          <w:color w:val="auto"/>
        </w:rPr>
        <w:t>One-third of these shares vested on February 12, 2024 and the remaining shares will vest equally on February 12 of each of 2025 and 2026.</w:t>
      </w:r>
    </w:p>
    <w:p>
      <w:pPr>
        <w:ind w:left="540" w:hanging="424"/>
        <w:spacing w:after="0" w:line="187" w:lineRule="auto"/>
        <w:tabs>
          <w:tab w:leader="none" w:pos="540" w:val="left"/>
        </w:tabs>
        <w:numPr>
          <w:ilvl w:val="0"/>
          <w:numId w:val="71"/>
        </w:numPr>
        <w:rPr>
          <w:rFonts w:ascii="Arial" w:cs="Arial" w:eastAsia="Arial" w:hAnsi="Arial"/>
          <w:sz w:val="21"/>
          <w:szCs w:val="21"/>
          <w:color w:val="auto"/>
          <w:vertAlign w:val="superscript"/>
        </w:rPr>
      </w:pPr>
      <w:r>
        <w:rPr>
          <w:rFonts w:ascii="Arial" w:cs="Arial" w:eastAsia="Arial" w:hAnsi="Arial"/>
          <w:sz w:val="14"/>
          <w:szCs w:val="14"/>
          <w:color w:val="auto"/>
        </w:rPr>
        <w:t>One-half of these shares vested on February 12, 2024 and the remaining shares will vest on February 12, 2025.</w:t>
      </w:r>
    </w:p>
    <w:p>
      <w:pPr>
        <w:ind w:left="540" w:hanging="424"/>
        <w:spacing w:after="0" w:line="187" w:lineRule="auto"/>
        <w:tabs>
          <w:tab w:leader="none" w:pos="540" w:val="left"/>
        </w:tabs>
        <w:numPr>
          <w:ilvl w:val="0"/>
          <w:numId w:val="71"/>
        </w:numPr>
        <w:rPr>
          <w:rFonts w:ascii="Arial" w:cs="Arial" w:eastAsia="Arial" w:hAnsi="Arial"/>
          <w:sz w:val="21"/>
          <w:szCs w:val="21"/>
          <w:color w:val="auto"/>
          <w:vertAlign w:val="superscript"/>
        </w:rPr>
      </w:pPr>
      <w:r>
        <w:rPr>
          <w:rFonts w:ascii="Arial" w:cs="Arial" w:eastAsia="Arial" w:hAnsi="Arial"/>
          <w:sz w:val="14"/>
          <w:szCs w:val="14"/>
          <w:color w:val="auto"/>
        </w:rPr>
        <w:t>These shares vested on February 12, 2024.</w:t>
      </w:r>
    </w:p>
    <w:p>
      <w:pPr>
        <w:ind w:left="540" w:right="20" w:hanging="424"/>
        <w:spacing w:after="0" w:line="197" w:lineRule="auto"/>
        <w:tabs>
          <w:tab w:leader="none" w:pos="540" w:val="left"/>
        </w:tabs>
        <w:numPr>
          <w:ilvl w:val="0"/>
          <w:numId w:val="71"/>
        </w:numPr>
        <w:rPr>
          <w:rFonts w:ascii="Arial" w:cs="Arial" w:eastAsia="Arial" w:hAnsi="Arial"/>
          <w:sz w:val="24"/>
          <w:szCs w:val="24"/>
          <w:color w:val="auto"/>
          <w:vertAlign w:val="superscript"/>
        </w:rPr>
      </w:pPr>
      <w:r>
        <w:rPr>
          <w:rFonts w:ascii="Arial" w:cs="Arial" w:eastAsia="Arial" w:hAnsi="Arial"/>
          <w:sz w:val="16"/>
          <w:szCs w:val="16"/>
          <w:color w:val="auto"/>
        </w:rPr>
        <w:t>The number of shares represent the threshold payout level. The final number of shares earned cannot be determined until after December 31, 2024, the end of the performance period.</w:t>
      </w:r>
    </w:p>
    <w:p>
      <w:pPr>
        <w:ind w:left="540" w:hanging="424"/>
        <w:spacing w:after="0" w:line="187" w:lineRule="auto"/>
        <w:tabs>
          <w:tab w:leader="none" w:pos="540" w:val="left"/>
        </w:tabs>
        <w:numPr>
          <w:ilvl w:val="0"/>
          <w:numId w:val="71"/>
        </w:numPr>
        <w:rPr>
          <w:rFonts w:ascii="Arial" w:cs="Arial" w:eastAsia="Arial" w:hAnsi="Arial"/>
          <w:sz w:val="21"/>
          <w:szCs w:val="21"/>
          <w:color w:val="auto"/>
          <w:vertAlign w:val="superscript"/>
        </w:rPr>
      </w:pPr>
      <w:r>
        <w:rPr>
          <w:rFonts w:ascii="Arial" w:cs="Arial" w:eastAsia="Arial" w:hAnsi="Arial"/>
          <w:sz w:val="14"/>
          <w:szCs w:val="14"/>
          <w:color w:val="auto"/>
        </w:rPr>
        <w:t>These shares will vest equally on August 3 of each of 2024, 2025 and 2026.</w:t>
      </w:r>
    </w:p>
    <w:p>
      <w:pPr>
        <w:ind w:left="540" w:hanging="424"/>
        <w:spacing w:after="0" w:line="180" w:lineRule="auto"/>
        <w:tabs>
          <w:tab w:leader="none" w:pos="540" w:val="left"/>
        </w:tabs>
        <w:numPr>
          <w:ilvl w:val="0"/>
          <w:numId w:val="71"/>
        </w:numPr>
        <w:rPr>
          <w:rFonts w:ascii="Arial" w:cs="Arial" w:eastAsia="Arial" w:hAnsi="Arial"/>
          <w:sz w:val="23"/>
          <w:szCs w:val="23"/>
          <w:color w:val="auto"/>
          <w:vertAlign w:val="superscript"/>
        </w:rPr>
      </w:pPr>
      <w:r>
        <w:rPr>
          <w:rFonts w:ascii="Arial" w:cs="Arial" w:eastAsia="Arial" w:hAnsi="Arial"/>
          <w:sz w:val="16"/>
          <w:szCs w:val="16"/>
          <w:color w:val="auto"/>
        </w:rPr>
        <w:t>The value of shares is calculated based on $103.05, the closing price of our shares on the NYSE on December 29,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86995</wp:posOffset>
            </wp:positionV>
            <wp:extent cx="7003415" cy="12001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003415" cy="120015"/>
                    </a:xfrm>
                    <a:prstGeom prst="rect">
                      <a:avLst/>
                    </a:prstGeom>
                    <a:noFill/>
                  </pic:spPr>
                </pic:pic>
              </a:graphicData>
            </a:graphic>
          </wp:anchor>
        </w:drawing>
      </w:r>
    </w:p>
    <w:p>
      <w:pPr>
        <w:spacing w:after="0" w:line="122" w:lineRule="exact"/>
        <w:rPr>
          <w:sz w:val="20"/>
          <w:szCs w:val="20"/>
          <w:color w:val="auto"/>
        </w:rPr>
      </w:pPr>
    </w:p>
    <w:p>
      <w:pPr>
        <w:ind w:left="8080"/>
        <w:spacing w:after="0"/>
        <w:rPr>
          <w:sz w:val="20"/>
          <w:szCs w:val="20"/>
          <w:color w:val="auto"/>
        </w:rPr>
      </w:pPr>
      <w:r>
        <w:rPr>
          <w:rFonts w:ascii="Arial" w:cs="Arial" w:eastAsia="Arial" w:hAnsi="Arial"/>
          <w:sz w:val="14"/>
          <w:szCs w:val="14"/>
          <w:color w:val="FF160F"/>
        </w:rPr>
        <w:t>Federal Realty</w:t>
      </w:r>
      <w:r>
        <w:rPr>
          <w:rFonts w:ascii="Arial" w:cs="Arial" w:eastAsia="Arial" w:hAnsi="Arial"/>
          <w:sz w:val="14"/>
          <w:szCs w:val="14"/>
          <w:color w:val="000000"/>
        </w:rPr>
        <w:t xml:space="preserve">      2024 Proxy Statement   33</w:t>
      </w:r>
    </w:p>
    <w:p>
      <w:pPr>
        <w:sectPr>
          <w:pgSz w:w="11900" w:h="16838" w:orient="portrait"/>
          <w:cols w:equalWidth="0" w:num="1">
            <w:col w:w="11140"/>
          </w:cols>
          <w:pgMar w:left="320" w:top="482" w:right="4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69" w:lineRule="exact"/>
        <w:rPr>
          <w:sz w:val="20"/>
          <w:szCs w:val="20"/>
          <w:color w:val="auto"/>
        </w:rPr>
      </w:pPr>
    </w:p>
    <w:p>
      <w:pPr>
        <w:ind w:left="120"/>
        <w:spacing w:after="0" w:line="207" w:lineRule="exact"/>
        <w:rPr>
          <w:sz w:val="20"/>
          <w:szCs w:val="20"/>
          <w:color w:val="auto"/>
        </w:rPr>
      </w:pPr>
      <w:r>
        <w:rPr>
          <w:rFonts w:ascii="MS PGothic" w:cs="MS PGothic" w:eastAsia="MS PGothic" w:hAnsi="MS PGothic"/>
          <w:sz w:val="18"/>
          <w:szCs w:val="18"/>
          <w:color w:val="000000"/>
          <w:shd w:val="clear" w:color="auto" w:fill="FF160F"/>
        </w:rPr>
        <w:t>➣</w:t>
      </w:r>
      <w:r>
        <w:rPr>
          <w:rFonts w:ascii="Arial" w:cs="Arial" w:eastAsia="Arial" w:hAnsi="Arial"/>
          <w:sz w:val="18"/>
          <w:szCs w:val="18"/>
          <w:b w:val="1"/>
          <w:bCs w:val="1"/>
          <w:color w:val="FF160F"/>
        </w:rPr>
        <w:t xml:space="preserve">   OPTIONS EXERCISED AND STOCK VESTED IN 2023</w:t>
      </w:r>
    </w:p>
    <w:p>
      <w:pPr>
        <w:spacing w:after="0" w:line="265" w:lineRule="exact"/>
        <w:rPr>
          <w:sz w:val="20"/>
          <w:szCs w:val="20"/>
          <w:color w:val="auto"/>
        </w:rPr>
      </w:pPr>
    </w:p>
    <w:p>
      <w:pPr>
        <w:ind w:left="120" w:right="20"/>
        <w:spacing w:after="0" w:line="271" w:lineRule="auto"/>
        <w:rPr>
          <w:sz w:val="20"/>
          <w:szCs w:val="20"/>
          <w:color w:val="auto"/>
        </w:rPr>
      </w:pPr>
      <w:r>
        <w:rPr>
          <w:rFonts w:ascii="Arial" w:cs="Arial" w:eastAsia="Arial" w:hAnsi="Arial"/>
          <w:sz w:val="18"/>
          <w:szCs w:val="18"/>
          <w:color w:val="auto"/>
        </w:rPr>
        <w:t>The following table includes information with respect to shares held by our NEOs that vested in 2023. None of our NEOs holds any options or exercised any options during 2023.</w:t>
      </w:r>
    </w:p>
    <w:p>
      <w:pPr>
        <w:spacing w:after="0" w:line="199" w:lineRule="exact"/>
        <w:rPr>
          <w:sz w:val="20"/>
          <w:szCs w:val="20"/>
          <w:color w:val="auto"/>
        </w:rPr>
      </w:pPr>
    </w:p>
    <w:tbl>
      <w:tblPr>
        <w:tblLayout w:type="fixed"/>
        <w:tblInd w:w="120" w:type="dxa"/>
        <w:tblCellMar>
          <w:top w:w="0" w:type="dxa"/>
          <w:left w:w="0" w:type="dxa"/>
          <w:bottom w:w="0" w:type="dxa"/>
          <w:right w:w="0" w:type="dxa"/>
        </w:tblCellMar>
      </w:tblPr>
      <w:tr>
        <w:trPr>
          <w:trHeight w:val="254"/>
        </w:trPr>
        <w:tc>
          <w:tcPr>
            <w:tcW w:w="3160" w:type="dxa"/>
            <w:vAlign w:val="bottom"/>
            <w:shd w:val="clear" w:color="auto" w:fill="FF160F"/>
          </w:tcPr>
          <w:p>
            <w:pPr>
              <w:spacing w:after="0"/>
              <w:rPr>
                <w:sz w:val="22"/>
                <w:szCs w:val="22"/>
                <w:color w:val="auto"/>
              </w:rPr>
            </w:pPr>
          </w:p>
        </w:tc>
        <w:tc>
          <w:tcPr>
            <w:tcW w:w="5140" w:type="dxa"/>
            <w:vAlign w:val="bottom"/>
            <w:shd w:val="clear" w:color="auto" w:fill="FF160F"/>
          </w:tcPr>
          <w:p>
            <w:pPr>
              <w:spacing w:after="0"/>
              <w:rPr>
                <w:sz w:val="22"/>
                <w:szCs w:val="22"/>
                <w:color w:val="auto"/>
              </w:rPr>
            </w:pPr>
          </w:p>
        </w:tc>
        <w:tc>
          <w:tcPr>
            <w:tcW w:w="1500" w:type="dxa"/>
            <w:vAlign w:val="bottom"/>
            <w:shd w:val="clear" w:color="auto" w:fill="FF160F"/>
          </w:tcPr>
          <w:p>
            <w:pPr>
              <w:ind w:left="20"/>
              <w:spacing w:after="0"/>
              <w:rPr>
                <w:sz w:val="20"/>
                <w:szCs w:val="20"/>
                <w:color w:val="auto"/>
              </w:rPr>
            </w:pPr>
            <w:r>
              <w:rPr>
                <w:rFonts w:ascii="Arial" w:cs="Arial" w:eastAsia="Arial" w:hAnsi="Arial"/>
                <w:sz w:val="14"/>
                <w:szCs w:val="14"/>
                <w:b w:val="1"/>
                <w:bCs w:val="1"/>
                <w:color w:val="EAEFED"/>
              </w:rPr>
              <w:t>Stock Awards</w:t>
            </w:r>
          </w:p>
        </w:tc>
        <w:tc>
          <w:tcPr>
            <w:tcW w:w="1220" w:type="dxa"/>
            <w:vAlign w:val="bottom"/>
            <w:shd w:val="clear" w:color="auto" w:fill="FF160F"/>
          </w:tcPr>
          <w:p>
            <w:pPr>
              <w:spacing w:after="0"/>
              <w:rPr>
                <w:sz w:val="22"/>
                <w:szCs w:val="22"/>
                <w:color w:val="auto"/>
              </w:rPr>
            </w:pPr>
          </w:p>
        </w:tc>
      </w:tr>
      <w:tr>
        <w:trPr>
          <w:trHeight w:val="245"/>
        </w:trPr>
        <w:tc>
          <w:tcPr>
            <w:tcW w:w="3160" w:type="dxa"/>
            <w:vAlign w:val="bottom"/>
            <w:shd w:val="clear" w:color="auto" w:fill="FF160F"/>
          </w:tcPr>
          <w:p>
            <w:pPr>
              <w:spacing w:after="0"/>
              <w:rPr>
                <w:sz w:val="21"/>
                <w:szCs w:val="21"/>
                <w:color w:val="auto"/>
              </w:rPr>
            </w:pPr>
          </w:p>
        </w:tc>
        <w:tc>
          <w:tcPr>
            <w:tcW w:w="5140" w:type="dxa"/>
            <w:vAlign w:val="bottom"/>
            <w:shd w:val="clear" w:color="auto" w:fill="FF160F"/>
          </w:tcPr>
          <w:p>
            <w:pPr>
              <w:jc w:val="right"/>
              <w:spacing w:after="0"/>
              <w:rPr>
                <w:sz w:val="20"/>
                <w:szCs w:val="20"/>
                <w:color w:val="auto"/>
              </w:rPr>
            </w:pPr>
            <w:r>
              <w:rPr>
                <w:rFonts w:ascii="Arial" w:cs="Arial" w:eastAsia="Arial" w:hAnsi="Arial"/>
                <w:sz w:val="14"/>
                <w:szCs w:val="14"/>
                <w:b w:val="1"/>
                <w:bCs w:val="1"/>
                <w:color w:val="EAEFED"/>
              </w:rPr>
              <w:t>Number of Shares</w:t>
            </w:r>
          </w:p>
        </w:tc>
        <w:tc>
          <w:tcPr>
            <w:tcW w:w="2720" w:type="dxa"/>
            <w:vAlign w:val="bottom"/>
            <w:gridSpan w:val="2"/>
            <w:shd w:val="clear" w:color="auto" w:fill="FF160F"/>
          </w:tcPr>
          <w:p>
            <w:pPr>
              <w:ind w:left="1400"/>
              <w:spacing w:after="0"/>
              <w:rPr>
                <w:sz w:val="20"/>
                <w:szCs w:val="20"/>
                <w:color w:val="auto"/>
              </w:rPr>
            </w:pPr>
            <w:r>
              <w:rPr>
                <w:rFonts w:ascii="Arial" w:cs="Arial" w:eastAsia="Arial" w:hAnsi="Arial"/>
                <w:sz w:val="14"/>
                <w:szCs w:val="14"/>
                <w:b w:val="1"/>
                <w:bCs w:val="1"/>
                <w:color w:val="EAEFED"/>
              </w:rPr>
              <w:t>Value Realized</w:t>
            </w:r>
          </w:p>
        </w:tc>
      </w:tr>
      <w:tr>
        <w:trPr>
          <w:trHeight w:val="229"/>
        </w:trPr>
        <w:tc>
          <w:tcPr>
            <w:tcW w:w="3160" w:type="dxa"/>
            <w:vAlign w:val="bottom"/>
            <w:shd w:val="clear" w:color="auto" w:fill="FF160F"/>
          </w:tcPr>
          <w:p>
            <w:pPr>
              <w:spacing w:after="0"/>
              <w:rPr>
                <w:sz w:val="20"/>
                <w:szCs w:val="20"/>
                <w:color w:val="auto"/>
              </w:rPr>
            </w:pPr>
            <w:r>
              <w:rPr>
                <w:rFonts w:ascii="Arial" w:cs="Arial" w:eastAsia="Arial" w:hAnsi="Arial"/>
                <w:sz w:val="14"/>
                <w:szCs w:val="14"/>
                <w:b w:val="1"/>
                <w:bCs w:val="1"/>
                <w:color w:val="EAEFED"/>
              </w:rPr>
              <w:t>Name</w:t>
            </w:r>
          </w:p>
        </w:tc>
        <w:tc>
          <w:tcPr>
            <w:tcW w:w="5140" w:type="dxa"/>
            <w:vAlign w:val="bottom"/>
            <w:shd w:val="clear" w:color="auto" w:fill="FF160F"/>
          </w:tcPr>
          <w:p>
            <w:pPr>
              <w:jc w:val="right"/>
              <w:spacing w:after="0"/>
              <w:rPr>
                <w:sz w:val="20"/>
                <w:szCs w:val="20"/>
                <w:color w:val="auto"/>
              </w:rPr>
            </w:pPr>
            <w:r>
              <w:rPr>
                <w:rFonts w:ascii="Arial" w:cs="Arial" w:eastAsia="Arial" w:hAnsi="Arial"/>
                <w:sz w:val="14"/>
                <w:szCs w:val="14"/>
                <w:b w:val="1"/>
                <w:bCs w:val="1"/>
                <w:color w:val="EAEFED"/>
              </w:rPr>
              <w:t>Acquired on Vesting</w:t>
            </w:r>
          </w:p>
        </w:tc>
        <w:tc>
          <w:tcPr>
            <w:tcW w:w="1500" w:type="dxa"/>
            <w:vAlign w:val="bottom"/>
            <w:shd w:val="clear" w:color="auto" w:fill="FF160F"/>
          </w:tcPr>
          <w:p>
            <w:pPr>
              <w:spacing w:after="0"/>
              <w:rPr>
                <w:sz w:val="19"/>
                <w:szCs w:val="19"/>
                <w:color w:val="auto"/>
              </w:rPr>
            </w:pPr>
          </w:p>
        </w:tc>
        <w:tc>
          <w:tcPr>
            <w:tcW w:w="1220" w:type="dxa"/>
            <w:vAlign w:val="bottom"/>
            <w:shd w:val="clear" w:color="auto" w:fill="FF160F"/>
          </w:tcPr>
          <w:p>
            <w:pPr>
              <w:jc w:val="right"/>
              <w:ind w:right="248"/>
              <w:spacing w:after="0" w:line="229" w:lineRule="exact"/>
              <w:rPr>
                <w:sz w:val="20"/>
                <w:szCs w:val="20"/>
                <w:color w:val="auto"/>
              </w:rPr>
            </w:pPr>
            <w:r>
              <w:rPr>
                <w:rFonts w:ascii="Arial" w:cs="Arial" w:eastAsia="Arial" w:hAnsi="Arial"/>
                <w:sz w:val="14"/>
                <w:szCs w:val="14"/>
                <w:b w:val="1"/>
                <w:bCs w:val="1"/>
                <w:color w:val="EAEFED"/>
                <w:w w:val="99"/>
              </w:rPr>
              <w:t>on Vesting</w:t>
            </w:r>
            <w:r>
              <w:rPr>
                <w:rFonts w:ascii="Arial" w:cs="Arial" w:eastAsia="Arial" w:hAnsi="Arial"/>
                <w:sz w:val="21"/>
                <w:szCs w:val="21"/>
                <w:b w:val="1"/>
                <w:bCs w:val="1"/>
                <w:color w:val="EAEFED"/>
                <w:w w:val="99"/>
                <w:vertAlign w:val="superscript"/>
              </w:rPr>
              <w:t>(1)</w:t>
            </w:r>
          </w:p>
        </w:tc>
      </w:tr>
      <w:tr>
        <w:trPr>
          <w:trHeight w:val="153"/>
        </w:trPr>
        <w:tc>
          <w:tcPr>
            <w:tcW w:w="3160" w:type="dxa"/>
            <w:vAlign w:val="bottom"/>
            <w:shd w:val="clear" w:color="auto" w:fill="D8D8D8"/>
          </w:tcPr>
          <w:p>
            <w:pPr>
              <w:spacing w:after="0" w:line="153" w:lineRule="exact"/>
              <w:rPr>
                <w:sz w:val="20"/>
                <w:szCs w:val="20"/>
                <w:color w:val="auto"/>
              </w:rPr>
            </w:pPr>
            <w:r>
              <w:rPr>
                <w:rFonts w:ascii="Arial" w:cs="Arial" w:eastAsia="Arial" w:hAnsi="Arial"/>
                <w:sz w:val="14"/>
                <w:szCs w:val="14"/>
                <w:color w:val="auto"/>
              </w:rPr>
              <w:t>Donald C. Wood</w:t>
            </w:r>
          </w:p>
        </w:tc>
        <w:tc>
          <w:tcPr>
            <w:tcW w:w="5140" w:type="dxa"/>
            <w:vAlign w:val="bottom"/>
          </w:tcPr>
          <w:p>
            <w:pPr>
              <w:jc w:val="right"/>
              <w:spacing w:after="0" w:line="153" w:lineRule="exact"/>
              <w:rPr>
                <w:sz w:val="20"/>
                <w:szCs w:val="20"/>
                <w:color w:val="auto"/>
              </w:rPr>
            </w:pPr>
            <w:r>
              <w:rPr>
                <w:rFonts w:ascii="Arial" w:cs="Arial" w:eastAsia="Arial" w:hAnsi="Arial"/>
                <w:sz w:val="14"/>
                <w:szCs w:val="14"/>
                <w:color w:val="auto"/>
              </w:rPr>
              <w:t>50,478</w:t>
            </w:r>
          </w:p>
        </w:tc>
        <w:tc>
          <w:tcPr>
            <w:tcW w:w="1500" w:type="dxa"/>
            <w:vAlign w:val="bottom"/>
          </w:tcPr>
          <w:p>
            <w:pPr>
              <w:ind w:left="1380"/>
              <w:spacing w:after="0" w:line="153" w:lineRule="exact"/>
              <w:rPr>
                <w:sz w:val="20"/>
                <w:szCs w:val="20"/>
                <w:color w:val="auto"/>
              </w:rPr>
            </w:pPr>
            <w:r>
              <w:rPr>
                <w:rFonts w:ascii="Arial" w:cs="Arial" w:eastAsia="Arial" w:hAnsi="Arial"/>
                <w:sz w:val="14"/>
                <w:szCs w:val="14"/>
                <w:color w:val="auto"/>
              </w:rPr>
              <w:t>$</w:t>
            </w:r>
          </w:p>
        </w:tc>
        <w:tc>
          <w:tcPr>
            <w:tcW w:w="1220" w:type="dxa"/>
            <w:vAlign w:val="bottom"/>
          </w:tcPr>
          <w:p>
            <w:pPr>
              <w:jc w:val="right"/>
              <w:ind w:right="248"/>
              <w:spacing w:after="0" w:line="153" w:lineRule="exact"/>
              <w:rPr>
                <w:sz w:val="20"/>
                <w:szCs w:val="20"/>
                <w:color w:val="auto"/>
              </w:rPr>
            </w:pPr>
            <w:r>
              <w:rPr>
                <w:rFonts w:ascii="Arial" w:cs="Arial" w:eastAsia="Arial" w:hAnsi="Arial"/>
                <w:sz w:val="14"/>
                <w:szCs w:val="14"/>
                <w:color w:val="auto"/>
              </w:rPr>
              <w:t> 5,551,066</w:t>
            </w:r>
          </w:p>
        </w:tc>
      </w:tr>
      <w:tr>
        <w:trPr>
          <w:trHeight w:val="162"/>
        </w:trPr>
        <w:tc>
          <w:tcPr>
            <w:tcW w:w="3160" w:type="dxa"/>
            <w:vAlign w:val="bottom"/>
            <w:shd w:val="clear" w:color="auto" w:fill="D8D8D8"/>
          </w:tcPr>
          <w:p>
            <w:pPr>
              <w:spacing w:after="0"/>
              <w:rPr>
                <w:sz w:val="20"/>
                <w:szCs w:val="20"/>
                <w:color w:val="auto"/>
              </w:rPr>
            </w:pPr>
            <w:r>
              <w:rPr>
                <w:rFonts w:ascii="Arial" w:cs="Arial" w:eastAsia="Arial" w:hAnsi="Arial"/>
                <w:sz w:val="14"/>
                <w:szCs w:val="14"/>
                <w:color w:val="auto"/>
              </w:rPr>
              <w:t>Jeffrey S. Berkes</w:t>
            </w:r>
          </w:p>
        </w:tc>
        <w:tc>
          <w:tcPr>
            <w:tcW w:w="5140" w:type="dxa"/>
            <w:vAlign w:val="bottom"/>
          </w:tcPr>
          <w:p>
            <w:pPr>
              <w:jc w:val="right"/>
              <w:spacing w:after="0"/>
              <w:rPr>
                <w:sz w:val="20"/>
                <w:szCs w:val="20"/>
                <w:color w:val="auto"/>
              </w:rPr>
            </w:pPr>
            <w:r>
              <w:rPr>
                <w:rFonts w:ascii="Arial" w:cs="Arial" w:eastAsia="Arial" w:hAnsi="Arial"/>
                <w:sz w:val="14"/>
                <w:szCs w:val="14"/>
                <w:color w:val="auto"/>
              </w:rPr>
              <w:t>16,135</w:t>
            </w:r>
          </w:p>
        </w:tc>
        <w:tc>
          <w:tcPr>
            <w:tcW w:w="1500" w:type="dxa"/>
            <w:vAlign w:val="bottom"/>
          </w:tcPr>
          <w:p>
            <w:pPr>
              <w:ind w:left="1380"/>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248"/>
              <w:spacing w:after="0"/>
              <w:rPr>
                <w:sz w:val="20"/>
                <w:szCs w:val="20"/>
                <w:color w:val="auto"/>
              </w:rPr>
            </w:pPr>
            <w:r>
              <w:rPr>
                <w:rFonts w:ascii="Arial" w:cs="Arial" w:eastAsia="Arial" w:hAnsi="Arial"/>
                <w:sz w:val="14"/>
                <w:szCs w:val="14"/>
                <w:color w:val="auto"/>
              </w:rPr>
              <w:t>1,774,366</w:t>
            </w:r>
          </w:p>
        </w:tc>
      </w:tr>
      <w:tr>
        <w:trPr>
          <w:trHeight w:val="162"/>
        </w:trPr>
        <w:tc>
          <w:tcPr>
            <w:tcW w:w="3160" w:type="dxa"/>
            <w:vAlign w:val="bottom"/>
            <w:shd w:val="clear" w:color="auto" w:fill="D8D8D8"/>
          </w:tcPr>
          <w:p>
            <w:pPr>
              <w:spacing w:after="0"/>
              <w:rPr>
                <w:sz w:val="20"/>
                <w:szCs w:val="20"/>
                <w:color w:val="auto"/>
              </w:rPr>
            </w:pPr>
            <w:r>
              <w:rPr>
                <w:rFonts w:ascii="Arial" w:cs="Arial" w:eastAsia="Arial" w:hAnsi="Arial"/>
                <w:sz w:val="14"/>
                <w:szCs w:val="14"/>
                <w:color w:val="auto"/>
              </w:rPr>
              <w:t>Daniel Guglielmone</w:t>
            </w:r>
          </w:p>
        </w:tc>
        <w:tc>
          <w:tcPr>
            <w:tcW w:w="5140" w:type="dxa"/>
            <w:vAlign w:val="bottom"/>
          </w:tcPr>
          <w:p>
            <w:pPr>
              <w:jc w:val="right"/>
              <w:spacing w:after="0"/>
              <w:rPr>
                <w:sz w:val="20"/>
                <w:szCs w:val="20"/>
                <w:color w:val="auto"/>
              </w:rPr>
            </w:pPr>
            <w:r>
              <w:rPr>
                <w:rFonts w:ascii="Arial" w:cs="Arial" w:eastAsia="Arial" w:hAnsi="Arial"/>
                <w:sz w:val="14"/>
                <w:szCs w:val="14"/>
                <w:color w:val="auto"/>
              </w:rPr>
              <w:t>10,625</w:t>
            </w:r>
          </w:p>
        </w:tc>
        <w:tc>
          <w:tcPr>
            <w:tcW w:w="1500" w:type="dxa"/>
            <w:vAlign w:val="bottom"/>
          </w:tcPr>
          <w:p>
            <w:pPr>
              <w:ind w:left="1380"/>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248"/>
              <w:spacing w:after="0"/>
              <w:rPr>
                <w:sz w:val="20"/>
                <w:szCs w:val="20"/>
                <w:color w:val="auto"/>
              </w:rPr>
            </w:pPr>
            <w:r>
              <w:rPr>
                <w:rFonts w:ascii="Arial" w:cs="Arial" w:eastAsia="Arial" w:hAnsi="Arial"/>
                <w:sz w:val="14"/>
                <w:szCs w:val="14"/>
                <w:color w:val="auto"/>
              </w:rPr>
              <w:t>1,146,256</w:t>
            </w:r>
          </w:p>
        </w:tc>
      </w:tr>
      <w:tr>
        <w:trPr>
          <w:trHeight w:val="190"/>
        </w:trPr>
        <w:tc>
          <w:tcPr>
            <w:tcW w:w="3160" w:type="dxa"/>
            <w:vAlign w:val="bottom"/>
            <w:shd w:val="clear" w:color="auto" w:fill="D8D8D8"/>
          </w:tcPr>
          <w:p>
            <w:pPr>
              <w:spacing w:after="0"/>
              <w:rPr>
                <w:sz w:val="20"/>
                <w:szCs w:val="20"/>
                <w:color w:val="auto"/>
              </w:rPr>
            </w:pPr>
            <w:r>
              <w:rPr>
                <w:rFonts w:ascii="Arial" w:cs="Arial" w:eastAsia="Arial" w:hAnsi="Arial"/>
                <w:sz w:val="14"/>
                <w:szCs w:val="14"/>
                <w:color w:val="auto"/>
              </w:rPr>
              <w:t>Dawn M. Becker</w:t>
            </w:r>
          </w:p>
        </w:tc>
        <w:tc>
          <w:tcPr>
            <w:tcW w:w="5140" w:type="dxa"/>
            <w:vAlign w:val="bottom"/>
          </w:tcPr>
          <w:p>
            <w:pPr>
              <w:jc w:val="right"/>
              <w:spacing w:after="0"/>
              <w:rPr>
                <w:sz w:val="20"/>
                <w:szCs w:val="20"/>
                <w:color w:val="auto"/>
              </w:rPr>
            </w:pPr>
            <w:r>
              <w:rPr>
                <w:rFonts w:ascii="Arial" w:cs="Arial" w:eastAsia="Arial" w:hAnsi="Arial"/>
                <w:sz w:val="14"/>
                <w:szCs w:val="14"/>
                <w:color w:val="auto"/>
              </w:rPr>
              <w:t>6,271</w:t>
            </w:r>
          </w:p>
        </w:tc>
        <w:tc>
          <w:tcPr>
            <w:tcW w:w="1500" w:type="dxa"/>
            <w:vAlign w:val="bottom"/>
          </w:tcPr>
          <w:p>
            <w:pPr>
              <w:ind w:left="1380"/>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248"/>
              <w:spacing w:after="0"/>
              <w:rPr>
                <w:sz w:val="20"/>
                <w:szCs w:val="20"/>
                <w:color w:val="auto"/>
              </w:rPr>
            </w:pPr>
            <w:r>
              <w:rPr>
                <w:rFonts w:ascii="Arial" w:cs="Arial" w:eastAsia="Arial" w:hAnsi="Arial"/>
                <w:sz w:val="14"/>
                <w:szCs w:val="14"/>
                <w:color w:val="auto"/>
              </w:rPr>
              <w:t>689,622</w:t>
            </w:r>
          </w:p>
        </w:tc>
      </w:tr>
      <w:tr>
        <w:trPr>
          <w:trHeight w:val="35"/>
        </w:trPr>
        <w:tc>
          <w:tcPr>
            <w:tcW w:w="3160" w:type="dxa"/>
            <w:vAlign w:val="bottom"/>
            <w:shd w:val="clear" w:color="auto" w:fill="D8D8D8"/>
          </w:tcPr>
          <w:p>
            <w:pPr>
              <w:spacing w:after="0"/>
              <w:rPr>
                <w:sz w:val="3"/>
                <w:szCs w:val="3"/>
                <w:color w:val="auto"/>
              </w:rPr>
            </w:pPr>
          </w:p>
        </w:tc>
        <w:tc>
          <w:tcPr>
            <w:tcW w:w="514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220" w:type="dxa"/>
            <w:vAlign w:val="bottom"/>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07" w:lineRule="exact"/>
        <w:rPr>
          <w:sz w:val="20"/>
          <w:szCs w:val="20"/>
          <w:color w:val="auto"/>
        </w:rPr>
      </w:pPr>
    </w:p>
    <w:p>
      <w:pPr>
        <w:ind w:left="540" w:hanging="424"/>
        <w:spacing w:after="0"/>
        <w:tabs>
          <w:tab w:leader="none" w:pos="540" w:val="left"/>
        </w:tabs>
        <w:numPr>
          <w:ilvl w:val="0"/>
          <w:numId w:val="72"/>
        </w:numPr>
        <w:rPr>
          <w:rFonts w:ascii="Arial" w:cs="Arial" w:eastAsia="Arial" w:hAnsi="Arial"/>
          <w:sz w:val="24"/>
          <w:szCs w:val="24"/>
          <w:color w:val="auto"/>
          <w:vertAlign w:val="superscript"/>
        </w:rPr>
      </w:pPr>
      <w:r>
        <w:rPr>
          <w:rFonts w:ascii="Arial" w:cs="Arial" w:eastAsia="Arial" w:hAnsi="Arial"/>
          <w:sz w:val="16"/>
          <w:szCs w:val="16"/>
          <w:color w:val="auto"/>
        </w:rPr>
        <w:t>The amounts in this column were calculated using the closing price of a share on the date the shares vested.</w:t>
      </w:r>
    </w:p>
    <w:p>
      <w:pPr>
        <w:spacing w:after="0" w:line="254" w:lineRule="exact"/>
        <w:rPr>
          <w:sz w:val="20"/>
          <w:szCs w:val="20"/>
          <w:color w:val="auto"/>
        </w:rPr>
      </w:pPr>
    </w:p>
    <w:p>
      <w:pPr>
        <w:ind w:left="120"/>
        <w:spacing w:after="0" w:line="207" w:lineRule="exact"/>
        <w:rPr>
          <w:sz w:val="20"/>
          <w:szCs w:val="20"/>
          <w:color w:val="auto"/>
        </w:rPr>
      </w:pPr>
      <w:r>
        <w:rPr>
          <w:rFonts w:ascii="MS PGothic" w:cs="MS PGothic" w:eastAsia="MS PGothic" w:hAnsi="MS PGothic"/>
          <w:sz w:val="18"/>
          <w:szCs w:val="18"/>
          <w:color w:val="000000"/>
          <w:shd w:val="clear" w:color="auto" w:fill="FF160F"/>
        </w:rPr>
        <w:t>➣</w:t>
      </w:r>
      <w:r>
        <w:rPr>
          <w:rFonts w:ascii="Arial" w:cs="Arial" w:eastAsia="Arial" w:hAnsi="Arial"/>
          <w:sz w:val="18"/>
          <w:szCs w:val="18"/>
          <w:b w:val="1"/>
          <w:bCs w:val="1"/>
          <w:color w:val="FF160F"/>
        </w:rPr>
        <w:t xml:space="preserve">   NON-QUALIFIED DEFERRED COMPENSATION</w:t>
      </w:r>
    </w:p>
    <w:p>
      <w:pPr>
        <w:spacing w:after="0" w:line="225" w:lineRule="exact"/>
        <w:rPr>
          <w:sz w:val="20"/>
          <w:szCs w:val="20"/>
          <w:color w:val="auto"/>
        </w:rPr>
      </w:pPr>
    </w:p>
    <w:p>
      <w:pPr>
        <w:jc w:val="both"/>
        <w:ind w:left="120"/>
        <w:spacing w:after="0" w:line="239" w:lineRule="auto"/>
        <w:rPr>
          <w:sz w:val="20"/>
          <w:szCs w:val="20"/>
          <w:color w:val="auto"/>
        </w:rPr>
      </w:pPr>
      <w:r>
        <w:rPr>
          <w:rFonts w:ascii="Arial" w:cs="Arial" w:eastAsia="Arial" w:hAnsi="Arial"/>
          <w:sz w:val="18"/>
          <w:szCs w:val="18"/>
          <w:color w:val="auto"/>
        </w:rPr>
        <w:t>We maintain a non-qualified deferred compensation plan that is open to participation by 53 members of our management team, including our NEOs. Each participant can elect to defer up to 100% of his or her base salary and cash payment under our annual bonus plan with deferral elections made in December of each year for amounts to be earned in the following year. A number of widely available investment options are made available to each plan participant who then decides how to allocate amounts deferred among those investment options. The amount earned by plan participants on their deferrals is calculated by our third party plan administrator as if the amounts deferred had actually been invested in the investment options selected by each participant. We do not make any contributions to the deferred compensation plan for any individual nor do we guaranty any rate of return on amounts deferred. Amounts deferred into the plan, including amounts earned on the deferrals, are generally payable to the participant shortly after he or she retires or is otherwise no longer employed by us; however, there are a few other alternatives where amounts may be paid to a participant sooner. All of our NEOs other than Mr. Guglielmone participate in our deferred compensation plan. 2023 activity for the participants in our plan is described below.</w:t>
      </w:r>
    </w:p>
    <w:p>
      <w:pPr>
        <w:spacing w:after="0" w:line="202"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1660" w:type="dxa"/>
            <w:vAlign w:val="bottom"/>
            <w:shd w:val="clear" w:color="auto" w:fill="FF160F"/>
          </w:tcPr>
          <w:p>
            <w:pPr>
              <w:spacing w:after="0"/>
              <w:rPr>
                <w:sz w:val="18"/>
                <w:szCs w:val="18"/>
                <w:color w:val="auto"/>
              </w:rPr>
            </w:pPr>
          </w:p>
        </w:tc>
        <w:tc>
          <w:tcPr>
            <w:tcW w:w="300" w:type="dxa"/>
            <w:vAlign w:val="bottom"/>
            <w:shd w:val="clear" w:color="auto" w:fill="FF160F"/>
          </w:tcPr>
          <w:p>
            <w:pPr>
              <w:spacing w:after="0"/>
              <w:rPr>
                <w:sz w:val="18"/>
                <w:szCs w:val="18"/>
                <w:color w:val="auto"/>
              </w:rPr>
            </w:pPr>
          </w:p>
        </w:tc>
        <w:tc>
          <w:tcPr>
            <w:tcW w:w="1620" w:type="dxa"/>
            <w:vAlign w:val="bottom"/>
            <w:shd w:val="clear" w:color="auto" w:fill="FF160F"/>
          </w:tcPr>
          <w:p>
            <w:pPr>
              <w:jc w:val="right"/>
              <w:ind w:right="110"/>
              <w:spacing w:after="0"/>
              <w:rPr>
                <w:sz w:val="20"/>
                <w:szCs w:val="20"/>
                <w:color w:val="auto"/>
              </w:rPr>
            </w:pPr>
            <w:r>
              <w:rPr>
                <w:rFonts w:ascii="Arial" w:cs="Arial" w:eastAsia="Arial" w:hAnsi="Arial"/>
                <w:sz w:val="18"/>
                <w:szCs w:val="18"/>
                <w:b w:val="1"/>
                <w:bCs w:val="1"/>
                <w:color w:val="FFFFFF"/>
              </w:rPr>
              <w:t>Executive</w:t>
            </w:r>
          </w:p>
        </w:tc>
        <w:tc>
          <w:tcPr>
            <w:tcW w:w="700" w:type="dxa"/>
            <w:vAlign w:val="bottom"/>
            <w:shd w:val="clear" w:color="auto" w:fill="FF160F"/>
          </w:tcPr>
          <w:p>
            <w:pPr>
              <w:spacing w:after="0"/>
              <w:rPr>
                <w:sz w:val="18"/>
                <w:szCs w:val="18"/>
                <w:color w:val="auto"/>
              </w:rPr>
            </w:pPr>
          </w:p>
        </w:tc>
        <w:tc>
          <w:tcPr>
            <w:tcW w:w="1540" w:type="dxa"/>
            <w:vAlign w:val="bottom"/>
            <w:shd w:val="clear" w:color="auto" w:fill="FF160F"/>
          </w:tcPr>
          <w:p>
            <w:pPr>
              <w:jc w:val="right"/>
              <w:ind w:right="110"/>
              <w:spacing w:after="0"/>
              <w:rPr>
                <w:sz w:val="20"/>
                <w:szCs w:val="20"/>
                <w:color w:val="auto"/>
              </w:rPr>
            </w:pPr>
            <w:r>
              <w:rPr>
                <w:rFonts w:ascii="Arial" w:cs="Arial" w:eastAsia="Arial" w:hAnsi="Arial"/>
                <w:sz w:val="18"/>
                <w:szCs w:val="18"/>
                <w:b w:val="1"/>
                <w:bCs w:val="1"/>
                <w:color w:val="FFFFFF"/>
              </w:rPr>
              <w:t>Registrant</w:t>
            </w:r>
          </w:p>
        </w:tc>
        <w:tc>
          <w:tcPr>
            <w:tcW w:w="460" w:type="dxa"/>
            <w:vAlign w:val="bottom"/>
            <w:shd w:val="clear" w:color="auto" w:fill="FF160F"/>
          </w:tcPr>
          <w:p>
            <w:pPr>
              <w:spacing w:after="0"/>
              <w:rPr>
                <w:sz w:val="18"/>
                <w:szCs w:val="18"/>
                <w:color w:val="auto"/>
              </w:rPr>
            </w:pPr>
          </w:p>
        </w:tc>
        <w:tc>
          <w:tcPr>
            <w:tcW w:w="1360" w:type="dxa"/>
            <w:vAlign w:val="bottom"/>
            <w:shd w:val="clear" w:color="auto" w:fill="FF160F"/>
          </w:tcPr>
          <w:p>
            <w:pPr>
              <w:jc w:val="right"/>
              <w:ind w:right="150"/>
              <w:spacing w:after="0"/>
              <w:rPr>
                <w:sz w:val="20"/>
                <w:szCs w:val="20"/>
                <w:color w:val="auto"/>
              </w:rPr>
            </w:pPr>
            <w:r>
              <w:rPr>
                <w:rFonts w:ascii="Arial" w:cs="Arial" w:eastAsia="Arial" w:hAnsi="Arial"/>
                <w:sz w:val="18"/>
                <w:szCs w:val="18"/>
                <w:b w:val="1"/>
                <w:bCs w:val="1"/>
                <w:color w:val="FFFFFF"/>
              </w:rPr>
              <w:t>Aggregate</w:t>
            </w:r>
          </w:p>
        </w:tc>
        <w:tc>
          <w:tcPr>
            <w:tcW w:w="380" w:type="dxa"/>
            <w:vAlign w:val="bottom"/>
            <w:shd w:val="clear" w:color="auto" w:fill="FF160F"/>
          </w:tcPr>
          <w:p>
            <w:pPr>
              <w:spacing w:after="0"/>
              <w:rPr>
                <w:sz w:val="18"/>
                <w:szCs w:val="18"/>
                <w:color w:val="auto"/>
              </w:rPr>
            </w:pPr>
          </w:p>
        </w:tc>
        <w:tc>
          <w:tcPr>
            <w:tcW w:w="1180" w:type="dxa"/>
            <w:vAlign w:val="bottom"/>
            <w:shd w:val="clear" w:color="auto" w:fill="FF160F"/>
          </w:tcPr>
          <w:p>
            <w:pPr>
              <w:jc w:val="right"/>
              <w:ind w:right="130"/>
              <w:spacing w:after="0"/>
              <w:rPr>
                <w:sz w:val="20"/>
                <w:szCs w:val="20"/>
                <w:color w:val="auto"/>
              </w:rPr>
            </w:pPr>
            <w:r>
              <w:rPr>
                <w:rFonts w:ascii="Arial" w:cs="Arial" w:eastAsia="Arial" w:hAnsi="Arial"/>
                <w:sz w:val="18"/>
                <w:szCs w:val="18"/>
                <w:b w:val="1"/>
                <w:bCs w:val="1"/>
                <w:color w:val="FFFFFF"/>
              </w:rPr>
              <w:t>Aggregate</w:t>
            </w:r>
          </w:p>
        </w:tc>
        <w:tc>
          <w:tcPr>
            <w:tcW w:w="500" w:type="dxa"/>
            <w:vAlign w:val="bottom"/>
            <w:shd w:val="clear" w:color="auto" w:fill="FF160F"/>
          </w:tcPr>
          <w:p>
            <w:pPr>
              <w:spacing w:after="0"/>
              <w:rPr>
                <w:sz w:val="18"/>
                <w:szCs w:val="18"/>
                <w:color w:val="auto"/>
              </w:rPr>
            </w:pPr>
          </w:p>
        </w:tc>
        <w:tc>
          <w:tcPr>
            <w:tcW w:w="1320" w:type="dxa"/>
            <w:vAlign w:val="bottom"/>
            <w:shd w:val="clear" w:color="auto" w:fill="FF160F"/>
          </w:tcPr>
          <w:p>
            <w:pPr>
              <w:jc w:val="right"/>
              <w:ind w:right="170"/>
              <w:spacing w:after="0"/>
              <w:rPr>
                <w:sz w:val="20"/>
                <w:szCs w:val="20"/>
                <w:color w:val="auto"/>
              </w:rPr>
            </w:pPr>
            <w:r>
              <w:rPr>
                <w:rFonts w:ascii="Arial" w:cs="Arial" w:eastAsia="Arial" w:hAnsi="Arial"/>
                <w:sz w:val="18"/>
                <w:szCs w:val="18"/>
                <w:b w:val="1"/>
                <w:bCs w:val="1"/>
                <w:color w:val="FFFFFF"/>
              </w:rPr>
              <w:t>Aggregate</w:t>
            </w:r>
          </w:p>
        </w:tc>
      </w:tr>
      <w:tr>
        <w:trPr>
          <w:trHeight w:val="203"/>
        </w:trPr>
        <w:tc>
          <w:tcPr>
            <w:tcW w:w="1660" w:type="dxa"/>
            <w:vAlign w:val="bottom"/>
            <w:shd w:val="clear" w:color="auto" w:fill="FF160F"/>
          </w:tcPr>
          <w:p>
            <w:pPr>
              <w:spacing w:after="0"/>
              <w:rPr>
                <w:sz w:val="17"/>
                <w:szCs w:val="17"/>
                <w:color w:val="auto"/>
              </w:rPr>
            </w:pPr>
          </w:p>
        </w:tc>
        <w:tc>
          <w:tcPr>
            <w:tcW w:w="300" w:type="dxa"/>
            <w:vAlign w:val="bottom"/>
            <w:shd w:val="clear" w:color="auto" w:fill="FF160F"/>
          </w:tcPr>
          <w:p>
            <w:pPr>
              <w:spacing w:after="0"/>
              <w:rPr>
                <w:sz w:val="17"/>
                <w:szCs w:val="17"/>
                <w:color w:val="auto"/>
              </w:rPr>
            </w:pPr>
          </w:p>
        </w:tc>
        <w:tc>
          <w:tcPr>
            <w:tcW w:w="1620" w:type="dxa"/>
            <w:vAlign w:val="bottom"/>
            <w:shd w:val="clear" w:color="auto" w:fill="FF160F"/>
          </w:tcPr>
          <w:p>
            <w:pPr>
              <w:jc w:val="right"/>
              <w:ind w:right="110"/>
              <w:spacing w:after="0" w:line="202" w:lineRule="exact"/>
              <w:rPr>
                <w:sz w:val="20"/>
                <w:szCs w:val="20"/>
                <w:color w:val="auto"/>
              </w:rPr>
            </w:pPr>
            <w:r>
              <w:rPr>
                <w:rFonts w:ascii="Arial" w:cs="Arial" w:eastAsia="Arial" w:hAnsi="Arial"/>
                <w:sz w:val="18"/>
                <w:szCs w:val="18"/>
                <w:b w:val="1"/>
                <w:bCs w:val="1"/>
                <w:color w:val="FFFFFF"/>
              </w:rPr>
              <w:t>Contributions in</w:t>
            </w:r>
          </w:p>
        </w:tc>
        <w:tc>
          <w:tcPr>
            <w:tcW w:w="2240" w:type="dxa"/>
            <w:vAlign w:val="bottom"/>
            <w:gridSpan w:val="2"/>
            <w:shd w:val="clear" w:color="auto" w:fill="FF160F"/>
          </w:tcPr>
          <w:p>
            <w:pPr>
              <w:ind w:left="220"/>
              <w:spacing w:after="0" w:line="202" w:lineRule="exact"/>
              <w:rPr>
                <w:sz w:val="20"/>
                <w:szCs w:val="20"/>
                <w:color w:val="auto"/>
              </w:rPr>
            </w:pPr>
            <w:r>
              <w:rPr>
                <w:rFonts w:ascii="Arial" w:cs="Arial" w:eastAsia="Arial" w:hAnsi="Arial"/>
                <w:sz w:val="18"/>
                <w:szCs w:val="18"/>
                <w:b w:val="1"/>
                <w:bCs w:val="1"/>
                <w:color w:val="FFFFFF"/>
              </w:rPr>
              <w:t>Contributions in Last</w:t>
            </w:r>
          </w:p>
        </w:tc>
        <w:tc>
          <w:tcPr>
            <w:tcW w:w="460" w:type="dxa"/>
            <w:vAlign w:val="bottom"/>
            <w:shd w:val="clear" w:color="auto" w:fill="FF160F"/>
          </w:tcPr>
          <w:p>
            <w:pPr>
              <w:spacing w:after="0"/>
              <w:rPr>
                <w:sz w:val="17"/>
                <w:szCs w:val="17"/>
                <w:color w:val="auto"/>
              </w:rPr>
            </w:pPr>
          </w:p>
        </w:tc>
        <w:tc>
          <w:tcPr>
            <w:tcW w:w="1360" w:type="dxa"/>
            <w:vAlign w:val="bottom"/>
            <w:shd w:val="clear" w:color="auto" w:fill="FF160F"/>
          </w:tcPr>
          <w:p>
            <w:pPr>
              <w:jc w:val="right"/>
              <w:ind w:right="150"/>
              <w:spacing w:after="0" w:line="202" w:lineRule="exact"/>
              <w:rPr>
                <w:sz w:val="20"/>
                <w:szCs w:val="20"/>
                <w:color w:val="auto"/>
              </w:rPr>
            </w:pPr>
            <w:r>
              <w:rPr>
                <w:rFonts w:ascii="Arial" w:cs="Arial" w:eastAsia="Arial" w:hAnsi="Arial"/>
                <w:sz w:val="18"/>
                <w:szCs w:val="18"/>
                <w:b w:val="1"/>
                <w:bCs w:val="1"/>
                <w:color w:val="FFFFFF"/>
              </w:rPr>
              <w:t>Earnings in</w:t>
            </w:r>
          </w:p>
        </w:tc>
        <w:tc>
          <w:tcPr>
            <w:tcW w:w="1560" w:type="dxa"/>
            <w:vAlign w:val="bottom"/>
            <w:gridSpan w:val="2"/>
            <w:shd w:val="clear" w:color="auto" w:fill="FF160F"/>
          </w:tcPr>
          <w:p>
            <w:pPr>
              <w:ind w:left="220"/>
              <w:spacing w:after="0" w:line="202" w:lineRule="exact"/>
              <w:rPr>
                <w:sz w:val="20"/>
                <w:szCs w:val="20"/>
                <w:color w:val="auto"/>
              </w:rPr>
            </w:pPr>
            <w:r>
              <w:rPr>
                <w:rFonts w:ascii="Arial" w:cs="Arial" w:eastAsia="Arial" w:hAnsi="Arial"/>
                <w:sz w:val="18"/>
                <w:szCs w:val="18"/>
                <w:b w:val="1"/>
                <w:bCs w:val="1"/>
                <w:color w:val="FFFFFF"/>
              </w:rPr>
              <w:t>Withdrawals/</w:t>
            </w:r>
          </w:p>
        </w:tc>
        <w:tc>
          <w:tcPr>
            <w:tcW w:w="1820" w:type="dxa"/>
            <w:vAlign w:val="bottom"/>
            <w:gridSpan w:val="2"/>
            <w:shd w:val="clear" w:color="auto" w:fill="FF160F"/>
          </w:tcPr>
          <w:p>
            <w:pPr>
              <w:jc w:val="right"/>
              <w:ind w:right="170"/>
              <w:spacing w:after="0" w:line="202" w:lineRule="exact"/>
              <w:rPr>
                <w:sz w:val="20"/>
                <w:szCs w:val="20"/>
                <w:color w:val="auto"/>
              </w:rPr>
            </w:pPr>
            <w:r>
              <w:rPr>
                <w:rFonts w:ascii="Arial" w:cs="Arial" w:eastAsia="Arial" w:hAnsi="Arial"/>
                <w:sz w:val="18"/>
                <w:szCs w:val="18"/>
                <w:b w:val="1"/>
                <w:bCs w:val="1"/>
                <w:color w:val="FFFFFF"/>
              </w:rPr>
              <w:t>Balance at Last</w:t>
            </w:r>
          </w:p>
        </w:tc>
      </w:tr>
      <w:tr>
        <w:trPr>
          <w:trHeight w:val="235"/>
        </w:trPr>
        <w:tc>
          <w:tcPr>
            <w:tcW w:w="1660" w:type="dxa"/>
            <w:vAlign w:val="bottom"/>
            <w:shd w:val="clear" w:color="auto" w:fill="FF160F"/>
          </w:tcPr>
          <w:p>
            <w:pPr>
              <w:spacing w:after="0"/>
              <w:rPr>
                <w:sz w:val="20"/>
                <w:szCs w:val="20"/>
                <w:color w:val="auto"/>
              </w:rPr>
            </w:pPr>
            <w:r>
              <w:rPr>
                <w:rFonts w:ascii="Arial" w:cs="Arial" w:eastAsia="Arial" w:hAnsi="Arial"/>
                <w:sz w:val="18"/>
                <w:szCs w:val="18"/>
                <w:b w:val="1"/>
                <w:bCs w:val="1"/>
                <w:color w:val="EAEFED"/>
              </w:rPr>
              <w:t>Name</w:t>
            </w:r>
          </w:p>
        </w:tc>
        <w:tc>
          <w:tcPr>
            <w:tcW w:w="1920" w:type="dxa"/>
            <w:vAlign w:val="bottom"/>
            <w:gridSpan w:val="2"/>
            <w:shd w:val="clear" w:color="auto" w:fill="FF160F"/>
          </w:tcPr>
          <w:p>
            <w:pPr>
              <w:ind w:left="180"/>
              <w:spacing w:after="0" w:line="235" w:lineRule="exact"/>
              <w:rPr>
                <w:sz w:val="20"/>
                <w:szCs w:val="20"/>
                <w:color w:val="auto"/>
              </w:rPr>
            </w:pPr>
            <w:r>
              <w:rPr>
                <w:rFonts w:ascii="Arial" w:cs="Arial" w:eastAsia="Arial" w:hAnsi="Arial"/>
                <w:sz w:val="18"/>
                <w:szCs w:val="18"/>
                <w:b w:val="1"/>
                <w:bCs w:val="1"/>
                <w:color w:val="FFFFFF"/>
              </w:rPr>
              <w:t>Last Fiscal Year</w:t>
            </w:r>
            <w:r>
              <w:rPr>
                <w:rFonts w:ascii="Arial" w:cs="Arial" w:eastAsia="Arial" w:hAnsi="Arial"/>
                <w:sz w:val="26"/>
                <w:szCs w:val="26"/>
                <w:b w:val="1"/>
                <w:bCs w:val="1"/>
                <w:color w:val="FFFFFF"/>
                <w:vertAlign w:val="superscript"/>
              </w:rPr>
              <w:t>(1)</w:t>
            </w:r>
          </w:p>
        </w:tc>
        <w:tc>
          <w:tcPr>
            <w:tcW w:w="700" w:type="dxa"/>
            <w:vAlign w:val="bottom"/>
            <w:shd w:val="clear" w:color="auto" w:fill="FF160F"/>
          </w:tcPr>
          <w:p>
            <w:pPr>
              <w:spacing w:after="0"/>
              <w:rPr>
                <w:sz w:val="20"/>
                <w:szCs w:val="20"/>
                <w:color w:val="auto"/>
              </w:rPr>
            </w:pPr>
          </w:p>
        </w:tc>
        <w:tc>
          <w:tcPr>
            <w:tcW w:w="1540" w:type="dxa"/>
            <w:vAlign w:val="bottom"/>
            <w:shd w:val="clear" w:color="auto" w:fill="FF160F"/>
          </w:tcPr>
          <w:p>
            <w:pPr>
              <w:jc w:val="right"/>
              <w:ind w:right="110"/>
              <w:spacing w:after="0"/>
              <w:rPr>
                <w:sz w:val="20"/>
                <w:szCs w:val="20"/>
                <w:color w:val="auto"/>
              </w:rPr>
            </w:pPr>
            <w:r>
              <w:rPr>
                <w:rFonts w:ascii="Arial" w:cs="Arial" w:eastAsia="Arial" w:hAnsi="Arial"/>
                <w:sz w:val="18"/>
                <w:szCs w:val="18"/>
                <w:b w:val="1"/>
                <w:bCs w:val="1"/>
                <w:color w:val="FFFFFF"/>
              </w:rPr>
              <w:t>Fiscal Year</w:t>
            </w:r>
          </w:p>
        </w:tc>
        <w:tc>
          <w:tcPr>
            <w:tcW w:w="1820" w:type="dxa"/>
            <w:vAlign w:val="bottom"/>
            <w:gridSpan w:val="2"/>
            <w:shd w:val="clear" w:color="auto" w:fill="FF160F"/>
          </w:tcPr>
          <w:p>
            <w:pPr>
              <w:ind w:left="240"/>
              <w:spacing w:after="0"/>
              <w:rPr>
                <w:sz w:val="20"/>
                <w:szCs w:val="20"/>
                <w:color w:val="auto"/>
              </w:rPr>
            </w:pPr>
            <w:r>
              <w:rPr>
                <w:rFonts w:ascii="Arial" w:cs="Arial" w:eastAsia="Arial" w:hAnsi="Arial"/>
                <w:sz w:val="18"/>
                <w:szCs w:val="18"/>
                <w:b w:val="1"/>
                <w:bCs w:val="1"/>
                <w:color w:val="FFFFFF"/>
              </w:rPr>
              <w:t>Last Fiscal Year</w:t>
            </w:r>
          </w:p>
        </w:tc>
        <w:tc>
          <w:tcPr>
            <w:tcW w:w="1560" w:type="dxa"/>
            <w:vAlign w:val="bottom"/>
            <w:gridSpan w:val="2"/>
            <w:shd w:val="clear" w:color="auto" w:fill="FF160F"/>
          </w:tcPr>
          <w:p>
            <w:pPr>
              <w:ind w:left="220"/>
              <w:spacing w:after="0"/>
              <w:rPr>
                <w:sz w:val="20"/>
                <w:szCs w:val="20"/>
                <w:color w:val="auto"/>
              </w:rPr>
            </w:pPr>
            <w:r>
              <w:rPr>
                <w:rFonts w:ascii="Arial" w:cs="Arial" w:eastAsia="Arial" w:hAnsi="Arial"/>
                <w:sz w:val="18"/>
                <w:szCs w:val="18"/>
                <w:b w:val="1"/>
                <w:bCs w:val="1"/>
                <w:color w:val="FFFFFF"/>
              </w:rPr>
              <w:t>Distributions</w:t>
            </w:r>
          </w:p>
        </w:tc>
        <w:tc>
          <w:tcPr>
            <w:tcW w:w="1820" w:type="dxa"/>
            <w:vAlign w:val="bottom"/>
            <w:gridSpan w:val="2"/>
            <w:shd w:val="clear" w:color="auto" w:fill="FF160F"/>
          </w:tcPr>
          <w:p>
            <w:pPr>
              <w:ind w:left="240"/>
              <w:spacing w:after="0"/>
              <w:rPr>
                <w:sz w:val="20"/>
                <w:szCs w:val="20"/>
                <w:color w:val="auto"/>
              </w:rPr>
            </w:pPr>
            <w:r>
              <w:rPr>
                <w:rFonts w:ascii="Arial" w:cs="Arial" w:eastAsia="Arial" w:hAnsi="Arial"/>
                <w:sz w:val="18"/>
                <w:szCs w:val="18"/>
                <w:b w:val="1"/>
                <w:bCs w:val="1"/>
                <w:color w:val="FFFFFF"/>
              </w:rPr>
              <w:t>Fiscal Year-End</w:t>
            </w:r>
          </w:p>
        </w:tc>
      </w:tr>
      <w:tr>
        <w:trPr>
          <w:trHeight w:val="184"/>
        </w:trPr>
        <w:tc>
          <w:tcPr>
            <w:tcW w:w="1660" w:type="dxa"/>
            <w:vAlign w:val="bottom"/>
            <w:shd w:val="clear" w:color="auto" w:fill="D8D8D8"/>
          </w:tcPr>
          <w:p>
            <w:pPr>
              <w:spacing w:after="0" w:line="183" w:lineRule="exact"/>
              <w:rPr>
                <w:sz w:val="20"/>
                <w:szCs w:val="20"/>
                <w:color w:val="auto"/>
              </w:rPr>
            </w:pPr>
            <w:r>
              <w:rPr>
                <w:rFonts w:ascii="Arial" w:cs="Arial" w:eastAsia="Arial" w:hAnsi="Arial"/>
                <w:sz w:val="18"/>
                <w:szCs w:val="18"/>
                <w:color w:val="auto"/>
              </w:rPr>
              <w:t>Donald C. Wood</w:t>
            </w:r>
          </w:p>
        </w:tc>
        <w:tc>
          <w:tcPr>
            <w:tcW w:w="300" w:type="dxa"/>
            <w:vAlign w:val="bottom"/>
          </w:tcPr>
          <w:p>
            <w:pPr>
              <w:ind w:left="180"/>
              <w:spacing w:after="0" w:line="183" w:lineRule="exact"/>
              <w:rPr>
                <w:sz w:val="20"/>
                <w:szCs w:val="20"/>
                <w:color w:val="auto"/>
              </w:rPr>
            </w:pPr>
            <w:r>
              <w:rPr>
                <w:rFonts w:ascii="Arial" w:cs="Arial" w:eastAsia="Arial" w:hAnsi="Arial"/>
                <w:sz w:val="18"/>
                <w:szCs w:val="18"/>
                <w:color w:val="auto"/>
                <w:w w:val="99"/>
              </w:rPr>
              <w:t>$</w:t>
            </w:r>
          </w:p>
        </w:tc>
        <w:tc>
          <w:tcPr>
            <w:tcW w:w="1620" w:type="dxa"/>
            <w:vAlign w:val="bottom"/>
          </w:tcPr>
          <w:p>
            <w:pPr>
              <w:jc w:val="right"/>
              <w:ind w:right="110"/>
              <w:spacing w:after="0" w:line="183" w:lineRule="exact"/>
              <w:rPr>
                <w:sz w:val="20"/>
                <w:szCs w:val="20"/>
                <w:color w:val="auto"/>
              </w:rPr>
            </w:pPr>
            <w:r>
              <w:rPr>
                <w:rFonts w:ascii="Arial" w:cs="Arial" w:eastAsia="Arial" w:hAnsi="Arial"/>
                <w:sz w:val="18"/>
                <w:szCs w:val="18"/>
                <w:color w:val="auto"/>
              </w:rPr>
              <w:t>250,000</w:t>
            </w:r>
          </w:p>
        </w:tc>
        <w:tc>
          <w:tcPr>
            <w:tcW w:w="700" w:type="dxa"/>
            <w:vAlign w:val="bottom"/>
          </w:tcPr>
          <w:p>
            <w:pPr>
              <w:ind w:left="200"/>
              <w:spacing w:after="0" w:line="183" w:lineRule="exact"/>
              <w:rPr>
                <w:sz w:val="20"/>
                <w:szCs w:val="20"/>
                <w:color w:val="auto"/>
              </w:rPr>
            </w:pPr>
            <w:r>
              <w:rPr>
                <w:rFonts w:ascii="Arial" w:cs="Arial" w:eastAsia="Arial" w:hAnsi="Arial"/>
                <w:sz w:val="18"/>
                <w:szCs w:val="18"/>
                <w:color w:val="auto"/>
              </w:rPr>
              <w:t>$</w:t>
            </w:r>
          </w:p>
        </w:tc>
        <w:tc>
          <w:tcPr>
            <w:tcW w:w="1540" w:type="dxa"/>
            <w:vAlign w:val="bottom"/>
          </w:tcPr>
          <w:p>
            <w:pPr>
              <w:jc w:val="right"/>
              <w:ind w:right="110"/>
              <w:spacing w:after="0" w:line="183" w:lineRule="exact"/>
              <w:rPr>
                <w:sz w:val="20"/>
                <w:szCs w:val="20"/>
                <w:color w:val="auto"/>
              </w:rPr>
            </w:pPr>
            <w:r>
              <w:rPr>
                <w:rFonts w:ascii="Arial" w:cs="Arial" w:eastAsia="Arial" w:hAnsi="Arial"/>
                <w:sz w:val="18"/>
                <w:szCs w:val="18"/>
                <w:color w:val="auto"/>
              </w:rPr>
              <w:t>-</w:t>
            </w:r>
          </w:p>
        </w:tc>
        <w:tc>
          <w:tcPr>
            <w:tcW w:w="460" w:type="dxa"/>
            <w:vAlign w:val="bottom"/>
          </w:tcPr>
          <w:p>
            <w:pPr>
              <w:ind w:left="220"/>
              <w:spacing w:after="0" w:line="183" w:lineRule="exact"/>
              <w:rPr>
                <w:sz w:val="20"/>
                <w:szCs w:val="20"/>
                <w:color w:val="auto"/>
              </w:rPr>
            </w:pPr>
            <w:r>
              <w:rPr>
                <w:rFonts w:ascii="Arial" w:cs="Arial" w:eastAsia="Arial" w:hAnsi="Arial"/>
                <w:sz w:val="18"/>
                <w:szCs w:val="18"/>
                <w:color w:val="auto"/>
              </w:rPr>
              <w:t>$</w:t>
            </w:r>
          </w:p>
        </w:tc>
        <w:tc>
          <w:tcPr>
            <w:tcW w:w="1360" w:type="dxa"/>
            <w:vAlign w:val="bottom"/>
          </w:tcPr>
          <w:p>
            <w:pPr>
              <w:jc w:val="right"/>
              <w:ind w:right="150"/>
              <w:spacing w:after="0" w:line="183" w:lineRule="exact"/>
              <w:rPr>
                <w:sz w:val="20"/>
                <w:szCs w:val="20"/>
                <w:color w:val="auto"/>
              </w:rPr>
            </w:pPr>
            <w:r>
              <w:rPr>
                <w:rFonts w:ascii="Arial" w:cs="Arial" w:eastAsia="Arial" w:hAnsi="Arial"/>
                <w:sz w:val="18"/>
                <w:szCs w:val="18"/>
                <w:color w:val="auto"/>
              </w:rPr>
              <w:t>1,747,420</w:t>
            </w:r>
          </w:p>
        </w:tc>
        <w:tc>
          <w:tcPr>
            <w:tcW w:w="380" w:type="dxa"/>
            <w:vAlign w:val="bottom"/>
          </w:tcPr>
          <w:p>
            <w:pPr>
              <w:ind w:left="220"/>
              <w:spacing w:after="0" w:line="183" w:lineRule="exact"/>
              <w:rPr>
                <w:sz w:val="20"/>
                <w:szCs w:val="20"/>
                <w:color w:val="auto"/>
              </w:rPr>
            </w:pPr>
            <w:r>
              <w:rPr>
                <w:rFonts w:ascii="Arial" w:cs="Arial" w:eastAsia="Arial" w:hAnsi="Arial"/>
                <w:sz w:val="18"/>
                <w:szCs w:val="18"/>
                <w:color w:val="auto"/>
              </w:rPr>
              <w:t>$</w:t>
            </w:r>
          </w:p>
        </w:tc>
        <w:tc>
          <w:tcPr>
            <w:tcW w:w="1180" w:type="dxa"/>
            <w:vAlign w:val="bottom"/>
          </w:tcPr>
          <w:p>
            <w:pPr>
              <w:jc w:val="right"/>
              <w:ind w:right="130"/>
              <w:spacing w:after="0" w:line="183" w:lineRule="exact"/>
              <w:rPr>
                <w:sz w:val="20"/>
                <w:szCs w:val="20"/>
                <w:color w:val="auto"/>
              </w:rPr>
            </w:pPr>
            <w:r>
              <w:rPr>
                <w:rFonts w:ascii="Arial" w:cs="Arial" w:eastAsia="Arial" w:hAnsi="Arial"/>
                <w:sz w:val="18"/>
                <w:szCs w:val="18"/>
                <w:color w:val="auto"/>
              </w:rPr>
              <w:t>-</w:t>
            </w:r>
          </w:p>
        </w:tc>
        <w:tc>
          <w:tcPr>
            <w:tcW w:w="500" w:type="dxa"/>
            <w:vAlign w:val="bottom"/>
          </w:tcPr>
          <w:p>
            <w:pPr>
              <w:ind w:left="220"/>
              <w:spacing w:after="0" w:line="183" w:lineRule="exact"/>
              <w:rPr>
                <w:sz w:val="20"/>
                <w:szCs w:val="20"/>
                <w:color w:val="auto"/>
              </w:rPr>
            </w:pPr>
            <w:r>
              <w:rPr>
                <w:rFonts w:ascii="Arial" w:cs="Arial" w:eastAsia="Arial" w:hAnsi="Arial"/>
                <w:sz w:val="18"/>
                <w:szCs w:val="18"/>
                <w:color w:val="auto"/>
              </w:rPr>
              <w:t>$</w:t>
            </w:r>
          </w:p>
        </w:tc>
        <w:tc>
          <w:tcPr>
            <w:tcW w:w="1320" w:type="dxa"/>
            <w:vAlign w:val="bottom"/>
          </w:tcPr>
          <w:p>
            <w:pPr>
              <w:jc w:val="right"/>
              <w:ind w:right="170"/>
              <w:spacing w:after="0" w:line="183" w:lineRule="exact"/>
              <w:rPr>
                <w:sz w:val="20"/>
                <w:szCs w:val="20"/>
                <w:color w:val="auto"/>
              </w:rPr>
            </w:pPr>
            <w:r>
              <w:rPr>
                <w:rFonts w:ascii="Arial" w:cs="Arial" w:eastAsia="Arial" w:hAnsi="Arial"/>
                <w:sz w:val="18"/>
                <w:szCs w:val="18"/>
                <w:color w:val="auto"/>
              </w:rPr>
              <w:t>10,947,230</w:t>
            </w:r>
          </w:p>
        </w:tc>
      </w:tr>
      <w:tr>
        <w:trPr>
          <w:trHeight w:val="203"/>
        </w:trPr>
        <w:tc>
          <w:tcPr>
            <w:tcW w:w="1660" w:type="dxa"/>
            <w:vAlign w:val="bottom"/>
            <w:shd w:val="clear" w:color="auto" w:fill="D8D8D8"/>
          </w:tcPr>
          <w:p>
            <w:pPr>
              <w:spacing w:after="0" w:line="202" w:lineRule="exact"/>
              <w:rPr>
                <w:sz w:val="20"/>
                <w:szCs w:val="20"/>
                <w:color w:val="auto"/>
              </w:rPr>
            </w:pPr>
            <w:r>
              <w:rPr>
                <w:rFonts w:ascii="Arial" w:cs="Arial" w:eastAsia="Arial" w:hAnsi="Arial"/>
                <w:sz w:val="18"/>
                <w:szCs w:val="18"/>
                <w:color w:val="auto"/>
              </w:rPr>
              <w:t>Jeffrey S. Berkes</w:t>
            </w:r>
          </w:p>
        </w:tc>
        <w:tc>
          <w:tcPr>
            <w:tcW w:w="300" w:type="dxa"/>
            <w:vAlign w:val="bottom"/>
          </w:tcPr>
          <w:p>
            <w:pPr>
              <w:ind w:left="180"/>
              <w:spacing w:after="0" w:line="202" w:lineRule="exact"/>
              <w:rPr>
                <w:sz w:val="20"/>
                <w:szCs w:val="20"/>
                <w:color w:val="auto"/>
              </w:rPr>
            </w:pPr>
            <w:r>
              <w:rPr>
                <w:rFonts w:ascii="Arial" w:cs="Arial" w:eastAsia="Arial" w:hAnsi="Arial"/>
                <w:sz w:val="18"/>
                <w:szCs w:val="18"/>
                <w:color w:val="auto"/>
                <w:w w:val="99"/>
              </w:rPr>
              <w:t>$</w:t>
            </w:r>
          </w:p>
        </w:tc>
        <w:tc>
          <w:tcPr>
            <w:tcW w:w="162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152,344</w:t>
            </w:r>
          </w:p>
        </w:tc>
        <w:tc>
          <w:tcPr>
            <w:tcW w:w="700" w:type="dxa"/>
            <w:vAlign w:val="bottom"/>
          </w:tcPr>
          <w:p>
            <w:pPr>
              <w:ind w:left="200"/>
              <w:spacing w:after="0" w:line="202" w:lineRule="exact"/>
              <w:rPr>
                <w:sz w:val="20"/>
                <w:szCs w:val="20"/>
                <w:color w:val="auto"/>
              </w:rPr>
            </w:pPr>
            <w:r>
              <w:rPr>
                <w:rFonts w:ascii="Arial" w:cs="Arial" w:eastAsia="Arial" w:hAnsi="Arial"/>
                <w:sz w:val="18"/>
                <w:szCs w:val="18"/>
                <w:color w:val="auto"/>
              </w:rPr>
              <w:t>$</w:t>
            </w:r>
          </w:p>
        </w:tc>
        <w:tc>
          <w:tcPr>
            <w:tcW w:w="154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460" w:type="dxa"/>
            <w:vAlign w:val="bottom"/>
          </w:tcPr>
          <w:p>
            <w:pPr>
              <w:ind w:left="220"/>
              <w:spacing w:after="0" w:line="202" w:lineRule="exact"/>
              <w:rPr>
                <w:sz w:val="20"/>
                <w:szCs w:val="20"/>
                <w:color w:val="auto"/>
              </w:rPr>
            </w:pPr>
            <w:r>
              <w:rPr>
                <w:rFonts w:ascii="Arial" w:cs="Arial" w:eastAsia="Arial" w:hAnsi="Arial"/>
                <w:sz w:val="18"/>
                <w:szCs w:val="18"/>
                <w:color w:val="auto"/>
              </w:rPr>
              <w:t>$</w:t>
            </w:r>
          </w:p>
        </w:tc>
        <w:tc>
          <w:tcPr>
            <w:tcW w:w="136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84,592</w:t>
            </w:r>
          </w:p>
        </w:tc>
        <w:tc>
          <w:tcPr>
            <w:tcW w:w="380" w:type="dxa"/>
            <w:vAlign w:val="bottom"/>
          </w:tcPr>
          <w:p>
            <w:pPr>
              <w:ind w:left="220"/>
              <w:spacing w:after="0" w:line="202" w:lineRule="exact"/>
              <w:rPr>
                <w:sz w:val="20"/>
                <w:szCs w:val="20"/>
                <w:color w:val="auto"/>
              </w:rPr>
            </w:pPr>
            <w:r>
              <w:rPr>
                <w:rFonts w:ascii="Arial" w:cs="Arial" w:eastAsia="Arial" w:hAnsi="Arial"/>
                <w:sz w:val="18"/>
                <w:szCs w:val="18"/>
                <w:color w:val="auto"/>
              </w:rPr>
              <w:t>$</w:t>
            </w:r>
          </w:p>
        </w:tc>
        <w:tc>
          <w:tcPr>
            <w:tcW w:w="118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500" w:type="dxa"/>
            <w:vAlign w:val="bottom"/>
          </w:tcPr>
          <w:p>
            <w:pPr>
              <w:ind w:left="220"/>
              <w:spacing w:after="0" w:line="202" w:lineRule="exact"/>
              <w:rPr>
                <w:sz w:val="20"/>
                <w:szCs w:val="20"/>
                <w:color w:val="auto"/>
              </w:rPr>
            </w:pPr>
            <w:r>
              <w:rPr>
                <w:rFonts w:ascii="Arial" w:cs="Arial" w:eastAsia="Arial" w:hAnsi="Arial"/>
                <w:sz w:val="18"/>
                <w:szCs w:val="18"/>
                <w:color w:val="auto"/>
              </w:rPr>
              <w:t>$</w:t>
            </w:r>
          </w:p>
        </w:tc>
        <w:tc>
          <w:tcPr>
            <w:tcW w:w="132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618,984</w:t>
            </w:r>
          </w:p>
        </w:tc>
      </w:tr>
      <w:tr>
        <w:trPr>
          <w:trHeight w:val="221"/>
        </w:trPr>
        <w:tc>
          <w:tcPr>
            <w:tcW w:w="1660" w:type="dxa"/>
            <w:vAlign w:val="bottom"/>
            <w:shd w:val="clear" w:color="auto" w:fill="D8D8D8"/>
          </w:tcPr>
          <w:p>
            <w:pPr>
              <w:spacing w:after="0"/>
              <w:rPr>
                <w:sz w:val="20"/>
                <w:szCs w:val="20"/>
                <w:color w:val="auto"/>
              </w:rPr>
            </w:pPr>
            <w:r>
              <w:rPr>
                <w:rFonts w:ascii="Arial" w:cs="Arial" w:eastAsia="Arial" w:hAnsi="Arial"/>
                <w:sz w:val="18"/>
                <w:szCs w:val="18"/>
                <w:color w:val="auto"/>
              </w:rPr>
              <w:t>Dawn M. Becker</w:t>
            </w:r>
          </w:p>
        </w:tc>
        <w:tc>
          <w:tcPr>
            <w:tcW w:w="300" w:type="dxa"/>
            <w:vAlign w:val="bottom"/>
          </w:tcPr>
          <w:p>
            <w:pPr>
              <w:ind w:left="180"/>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110"/>
              <w:spacing w:after="0"/>
              <w:rPr>
                <w:sz w:val="20"/>
                <w:szCs w:val="20"/>
                <w:color w:val="auto"/>
              </w:rPr>
            </w:pPr>
            <w:r>
              <w:rPr>
                <w:rFonts w:ascii="Arial" w:cs="Arial" w:eastAsia="Arial" w:hAnsi="Arial"/>
                <w:sz w:val="18"/>
                <w:szCs w:val="18"/>
                <w:color w:val="auto"/>
              </w:rPr>
              <w:t>57,500</w:t>
            </w:r>
          </w:p>
        </w:tc>
        <w:tc>
          <w:tcPr>
            <w:tcW w:w="700" w:type="dxa"/>
            <w:vAlign w:val="bottom"/>
          </w:tcPr>
          <w:p>
            <w:pPr>
              <w:ind w:left="20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460" w:type="dxa"/>
            <w:vAlign w:val="bottom"/>
          </w:tcPr>
          <w:p>
            <w:pPr>
              <w:ind w:left="22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50"/>
              <w:spacing w:after="0"/>
              <w:rPr>
                <w:sz w:val="20"/>
                <w:szCs w:val="20"/>
                <w:color w:val="auto"/>
              </w:rPr>
            </w:pPr>
            <w:r>
              <w:rPr>
                <w:rFonts w:ascii="Arial" w:cs="Arial" w:eastAsia="Arial" w:hAnsi="Arial"/>
                <w:sz w:val="18"/>
                <w:szCs w:val="18"/>
                <w:color w:val="auto"/>
              </w:rPr>
              <w:t>331,445</w:t>
            </w:r>
          </w:p>
        </w:tc>
        <w:tc>
          <w:tcPr>
            <w:tcW w:w="380" w:type="dxa"/>
            <w:vAlign w:val="bottom"/>
          </w:tcPr>
          <w:p>
            <w:pPr>
              <w:ind w:left="22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500" w:type="dxa"/>
            <w:vAlign w:val="bottom"/>
          </w:tcPr>
          <w:p>
            <w:pPr>
              <w:ind w:left="22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70"/>
              <w:spacing w:after="0"/>
              <w:rPr>
                <w:sz w:val="20"/>
                <w:szCs w:val="20"/>
                <w:color w:val="auto"/>
              </w:rPr>
            </w:pPr>
            <w:r>
              <w:rPr>
                <w:rFonts w:ascii="Arial" w:cs="Arial" w:eastAsia="Arial" w:hAnsi="Arial"/>
                <w:sz w:val="18"/>
                <w:szCs w:val="18"/>
                <w:color w:val="auto"/>
              </w:rPr>
              <w:t>2,449,756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112268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122680" cy="8890"/>
                    </a:xfrm>
                    <a:prstGeom prst="rect">
                      <a:avLst/>
                    </a:prstGeom>
                    <a:noFill/>
                  </pic:spPr>
                </pic:pic>
              </a:graphicData>
            </a:graphic>
          </wp:anchor>
        </w:drawing>
      </w:r>
    </w:p>
    <w:p>
      <w:pPr>
        <w:spacing w:after="0" w:line="155" w:lineRule="exact"/>
        <w:rPr>
          <w:sz w:val="20"/>
          <w:szCs w:val="20"/>
          <w:color w:val="auto"/>
        </w:rPr>
      </w:pPr>
    </w:p>
    <w:p>
      <w:pPr>
        <w:ind w:left="660" w:right="20" w:hanging="436"/>
        <w:spacing w:after="0" w:line="210" w:lineRule="auto"/>
        <w:tabs>
          <w:tab w:leader="none" w:pos="660" w:val="left"/>
        </w:tabs>
        <w:numPr>
          <w:ilvl w:val="0"/>
          <w:numId w:val="73"/>
        </w:numPr>
        <w:rPr>
          <w:rFonts w:ascii="Arial" w:cs="Arial" w:eastAsia="Arial" w:hAnsi="Arial"/>
          <w:sz w:val="24"/>
          <w:szCs w:val="24"/>
          <w:color w:val="auto"/>
          <w:vertAlign w:val="superscript"/>
        </w:rPr>
      </w:pPr>
      <w:r>
        <w:rPr>
          <w:rFonts w:ascii="Arial" w:cs="Arial" w:eastAsia="Arial" w:hAnsi="Arial"/>
          <w:sz w:val="16"/>
          <w:szCs w:val="16"/>
          <w:color w:val="auto"/>
        </w:rPr>
        <w:t>All amounts in this column are included in either the “Salary” or “Non-Equity Incentive Plan Compensation” column of the Summary Compensation Table for 2023.</w:t>
      </w:r>
    </w:p>
    <w:p>
      <w:pPr>
        <w:spacing w:after="0" w:line="255" w:lineRule="exact"/>
        <w:rPr>
          <w:sz w:val="20"/>
          <w:szCs w:val="20"/>
          <w:color w:val="auto"/>
        </w:rPr>
      </w:pPr>
    </w:p>
    <w:p>
      <w:pPr>
        <w:ind w:left="120"/>
        <w:spacing w:after="0" w:line="207" w:lineRule="exact"/>
        <w:rPr>
          <w:sz w:val="20"/>
          <w:szCs w:val="20"/>
          <w:color w:val="auto"/>
        </w:rPr>
      </w:pPr>
      <w:r>
        <w:rPr>
          <w:rFonts w:ascii="MS PGothic" w:cs="MS PGothic" w:eastAsia="MS PGothic" w:hAnsi="MS PGothic"/>
          <w:sz w:val="18"/>
          <w:szCs w:val="18"/>
          <w:color w:val="000000"/>
          <w:shd w:val="clear" w:color="auto" w:fill="FF160F"/>
        </w:rPr>
        <w:t>➣</w:t>
      </w:r>
      <w:r>
        <w:rPr>
          <w:rFonts w:ascii="Arial" w:cs="Arial" w:eastAsia="Arial" w:hAnsi="Arial"/>
          <w:sz w:val="18"/>
          <w:szCs w:val="18"/>
          <w:b w:val="1"/>
          <w:bCs w:val="1"/>
          <w:color w:val="FF160F"/>
        </w:rPr>
        <w:t xml:space="preserve">   POTENTIAL PAYMENTS ON TERMINATION OF EMPLOYMENT AND CHANGE-IN-CONTROL</w:t>
      </w:r>
    </w:p>
    <w:p>
      <w:pPr>
        <w:spacing w:after="0" w:line="238" w:lineRule="exact"/>
        <w:rPr>
          <w:sz w:val="20"/>
          <w:szCs w:val="20"/>
          <w:color w:val="auto"/>
        </w:rPr>
      </w:pPr>
    </w:p>
    <w:p>
      <w:pPr>
        <w:jc w:val="both"/>
        <w:ind w:left="120"/>
        <w:spacing w:after="0" w:line="242" w:lineRule="auto"/>
        <w:rPr>
          <w:sz w:val="20"/>
          <w:szCs w:val="20"/>
          <w:color w:val="auto"/>
        </w:rPr>
      </w:pPr>
      <w:r>
        <w:rPr>
          <w:rFonts w:ascii="Arial" w:cs="Arial" w:eastAsia="Arial" w:hAnsi="Arial"/>
          <w:sz w:val="18"/>
          <w:szCs w:val="18"/>
          <w:color w:val="auto"/>
        </w:rPr>
        <w:t>We have entered into severance agreements with each of our NEOs that require us to make certain payments and provide certain benefits to them in the event of a termination of employment, whether following a change in control of the Company or in connection with other circumstances. Regardless of the reason for an NEO’s termination of employment, he or she will be entitled to receive upon termination a distribution of any amounts in our non-qualified deferred compensation plan as described in the “Non-Qualified Deferred Compensation” section above. No NEO is entitled to receive a new award under the annual bonus plan or our long-term incentive plan for the year in which the termination occurs. The agreements with each of our NEOs contain provisions restricting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82550</wp:posOffset>
            </wp:positionV>
            <wp:extent cx="7003415" cy="12001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003415" cy="120015"/>
                    </a:xfrm>
                    <a:prstGeom prst="rect">
                      <a:avLst/>
                    </a:prstGeom>
                    <a:noFill/>
                  </pic:spPr>
                </pic:pic>
              </a:graphicData>
            </a:graphic>
          </wp:anchor>
        </w:drawing>
      </w:r>
    </w:p>
    <w:p>
      <w:pPr>
        <w:spacing w:after="0" w:line="114" w:lineRule="exact"/>
        <w:rPr>
          <w:sz w:val="20"/>
          <w:szCs w:val="20"/>
          <w:color w:val="auto"/>
        </w:rPr>
      </w:pPr>
    </w:p>
    <w:p>
      <w:pPr>
        <w:ind w:left="340"/>
        <w:spacing w:after="0"/>
        <w:rPr>
          <w:sz w:val="20"/>
          <w:szCs w:val="20"/>
          <w:color w:val="auto"/>
        </w:rPr>
      </w:pPr>
      <w:r>
        <w:rPr>
          <w:rFonts w:ascii="Arial" w:cs="Arial" w:eastAsia="Arial" w:hAnsi="Arial"/>
          <w:sz w:val="14"/>
          <w:szCs w:val="14"/>
          <w:color w:val="FF160F"/>
        </w:rPr>
        <w:t>Federal Realty</w:t>
      </w:r>
      <w:r>
        <w:rPr>
          <w:rFonts w:ascii="Arial" w:cs="Arial" w:eastAsia="Arial" w:hAnsi="Arial"/>
          <w:sz w:val="14"/>
          <w:szCs w:val="14"/>
          <w:color w:val="000000"/>
        </w:rPr>
        <w:t xml:space="preserve">      2024 Proxy Statement   34</w:t>
      </w:r>
    </w:p>
    <w:p>
      <w:pPr>
        <w:sectPr>
          <w:pgSz w:w="11900" w:h="16838" w:orient="portrait"/>
          <w:cols w:equalWidth="0" w:num="1">
            <w:col w:w="11140"/>
          </w:cols>
          <w:pgMar w:left="320" w:top="482" w:right="4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0"/>
        <w:spacing w:after="0" w:line="253" w:lineRule="auto"/>
        <w:rPr>
          <w:sz w:val="20"/>
          <w:szCs w:val="20"/>
          <w:color w:val="auto"/>
        </w:rPr>
      </w:pPr>
      <w:r>
        <w:rPr>
          <w:rFonts w:ascii="Arial" w:cs="Arial" w:eastAsia="Arial" w:hAnsi="Arial"/>
          <w:sz w:val="18"/>
          <w:szCs w:val="18"/>
          <w:color w:val="auto"/>
        </w:rPr>
        <w:t>executive from engaging in competing behavior and soliciting and/or hiring our employees for a period of time after termination. The payments that will be made to an NEO on termination vary depending on the reason for termination and may be conditioned on the signing of a release in favor of the Company.</w:t>
      </w:r>
    </w:p>
    <w:p>
      <w:pPr>
        <w:spacing w:after="0" w:line="169" w:lineRule="exact"/>
        <w:rPr>
          <w:sz w:val="20"/>
          <w:szCs w:val="20"/>
          <w:color w:val="auto"/>
        </w:rPr>
      </w:pPr>
    </w:p>
    <w:p>
      <w:pPr>
        <w:jc w:val="both"/>
        <w:ind w:left="120"/>
        <w:spacing w:after="0" w:line="271" w:lineRule="auto"/>
        <w:rPr>
          <w:sz w:val="20"/>
          <w:szCs w:val="20"/>
          <w:color w:val="auto"/>
        </w:rPr>
      </w:pPr>
      <w:r>
        <w:rPr>
          <w:rFonts w:ascii="Arial" w:cs="Arial" w:eastAsia="Arial" w:hAnsi="Arial"/>
          <w:sz w:val="18"/>
          <w:szCs w:val="18"/>
          <w:color w:val="auto"/>
        </w:rPr>
        <w:t>The amount of compensation payable to each of our NEOs under various termination scenarios is reflected below assuming that the separation of service was effective on December 31, 2023.</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1720" w:type="dxa"/>
            <w:vAlign w:val="bottom"/>
            <w:shd w:val="clear" w:color="auto" w:fill="FF160F"/>
          </w:tcPr>
          <w:p>
            <w:pPr>
              <w:spacing w:after="0"/>
              <w:rPr>
                <w:sz w:val="17"/>
                <w:szCs w:val="17"/>
                <w:color w:val="auto"/>
              </w:rPr>
            </w:pPr>
          </w:p>
        </w:tc>
        <w:tc>
          <w:tcPr>
            <w:tcW w:w="2120" w:type="dxa"/>
            <w:vAlign w:val="bottom"/>
            <w:shd w:val="clear" w:color="auto" w:fill="FF160F"/>
          </w:tcPr>
          <w:p>
            <w:pPr>
              <w:spacing w:after="0"/>
              <w:rPr>
                <w:sz w:val="17"/>
                <w:szCs w:val="17"/>
                <w:color w:val="auto"/>
              </w:rPr>
            </w:pPr>
          </w:p>
        </w:tc>
        <w:tc>
          <w:tcPr>
            <w:tcW w:w="200" w:type="dxa"/>
            <w:vAlign w:val="bottom"/>
            <w:shd w:val="clear" w:color="auto" w:fill="FF160F"/>
          </w:tcPr>
          <w:p>
            <w:pPr>
              <w:spacing w:after="0"/>
              <w:rPr>
                <w:sz w:val="17"/>
                <w:szCs w:val="17"/>
                <w:color w:val="auto"/>
              </w:rPr>
            </w:pPr>
          </w:p>
        </w:tc>
        <w:tc>
          <w:tcPr>
            <w:tcW w:w="1140" w:type="dxa"/>
            <w:vAlign w:val="bottom"/>
            <w:shd w:val="clear" w:color="auto" w:fill="FF160F"/>
          </w:tcPr>
          <w:p>
            <w:pPr>
              <w:spacing w:after="0"/>
              <w:rPr>
                <w:sz w:val="17"/>
                <w:szCs w:val="17"/>
                <w:color w:val="auto"/>
              </w:rPr>
            </w:pPr>
          </w:p>
        </w:tc>
        <w:tc>
          <w:tcPr>
            <w:tcW w:w="240" w:type="dxa"/>
            <w:vAlign w:val="bottom"/>
            <w:shd w:val="clear" w:color="auto" w:fill="FF160F"/>
          </w:tcPr>
          <w:p>
            <w:pPr>
              <w:spacing w:after="0"/>
              <w:rPr>
                <w:sz w:val="17"/>
                <w:szCs w:val="17"/>
                <w:color w:val="auto"/>
              </w:rPr>
            </w:pPr>
          </w:p>
        </w:tc>
        <w:tc>
          <w:tcPr>
            <w:tcW w:w="1360" w:type="dxa"/>
            <w:vAlign w:val="bottom"/>
            <w:shd w:val="clear" w:color="auto" w:fill="FF160F"/>
          </w:tcPr>
          <w:p>
            <w:pPr>
              <w:spacing w:after="0"/>
              <w:rPr>
                <w:sz w:val="17"/>
                <w:szCs w:val="17"/>
                <w:color w:val="auto"/>
              </w:rPr>
            </w:pPr>
          </w:p>
        </w:tc>
        <w:tc>
          <w:tcPr>
            <w:tcW w:w="180" w:type="dxa"/>
            <w:vAlign w:val="bottom"/>
            <w:shd w:val="clear" w:color="auto" w:fill="FF160F"/>
          </w:tcPr>
          <w:p>
            <w:pPr>
              <w:spacing w:after="0"/>
              <w:rPr>
                <w:sz w:val="17"/>
                <w:szCs w:val="17"/>
                <w:color w:val="auto"/>
              </w:rPr>
            </w:pPr>
          </w:p>
        </w:tc>
        <w:tc>
          <w:tcPr>
            <w:tcW w:w="1160" w:type="dxa"/>
            <w:vAlign w:val="bottom"/>
            <w:shd w:val="clear" w:color="auto" w:fill="FF160F"/>
          </w:tcPr>
          <w:p>
            <w:pPr>
              <w:jc w:val="right"/>
              <w:ind w:right="111"/>
              <w:spacing w:after="0"/>
              <w:rPr>
                <w:sz w:val="20"/>
                <w:szCs w:val="20"/>
                <w:color w:val="auto"/>
              </w:rPr>
            </w:pPr>
            <w:r>
              <w:rPr>
                <w:rFonts w:ascii="Arial" w:cs="Arial" w:eastAsia="Arial" w:hAnsi="Arial"/>
                <w:sz w:val="18"/>
                <w:szCs w:val="18"/>
                <w:b w:val="1"/>
                <w:bCs w:val="1"/>
                <w:color w:val="FFFFFF"/>
                <w:w w:val="99"/>
              </w:rPr>
              <w:t>Change-in-</w:t>
            </w:r>
          </w:p>
        </w:tc>
        <w:tc>
          <w:tcPr>
            <w:tcW w:w="300" w:type="dxa"/>
            <w:vAlign w:val="bottom"/>
            <w:shd w:val="clear" w:color="auto" w:fill="FF160F"/>
          </w:tcPr>
          <w:p>
            <w:pPr>
              <w:spacing w:after="0"/>
              <w:rPr>
                <w:sz w:val="17"/>
                <w:szCs w:val="17"/>
                <w:color w:val="auto"/>
              </w:rPr>
            </w:pPr>
          </w:p>
        </w:tc>
        <w:tc>
          <w:tcPr>
            <w:tcW w:w="1160" w:type="dxa"/>
            <w:vAlign w:val="bottom"/>
            <w:shd w:val="clear" w:color="auto" w:fill="FF160F"/>
          </w:tcPr>
          <w:p>
            <w:pPr>
              <w:spacing w:after="0"/>
              <w:rPr>
                <w:sz w:val="17"/>
                <w:szCs w:val="17"/>
                <w:color w:val="auto"/>
              </w:rPr>
            </w:pPr>
          </w:p>
        </w:tc>
        <w:tc>
          <w:tcPr>
            <w:tcW w:w="220" w:type="dxa"/>
            <w:vAlign w:val="bottom"/>
            <w:shd w:val="clear" w:color="auto" w:fill="FF160F"/>
          </w:tcPr>
          <w:p>
            <w:pPr>
              <w:spacing w:after="0"/>
              <w:rPr>
                <w:sz w:val="17"/>
                <w:szCs w:val="17"/>
                <w:color w:val="auto"/>
              </w:rPr>
            </w:pPr>
          </w:p>
        </w:tc>
        <w:tc>
          <w:tcPr>
            <w:tcW w:w="1220" w:type="dxa"/>
            <w:vAlign w:val="bottom"/>
            <w:shd w:val="clear" w:color="auto" w:fill="FF160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20" w:type="dxa"/>
            <w:vAlign w:val="bottom"/>
            <w:shd w:val="clear" w:color="auto" w:fill="FF160F"/>
          </w:tcPr>
          <w:p>
            <w:pPr>
              <w:spacing w:after="0"/>
              <w:rPr>
                <w:sz w:val="17"/>
                <w:szCs w:val="17"/>
                <w:color w:val="auto"/>
              </w:rPr>
            </w:pPr>
          </w:p>
        </w:tc>
        <w:tc>
          <w:tcPr>
            <w:tcW w:w="2120" w:type="dxa"/>
            <w:vAlign w:val="bottom"/>
            <w:shd w:val="clear" w:color="auto" w:fill="FF160F"/>
          </w:tcPr>
          <w:p>
            <w:pPr>
              <w:spacing w:after="0"/>
              <w:rPr>
                <w:sz w:val="17"/>
                <w:szCs w:val="17"/>
                <w:color w:val="auto"/>
              </w:rPr>
            </w:pPr>
          </w:p>
        </w:tc>
        <w:tc>
          <w:tcPr>
            <w:tcW w:w="200" w:type="dxa"/>
            <w:vAlign w:val="bottom"/>
            <w:shd w:val="clear" w:color="auto" w:fill="FF160F"/>
          </w:tcPr>
          <w:p>
            <w:pPr>
              <w:spacing w:after="0"/>
              <w:rPr>
                <w:sz w:val="17"/>
                <w:szCs w:val="17"/>
                <w:color w:val="auto"/>
              </w:rPr>
            </w:pPr>
          </w:p>
        </w:tc>
        <w:tc>
          <w:tcPr>
            <w:tcW w:w="1140" w:type="dxa"/>
            <w:vAlign w:val="bottom"/>
            <w:vMerge w:val="restart"/>
            <w:shd w:val="clear" w:color="auto" w:fill="FF160F"/>
          </w:tcPr>
          <w:p>
            <w:pPr>
              <w:jc w:val="right"/>
              <w:ind w:right="150"/>
              <w:spacing w:after="0"/>
              <w:rPr>
                <w:sz w:val="20"/>
                <w:szCs w:val="20"/>
                <w:color w:val="auto"/>
              </w:rPr>
            </w:pPr>
            <w:r>
              <w:rPr>
                <w:rFonts w:ascii="Arial" w:cs="Arial" w:eastAsia="Arial" w:hAnsi="Arial"/>
                <w:sz w:val="18"/>
                <w:szCs w:val="18"/>
                <w:b w:val="1"/>
                <w:bCs w:val="1"/>
                <w:color w:val="FFFFFF"/>
                <w:w w:val="99"/>
              </w:rPr>
              <w:t>For Cause</w:t>
            </w:r>
          </w:p>
        </w:tc>
        <w:tc>
          <w:tcPr>
            <w:tcW w:w="240" w:type="dxa"/>
            <w:vAlign w:val="bottom"/>
            <w:shd w:val="clear" w:color="auto" w:fill="FF160F"/>
          </w:tcPr>
          <w:p>
            <w:pPr>
              <w:spacing w:after="0"/>
              <w:rPr>
                <w:sz w:val="17"/>
                <w:szCs w:val="17"/>
                <w:color w:val="auto"/>
              </w:rPr>
            </w:pPr>
          </w:p>
        </w:tc>
        <w:tc>
          <w:tcPr>
            <w:tcW w:w="1360" w:type="dxa"/>
            <w:vAlign w:val="bottom"/>
            <w:vMerge w:val="restart"/>
            <w:shd w:val="clear" w:color="auto" w:fill="FF160F"/>
          </w:tcPr>
          <w:p>
            <w:pPr>
              <w:jc w:val="right"/>
              <w:ind w:right="210"/>
              <w:spacing w:after="0"/>
              <w:rPr>
                <w:sz w:val="20"/>
                <w:szCs w:val="20"/>
                <w:color w:val="auto"/>
              </w:rPr>
            </w:pPr>
            <w:r>
              <w:rPr>
                <w:rFonts w:ascii="Arial" w:cs="Arial" w:eastAsia="Arial" w:hAnsi="Arial"/>
                <w:sz w:val="18"/>
                <w:szCs w:val="18"/>
                <w:b w:val="1"/>
                <w:bCs w:val="1"/>
                <w:color w:val="FFFFFF"/>
              </w:rPr>
              <w:t>Termination</w:t>
            </w:r>
          </w:p>
        </w:tc>
        <w:tc>
          <w:tcPr>
            <w:tcW w:w="180" w:type="dxa"/>
            <w:vAlign w:val="bottom"/>
            <w:shd w:val="clear" w:color="auto" w:fill="FF160F"/>
          </w:tcPr>
          <w:p>
            <w:pPr>
              <w:spacing w:after="0"/>
              <w:rPr>
                <w:sz w:val="17"/>
                <w:szCs w:val="17"/>
                <w:color w:val="auto"/>
              </w:rPr>
            </w:pPr>
          </w:p>
        </w:tc>
        <w:tc>
          <w:tcPr>
            <w:tcW w:w="1160" w:type="dxa"/>
            <w:vAlign w:val="bottom"/>
            <w:shd w:val="clear" w:color="auto" w:fill="FF160F"/>
          </w:tcPr>
          <w:p>
            <w:pPr>
              <w:jc w:val="right"/>
              <w:ind w:right="271"/>
              <w:spacing w:after="0" w:line="202" w:lineRule="exact"/>
              <w:rPr>
                <w:sz w:val="20"/>
                <w:szCs w:val="20"/>
                <w:color w:val="auto"/>
              </w:rPr>
            </w:pPr>
            <w:r>
              <w:rPr>
                <w:rFonts w:ascii="Arial" w:cs="Arial" w:eastAsia="Arial" w:hAnsi="Arial"/>
                <w:sz w:val="18"/>
                <w:szCs w:val="18"/>
                <w:b w:val="1"/>
                <w:bCs w:val="1"/>
                <w:color w:val="FFFFFF"/>
              </w:rPr>
              <w:t>Control</w:t>
            </w:r>
          </w:p>
        </w:tc>
        <w:tc>
          <w:tcPr>
            <w:tcW w:w="1460" w:type="dxa"/>
            <w:vAlign w:val="bottom"/>
            <w:gridSpan w:val="2"/>
            <w:vMerge w:val="restart"/>
            <w:shd w:val="clear" w:color="auto" w:fill="FF160F"/>
          </w:tcPr>
          <w:p>
            <w:pPr>
              <w:ind w:left="80"/>
              <w:spacing w:after="0"/>
              <w:rPr>
                <w:sz w:val="20"/>
                <w:szCs w:val="20"/>
                <w:color w:val="auto"/>
              </w:rPr>
            </w:pPr>
            <w:r>
              <w:rPr>
                <w:rFonts w:ascii="Arial" w:cs="Arial" w:eastAsia="Arial" w:hAnsi="Arial"/>
                <w:sz w:val="18"/>
                <w:szCs w:val="18"/>
                <w:b w:val="1"/>
                <w:bCs w:val="1"/>
                <w:color w:val="FFFFFF"/>
              </w:rPr>
              <w:t>Termination on</w:t>
            </w:r>
          </w:p>
        </w:tc>
        <w:tc>
          <w:tcPr>
            <w:tcW w:w="1440" w:type="dxa"/>
            <w:vAlign w:val="bottom"/>
            <w:gridSpan w:val="2"/>
            <w:vMerge w:val="restart"/>
            <w:shd w:val="clear" w:color="auto" w:fill="FF160F"/>
          </w:tcPr>
          <w:p>
            <w:pPr>
              <w:ind w:left="80"/>
              <w:spacing w:after="0"/>
              <w:rPr>
                <w:sz w:val="20"/>
                <w:szCs w:val="20"/>
                <w:color w:val="auto"/>
              </w:rPr>
            </w:pPr>
            <w:r>
              <w:rPr>
                <w:rFonts w:ascii="Arial" w:cs="Arial" w:eastAsia="Arial" w:hAnsi="Arial"/>
                <w:sz w:val="18"/>
                <w:szCs w:val="18"/>
                <w:b w:val="1"/>
                <w:bCs w:val="1"/>
                <w:color w:val="FFFFFF"/>
              </w:rPr>
              <w:t>Termination on</w:t>
            </w:r>
          </w:p>
        </w:tc>
        <w:tc>
          <w:tcPr>
            <w:tcW w:w="0" w:type="dxa"/>
            <w:vAlign w:val="bottom"/>
          </w:tcPr>
          <w:p>
            <w:pPr>
              <w:spacing w:after="0"/>
              <w:rPr>
                <w:sz w:val="1"/>
                <w:szCs w:val="1"/>
                <w:color w:val="auto"/>
              </w:rPr>
            </w:pPr>
          </w:p>
        </w:tc>
      </w:tr>
      <w:tr>
        <w:trPr>
          <w:trHeight w:val="181"/>
        </w:trPr>
        <w:tc>
          <w:tcPr>
            <w:tcW w:w="1720" w:type="dxa"/>
            <w:vAlign w:val="bottom"/>
            <w:vMerge w:val="restart"/>
            <w:shd w:val="clear" w:color="auto" w:fill="FF160F"/>
          </w:tcPr>
          <w:p>
            <w:pPr>
              <w:spacing w:after="0"/>
              <w:rPr>
                <w:sz w:val="20"/>
                <w:szCs w:val="20"/>
                <w:color w:val="auto"/>
              </w:rPr>
            </w:pPr>
            <w:r>
              <w:rPr>
                <w:rFonts w:ascii="Arial" w:cs="Arial" w:eastAsia="Arial" w:hAnsi="Arial"/>
                <w:sz w:val="18"/>
                <w:szCs w:val="18"/>
                <w:b w:val="1"/>
                <w:bCs w:val="1"/>
                <w:color w:val="FFFFFF"/>
              </w:rPr>
              <w:t>Name</w:t>
            </w:r>
          </w:p>
        </w:tc>
        <w:tc>
          <w:tcPr>
            <w:tcW w:w="2120" w:type="dxa"/>
            <w:vAlign w:val="bottom"/>
            <w:vMerge w:val="restart"/>
            <w:shd w:val="clear" w:color="auto" w:fill="FF160F"/>
          </w:tcPr>
          <w:p>
            <w:pPr>
              <w:ind w:left="140"/>
              <w:spacing w:after="0"/>
              <w:rPr>
                <w:sz w:val="20"/>
                <w:szCs w:val="20"/>
                <w:color w:val="auto"/>
              </w:rPr>
            </w:pPr>
            <w:r>
              <w:rPr>
                <w:rFonts w:ascii="Arial" w:cs="Arial" w:eastAsia="Arial" w:hAnsi="Arial"/>
                <w:sz w:val="18"/>
                <w:szCs w:val="18"/>
                <w:b w:val="1"/>
                <w:bCs w:val="1"/>
                <w:color w:val="FFFFFF"/>
              </w:rPr>
              <w:t>Type of Compensation</w:t>
            </w:r>
          </w:p>
        </w:tc>
        <w:tc>
          <w:tcPr>
            <w:tcW w:w="200" w:type="dxa"/>
            <w:vAlign w:val="bottom"/>
            <w:shd w:val="clear" w:color="auto" w:fill="FF160F"/>
          </w:tcPr>
          <w:p>
            <w:pPr>
              <w:spacing w:after="0"/>
              <w:rPr>
                <w:sz w:val="15"/>
                <w:szCs w:val="15"/>
                <w:color w:val="auto"/>
              </w:rPr>
            </w:pPr>
          </w:p>
        </w:tc>
        <w:tc>
          <w:tcPr>
            <w:tcW w:w="1140" w:type="dxa"/>
            <w:vAlign w:val="bottom"/>
            <w:vMerge w:val="continue"/>
            <w:shd w:val="clear" w:color="auto" w:fill="FF160F"/>
          </w:tcPr>
          <w:p>
            <w:pPr>
              <w:spacing w:after="0"/>
              <w:rPr>
                <w:sz w:val="15"/>
                <w:szCs w:val="15"/>
                <w:color w:val="auto"/>
              </w:rPr>
            </w:pPr>
          </w:p>
        </w:tc>
        <w:tc>
          <w:tcPr>
            <w:tcW w:w="240" w:type="dxa"/>
            <w:vAlign w:val="bottom"/>
            <w:shd w:val="clear" w:color="auto" w:fill="FF160F"/>
          </w:tcPr>
          <w:p>
            <w:pPr>
              <w:spacing w:after="0"/>
              <w:rPr>
                <w:sz w:val="15"/>
                <w:szCs w:val="15"/>
                <w:color w:val="auto"/>
              </w:rPr>
            </w:pPr>
          </w:p>
        </w:tc>
        <w:tc>
          <w:tcPr>
            <w:tcW w:w="1360" w:type="dxa"/>
            <w:vAlign w:val="bottom"/>
            <w:vMerge w:val="continue"/>
            <w:shd w:val="clear" w:color="auto" w:fill="FF160F"/>
          </w:tcPr>
          <w:p>
            <w:pPr>
              <w:spacing w:after="0"/>
              <w:rPr>
                <w:sz w:val="15"/>
                <w:szCs w:val="15"/>
                <w:color w:val="auto"/>
              </w:rPr>
            </w:pPr>
          </w:p>
        </w:tc>
        <w:tc>
          <w:tcPr>
            <w:tcW w:w="1340" w:type="dxa"/>
            <w:vAlign w:val="bottom"/>
            <w:gridSpan w:val="2"/>
            <w:shd w:val="clear" w:color="auto" w:fill="FF160F"/>
          </w:tcPr>
          <w:p>
            <w:pPr>
              <w:ind w:left="80"/>
              <w:spacing w:after="0" w:line="181" w:lineRule="exact"/>
              <w:rPr>
                <w:sz w:val="20"/>
                <w:szCs w:val="20"/>
                <w:color w:val="auto"/>
              </w:rPr>
            </w:pPr>
            <w:r>
              <w:rPr>
                <w:rFonts w:ascii="Arial" w:cs="Arial" w:eastAsia="Arial" w:hAnsi="Arial"/>
                <w:sz w:val="14"/>
                <w:szCs w:val="14"/>
                <w:b w:val="1"/>
                <w:bCs w:val="1"/>
                <w:color w:val="FFFFFF"/>
              </w:rPr>
              <w:t>Termination</w:t>
            </w:r>
            <w:r>
              <w:rPr>
                <w:rFonts w:ascii="Arial" w:cs="Arial" w:eastAsia="Arial" w:hAnsi="Arial"/>
                <w:sz w:val="20"/>
                <w:szCs w:val="20"/>
                <w:b w:val="1"/>
                <w:bCs w:val="1"/>
                <w:color w:val="FFFFFF"/>
                <w:vertAlign w:val="superscript"/>
              </w:rPr>
              <w:t>(1)</w:t>
            </w:r>
          </w:p>
        </w:tc>
        <w:tc>
          <w:tcPr>
            <w:tcW w:w="1460" w:type="dxa"/>
            <w:vAlign w:val="bottom"/>
            <w:gridSpan w:val="2"/>
            <w:vMerge w:val="continue"/>
            <w:shd w:val="clear" w:color="auto" w:fill="FF160F"/>
          </w:tcPr>
          <w:p>
            <w:pPr>
              <w:spacing w:after="0"/>
              <w:rPr>
                <w:sz w:val="15"/>
                <w:szCs w:val="15"/>
                <w:color w:val="auto"/>
              </w:rPr>
            </w:pPr>
          </w:p>
        </w:tc>
        <w:tc>
          <w:tcPr>
            <w:tcW w:w="1440" w:type="dxa"/>
            <w:vAlign w:val="bottom"/>
            <w:gridSpan w:val="2"/>
            <w:vMerge w:val="continue"/>
            <w:shd w:val="clear" w:color="auto" w:fill="FF160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720" w:type="dxa"/>
            <w:vAlign w:val="bottom"/>
            <w:vMerge w:val="continue"/>
            <w:shd w:val="clear" w:color="auto" w:fill="FF160F"/>
          </w:tcPr>
          <w:p>
            <w:pPr>
              <w:spacing w:after="0"/>
              <w:rPr>
                <w:sz w:val="16"/>
                <w:szCs w:val="16"/>
                <w:color w:val="auto"/>
              </w:rPr>
            </w:pPr>
          </w:p>
        </w:tc>
        <w:tc>
          <w:tcPr>
            <w:tcW w:w="2120" w:type="dxa"/>
            <w:vAlign w:val="bottom"/>
            <w:vMerge w:val="continue"/>
            <w:shd w:val="clear" w:color="auto" w:fill="FF160F"/>
          </w:tcPr>
          <w:p>
            <w:pPr>
              <w:spacing w:after="0"/>
              <w:rPr>
                <w:sz w:val="16"/>
                <w:szCs w:val="16"/>
                <w:color w:val="auto"/>
              </w:rPr>
            </w:pPr>
          </w:p>
        </w:tc>
        <w:tc>
          <w:tcPr>
            <w:tcW w:w="1340" w:type="dxa"/>
            <w:vAlign w:val="bottom"/>
            <w:gridSpan w:val="2"/>
            <w:shd w:val="clear" w:color="auto" w:fill="FF160F"/>
          </w:tcPr>
          <w:p>
            <w:pPr>
              <w:ind w:left="80"/>
              <w:spacing w:after="0" w:line="189" w:lineRule="exact"/>
              <w:rPr>
                <w:sz w:val="20"/>
                <w:szCs w:val="20"/>
                <w:color w:val="auto"/>
              </w:rPr>
            </w:pPr>
            <w:r>
              <w:rPr>
                <w:rFonts w:ascii="Arial" w:cs="Arial" w:eastAsia="Arial" w:hAnsi="Arial"/>
                <w:sz w:val="15"/>
                <w:szCs w:val="15"/>
                <w:b w:val="1"/>
                <w:bCs w:val="1"/>
                <w:color w:val="FFFFFF"/>
              </w:rPr>
              <w:t>Termination</w:t>
            </w:r>
            <w:r>
              <w:rPr>
                <w:rFonts w:ascii="Arial" w:cs="Arial" w:eastAsia="Arial" w:hAnsi="Arial"/>
                <w:sz w:val="21"/>
                <w:szCs w:val="21"/>
                <w:b w:val="1"/>
                <w:bCs w:val="1"/>
                <w:color w:val="FFFFFF"/>
                <w:vertAlign w:val="superscript"/>
              </w:rPr>
              <w:t>(1)</w:t>
            </w:r>
          </w:p>
        </w:tc>
        <w:tc>
          <w:tcPr>
            <w:tcW w:w="1600" w:type="dxa"/>
            <w:vAlign w:val="bottom"/>
            <w:gridSpan w:val="2"/>
            <w:shd w:val="clear" w:color="auto" w:fill="FF160F"/>
          </w:tcPr>
          <w:p>
            <w:pPr>
              <w:ind w:left="80"/>
              <w:spacing w:after="0" w:line="189" w:lineRule="exact"/>
              <w:rPr>
                <w:sz w:val="20"/>
                <w:szCs w:val="20"/>
                <w:color w:val="auto"/>
              </w:rPr>
            </w:pPr>
            <w:r>
              <w:rPr>
                <w:rFonts w:ascii="Arial" w:cs="Arial" w:eastAsia="Arial" w:hAnsi="Arial"/>
                <w:sz w:val="15"/>
                <w:szCs w:val="15"/>
                <w:b w:val="1"/>
                <w:bCs w:val="1"/>
                <w:color w:val="FFFFFF"/>
              </w:rPr>
              <w:t>Without Cause</w:t>
            </w:r>
            <w:r>
              <w:rPr>
                <w:rFonts w:ascii="Arial" w:cs="Arial" w:eastAsia="Arial" w:hAnsi="Arial"/>
                <w:sz w:val="21"/>
                <w:szCs w:val="21"/>
                <w:b w:val="1"/>
                <w:bCs w:val="1"/>
                <w:color w:val="FFFFFF"/>
                <w:vertAlign w:val="superscript"/>
              </w:rPr>
              <w:t>(1)</w:t>
            </w:r>
          </w:p>
        </w:tc>
        <w:tc>
          <w:tcPr>
            <w:tcW w:w="180" w:type="dxa"/>
            <w:vAlign w:val="bottom"/>
            <w:shd w:val="clear" w:color="auto" w:fill="FF160F"/>
          </w:tcPr>
          <w:p>
            <w:pPr>
              <w:spacing w:after="0"/>
              <w:rPr>
                <w:sz w:val="16"/>
                <w:szCs w:val="16"/>
                <w:color w:val="auto"/>
              </w:rPr>
            </w:pPr>
          </w:p>
        </w:tc>
        <w:tc>
          <w:tcPr>
            <w:tcW w:w="1160" w:type="dxa"/>
            <w:vAlign w:val="bottom"/>
            <w:shd w:val="clear" w:color="auto" w:fill="FF160F"/>
          </w:tcPr>
          <w:p>
            <w:pPr>
              <w:jc w:val="right"/>
              <w:ind w:right="491"/>
              <w:spacing w:after="0"/>
              <w:rPr>
                <w:sz w:val="20"/>
                <w:szCs w:val="20"/>
                <w:color w:val="auto"/>
              </w:rPr>
            </w:pPr>
            <w:r>
              <w:rPr>
                <w:rFonts w:ascii="Arial" w:cs="Arial" w:eastAsia="Arial" w:hAnsi="Arial"/>
                <w:sz w:val="13"/>
                <w:szCs w:val="13"/>
                <w:b w:val="1"/>
                <w:bCs w:val="1"/>
                <w:color w:val="FFFFFF"/>
              </w:rPr>
              <w:t>(5)</w:t>
            </w:r>
          </w:p>
        </w:tc>
        <w:tc>
          <w:tcPr>
            <w:tcW w:w="300" w:type="dxa"/>
            <w:vAlign w:val="bottom"/>
            <w:shd w:val="clear" w:color="auto" w:fill="FF160F"/>
          </w:tcPr>
          <w:p>
            <w:pPr>
              <w:spacing w:after="0"/>
              <w:rPr>
                <w:sz w:val="16"/>
                <w:szCs w:val="16"/>
                <w:color w:val="auto"/>
              </w:rPr>
            </w:pPr>
          </w:p>
        </w:tc>
        <w:tc>
          <w:tcPr>
            <w:tcW w:w="1160" w:type="dxa"/>
            <w:vAlign w:val="bottom"/>
            <w:shd w:val="clear" w:color="auto" w:fill="FF160F"/>
          </w:tcPr>
          <w:p>
            <w:pPr>
              <w:jc w:val="right"/>
              <w:ind w:right="311"/>
              <w:spacing w:after="0" w:line="189" w:lineRule="exact"/>
              <w:rPr>
                <w:sz w:val="20"/>
                <w:szCs w:val="20"/>
                <w:color w:val="auto"/>
              </w:rPr>
            </w:pPr>
            <w:r>
              <w:rPr>
                <w:rFonts w:ascii="Arial" w:cs="Arial" w:eastAsia="Arial" w:hAnsi="Arial"/>
                <w:sz w:val="15"/>
                <w:szCs w:val="15"/>
                <w:b w:val="1"/>
                <w:bCs w:val="1"/>
                <w:color w:val="FFFFFF"/>
              </w:rPr>
              <w:t>Death</w:t>
            </w:r>
            <w:r>
              <w:rPr>
                <w:rFonts w:ascii="Arial" w:cs="Arial" w:eastAsia="Arial" w:hAnsi="Arial"/>
                <w:sz w:val="21"/>
                <w:szCs w:val="21"/>
                <w:b w:val="1"/>
                <w:bCs w:val="1"/>
                <w:color w:val="FFFFFF"/>
                <w:vertAlign w:val="superscript"/>
              </w:rPr>
              <w:t>(1)</w:t>
            </w:r>
          </w:p>
        </w:tc>
        <w:tc>
          <w:tcPr>
            <w:tcW w:w="220" w:type="dxa"/>
            <w:vAlign w:val="bottom"/>
            <w:shd w:val="clear" w:color="auto" w:fill="FF160F"/>
          </w:tcPr>
          <w:p>
            <w:pPr>
              <w:spacing w:after="0"/>
              <w:rPr>
                <w:sz w:val="16"/>
                <w:szCs w:val="16"/>
                <w:color w:val="auto"/>
              </w:rPr>
            </w:pPr>
          </w:p>
        </w:tc>
        <w:tc>
          <w:tcPr>
            <w:tcW w:w="1220" w:type="dxa"/>
            <w:vAlign w:val="bottom"/>
            <w:shd w:val="clear" w:color="auto" w:fill="FF160F"/>
          </w:tcPr>
          <w:p>
            <w:pPr>
              <w:jc w:val="right"/>
              <w:ind w:right="131"/>
              <w:spacing w:after="0" w:line="189" w:lineRule="exact"/>
              <w:rPr>
                <w:sz w:val="20"/>
                <w:szCs w:val="20"/>
                <w:color w:val="auto"/>
              </w:rPr>
            </w:pPr>
            <w:r>
              <w:rPr>
                <w:rFonts w:ascii="Arial" w:cs="Arial" w:eastAsia="Arial" w:hAnsi="Arial"/>
                <w:sz w:val="15"/>
                <w:szCs w:val="15"/>
                <w:b w:val="1"/>
                <w:bCs w:val="1"/>
                <w:color w:val="FFFFFF"/>
              </w:rPr>
              <w:t>Disability</w:t>
            </w:r>
            <w:r>
              <w:rPr>
                <w:rFonts w:ascii="Arial" w:cs="Arial" w:eastAsia="Arial" w:hAnsi="Arial"/>
                <w:sz w:val="21"/>
                <w:szCs w:val="21"/>
                <w:b w:val="1"/>
                <w:bCs w:val="1"/>
                <w:color w:val="FFFFFF"/>
                <w:vertAlign w:val="superscript"/>
              </w:rPr>
              <w:t>(1)</w:t>
            </w:r>
          </w:p>
        </w:tc>
        <w:tc>
          <w:tcPr>
            <w:tcW w:w="0" w:type="dxa"/>
            <w:vAlign w:val="bottom"/>
          </w:tcPr>
          <w:p>
            <w:pPr>
              <w:spacing w:after="0"/>
              <w:rPr>
                <w:sz w:val="1"/>
                <w:szCs w:val="1"/>
                <w:color w:val="auto"/>
              </w:rPr>
            </w:pPr>
          </w:p>
        </w:tc>
      </w:tr>
      <w:tr>
        <w:trPr>
          <w:trHeight w:val="203"/>
        </w:trPr>
        <w:tc>
          <w:tcPr>
            <w:tcW w:w="1720" w:type="dxa"/>
            <w:vAlign w:val="bottom"/>
          </w:tcPr>
          <w:p>
            <w:pPr>
              <w:spacing w:after="0" w:line="202" w:lineRule="exact"/>
              <w:rPr>
                <w:sz w:val="20"/>
                <w:szCs w:val="20"/>
                <w:color w:val="auto"/>
              </w:rPr>
            </w:pPr>
            <w:r>
              <w:rPr>
                <w:rFonts w:ascii="Arial" w:cs="Arial" w:eastAsia="Arial" w:hAnsi="Arial"/>
                <w:sz w:val="18"/>
                <w:szCs w:val="18"/>
                <w:color w:val="auto"/>
              </w:rPr>
              <w:t>Donald C. Wood</w:t>
            </w:r>
          </w:p>
        </w:tc>
        <w:tc>
          <w:tcPr>
            <w:tcW w:w="2120" w:type="dxa"/>
            <w:vAlign w:val="bottom"/>
            <w:shd w:val="clear" w:color="auto" w:fill="E5E5E5"/>
          </w:tcPr>
          <w:p>
            <w:pPr>
              <w:ind w:left="120"/>
              <w:spacing w:after="0" w:line="202" w:lineRule="exact"/>
              <w:rPr>
                <w:sz w:val="20"/>
                <w:szCs w:val="20"/>
                <w:color w:val="auto"/>
              </w:rPr>
            </w:pPr>
            <w:r>
              <w:rPr>
                <w:rFonts w:ascii="Arial" w:cs="Arial" w:eastAsia="Arial" w:hAnsi="Arial"/>
                <w:sz w:val="18"/>
                <w:szCs w:val="18"/>
                <w:color w:val="auto"/>
              </w:rPr>
              <w:t>Cash Benefits (multiple)</w:t>
            </w:r>
          </w:p>
        </w:tc>
        <w:tc>
          <w:tcPr>
            <w:tcW w:w="200" w:type="dxa"/>
            <w:vAlign w:val="bottom"/>
            <w:shd w:val="clear" w:color="auto" w:fill="E5E5E5"/>
          </w:tcPr>
          <w:p>
            <w:pPr>
              <w:spacing w:after="0"/>
              <w:rPr>
                <w:sz w:val="17"/>
                <w:szCs w:val="17"/>
                <w:color w:val="auto"/>
              </w:rPr>
            </w:pPr>
          </w:p>
        </w:tc>
        <w:tc>
          <w:tcPr>
            <w:tcW w:w="11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6 months</w:t>
            </w:r>
          </w:p>
        </w:tc>
        <w:tc>
          <w:tcPr>
            <w:tcW w:w="240" w:type="dxa"/>
            <w:vAlign w:val="bottom"/>
            <w:shd w:val="clear" w:color="auto" w:fill="E5E5E5"/>
          </w:tcPr>
          <w:p>
            <w:pPr>
              <w:spacing w:after="0"/>
              <w:rPr>
                <w:sz w:val="17"/>
                <w:szCs w:val="17"/>
                <w:color w:val="auto"/>
              </w:rPr>
            </w:pPr>
          </w:p>
        </w:tc>
        <w:tc>
          <w:tcPr>
            <w:tcW w:w="13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1.5x</w:t>
            </w:r>
          </w:p>
        </w:tc>
        <w:tc>
          <w:tcPr>
            <w:tcW w:w="180" w:type="dxa"/>
            <w:vAlign w:val="bottom"/>
            <w:shd w:val="clear" w:color="auto" w:fill="E5E5E5"/>
          </w:tcPr>
          <w:p>
            <w:pPr>
              <w:spacing w:after="0"/>
              <w:rPr>
                <w:sz w:val="17"/>
                <w:szCs w:val="17"/>
                <w:color w:val="auto"/>
              </w:rPr>
            </w:pPr>
          </w:p>
        </w:tc>
        <w:tc>
          <w:tcPr>
            <w:tcW w:w="11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3.0x</w:t>
            </w:r>
          </w:p>
        </w:tc>
        <w:tc>
          <w:tcPr>
            <w:tcW w:w="300" w:type="dxa"/>
            <w:vAlign w:val="bottom"/>
            <w:shd w:val="clear" w:color="auto" w:fill="E5E5E5"/>
          </w:tcPr>
          <w:p>
            <w:pPr>
              <w:spacing w:after="0"/>
              <w:rPr>
                <w:sz w:val="17"/>
                <w:szCs w:val="17"/>
                <w:color w:val="auto"/>
              </w:rPr>
            </w:pPr>
          </w:p>
        </w:tc>
        <w:tc>
          <w:tcPr>
            <w:tcW w:w="11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N/A</w:t>
            </w:r>
          </w:p>
        </w:tc>
        <w:tc>
          <w:tcPr>
            <w:tcW w:w="220" w:type="dxa"/>
            <w:vAlign w:val="bottom"/>
            <w:shd w:val="clear" w:color="auto" w:fill="E5E5E5"/>
          </w:tcPr>
          <w:p>
            <w:pPr>
              <w:spacing w:after="0"/>
              <w:rPr>
                <w:sz w:val="17"/>
                <w:szCs w:val="17"/>
                <w:color w:val="auto"/>
              </w:rPr>
            </w:pPr>
          </w:p>
        </w:tc>
        <w:tc>
          <w:tcPr>
            <w:tcW w:w="12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3"/>
        </w:trPr>
        <w:tc>
          <w:tcPr>
            <w:tcW w:w="1720" w:type="dxa"/>
            <w:vAlign w:val="bottom"/>
          </w:tcPr>
          <w:p>
            <w:pPr>
              <w:spacing w:after="0"/>
              <w:rPr>
                <w:sz w:val="17"/>
                <w:szCs w:val="17"/>
                <w:color w:val="auto"/>
              </w:rPr>
            </w:pPr>
          </w:p>
        </w:tc>
        <w:tc>
          <w:tcPr>
            <w:tcW w:w="2120" w:type="dxa"/>
            <w:vAlign w:val="bottom"/>
          </w:tcPr>
          <w:p>
            <w:pPr>
              <w:ind w:left="120"/>
              <w:spacing w:after="0" w:line="202" w:lineRule="exact"/>
              <w:rPr>
                <w:sz w:val="20"/>
                <w:szCs w:val="20"/>
                <w:color w:val="auto"/>
              </w:rPr>
            </w:pPr>
            <w:r>
              <w:rPr>
                <w:rFonts w:ascii="Arial" w:cs="Arial" w:eastAsia="Arial" w:hAnsi="Arial"/>
                <w:sz w:val="18"/>
                <w:szCs w:val="18"/>
                <w:color w:val="auto"/>
              </w:rPr>
              <w:t>Cash Benefits (amount)</w:t>
            </w:r>
          </w:p>
        </w:tc>
        <w:tc>
          <w:tcPr>
            <w:tcW w:w="200" w:type="dxa"/>
            <w:vAlign w:val="bottom"/>
          </w:tcPr>
          <w:p>
            <w:pPr>
              <w:ind w:left="80"/>
              <w:spacing w:after="0" w:line="202" w:lineRule="exact"/>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500,000</w:t>
            </w:r>
          </w:p>
        </w:tc>
        <w:tc>
          <w:tcPr>
            <w:tcW w:w="24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4,312,500</w:t>
            </w:r>
          </w:p>
        </w:tc>
        <w:tc>
          <w:tcPr>
            <w:tcW w:w="180" w:type="dxa"/>
            <w:vAlign w:val="bottom"/>
          </w:tcPr>
          <w:p>
            <w:pPr>
              <w:ind w:left="80"/>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8,625,000</w:t>
            </w:r>
          </w:p>
        </w:tc>
        <w:tc>
          <w:tcPr>
            <w:tcW w:w="30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111"/>
              <w:spacing w:after="0" w:line="202" w:lineRule="exact"/>
              <w:rPr>
                <w:sz w:val="20"/>
                <w:szCs w:val="20"/>
                <w:color w:val="auto"/>
              </w:rPr>
            </w:pPr>
            <w:r>
              <w:rPr>
                <w:rFonts w:ascii="Arial" w:cs="Arial" w:eastAsia="Arial" w:hAnsi="Arial"/>
                <w:sz w:val="18"/>
                <w:szCs w:val="18"/>
                <w:color w:val="auto"/>
              </w:rPr>
              <w:t xml:space="preserve">- </w:t>
            </w:r>
          </w:p>
        </w:tc>
        <w:tc>
          <w:tcPr>
            <w:tcW w:w="22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1,375,745</w:t>
            </w:r>
          </w:p>
        </w:tc>
        <w:tc>
          <w:tcPr>
            <w:tcW w:w="0" w:type="dxa"/>
            <w:vAlign w:val="bottom"/>
          </w:tcPr>
          <w:p>
            <w:pPr>
              <w:spacing w:after="0"/>
              <w:rPr>
                <w:sz w:val="1"/>
                <w:szCs w:val="1"/>
                <w:color w:val="auto"/>
              </w:rPr>
            </w:pPr>
          </w:p>
        </w:tc>
      </w:tr>
      <w:tr>
        <w:trPr>
          <w:trHeight w:val="203"/>
        </w:trPr>
        <w:tc>
          <w:tcPr>
            <w:tcW w:w="1720" w:type="dxa"/>
            <w:vAlign w:val="bottom"/>
          </w:tcPr>
          <w:p>
            <w:pPr>
              <w:spacing w:after="0"/>
              <w:rPr>
                <w:sz w:val="17"/>
                <w:szCs w:val="17"/>
                <w:color w:val="auto"/>
              </w:rPr>
            </w:pPr>
          </w:p>
        </w:tc>
        <w:tc>
          <w:tcPr>
            <w:tcW w:w="2120" w:type="dxa"/>
            <w:vAlign w:val="bottom"/>
            <w:shd w:val="clear" w:color="auto" w:fill="E5E5E5"/>
          </w:tcPr>
          <w:p>
            <w:pPr>
              <w:ind w:left="120"/>
              <w:spacing w:after="0" w:line="202" w:lineRule="exact"/>
              <w:rPr>
                <w:sz w:val="20"/>
                <w:szCs w:val="20"/>
                <w:color w:val="auto"/>
              </w:rPr>
            </w:pPr>
            <w:r>
              <w:rPr>
                <w:rFonts w:ascii="Arial" w:cs="Arial" w:eastAsia="Arial" w:hAnsi="Arial"/>
                <w:sz w:val="16"/>
                <w:szCs w:val="16"/>
                <w:color w:val="auto"/>
              </w:rPr>
              <w:t>Medical Benefits</w:t>
            </w:r>
            <w:r>
              <w:rPr>
                <w:rFonts w:ascii="Arial" w:cs="Arial" w:eastAsia="Arial" w:hAnsi="Arial"/>
                <w:sz w:val="23"/>
                <w:szCs w:val="23"/>
                <w:color w:val="auto"/>
                <w:vertAlign w:val="superscript"/>
              </w:rPr>
              <w:t>(2)</w:t>
            </w:r>
          </w:p>
        </w:tc>
        <w:tc>
          <w:tcPr>
            <w:tcW w:w="200" w:type="dxa"/>
            <w:vAlign w:val="bottom"/>
            <w:shd w:val="clear" w:color="auto" w:fill="E5E5E5"/>
          </w:tcPr>
          <w:p>
            <w:pPr>
              <w:ind w:left="80"/>
              <w:spacing w:after="0" w:line="202" w:lineRule="exact"/>
              <w:rPr>
                <w:sz w:val="20"/>
                <w:szCs w:val="20"/>
                <w:color w:val="auto"/>
              </w:rPr>
            </w:pPr>
            <w:r>
              <w:rPr>
                <w:rFonts w:ascii="Arial" w:cs="Arial" w:eastAsia="Arial" w:hAnsi="Arial"/>
                <w:sz w:val="18"/>
                <w:szCs w:val="18"/>
                <w:color w:val="auto"/>
                <w:w w:val="99"/>
              </w:rPr>
              <w:t>$</w:t>
            </w:r>
          </w:p>
        </w:tc>
        <w:tc>
          <w:tcPr>
            <w:tcW w:w="11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18,520</w:t>
            </w:r>
          </w:p>
        </w:tc>
        <w:tc>
          <w:tcPr>
            <w:tcW w:w="240" w:type="dxa"/>
            <w:vAlign w:val="bottom"/>
            <w:shd w:val="clear" w:color="auto" w:fill="E5E5E5"/>
          </w:tcPr>
          <w:p>
            <w:pPr>
              <w:ind w:left="80"/>
              <w:spacing w:after="0" w:line="202" w:lineRule="exact"/>
              <w:rPr>
                <w:sz w:val="20"/>
                <w:szCs w:val="20"/>
                <w:color w:val="auto"/>
              </w:rPr>
            </w:pPr>
            <w:r>
              <w:rPr>
                <w:rFonts w:ascii="Arial" w:cs="Arial" w:eastAsia="Arial" w:hAnsi="Arial"/>
                <w:sz w:val="18"/>
                <w:szCs w:val="18"/>
                <w:color w:val="auto"/>
              </w:rPr>
              <w:t>$</w:t>
            </w:r>
          </w:p>
        </w:tc>
        <w:tc>
          <w:tcPr>
            <w:tcW w:w="13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1,597,779</w:t>
            </w:r>
          </w:p>
        </w:tc>
        <w:tc>
          <w:tcPr>
            <w:tcW w:w="180" w:type="dxa"/>
            <w:vAlign w:val="bottom"/>
            <w:shd w:val="clear" w:color="auto" w:fill="E5E5E5"/>
          </w:tcPr>
          <w:p>
            <w:pPr>
              <w:ind w:left="80"/>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1,681,117</w:t>
            </w:r>
          </w:p>
        </w:tc>
        <w:tc>
          <w:tcPr>
            <w:tcW w:w="300" w:type="dxa"/>
            <w:vAlign w:val="bottom"/>
            <w:shd w:val="clear" w:color="auto" w:fill="E5E5E5"/>
          </w:tcPr>
          <w:p>
            <w:pPr>
              <w:ind w:left="80"/>
              <w:spacing w:after="0" w:line="202" w:lineRule="exact"/>
              <w:rPr>
                <w:sz w:val="20"/>
                <w:szCs w:val="20"/>
                <w:color w:val="auto"/>
              </w:rPr>
            </w:pPr>
            <w:r>
              <w:rPr>
                <w:rFonts w:ascii="Arial" w:cs="Arial" w:eastAsia="Arial" w:hAnsi="Arial"/>
                <w:sz w:val="18"/>
                <w:szCs w:val="18"/>
                <w:color w:val="auto"/>
              </w:rPr>
              <w:t>$</w:t>
            </w:r>
          </w:p>
        </w:tc>
        <w:tc>
          <w:tcPr>
            <w:tcW w:w="11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1,332,000</w:t>
            </w:r>
          </w:p>
        </w:tc>
        <w:tc>
          <w:tcPr>
            <w:tcW w:w="220" w:type="dxa"/>
            <w:vAlign w:val="bottom"/>
            <w:shd w:val="clear" w:color="auto" w:fill="E5E5E5"/>
          </w:tcPr>
          <w:p>
            <w:pPr>
              <w:ind w:left="80"/>
              <w:spacing w:after="0" w:line="202" w:lineRule="exact"/>
              <w:rPr>
                <w:sz w:val="20"/>
                <w:szCs w:val="20"/>
                <w:color w:val="auto"/>
              </w:rPr>
            </w:pPr>
            <w:r>
              <w:rPr>
                <w:rFonts w:ascii="Arial" w:cs="Arial" w:eastAsia="Arial" w:hAnsi="Arial"/>
                <w:sz w:val="18"/>
                <w:szCs w:val="18"/>
                <w:color w:val="auto"/>
              </w:rPr>
              <w:t>$</w:t>
            </w:r>
          </w:p>
        </w:tc>
        <w:tc>
          <w:tcPr>
            <w:tcW w:w="12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1,582,039</w:t>
            </w:r>
          </w:p>
        </w:tc>
        <w:tc>
          <w:tcPr>
            <w:tcW w:w="0" w:type="dxa"/>
            <w:vAlign w:val="bottom"/>
          </w:tcPr>
          <w:p>
            <w:pPr>
              <w:spacing w:after="0"/>
              <w:rPr>
                <w:sz w:val="1"/>
                <w:szCs w:val="1"/>
                <w:color w:val="auto"/>
              </w:rPr>
            </w:pPr>
          </w:p>
        </w:tc>
      </w:tr>
      <w:tr>
        <w:trPr>
          <w:trHeight w:val="203"/>
        </w:trPr>
        <w:tc>
          <w:tcPr>
            <w:tcW w:w="1720" w:type="dxa"/>
            <w:vAlign w:val="bottom"/>
          </w:tcPr>
          <w:p>
            <w:pPr>
              <w:spacing w:after="0"/>
              <w:rPr>
                <w:sz w:val="17"/>
                <w:szCs w:val="17"/>
                <w:color w:val="auto"/>
              </w:rPr>
            </w:pPr>
          </w:p>
        </w:tc>
        <w:tc>
          <w:tcPr>
            <w:tcW w:w="2120" w:type="dxa"/>
            <w:vAlign w:val="bottom"/>
          </w:tcPr>
          <w:p>
            <w:pPr>
              <w:ind w:left="120"/>
              <w:spacing w:after="0" w:line="202" w:lineRule="exact"/>
              <w:rPr>
                <w:sz w:val="20"/>
                <w:szCs w:val="20"/>
                <w:color w:val="auto"/>
              </w:rPr>
            </w:pPr>
            <w:r>
              <w:rPr>
                <w:rFonts w:ascii="Arial" w:cs="Arial" w:eastAsia="Arial" w:hAnsi="Arial"/>
                <w:sz w:val="16"/>
                <w:szCs w:val="16"/>
                <w:color w:val="auto"/>
              </w:rPr>
              <w:t>Accelerated Equity</w:t>
            </w:r>
            <w:r>
              <w:rPr>
                <w:rFonts w:ascii="Arial" w:cs="Arial" w:eastAsia="Arial" w:hAnsi="Arial"/>
                <w:sz w:val="23"/>
                <w:szCs w:val="23"/>
                <w:color w:val="auto"/>
                <w:vertAlign w:val="superscript"/>
              </w:rPr>
              <w:t>(3)</w:t>
            </w:r>
          </w:p>
        </w:tc>
        <w:tc>
          <w:tcPr>
            <w:tcW w:w="200" w:type="dxa"/>
            <w:vAlign w:val="bottom"/>
          </w:tcPr>
          <w:p>
            <w:pPr>
              <w:ind w:left="80"/>
              <w:spacing w:after="0" w:line="202" w:lineRule="exact"/>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 xml:space="preserve">- </w:t>
            </w:r>
          </w:p>
        </w:tc>
        <w:tc>
          <w:tcPr>
            <w:tcW w:w="24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11,474,927</w:t>
            </w:r>
          </w:p>
        </w:tc>
        <w:tc>
          <w:tcPr>
            <w:tcW w:w="180" w:type="dxa"/>
            <w:vAlign w:val="bottom"/>
          </w:tcPr>
          <w:p>
            <w:pPr>
              <w:ind w:left="80"/>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11,474,927</w:t>
            </w:r>
          </w:p>
        </w:tc>
        <w:tc>
          <w:tcPr>
            <w:tcW w:w="30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11,474,927</w:t>
            </w:r>
          </w:p>
        </w:tc>
        <w:tc>
          <w:tcPr>
            <w:tcW w:w="22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11,474,927</w:t>
            </w:r>
          </w:p>
        </w:tc>
        <w:tc>
          <w:tcPr>
            <w:tcW w:w="0" w:type="dxa"/>
            <w:vAlign w:val="bottom"/>
          </w:tcPr>
          <w:p>
            <w:pPr>
              <w:spacing w:after="0"/>
              <w:rPr>
                <w:sz w:val="1"/>
                <w:szCs w:val="1"/>
                <w:color w:val="auto"/>
              </w:rPr>
            </w:pPr>
          </w:p>
        </w:tc>
      </w:tr>
      <w:tr>
        <w:trPr>
          <w:trHeight w:val="203"/>
        </w:trPr>
        <w:tc>
          <w:tcPr>
            <w:tcW w:w="1720" w:type="dxa"/>
            <w:vAlign w:val="bottom"/>
          </w:tcPr>
          <w:p>
            <w:pPr>
              <w:spacing w:after="0"/>
              <w:rPr>
                <w:sz w:val="17"/>
                <w:szCs w:val="17"/>
                <w:color w:val="auto"/>
              </w:rPr>
            </w:pPr>
          </w:p>
        </w:tc>
        <w:tc>
          <w:tcPr>
            <w:tcW w:w="2120" w:type="dxa"/>
            <w:vAlign w:val="bottom"/>
            <w:shd w:val="clear" w:color="auto" w:fill="E5E5E5"/>
          </w:tcPr>
          <w:p>
            <w:pPr>
              <w:ind w:left="120"/>
              <w:spacing w:after="0" w:line="202" w:lineRule="exact"/>
              <w:rPr>
                <w:sz w:val="20"/>
                <w:szCs w:val="20"/>
                <w:color w:val="auto"/>
              </w:rPr>
            </w:pPr>
            <w:r>
              <w:rPr>
                <w:rFonts w:ascii="Arial" w:cs="Arial" w:eastAsia="Arial" w:hAnsi="Arial"/>
                <w:sz w:val="16"/>
                <w:szCs w:val="16"/>
                <w:color w:val="auto"/>
              </w:rPr>
              <w:t>Other Benefits</w:t>
            </w:r>
            <w:r>
              <w:rPr>
                <w:rFonts w:ascii="Arial" w:cs="Arial" w:eastAsia="Arial" w:hAnsi="Arial"/>
                <w:sz w:val="23"/>
                <w:szCs w:val="23"/>
                <w:color w:val="auto"/>
                <w:vertAlign w:val="superscript"/>
              </w:rPr>
              <w:t>(4)</w:t>
            </w:r>
          </w:p>
        </w:tc>
        <w:tc>
          <w:tcPr>
            <w:tcW w:w="200" w:type="dxa"/>
            <w:vAlign w:val="bottom"/>
            <w:shd w:val="clear" w:color="auto" w:fill="E5E5E5"/>
          </w:tcPr>
          <w:p>
            <w:pPr>
              <w:ind w:left="80"/>
              <w:spacing w:after="0" w:line="202" w:lineRule="exact"/>
              <w:rPr>
                <w:sz w:val="20"/>
                <w:szCs w:val="20"/>
                <w:color w:val="auto"/>
              </w:rPr>
            </w:pPr>
            <w:r>
              <w:rPr>
                <w:rFonts w:ascii="Arial" w:cs="Arial" w:eastAsia="Arial" w:hAnsi="Arial"/>
                <w:sz w:val="18"/>
                <w:szCs w:val="18"/>
                <w:color w:val="auto"/>
                <w:w w:val="99"/>
              </w:rPr>
              <w:t>$</w:t>
            </w:r>
          </w:p>
        </w:tc>
        <w:tc>
          <w:tcPr>
            <w:tcW w:w="1140" w:type="dxa"/>
            <w:vAlign w:val="bottom"/>
            <w:shd w:val="clear" w:color="auto" w:fill="E5E5E5"/>
          </w:tcPr>
          <w:p>
            <w:pPr>
              <w:jc w:val="right"/>
              <w:ind w:right="130"/>
              <w:spacing w:after="0" w:line="202" w:lineRule="exact"/>
              <w:rPr>
                <w:sz w:val="20"/>
                <w:szCs w:val="20"/>
                <w:color w:val="auto"/>
              </w:rPr>
            </w:pPr>
            <w:r>
              <w:rPr>
                <w:rFonts w:ascii="Arial" w:cs="Arial" w:eastAsia="Arial" w:hAnsi="Arial"/>
                <w:sz w:val="18"/>
                <w:szCs w:val="18"/>
                <w:color w:val="auto"/>
              </w:rPr>
              <w:t xml:space="preserve">- </w:t>
            </w:r>
          </w:p>
        </w:tc>
        <w:tc>
          <w:tcPr>
            <w:tcW w:w="240" w:type="dxa"/>
            <w:vAlign w:val="bottom"/>
            <w:shd w:val="clear" w:color="auto" w:fill="E5E5E5"/>
          </w:tcPr>
          <w:p>
            <w:pPr>
              <w:ind w:left="80"/>
              <w:spacing w:after="0" w:line="202" w:lineRule="exact"/>
              <w:rPr>
                <w:sz w:val="20"/>
                <w:szCs w:val="20"/>
                <w:color w:val="auto"/>
              </w:rPr>
            </w:pPr>
            <w:r>
              <w:rPr>
                <w:rFonts w:ascii="Arial" w:cs="Arial" w:eastAsia="Arial" w:hAnsi="Arial"/>
                <w:sz w:val="18"/>
                <w:szCs w:val="18"/>
                <w:color w:val="auto"/>
              </w:rPr>
              <w:t>$</w:t>
            </w:r>
          </w:p>
        </w:tc>
        <w:tc>
          <w:tcPr>
            <w:tcW w:w="13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60,000</w:t>
            </w:r>
          </w:p>
        </w:tc>
        <w:tc>
          <w:tcPr>
            <w:tcW w:w="180" w:type="dxa"/>
            <w:vAlign w:val="bottom"/>
            <w:shd w:val="clear" w:color="auto" w:fill="E5E5E5"/>
          </w:tcPr>
          <w:p>
            <w:pPr>
              <w:ind w:left="80"/>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166,665</w:t>
            </w:r>
          </w:p>
        </w:tc>
        <w:tc>
          <w:tcPr>
            <w:tcW w:w="300" w:type="dxa"/>
            <w:vAlign w:val="bottom"/>
            <w:shd w:val="clear" w:color="auto" w:fill="E5E5E5"/>
          </w:tcPr>
          <w:p>
            <w:pPr>
              <w:ind w:left="80"/>
              <w:spacing w:after="0" w:line="202" w:lineRule="exact"/>
              <w:rPr>
                <w:sz w:val="20"/>
                <w:szCs w:val="20"/>
                <w:color w:val="auto"/>
              </w:rPr>
            </w:pPr>
            <w:r>
              <w:rPr>
                <w:rFonts w:ascii="Arial" w:cs="Arial" w:eastAsia="Arial" w:hAnsi="Arial"/>
                <w:sz w:val="18"/>
                <w:szCs w:val="18"/>
                <w:color w:val="auto"/>
              </w:rPr>
              <w:t>$</w:t>
            </w:r>
          </w:p>
        </w:tc>
        <w:tc>
          <w:tcPr>
            <w:tcW w:w="1160" w:type="dxa"/>
            <w:vAlign w:val="bottom"/>
            <w:shd w:val="clear" w:color="auto" w:fill="E5E5E5"/>
          </w:tcPr>
          <w:p>
            <w:pPr>
              <w:jc w:val="right"/>
              <w:ind w:right="111"/>
              <w:spacing w:after="0" w:line="202" w:lineRule="exact"/>
              <w:rPr>
                <w:sz w:val="20"/>
                <w:szCs w:val="20"/>
                <w:color w:val="auto"/>
              </w:rPr>
            </w:pPr>
            <w:r>
              <w:rPr>
                <w:rFonts w:ascii="Arial" w:cs="Arial" w:eastAsia="Arial" w:hAnsi="Arial"/>
                <w:sz w:val="18"/>
                <w:szCs w:val="18"/>
                <w:color w:val="auto"/>
              </w:rPr>
              <w:t xml:space="preserve">- </w:t>
            </w:r>
          </w:p>
        </w:tc>
        <w:tc>
          <w:tcPr>
            <w:tcW w:w="220" w:type="dxa"/>
            <w:vAlign w:val="bottom"/>
            <w:shd w:val="clear" w:color="auto" w:fill="E5E5E5"/>
          </w:tcPr>
          <w:p>
            <w:pPr>
              <w:ind w:left="80"/>
              <w:spacing w:after="0" w:line="202" w:lineRule="exact"/>
              <w:rPr>
                <w:sz w:val="20"/>
                <w:szCs w:val="20"/>
                <w:color w:val="auto"/>
              </w:rPr>
            </w:pPr>
            <w:r>
              <w:rPr>
                <w:rFonts w:ascii="Arial" w:cs="Arial" w:eastAsia="Arial" w:hAnsi="Arial"/>
                <w:sz w:val="18"/>
                <w:szCs w:val="18"/>
                <w:color w:val="auto"/>
              </w:rPr>
              <w:t>$</w:t>
            </w:r>
          </w:p>
        </w:tc>
        <w:tc>
          <w:tcPr>
            <w:tcW w:w="1220" w:type="dxa"/>
            <w:vAlign w:val="bottom"/>
            <w:shd w:val="clear" w:color="auto" w:fill="E5E5E5"/>
          </w:tcPr>
          <w:p>
            <w:pPr>
              <w:jc w:val="right"/>
              <w:ind w:right="111"/>
              <w:spacing w:after="0" w:line="202" w:lineRule="exact"/>
              <w:rPr>
                <w:sz w:val="20"/>
                <w:szCs w:val="20"/>
                <w:color w:val="auto"/>
              </w:rPr>
            </w:pPr>
            <w:r>
              <w:rPr>
                <w:rFonts w:ascii="Arial" w:cs="Arial" w:eastAsia="Arial" w:hAnsi="Arial"/>
                <w:sz w:val="18"/>
                <w:szCs w:val="18"/>
                <w:color w:val="auto"/>
              </w:rPr>
              <w:t xml:space="preserve">- </w:t>
            </w:r>
          </w:p>
        </w:tc>
        <w:tc>
          <w:tcPr>
            <w:tcW w:w="0" w:type="dxa"/>
            <w:vAlign w:val="bottom"/>
          </w:tcPr>
          <w:p>
            <w:pPr>
              <w:spacing w:after="0"/>
              <w:rPr>
                <w:sz w:val="1"/>
                <w:szCs w:val="1"/>
                <w:color w:val="auto"/>
              </w:rPr>
            </w:pPr>
          </w:p>
        </w:tc>
      </w:tr>
      <w:tr>
        <w:trPr>
          <w:trHeight w:val="203"/>
        </w:trPr>
        <w:tc>
          <w:tcPr>
            <w:tcW w:w="1720" w:type="dxa"/>
            <w:vAlign w:val="bottom"/>
          </w:tcPr>
          <w:p>
            <w:pPr>
              <w:spacing w:after="0"/>
              <w:rPr>
                <w:sz w:val="17"/>
                <w:szCs w:val="17"/>
                <w:color w:val="auto"/>
              </w:rPr>
            </w:pPr>
          </w:p>
        </w:tc>
        <w:tc>
          <w:tcPr>
            <w:tcW w:w="2120" w:type="dxa"/>
            <w:vAlign w:val="bottom"/>
          </w:tcPr>
          <w:p>
            <w:pPr>
              <w:ind w:left="120"/>
              <w:spacing w:after="0" w:line="202" w:lineRule="exact"/>
              <w:rPr>
                <w:sz w:val="20"/>
                <w:szCs w:val="20"/>
                <w:color w:val="auto"/>
              </w:rPr>
            </w:pPr>
            <w:r>
              <w:rPr>
                <w:rFonts w:ascii="Arial" w:cs="Arial" w:eastAsia="Arial" w:hAnsi="Arial"/>
                <w:sz w:val="18"/>
                <w:szCs w:val="18"/>
                <w:color w:val="auto"/>
              </w:rPr>
              <w:t>Excise Tax Gross-Up</w:t>
            </w:r>
          </w:p>
        </w:tc>
        <w:tc>
          <w:tcPr>
            <w:tcW w:w="20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N/A</w:t>
            </w:r>
          </w:p>
        </w:tc>
        <w:tc>
          <w:tcPr>
            <w:tcW w:w="24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N/A</w:t>
            </w:r>
          </w:p>
        </w:tc>
        <w:tc>
          <w:tcPr>
            <w:tcW w:w="180" w:type="dxa"/>
            <w:vAlign w:val="bottom"/>
          </w:tcPr>
          <w:p>
            <w:pPr>
              <w:ind w:left="80"/>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11"/>
              <w:spacing w:after="0" w:line="202" w:lineRule="exact"/>
              <w:rPr>
                <w:sz w:val="20"/>
                <w:szCs w:val="20"/>
                <w:color w:val="auto"/>
              </w:rPr>
            </w:pPr>
            <w:r>
              <w:rPr>
                <w:rFonts w:ascii="Arial" w:cs="Arial" w:eastAsia="Arial" w:hAnsi="Arial"/>
                <w:sz w:val="18"/>
                <w:szCs w:val="18"/>
                <w:color w:val="auto"/>
              </w:rPr>
              <w:t xml:space="preserve">- </w:t>
            </w:r>
          </w:p>
        </w:tc>
        <w:tc>
          <w:tcPr>
            <w:tcW w:w="30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N/A</w:t>
            </w:r>
          </w:p>
        </w:tc>
        <w:tc>
          <w:tcPr>
            <w:tcW w:w="22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3"/>
        </w:trPr>
        <w:tc>
          <w:tcPr>
            <w:tcW w:w="1720" w:type="dxa"/>
            <w:vAlign w:val="bottom"/>
            <w:shd w:val="clear" w:color="auto" w:fill="FF160F"/>
          </w:tcPr>
          <w:p>
            <w:pPr>
              <w:spacing w:after="0" w:line="202" w:lineRule="exact"/>
              <w:rPr>
                <w:sz w:val="20"/>
                <w:szCs w:val="20"/>
                <w:color w:val="auto"/>
              </w:rPr>
            </w:pPr>
            <w:r>
              <w:rPr>
                <w:rFonts w:ascii="Arial" w:cs="Arial" w:eastAsia="Arial" w:hAnsi="Arial"/>
                <w:sz w:val="18"/>
                <w:szCs w:val="18"/>
                <w:b w:val="1"/>
                <w:bCs w:val="1"/>
                <w:color w:val="FFFFFF"/>
              </w:rPr>
              <w:t>Total</w:t>
            </w:r>
          </w:p>
        </w:tc>
        <w:tc>
          <w:tcPr>
            <w:tcW w:w="2120" w:type="dxa"/>
            <w:vAlign w:val="bottom"/>
            <w:shd w:val="clear" w:color="auto" w:fill="FF160F"/>
          </w:tcPr>
          <w:p>
            <w:pPr>
              <w:spacing w:after="0"/>
              <w:rPr>
                <w:sz w:val="17"/>
                <w:szCs w:val="17"/>
                <w:color w:val="auto"/>
              </w:rPr>
            </w:pPr>
          </w:p>
        </w:tc>
        <w:tc>
          <w:tcPr>
            <w:tcW w:w="200" w:type="dxa"/>
            <w:vAlign w:val="bottom"/>
            <w:shd w:val="clear" w:color="auto" w:fill="FF160F"/>
          </w:tcPr>
          <w:p>
            <w:pPr>
              <w:ind w:left="80"/>
              <w:spacing w:after="0" w:line="202" w:lineRule="exact"/>
              <w:rPr>
                <w:sz w:val="20"/>
                <w:szCs w:val="20"/>
                <w:color w:val="auto"/>
              </w:rPr>
            </w:pPr>
            <w:r>
              <w:rPr>
                <w:rFonts w:ascii="Arial" w:cs="Arial" w:eastAsia="Arial" w:hAnsi="Arial"/>
                <w:sz w:val="18"/>
                <w:szCs w:val="18"/>
                <w:b w:val="1"/>
                <w:bCs w:val="1"/>
                <w:color w:val="FFFFFF"/>
                <w:w w:val="99"/>
              </w:rPr>
              <w:t>$</w:t>
            </w:r>
          </w:p>
        </w:tc>
        <w:tc>
          <w:tcPr>
            <w:tcW w:w="1140" w:type="dxa"/>
            <w:vAlign w:val="bottom"/>
            <w:shd w:val="clear" w:color="auto" w:fill="FF160F"/>
          </w:tcPr>
          <w:p>
            <w:pPr>
              <w:jc w:val="right"/>
              <w:spacing w:after="0" w:line="202" w:lineRule="exact"/>
              <w:rPr>
                <w:sz w:val="20"/>
                <w:szCs w:val="20"/>
                <w:color w:val="auto"/>
              </w:rPr>
            </w:pPr>
            <w:r>
              <w:rPr>
                <w:rFonts w:ascii="Arial" w:cs="Arial" w:eastAsia="Arial" w:hAnsi="Arial"/>
                <w:sz w:val="18"/>
                <w:szCs w:val="18"/>
                <w:b w:val="1"/>
                <w:bCs w:val="1"/>
                <w:color w:val="FFFFFF"/>
              </w:rPr>
              <w:t>518,520</w:t>
            </w:r>
          </w:p>
        </w:tc>
        <w:tc>
          <w:tcPr>
            <w:tcW w:w="240" w:type="dxa"/>
            <w:vAlign w:val="bottom"/>
            <w:shd w:val="clear" w:color="auto" w:fill="FF160F"/>
          </w:tcPr>
          <w:p>
            <w:pPr>
              <w:ind w:left="80"/>
              <w:spacing w:after="0" w:line="202" w:lineRule="exact"/>
              <w:rPr>
                <w:sz w:val="20"/>
                <w:szCs w:val="20"/>
                <w:color w:val="auto"/>
              </w:rPr>
            </w:pPr>
            <w:r>
              <w:rPr>
                <w:rFonts w:ascii="Arial" w:cs="Arial" w:eastAsia="Arial" w:hAnsi="Arial"/>
                <w:sz w:val="18"/>
                <w:szCs w:val="18"/>
                <w:b w:val="1"/>
                <w:bCs w:val="1"/>
                <w:color w:val="FFFFFF"/>
              </w:rPr>
              <w:t>$</w:t>
            </w:r>
          </w:p>
        </w:tc>
        <w:tc>
          <w:tcPr>
            <w:tcW w:w="1360" w:type="dxa"/>
            <w:vAlign w:val="bottom"/>
            <w:shd w:val="clear" w:color="auto" w:fill="FF160F"/>
          </w:tcPr>
          <w:p>
            <w:pPr>
              <w:jc w:val="right"/>
              <w:spacing w:after="0" w:line="202" w:lineRule="exact"/>
              <w:rPr>
                <w:sz w:val="20"/>
                <w:szCs w:val="20"/>
                <w:color w:val="auto"/>
              </w:rPr>
            </w:pPr>
            <w:r>
              <w:rPr>
                <w:rFonts w:ascii="Arial" w:cs="Arial" w:eastAsia="Arial" w:hAnsi="Arial"/>
                <w:sz w:val="18"/>
                <w:szCs w:val="18"/>
                <w:b w:val="1"/>
                <w:bCs w:val="1"/>
                <w:color w:val="FFFFFF"/>
              </w:rPr>
              <w:t>17,445,206</w:t>
            </w:r>
          </w:p>
        </w:tc>
        <w:tc>
          <w:tcPr>
            <w:tcW w:w="180" w:type="dxa"/>
            <w:vAlign w:val="bottom"/>
            <w:shd w:val="clear" w:color="auto" w:fill="FF160F"/>
          </w:tcPr>
          <w:p>
            <w:pPr>
              <w:ind w:left="80"/>
              <w:spacing w:after="0" w:line="202" w:lineRule="exact"/>
              <w:rPr>
                <w:sz w:val="20"/>
                <w:szCs w:val="20"/>
                <w:color w:val="auto"/>
              </w:rPr>
            </w:pPr>
            <w:r>
              <w:rPr>
                <w:rFonts w:ascii="Arial" w:cs="Arial" w:eastAsia="Arial" w:hAnsi="Arial"/>
                <w:sz w:val="18"/>
                <w:szCs w:val="18"/>
                <w:b w:val="1"/>
                <w:bCs w:val="1"/>
                <w:color w:val="FFFFFF"/>
                <w:w w:val="79"/>
              </w:rPr>
              <w:t>$</w:t>
            </w:r>
          </w:p>
        </w:tc>
        <w:tc>
          <w:tcPr>
            <w:tcW w:w="1160" w:type="dxa"/>
            <w:vAlign w:val="bottom"/>
            <w:shd w:val="clear" w:color="auto" w:fill="FF160F"/>
          </w:tcPr>
          <w:p>
            <w:pPr>
              <w:jc w:val="right"/>
              <w:spacing w:after="0" w:line="202" w:lineRule="exact"/>
              <w:rPr>
                <w:sz w:val="20"/>
                <w:szCs w:val="20"/>
                <w:color w:val="auto"/>
              </w:rPr>
            </w:pPr>
            <w:r>
              <w:rPr>
                <w:rFonts w:ascii="Arial" w:cs="Arial" w:eastAsia="Arial" w:hAnsi="Arial"/>
                <w:sz w:val="18"/>
                <w:szCs w:val="18"/>
                <w:b w:val="1"/>
                <w:bCs w:val="1"/>
                <w:color w:val="FFFFFF"/>
              </w:rPr>
              <w:t>21,947,709</w:t>
            </w:r>
          </w:p>
        </w:tc>
        <w:tc>
          <w:tcPr>
            <w:tcW w:w="300" w:type="dxa"/>
            <w:vAlign w:val="bottom"/>
            <w:shd w:val="clear" w:color="auto" w:fill="FF160F"/>
          </w:tcPr>
          <w:p>
            <w:pPr>
              <w:ind w:left="80"/>
              <w:spacing w:after="0" w:line="202" w:lineRule="exact"/>
              <w:rPr>
                <w:sz w:val="20"/>
                <w:szCs w:val="20"/>
                <w:color w:val="auto"/>
              </w:rPr>
            </w:pPr>
            <w:r>
              <w:rPr>
                <w:rFonts w:ascii="Arial" w:cs="Arial" w:eastAsia="Arial" w:hAnsi="Arial"/>
                <w:sz w:val="18"/>
                <w:szCs w:val="18"/>
                <w:b w:val="1"/>
                <w:bCs w:val="1"/>
                <w:color w:val="FFFFFF"/>
              </w:rPr>
              <w:t>$</w:t>
            </w:r>
          </w:p>
        </w:tc>
        <w:tc>
          <w:tcPr>
            <w:tcW w:w="1160" w:type="dxa"/>
            <w:vAlign w:val="bottom"/>
            <w:shd w:val="clear" w:color="auto" w:fill="FF160F"/>
          </w:tcPr>
          <w:p>
            <w:pPr>
              <w:jc w:val="right"/>
              <w:spacing w:after="0" w:line="202" w:lineRule="exact"/>
              <w:rPr>
                <w:sz w:val="20"/>
                <w:szCs w:val="20"/>
                <w:color w:val="auto"/>
              </w:rPr>
            </w:pPr>
            <w:r>
              <w:rPr>
                <w:rFonts w:ascii="Arial" w:cs="Arial" w:eastAsia="Arial" w:hAnsi="Arial"/>
                <w:sz w:val="18"/>
                <w:szCs w:val="18"/>
                <w:b w:val="1"/>
                <w:bCs w:val="1"/>
                <w:color w:val="FFFFFF"/>
              </w:rPr>
              <w:t>12,806,927</w:t>
            </w:r>
          </w:p>
        </w:tc>
        <w:tc>
          <w:tcPr>
            <w:tcW w:w="220" w:type="dxa"/>
            <w:vAlign w:val="bottom"/>
            <w:shd w:val="clear" w:color="auto" w:fill="FF160F"/>
          </w:tcPr>
          <w:p>
            <w:pPr>
              <w:ind w:left="80"/>
              <w:spacing w:after="0" w:line="202" w:lineRule="exact"/>
              <w:rPr>
                <w:sz w:val="20"/>
                <w:szCs w:val="20"/>
                <w:color w:val="auto"/>
              </w:rPr>
            </w:pPr>
            <w:r>
              <w:rPr>
                <w:rFonts w:ascii="Arial" w:cs="Arial" w:eastAsia="Arial" w:hAnsi="Arial"/>
                <w:sz w:val="18"/>
                <w:szCs w:val="18"/>
                <w:b w:val="1"/>
                <w:bCs w:val="1"/>
                <w:color w:val="FFFFFF"/>
              </w:rPr>
              <w:t>$</w:t>
            </w:r>
          </w:p>
        </w:tc>
        <w:tc>
          <w:tcPr>
            <w:tcW w:w="1220" w:type="dxa"/>
            <w:vAlign w:val="bottom"/>
            <w:shd w:val="clear" w:color="auto" w:fill="FF160F"/>
          </w:tcPr>
          <w:p>
            <w:pPr>
              <w:jc w:val="right"/>
              <w:spacing w:after="0" w:line="202" w:lineRule="exact"/>
              <w:rPr>
                <w:sz w:val="20"/>
                <w:szCs w:val="20"/>
                <w:color w:val="auto"/>
              </w:rPr>
            </w:pPr>
            <w:r>
              <w:rPr>
                <w:rFonts w:ascii="Arial" w:cs="Arial" w:eastAsia="Arial" w:hAnsi="Arial"/>
                <w:sz w:val="18"/>
                <w:szCs w:val="18"/>
                <w:b w:val="1"/>
                <w:bCs w:val="1"/>
                <w:color w:val="FFFFFF"/>
              </w:rPr>
              <w:t>14,432,711</w:t>
            </w:r>
          </w:p>
        </w:tc>
        <w:tc>
          <w:tcPr>
            <w:tcW w:w="0" w:type="dxa"/>
            <w:vAlign w:val="bottom"/>
          </w:tcPr>
          <w:p>
            <w:pPr>
              <w:spacing w:after="0"/>
              <w:rPr>
                <w:sz w:val="1"/>
                <w:szCs w:val="1"/>
                <w:color w:val="auto"/>
              </w:rPr>
            </w:pPr>
          </w:p>
        </w:tc>
      </w:tr>
      <w:tr>
        <w:trPr>
          <w:trHeight w:val="203"/>
        </w:trPr>
        <w:tc>
          <w:tcPr>
            <w:tcW w:w="1720" w:type="dxa"/>
            <w:vAlign w:val="bottom"/>
          </w:tcPr>
          <w:p>
            <w:pPr>
              <w:spacing w:after="0" w:line="202" w:lineRule="exact"/>
              <w:rPr>
                <w:sz w:val="20"/>
                <w:szCs w:val="20"/>
                <w:color w:val="auto"/>
              </w:rPr>
            </w:pPr>
            <w:r>
              <w:rPr>
                <w:rFonts w:ascii="Arial" w:cs="Arial" w:eastAsia="Arial" w:hAnsi="Arial"/>
                <w:sz w:val="18"/>
                <w:szCs w:val="18"/>
                <w:color w:val="auto"/>
              </w:rPr>
              <w:t>Jeffrey S. Berkes</w:t>
            </w:r>
          </w:p>
        </w:tc>
        <w:tc>
          <w:tcPr>
            <w:tcW w:w="2120" w:type="dxa"/>
            <w:vAlign w:val="bottom"/>
            <w:shd w:val="clear" w:color="auto" w:fill="E5E5E5"/>
          </w:tcPr>
          <w:p>
            <w:pPr>
              <w:ind w:left="120"/>
              <w:spacing w:after="0" w:line="202" w:lineRule="exact"/>
              <w:rPr>
                <w:sz w:val="20"/>
                <w:szCs w:val="20"/>
                <w:color w:val="auto"/>
              </w:rPr>
            </w:pPr>
            <w:r>
              <w:rPr>
                <w:rFonts w:ascii="Arial" w:cs="Arial" w:eastAsia="Arial" w:hAnsi="Arial"/>
                <w:sz w:val="18"/>
                <w:szCs w:val="18"/>
                <w:color w:val="auto"/>
              </w:rPr>
              <w:t>Cash Benefits (multiple)</w:t>
            </w:r>
          </w:p>
        </w:tc>
        <w:tc>
          <w:tcPr>
            <w:tcW w:w="200" w:type="dxa"/>
            <w:vAlign w:val="bottom"/>
            <w:shd w:val="clear" w:color="auto" w:fill="E5E5E5"/>
          </w:tcPr>
          <w:p>
            <w:pPr>
              <w:spacing w:after="0"/>
              <w:rPr>
                <w:sz w:val="17"/>
                <w:szCs w:val="17"/>
                <w:color w:val="auto"/>
              </w:rPr>
            </w:pPr>
          </w:p>
        </w:tc>
        <w:tc>
          <w:tcPr>
            <w:tcW w:w="11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N/A</w:t>
            </w:r>
          </w:p>
        </w:tc>
        <w:tc>
          <w:tcPr>
            <w:tcW w:w="240" w:type="dxa"/>
            <w:vAlign w:val="bottom"/>
            <w:shd w:val="clear" w:color="auto" w:fill="E5E5E5"/>
          </w:tcPr>
          <w:p>
            <w:pPr>
              <w:spacing w:after="0"/>
              <w:rPr>
                <w:sz w:val="17"/>
                <w:szCs w:val="17"/>
                <w:color w:val="auto"/>
              </w:rPr>
            </w:pPr>
          </w:p>
        </w:tc>
        <w:tc>
          <w:tcPr>
            <w:tcW w:w="13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1.0x</w:t>
            </w:r>
          </w:p>
        </w:tc>
        <w:tc>
          <w:tcPr>
            <w:tcW w:w="180" w:type="dxa"/>
            <w:vAlign w:val="bottom"/>
            <w:shd w:val="clear" w:color="auto" w:fill="E5E5E5"/>
          </w:tcPr>
          <w:p>
            <w:pPr>
              <w:spacing w:after="0"/>
              <w:rPr>
                <w:sz w:val="17"/>
                <w:szCs w:val="17"/>
                <w:color w:val="auto"/>
              </w:rPr>
            </w:pPr>
          </w:p>
        </w:tc>
        <w:tc>
          <w:tcPr>
            <w:tcW w:w="11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2.0x</w:t>
            </w:r>
          </w:p>
        </w:tc>
        <w:tc>
          <w:tcPr>
            <w:tcW w:w="300" w:type="dxa"/>
            <w:vAlign w:val="bottom"/>
            <w:shd w:val="clear" w:color="auto" w:fill="E5E5E5"/>
          </w:tcPr>
          <w:p>
            <w:pPr>
              <w:spacing w:after="0"/>
              <w:rPr>
                <w:sz w:val="17"/>
                <w:szCs w:val="17"/>
                <w:color w:val="auto"/>
              </w:rPr>
            </w:pPr>
          </w:p>
        </w:tc>
        <w:tc>
          <w:tcPr>
            <w:tcW w:w="11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N/A</w:t>
            </w:r>
          </w:p>
        </w:tc>
        <w:tc>
          <w:tcPr>
            <w:tcW w:w="220" w:type="dxa"/>
            <w:vAlign w:val="bottom"/>
            <w:shd w:val="clear" w:color="auto" w:fill="E5E5E5"/>
          </w:tcPr>
          <w:p>
            <w:pPr>
              <w:spacing w:after="0"/>
              <w:rPr>
                <w:sz w:val="17"/>
                <w:szCs w:val="17"/>
                <w:color w:val="auto"/>
              </w:rPr>
            </w:pPr>
          </w:p>
        </w:tc>
        <w:tc>
          <w:tcPr>
            <w:tcW w:w="12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3"/>
        </w:trPr>
        <w:tc>
          <w:tcPr>
            <w:tcW w:w="1720" w:type="dxa"/>
            <w:vAlign w:val="bottom"/>
          </w:tcPr>
          <w:p>
            <w:pPr>
              <w:spacing w:after="0"/>
              <w:rPr>
                <w:sz w:val="17"/>
                <w:szCs w:val="17"/>
                <w:color w:val="auto"/>
              </w:rPr>
            </w:pPr>
          </w:p>
        </w:tc>
        <w:tc>
          <w:tcPr>
            <w:tcW w:w="2120" w:type="dxa"/>
            <w:vAlign w:val="bottom"/>
          </w:tcPr>
          <w:p>
            <w:pPr>
              <w:ind w:left="120"/>
              <w:spacing w:after="0" w:line="202" w:lineRule="exact"/>
              <w:rPr>
                <w:sz w:val="20"/>
                <w:szCs w:val="20"/>
                <w:color w:val="auto"/>
              </w:rPr>
            </w:pPr>
            <w:r>
              <w:rPr>
                <w:rFonts w:ascii="Arial" w:cs="Arial" w:eastAsia="Arial" w:hAnsi="Arial"/>
                <w:sz w:val="18"/>
                <w:szCs w:val="18"/>
                <w:color w:val="auto"/>
              </w:rPr>
              <w:t>Cash Benefits (amount)</w:t>
            </w:r>
          </w:p>
        </w:tc>
        <w:tc>
          <w:tcPr>
            <w:tcW w:w="200" w:type="dxa"/>
            <w:vAlign w:val="bottom"/>
          </w:tcPr>
          <w:p>
            <w:pPr>
              <w:ind w:left="80"/>
              <w:spacing w:after="0" w:line="202" w:lineRule="exact"/>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 xml:space="preserve">- </w:t>
            </w:r>
          </w:p>
        </w:tc>
        <w:tc>
          <w:tcPr>
            <w:tcW w:w="24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1,462,500</w:t>
            </w:r>
          </w:p>
        </w:tc>
        <w:tc>
          <w:tcPr>
            <w:tcW w:w="180" w:type="dxa"/>
            <w:vAlign w:val="bottom"/>
          </w:tcPr>
          <w:p>
            <w:pPr>
              <w:ind w:left="80"/>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2,925,000</w:t>
            </w:r>
          </w:p>
        </w:tc>
        <w:tc>
          <w:tcPr>
            <w:tcW w:w="30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1,015,625</w:t>
            </w:r>
          </w:p>
        </w:tc>
        <w:tc>
          <w:tcPr>
            <w:tcW w:w="22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1,015,625</w:t>
            </w:r>
          </w:p>
        </w:tc>
        <w:tc>
          <w:tcPr>
            <w:tcW w:w="0" w:type="dxa"/>
            <w:vAlign w:val="bottom"/>
          </w:tcPr>
          <w:p>
            <w:pPr>
              <w:spacing w:after="0"/>
              <w:rPr>
                <w:sz w:val="1"/>
                <w:szCs w:val="1"/>
                <w:color w:val="auto"/>
              </w:rPr>
            </w:pPr>
          </w:p>
        </w:tc>
      </w:tr>
      <w:tr>
        <w:trPr>
          <w:trHeight w:val="203"/>
        </w:trPr>
        <w:tc>
          <w:tcPr>
            <w:tcW w:w="1720" w:type="dxa"/>
            <w:vAlign w:val="bottom"/>
          </w:tcPr>
          <w:p>
            <w:pPr>
              <w:spacing w:after="0"/>
              <w:rPr>
                <w:sz w:val="17"/>
                <w:szCs w:val="17"/>
                <w:color w:val="auto"/>
              </w:rPr>
            </w:pPr>
          </w:p>
        </w:tc>
        <w:tc>
          <w:tcPr>
            <w:tcW w:w="2120" w:type="dxa"/>
            <w:vAlign w:val="bottom"/>
            <w:shd w:val="clear" w:color="auto" w:fill="E5E5E5"/>
          </w:tcPr>
          <w:p>
            <w:pPr>
              <w:ind w:left="120"/>
              <w:spacing w:after="0" w:line="202" w:lineRule="exact"/>
              <w:rPr>
                <w:sz w:val="20"/>
                <w:szCs w:val="20"/>
                <w:color w:val="auto"/>
              </w:rPr>
            </w:pPr>
            <w:r>
              <w:rPr>
                <w:rFonts w:ascii="Arial" w:cs="Arial" w:eastAsia="Arial" w:hAnsi="Arial"/>
                <w:sz w:val="16"/>
                <w:szCs w:val="16"/>
                <w:color w:val="auto"/>
              </w:rPr>
              <w:t>Medical Benefits</w:t>
            </w:r>
            <w:r>
              <w:rPr>
                <w:rFonts w:ascii="Arial" w:cs="Arial" w:eastAsia="Arial" w:hAnsi="Arial"/>
                <w:sz w:val="23"/>
                <w:szCs w:val="23"/>
                <w:color w:val="auto"/>
                <w:vertAlign w:val="superscript"/>
              </w:rPr>
              <w:t>(2)</w:t>
            </w:r>
          </w:p>
        </w:tc>
        <w:tc>
          <w:tcPr>
            <w:tcW w:w="200" w:type="dxa"/>
            <w:vAlign w:val="bottom"/>
            <w:shd w:val="clear" w:color="auto" w:fill="E5E5E5"/>
          </w:tcPr>
          <w:p>
            <w:pPr>
              <w:ind w:left="80"/>
              <w:spacing w:after="0" w:line="202" w:lineRule="exact"/>
              <w:rPr>
                <w:sz w:val="20"/>
                <w:szCs w:val="20"/>
                <w:color w:val="auto"/>
              </w:rPr>
            </w:pPr>
            <w:r>
              <w:rPr>
                <w:rFonts w:ascii="Arial" w:cs="Arial" w:eastAsia="Arial" w:hAnsi="Arial"/>
                <w:sz w:val="18"/>
                <w:szCs w:val="18"/>
                <w:color w:val="auto"/>
                <w:w w:val="99"/>
              </w:rPr>
              <w:t>$</w:t>
            </w:r>
          </w:p>
        </w:tc>
        <w:tc>
          <w:tcPr>
            <w:tcW w:w="1140" w:type="dxa"/>
            <w:vAlign w:val="bottom"/>
            <w:shd w:val="clear" w:color="auto" w:fill="E5E5E5"/>
          </w:tcPr>
          <w:p>
            <w:pPr>
              <w:jc w:val="right"/>
              <w:ind w:right="130"/>
              <w:spacing w:after="0" w:line="202" w:lineRule="exact"/>
              <w:rPr>
                <w:sz w:val="20"/>
                <w:szCs w:val="20"/>
                <w:color w:val="auto"/>
              </w:rPr>
            </w:pPr>
            <w:r>
              <w:rPr>
                <w:rFonts w:ascii="Arial" w:cs="Arial" w:eastAsia="Arial" w:hAnsi="Arial"/>
                <w:sz w:val="18"/>
                <w:szCs w:val="18"/>
                <w:color w:val="auto"/>
              </w:rPr>
              <w:t xml:space="preserve">- </w:t>
            </w:r>
          </w:p>
        </w:tc>
        <w:tc>
          <w:tcPr>
            <w:tcW w:w="240" w:type="dxa"/>
            <w:vAlign w:val="bottom"/>
            <w:shd w:val="clear" w:color="auto" w:fill="E5E5E5"/>
          </w:tcPr>
          <w:p>
            <w:pPr>
              <w:ind w:left="80"/>
              <w:spacing w:after="0" w:line="202" w:lineRule="exact"/>
              <w:rPr>
                <w:sz w:val="20"/>
                <w:szCs w:val="20"/>
                <w:color w:val="auto"/>
              </w:rPr>
            </w:pPr>
            <w:r>
              <w:rPr>
                <w:rFonts w:ascii="Arial" w:cs="Arial" w:eastAsia="Arial" w:hAnsi="Arial"/>
                <w:sz w:val="18"/>
                <w:szCs w:val="18"/>
                <w:color w:val="auto"/>
              </w:rPr>
              <w:t>$</w:t>
            </w:r>
          </w:p>
        </w:tc>
        <w:tc>
          <w:tcPr>
            <w:tcW w:w="13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26,432</w:t>
            </w:r>
          </w:p>
        </w:tc>
        <w:tc>
          <w:tcPr>
            <w:tcW w:w="180" w:type="dxa"/>
            <w:vAlign w:val="bottom"/>
            <w:shd w:val="clear" w:color="auto" w:fill="E5E5E5"/>
          </w:tcPr>
          <w:p>
            <w:pPr>
              <w:ind w:left="80"/>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52,865</w:t>
            </w:r>
          </w:p>
        </w:tc>
        <w:tc>
          <w:tcPr>
            <w:tcW w:w="300" w:type="dxa"/>
            <w:vAlign w:val="bottom"/>
            <w:shd w:val="clear" w:color="auto" w:fill="E5E5E5"/>
          </w:tcPr>
          <w:p>
            <w:pPr>
              <w:ind w:left="80"/>
              <w:spacing w:after="0" w:line="202" w:lineRule="exact"/>
              <w:rPr>
                <w:sz w:val="20"/>
                <w:szCs w:val="20"/>
                <w:color w:val="auto"/>
              </w:rPr>
            </w:pPr>
            <w:r>
              <w:rPr>
                <w:rFonts w:ascii="Arial" w:cs="Arial" w:eastAsia="Arial" w:hAnsi="Arial"/>
                <w:sz w:val="18"/>
                <w:szCs w:val="18"/>
                <w:color w:val="auto"/>
              </w:rPr>
              <w:t>$</w:t>
            </w:r>
          </w:p>
        </w:tc>
        <w:tc>
          <w:tcPr>
            <w:tcW w:w="1160" w:type="dxa"/>
            <w:vAlign w:val="bottom"/>
            <w:shd w:val="clear" w:color="auto" w:fill="E5E5E5"/>
          </w:tcPr>
          <w:p>
            <w:pPr>
              <w:jc w:val="right"/>
              <w:ind w:right="111"/>
              <w:spacing w:after="0" w:line="202" w:lineRule="exact"/>
              <w:rPr>
                <w:sz w:val="20"/>
                <w:szCs w:val="20"/>
                <w:color w:val="auto"/>
              </w:rPr>
            </w:pPr>
            <w:r>
              <w:rPr>
                <w:rFonts w:ascii="Arial" w:cs="Arial" w:eastAsia="Arial" w:hAnsi="Arial"/>
                <w:sz w:val="18"/>
                <w:szCs w:val="18"/>
                <w:color w:val="auto"/>
              </w:rPr>
              <w:t xml:space="preserve">- </w:t>
            </w:r>
          </w:p>
        </w:tc>
        <w:tc>
          <w:tcPr>
            <w:tcW w:w="220" w:type="dxa"/>
            <w:vAlign w:val="bottom"/>
            <w:shd w:val="clear" w:color="auto" w:fill="E5E5E5"/>
          </w:tcPr>
          <w:p>
            <w:pPr>
              <w:ind w:left="80"/>
              <w:spacing w:after="0" w:line="202" w:lineRule="exact"/>
              <w:rPr>
                <w:sz w:val="20"/>
                <w:szCs w:val="20"/>
                <w:color w:val="auto"/>
              </w:rPr>
            </w:pPr>
            <w:r>
              <w:rPr>
                <w:rFonts w:ascii="Arial" w:cs="Arial" w:eastAsia="Arial" w:hAnsi="Arial"/>
                <w:sz w:val="18"/>
                <w:szCs w:val="18"/>
                <w:color w:val="auto"/>
              </w:rPr>
              <w:t>$</w:t>
            </w:r>
          </w:p>
        </w:tc>
        <w:tc>
          <w:tcPr>
            <w:tcW w:w="12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26,432</w:t>
            </w:r>
          </w:p>
        </w:tc>
        <w:tc>
          <w:tcPr>
            <w:tcW w:w="0" w:type="dxa"/>
            <w:vAlign w:val="bottom"/>
          </w:tcPr>
          <w:p>
            <w:pPr>
              <w:spacing w:after="0"/>
              <w:rPr>
                <w:sz w:val="1"/>
                <w:szCs w:val="1"/>
                <w:color w:val="auto"/>
              </w:rPr>
            </w:pPr>
          </w:p>
        </w:tc>
      </w:tr>
      <w:tr>
        <w:trPr>
          <w:trHeight w:val="203"/>
        </w:trPr>
        <w:tc>
          <w:tcPr>
            <w:tcW w:w="1720" w:type="dxa"/>
            <w:vAlign w:val="bottom"/>
          </w:tcPr>
          <w:p>
            <w:pPr>
              <w:spacing w:after="0"/>
              <w:rPr>
                <w:sz w:val="17"/>
                <w:szCs w:val="17"/>
                <w:color w:val="auto"/>
              </w:rPr>
            </w:pPr>
          </w:p>
        </w:tc>
        <w:tc>
          <w:tcPr>
            <w:tcW w:w="2120" w:type="dxa"/>
            <w:vAlign w:val="bottom"/>
          </w:tcPr>
          <w:p>
            <w:pPr>
              <w:ind w:left="120"/>
              <w:spacing w:after="0" w:line="202" w:lineRule="exact"/>
              <w:rPr>
                <w:sz w:val="20"/>
                <w:szCs w:val="20"/>
                <w:color w:val="auto"/>
              </w:rPr>
            </w:pPr>
            <w:r>
              <w:rPr>
                <w:rFonts w:ascii="Arial" w:cs="Arial" w:eastAsia="Arial" w:hAnsi="Arial"/>
                <w:sz w:val="16"/>
                <w:szCs w:val="16"/>
                <w:color w:val="auto"/>
              </w:rPr>
              <w:t>Accelerated Equity</w:t>
            </w:r>
            <w:r>
              <w:rPr>
                <w:rFonts w:ascii="Arial" w:cs="Arial" w:eastAsia="Arial" w:hAnsi="Arial"/>
                <w:sz w:val="23"/>
                <w:szCs w:val="23"/>
                <w:color w:val="auto"/>
                <w:vertAlign w:val="superscript"/>
              </w:rPr>
              <w:t>(3)</w:t>
            </w:r>
          </w:p>
        </w:tc>
        <w:tc>
          <w:tcPr>
            <w:tcW w:w="200" w:type="dxa"/>
            <w:vAlign w:val="bottom"/>
          </w:tcPr>
          <w:p>
            <w:pPr>
              <w:ind w:left="80"/>
              <w:spacing w:after="0" w:line="202" w:lineRule="exact"/>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 xml:space="preserve">- </w:t>
            </w:r>
          </w:p>
        </w:tc>
        <w:tc>
          <w:tcPr>
            <w:tcW w:w="24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3,715,559</w:t>
            </w:r>
          </w:p>
        </w:tc>
        <w:tc>
          <w:tcPr>
            <w:tcW w:w="180" w:type="dxa"/>
            <w:vAlign w:val="bottom"/>
          </w:tcPr>
          <w:p>
            <w:pPr>
              <w:ind w:left="80"/>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3,715,559</w:t>
            </w:r>
          </w:p>
        </w:tc>
        <w:tc>
          <w:tcPr>
            <w:tcW w:w="30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3,715,559</w:t>
            </w:r>
          </w:p>
        </w:tc>
        <w:tc>
          <w:tcPr>
            <w:tcW w:w="22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3,715,559</w:t>
            </w:r>
          </w:p>
        </w:tc>
        <w:tc>
          <w:tcPr>
            <w:tcW w:w="0" w:type="dxa"/>
            <w:vAlign w:val="bottom"/>
          </w:tcPr>
          <w:p>
            <w:pPr>
              <w:spacing w:after="0"/>
              <w:rPr>
                <w:sz w:val="1"/>
                <w:szCs w:val="1"/>
                <w:color w:val="auto"/>
              </w:rPr>
            </w:pPr>
          </w:p>
        </w:tc>
      </w:tr>
      <w:tr>
        <w:trPr>
          <w:trHeight w:val="203"/>
        </w:trPr>
        <w:tc>
          <w:tcPr>
            <w:tcW w:w="1720" w:type="dxa"/>
            <w:vAlign w:val="bottom"/>
          </w:tcPr>
          <w:p>
            <w:pPr>
              <w:spacing w:after="0"/>
              <w:rPr>
                <w:sz w:val="17"/>
                <w:szCs w:val="17"/>
                <w:color w:val="auto"/>
              </w:rPr>
            </w:pPr>
          </w:p>
        </w:tc>
        <w:tc>
          <w:tcPr>
            <w:tcW w:w="2120" w:type="dxa"/>
            <w:vAlign w:val="bottom"/>
            <w:shd w:val="clear" w:color="auto" w:fill="E5E5E5"/>
          </w:tcPr>
          <w:p>
            <w:pPr>
              <w:ind w:left="120"/>
              <w:spacing w:after="0" w:line="202" w:lineRule="exact"/>
              <w:rPr>
                <w:sz w:val="20"/>
                <w:szCs w:val="20"/>
                <w:color w:val="auto"/>
              </w:rPr>
            </w:pPr>
            <w:r>
              <w:rPr>
                <w:rFonts w:ascii="Arial" w:cs="Arial" w:eastAsia="Arial" w:hAnsi="Arial"/>
                <w:sz w:val="16"/>
                <w:szCs w:val="16"/>
                <w:color w:val="auto"/>
              </w:rPr>
              <w:t>Other Benefits</w:t>
            </w:r>
            <w:r>
              <w:rPr>
                <w:rFonts w:ascii="Arial" w:cs="Arial" w:eastAsia="Arial" w:hAnsi="Arial"/>
                <w:sz w:val="23"/>
                <w:szCs w:val="23"/>
                <w:color w:val="auto"/>
                <w:vertAlign w:val="superscript"/>
              </w:rPr>
              <w:t>(4)</w:t>
            </w:r>
          </w:p>
        </w:tc>
        <w:tc>
          <w:tcPr>
            <w:tcW w:w="200" w:type="dxa"/>
            <w:vAlign w:val="bottom"/>
            <w:shd w:val="clear" w:color="auto" w:fill="E5E5E5"/>
          </w:tcPr>
          <w:p>
            <w:pPr>
              <w:ind w:left="80"/>
              <w:spacing w:after="0" w:line="202" w:lineRule="exact"/>
              <w:rPr>
                <w:sz w:val="20"/>
                <w:szCs w:val="20"/>
                <w:color w:val="auto"/>
              </w:rPr>
            </w:pPr>
            <w:r>
              <w:rPr>
                <w:rFonts w:ascii="Arial" w:cs="Arial" w:eastAsia="Arial" w:hAnsi="Arial"/>
                <w:sz w:val="18"/>
                <w:szCs w:val="18"/>
                <w:color w:val="auto"/>
                <w:w w:val="99"/>
              </w:rPr>
              <w:t>$</w:t>
            </w:r>
          </w:p>
        </w:tc>
        <w:tc>
          <w:tcPr>
            <w:tcW w:w="1140" w:type="dxa"/>
            <w:vAlign w:val="bottom"/>
            <w:shd w:val="clear" w:color="auto" w:fill="E5E5E5"/>
          </w:tcPr>
          <w:p>
            <w:pPr>
              <w:jc w:val="right"/>
              <w:ind w:right="130"/>
              <w:spacing w:after="0" w:line="202" w:lineRule="exact"/>
              <w:rPr>
                <w:sz w:val="20"/>
                <w:szCs w:val="20"/>
                <w:color w:val="auto"/>
              </w:rPr>
            </w:pPr>
            <w:r>
              <w:rPr>
                <w:rFonts w:ascii="Arial" w:cs="Arial" w:eastAsia="Arial" w:hAnsi="Arial"/>
                <w:sz w:val="18"/>
                <w:szCs w:val="18"/>
                <w:color w:val="auto"/>
              </w:rPr>
              <w:t xml:space="preserve">- </w:t>
            </w:r>
          </w:p>
        </w:tc>
        <w:tc>
          <w:tcPr>
            <w:tcW w:w="240" w:type="dxa"/>
            <w:vAlign w:val="bottom"/>
            <w:shd w:val="clear" w:color="auto" w:fill="E5E5E5"/>
          </w:tcPr>
          <w:p>
            <w:pPr>
              <w:ind w:left="80"/>
              <w:spacing w:after="0" w:line="202" w:lineRule="exact"/>
              <w:rPr>
                <w:sz w:val="20"/>
                <w:szCs w:val="20"/>
                <w:color w:val="auto"/>
              </w:rPr>
            </w:pPr>
            <w:r>
              <w:rPr>
                <w:rFonts w:ascii="Arial" w:cs="Arial" w:eastAsia="Arial" w:hAnsi="Arial"/>
                <w:sz w:val="18"/>
                <w:szCs w:val="18"/>
                <w:color w:val="auto"/>
              </w:rPr>
              <w:t>$</w:t>
            </w:r>
          </w:p>
        </w:tc>
        <w:tc>
          <w:tcPr>
            <w:tcW w:w="1360" w:type="dxa"/>
            <w:vAlign w:val="bottom"/>
            <w:shd w:val="clear" w:color="auto" w:fill="E5E5E5"/>
          </w:tcPr>
          <w:p>
            <w:pPr>
              <w:jc w:val="right"/>
              <w:ind w:right="130"/>
              <w:spacing w:after="0" w:line="202" w:lineRule="exact"/>
              <w:rPr>
                <w:sz w:val="20"/>
                <w:szCs w:val="20"/>
                <w:color w:val="auto"/>
              </w:rPr>
            </w:pPr>
            <w:r>
              <w:rPr>
                <w:rFonts w:ascii="Arial" w:cs="Arial" w:eastAsia="Arial" w:hAnsi="Arial"/>
                <w:sz w:val="18"/>
                <w:szCs w:val="18"/>
                <w:color w:val="auto"/>
              </w:rPr>
              <w:t xml:space="preserve">- </w:t>
            </w:r>
          </w:p>
        </w:tc>
        <w:tc>
          <w:tcPr>
            <w:tcW w:w="180" w:type="dxa"/>
            <w:vAlign w:val="bottom"/>
            <w:shd w:val="clear" w:color="auto" w:fill="E5E5E5"/>
          </w:tcPr>
          <w:p>
            <w:pPr>
              <w:ind w:left="80"/>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shd w:val="clear" w:color="auto" w:fill="E5E5E5"/>
          </w:tcPr>
          <w:p>
            <w:pPr>
              <w:jc w:val="right"/>
              <w:ind w:right="111"/>
              <w:spacing w:after="0" w:line="202" w:lineRule="exact"/>
              <w:rPr>
                <w:sz w:val="20"/>
                <w:szCs w:val="20"/>
                <w:color w:val="auto"/>
              </w:rPr>
            </w:pPr>
            <w:r>
              <w:rPr>
                <w:rFonts w:ascii="Arial" w:cs="Arial" w:eastAsia="Arial" w:hAnsi="Arial"/>
                <w:sz w:val="18"/>
                <w:szCs w:val="18"/>
                <w:color w:val="auto"/>
              </w:rPr>
              <w:t xml:space="preserve">- </w:t>
            </w:r>
          </w:p>
        </w:tc>
        <w:tc>
          <w:tcPr>
            <w:tcW w:w="300" w:type="dxa"/>
            <w:vAlign w:val="bottom"/>
            <w:shd w:val="clear" w:color="auto" w:fill="E5E5E5"/>
          </w:tcPr>
          <w:p>
            <w:pPr>
              <w:ind w:left="80"/>
              <w:spacing w:after="0" w:line="202" w:lineRule="exact"/>
              <w:rPr>
                <w:sz w:val="20"/>
                <w:szCs w:val="20"/>
                <w:color w:val="auto"/>
              </w:rPr>
            </w:pPr>
            <w:r>
              <w:rPr>
                <w:rFonts w:ascii="Arial" w:cs="Arial" w:eastAsia="Arial" w:hAnsi="Arial"/>
                <w:sz w:val="18"/>
                <w:szCs w:val="18"/>
                <w:color w:val="auto"/>
              </w:rPr>
              <w:t>$</w:t>
            </w:r>
          </w:p>
        </w:tc>
        <w:tc>
          <w:tcPr>
            <w:tcW w:w="1160" w:type="dxa"/>
            <w:vAlign w:val="bottom"/>
            <w:shd w:val="clear" w:color="auto" w:fill="E5E5E5"/>
          </w:tcPr>
          <w:p>
            <w:pPr>
              <w:jc w:val="right"/>
              <w:ind w:right="111"/>
              <w:spacing w:after="0" w:line="202" w:lineRule="exact"/>
              <w:rPr>
                <w:sz w:val="20"/>
                <w:szCs w:val="20"/>
                <w:color w:val="auto"/>
              </w:rPr>
            </w:pPr>
            <w:r>
              <w:rPr>
                <w:rFonts w:ascii="Arial" w:cs="Arial" w:eastAsia="Arial" w:hAnsi="Arial"/>
                <w:sz w:val="18"/>
                <w:szCs w:val="18"/>
                <w:color w:val="auto"/>
              </w:rPr>
              <w:t xml:space="preserve">- </w:t>
            </w:r>
          </w:p>
        </w:tc>
        <w:tc>
          <w:tcPr>
            <w:tcW w:w="220" w:type="dxa"/>
            <w:vAlign w:val="bottom"/>
            <w:shd w:val="clear" w:color="auto" w:fill="E5E5E5"/>
          </w:tcPr>
          <w:p>
            <w:pPr>
              <w:ind w:left="80"/>
              <w:spacing w:after="0" w:line="202" w:lineRule="exact"/>
              <w:rPr>
                <w:sz w:val="20"/>
                <w:szCs w:val="20"/>
                <w:color w:val="auto"/>
              </w:rPr>
            </w:pPr>
            <w:r>
              <w:rPr>
                <w:rFonts w:ascii="Arial" w:cs="Arial" w:eastAsia="Arial" w:hAnsi="Arial"/>
                <w:sz w:val="18"/>
                <w:szCs w:val="18"/>
                <w:color w:val="auto"/>
              </w:rPr>
              <w:t>$</w:t>
            </w:r>
          </w:p>
        </w:tc>
        <w:tc>
          <w:tcPr>
            <w:tcW w:w="1220" w:type="dxa"/>
            <w:vAlign w:val="bottom"/>
            <w:shd w:val="clear" w:color="auto" w:fill="E5E5E5"/>
          </w:tcPr>
          <w:p>
            <w:pPr>
              <w:jc w:val="right"/>
              <w:ind w:right="111"/>
              <w:spacing w:after="0" w:line="202" w:lineRule="exact"/>
              <w:rPr>
                <w:sz w:val="20"/>
                <w:szCs w:val="20"/>
                <w:color w:val="auto"/>
              </w:rPr>
            </w:pPr>
            <w:r>
              <w:rPr>
                <w:rFonts w:ascii="Arial" w:cs="Arial" w:eastAsia="Arial" w:hAnsi="Arial"/>
                <w:sz w:val="18"/>
                <w:szCs w:val="18"/>
                <w:color w:val="auto"/>
              </w:rPr>
              <w:t xml:space="preserve">- </w:t>
            </w:r>
          </w:p>
        </w:tc>
        <w:tc>
          <w:tcPr>
            <w:tcW w:w="0" w:type="dxa"/>
            <w:vAlign w:val="bottom"/>
          </w:tcPr>
          <w:p>
            <w:pPr>
              <w:spacing w:after="0"/>
              <w:rPr>
                <w:sz w:val="1"/>
                <w:szCs w:val="1"/>
                <w:color w:val="auto"/>
              </w:rPr>
            </w:pPr>
          </w:p>
        </w:tc>
      </w:tr>
      <w:tr>
        <w:trPr>
          <w:trHeight w:val="203"/>
        </w:trPr>
        <w:tc>
          <w:tcPr>
            <w:tcW w:w="1720" w:type="dxa"/>
            <w:vAlign w:val="bottom"/>
          </w:tcPr>
          <w:p>
            <w:pPr>
              <w:spacing w:after="0"/>
              <w:rPr>
                <w:sz w:val="17"/>
                <w:szCs w:val="17"/>
                <w:color w:val="auto"/>
              </w:rPr>
            </w:pPr>
          </w:p>
        </w:tc>
        <w:tc>
          <w:tcPr>
            <w:tcW w:w="2120" w:type="dxa"/>
            <w:vAlign w:val="bottom"/>
          </w:tcPr>
          <w:p>
            <w:pPr>
              <w:ind w:left="120"/>
              <w:spacing w:after="0" w:line="202" w:lineRule="exact"/>
              <w:rPr>
                <w:sz w:val="20"/>
                <w:szCs w:val="20"/>
                <w:color w:val="auto"/>
              </w:rPr>
            </w:pPr>
            <w:r>
              <w:rPr>
                <w:rFonts w:ascii="Arial" w:cs="Arial" w:eastAsia="Arial" w:hAnsi="Arial"/>
                <w:sz w:val="18"/>
                <w:szCs w:val="18"/>
                <w:color w:val="auto"/>
              </w:rPr>
              <w:t>Excise Tax Gross-Up</w:t>
            </w:r>
          </w:p>
        </w:tc>
        <w:tc>
          <w:tcPr>
            <w:tcW w:w="20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N/A</w:t>
            </w:r>
          </w:p>
        </w:tc>
        <w:tc>
          <w:tcPr>
            <w:tcW w:w="24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N/A</w:t>
            </w:r>
          </w:p>
        </w:tc>
        <w:tc>
          <w:tcPr>
            <w:tcW w:w="18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N/A</w:t>
            </w:r>
          </w:p>
        </w:tc>
        <w:tc>
          <w:tcPr>
            <w:tcW w:w="30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N/A</w:t>
            </w:r>
          </w:p>
        </w:tc>
        <w:tc>
          <w:tcPr>
            <w:tcW w:w="22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3"/>
        </w:trPr>
        <w:tc>
          <w:tcPr>
            <w:tcW w:w="1720" w:type="dxa"/>
            <w:vAlign w:val="bottom"/>
            <w:shd w:val="clear" w:color="auto" w:fill="FF160F"/>
          </w:tcPr>
          <w:p>
            <w:pPr>
              <w:spacing w:after="0" w:line="202" w:lineRule="exact"/>
              <w:rPr>
                <w:sz w:val="20"/>
                <w:szCs w:val="20"/>
                <w:color w:val="auto"/>
              </w:rPr>
            </w:pPr>
            <w:r>
              <w:rPr>
                <w:rFonts w:ascii="Arial" w:cs="Arial" w:eastAsia="Arial" w:hAnsi="Arial"/>
                <w:sz w:val="18"/>
                <w:szCs w:val="18"/>
                <w:b w:val="1"/>
                <w:bCs w:val="1"/>
                <w:color w:val="FFFFFF"/>
              </w:rPr>
              <w:t>Total</w:t>
            </w:r>
          </w:p>
        </w:tc>
        <w:tc>
          <w:tcPr>
            <w:tcW w:w="2120" w:type="dxa"/>
            <w:vAlign w:val="bottom"/>
            <w:shd w:val="clear" w:color="auto" w:fill="FF160F"/>
          </w:tcPr>
          <w:p>
            <w:pPr>
              <w:spacing w:after="0"/>
              <w:rPr>
                <w:sz w:val="17"/>
                <w:szCs w:val="17"/>
                <w:color w:val="auto"/>
              </w:rPr>
            </w:pPr>
          </w:p>
        </w:tc>
        <w:tc>
          <w:tcPr>
            <w:tcW w:w="200" w:type="dxa"/>
            <w:vAlign w:val="bottom"/>
            <w:shd w:val="clear" w:color="auto" w:fill="FF160F"/>
          </w:tcPr>
          <w:p>
            <w:pPr>
              <w:ind w:left="80"/>
              <w:spacing w:after="0" w:line="202" w:lineRule="exact"/>
              <w:rPr>
                <w:sz w:val="20"/>
                <w:szCs w:val="20"/>
                <w:color w:val="auto"/>
              </w:rPr>
            </w:pPr>
            <w:r>
              <w:rPr>
                <w:rFonts w:ascii="Arial" w:cs="Arial" w:eastAsia="Arial" w:hAnsi="Arial"/>
                <w:sz w:val="18"/>
                <w:szCs w:val="18"/>
                <w:b w:val="1"/>
                <w:bCs w:val="1"/>
                <w:color w:val="FFFFFF"/>
                <w:w w:val="99"/>
              </w:rPr>
              <w:t>$</w:t>
            </w:r>
          </w:p>
        </w:tc>
        <w:tc>
          <w:tcPr>
            <w:tcW w:w="1140" w:type="dxa"/>
            <w:vAlign w:val="bottom"/>
            <w:shd w:val="clear" w:color="auto" w:fill="FF160F"/>
          </w:tcPr>
          <w:p>
            <w:pPr>
              <w:jc w:val="right"/>
              <w:ind w:right="130"/>
              <w:spacing w:after="0" w:line="202" w:lineRule="exact"/>
              <w:rPr>
                <w:sz w:val="20"/>
                <w:szCs w:val="20"/>
                <w:color w:val="auto"/>
              </w:rPr>
            </w:pPr>
            <w:r>
              <w:rPr>
                <w:rFonts w:ascii="Arial" w:cs="Arial" w:eastAsia="Arial" w:hAnsi="Arial"/>
                <w:sz w:val="18"/>
                <w:szCs w:val="18"/>
                <w:b w:val="1"/>
                <w:bCs w:val="1"/>
                <w:color w:val="FFFFFF"/>
              </w:rPr>
              <w:t xml:space="preserve">- </w:t>
            </w:r>
          </w:p>
        </w:tc>
        <w:tc>
          <w:tcPr>
            <w:tcW w:w="240" w:type="dxa"/>
            <w:vAlign w:val="bottom"/>
            <w:shd w:val="clear" w:color="auto" w:fill="FF160F"/>
          </w:tcPr>
          <w:p>
            <w:pPr>
              <w:ind w:left="80"/>
              <w:spacing w:after="0" w:line="202" w:lineRule="exact"/>
              <w:rPr>
                <w:sz w:val="20"/>
                <w:szCs w:val="20"/>
                <w:color w:val="auto"/>
              </w:rPr>
            </w:pPr>
            <w:r>
              <w:rPr>
                <w:rFonts w:ascii="Arial" w:cs="Arial" w:eastAsia="Arial" w:hAnsi="Arial"/>
                <w:sz w:val="18"/>
                <w:szCs w:val="18"/>
                <w:b w:val="1"/>
                <w:bCs w:val="1"/>
                <w:color w:val="FFFFFF"/>
              </w:rPr>
              <w:t>$</w:t>
            </w:r>
          </w:p>
        </w:tc>
        <w:tc>
          <w:tcPr>
            <w:tcW w:w="1360" w:type="dxa"/>
            <w:vAlign w:val="bottom"/>
            <w:shd w:val="clear" w:color="auto" w:fill="FF160F"/>
          </w:tcPr>
          <w:p>
            <w:pPr>
              <w:jc w:val="right"/>
              <w:spacing w:after="0" w:line="202" w:lineRule="exact"/>
              <w:rPr>
                <w:sz w:val="20"/>
                <w:szCs w:val="20"/>
                <w:color w:val="auto"/>
              </w:rPr>
            </w:pPr>
            <w:r>
              <w:rPr>
                <w:rFonts w:ascii="Arial" w:cs="Arial" w:eastAsia="Arial" w:hAnsi="Arial"/>
                <w:sz w:val="18"/>
                <w:szCs w:val="18"/>
                <w:b w:val="1"/>
                <w:bCs w:val="1"/>
                <w:color w:val="FFFFFF"/>
              </w:rPr>
              <w:t>5,204,492</w:t>
            </w:r>
          </w:p>
        </w:tc>
        <w:tc>
          <w:tcPr>
            <w:tcW w:w="180" w:type="dxa"/>
            <w:vAlign w:val="bottom"/>
            <w:shd w:val="clear" w:color="auto" w:fill="FF160F"/>
          </w:tcPr>
          <w:p>
            <w:pPr>
              <w:ind w:left="80"/>
              <w:spacing w:after="0" w:line="202" w:lineRule="exact"/>
              <w:rPr>
                <w:sz w:val="20"/>
                <w:szCs w:val="20"/>
                <w:color w:val="auto"/>
              </w:rPr>
            </w:pPr>
            <w:r>
              <w:rPr>
                <w:rFonts w:ascii="Arial" w:cs="Arial" w:eastAsia="Arial" w:hAnsi="Arial"/>
                <w:sz w:val="18"/>
                <w:szCs w:val="18"/>
                <w:b w:val="1"/>
                <w:bCs w:val="1"/>
                <w:color w:val="FFFFFF"/>
                <w:w w:val="79"/>
              </w:rPr>
              <w:t>$</w:t>
            </w:r>
          </w:p>
        </w:tc>
        <w:tc>
          <w:tcPr>
            <w:tcW w:w="1160" w:type="dxa"/>
            <w:vAlign w:val="bottom"/>
            <w:shd w:val="clear" w:color="auto" w:fill="FF160F"/>
          </w:tcPr>
          <w:p>
            <w:pPr>
              <w:jc w:val="right"/>
              <w:spacing w:after="0" w:line="202" w:lineRule="exact"/>
              <w:rPr>
                <w:sz w:val="20"/>
                <w:szCs w:val="20"/>
                <w:color w:val="auto"/>
              </w:rPr>
            </w:pPr>
            <w:r>
              <w:rPr>
                <w:rFonts w:ascii="Arial" w:cs="Arial" w:eastAsia="Arial" w:hAnsi="Arial"/>
                <w:sz w:val="18"/>
                <w:szCs w:val="18"/>
                <w:b w:val="1"/>
                <w:bCs w:val="1"/>
                <w:color w:val="FFFFFF"/>
              </w:rPr>
              <w:t>6,693,424</w:t>
            </w:r>
          </w:p>
        </w:tc>
        <w:tc>
          <w:tcPr>
            <w:tcW w:w="300" w:type="dxa"/>
            <w:vAlign w:val="bottom"/>
            <w:shd w:val="clear" w:color="auto" w:fill="FF160F"/>
          </w:tcPr>
          <w:p>
            <w:pPr>
              <w:ind w:left="80"/>
              <w:spacing w:after="0" w:line="202" w:lineRule="exact"/>
              <w:rPr>
                <w:sz w:val="20"/>
                <w:szCs w:val="20"/>
                <w:color w:val="auto"/>
              </w:rPr>
            </w:pPr>
            <w:r>
              <w:rPr>
                <w:rFonts w:ascii="Arial" w:cs="Arial" w:eastAsia="Arial" w:hAnsi="Arial"/>
                <w:sz w:val="18"/>
                <w:szCs w:val="18"/>
                <w:b w:val="1"/>
                <w:bCs w:val="1"/>
                <w:color w:val="FFFFFF"/>
              </w:rPr>
              <w:t>$</w:t>
            </w:r>
          </w:p>
        </w:tc>
        <w:tc>
          <w:tcPr>
            <w:tcW w:w="1160" w:type="dxa"/>
            <w:vAlign w:val="bottom"/>
            <w:shd w:val="clear" w:color="auto" w:fill="FF160F"/>
          </w:tcPr>
          <w:p>
            <w:pPr>
              <w:jc w:val="right"/>
              <w:spacing w:after="0" w:line="202" w:lineRule="exact"/>
              <w:rPr>
                <w:sz w:val="20"/>
                <w:szCs w:val="20"/>
                <w:color w:val="auto"/>
              </w:rPr>
            </w:pPr>
            <w:r>
              <w:rPr>
                <w:rFonts w:ascii="Arial" w:cs="Arial" w:eastAsia="Arial" w:hAnsi="Arial"/>
                <w:sz w:val="18"/>
                <w:szCs w:val="18"/>
                <w:b w:val="1"/>
                <w:bCs w:val="1"/>
                <w:color w:val="FFFFFF"/>
              </w:rPr>
              <w:t>4,731,184</w:t>
            </w:r>
          </w:p>
        </w:tc>
        <w:tc>
          <w:tcPr>
            <w:tcW w:w="220" w:type="dxa"/>
            <w:vAlign w:val="bottom"/>
            <w:shd w:val="clear" w:color="auto" w:fill="FF160F"/>
          </w:tcPr>
          <w:p>
            <w:pPr>
              <w:ind w:left="80"/>
              <w:spacing w:after="0" w:line="202" w:lineRule="exact"/>
              <w:rPr>
                <w:sz w:val="20"/>
                <w:szCs w:val="20"/>
                <w:color w:val="auto"/>
              </w:rPr>
            </w:pPr>
            <w:r>
              <w:rPr>
                <w:rFonts w:ascii="Arial" w:cs="Arial" w:eastAsia="Arial" w:hAnsi="Arial"/>
                <w:sz w:val="18"/>
                <w:szCs w:val="18"/>
                <w:b w:val="1"/>
                <w:bCs w:val="1"/>
                <w:color w:val="FFFFFF"/>
              </w:rPr>
              <w:t>$</w:t>
            </w:r>
          </w:p>
        </w:tc>
        <w:tc>
          <w:tcPr>
            <w:tcW w:w="1220" w:type="dxa"/>
            <w:vAlign w:val="bottom"/>
            <w:shd w:val="clear" w:color="auto" w:fill="FF160F"/>
          </w:tcPr>
          <w:p>
            <w:pPr>
              <w:jc w:val="right"/>
              <w:spacing w:after="0" w:line="202" w:lineRule="exact"/>
              <w:rPr>
                <w:sz w:val="20"/>
                <w:szCs w:val="20"/>
                <w:color w:val="auto"/>
              </w:rPr>
            </w:pPr>
            <w:r>
              <w:rPr>
                <w:rFonts w:ascii="Arial" w:cs="Arial" w:eastAsia="Arial" w:hAnsi="Arial"/>
                <w:sz w:val="18"/>
                <w:szCs w:val="18"/>
                <w:b w:val="1"/>
                <w:bCs w:val="1"/>
                <w:color w:val="FFFFFF"/>
              </w:rPr>
              <w:t>4,757,617</w:t>
            </w:r>
          </w:p>
        </w:tc>
        <w:tc>
          <w:tcPr>
            <w:tcW w:w="0" w:type="dxa"/>
            <w:vAlign w:val="bottom"/>
          </w:tcPr>
          <w:p>
            <w:pPr>
              <w:spacing w:after="0"/>
              <w:rPr>
                <w:sz w:val="1"/>
                <w:szCs w:val="1"/>
                <w:color w:val="auto"/>
              </w:rPr>
            </w:pPr>
          </w:p>
        </w:tc>
      </w:tr>
      <w:tr>
        <w:trPr>
          <w:trHeight w:val="203"/>
        </w:trPr>
        <w:tc>
          <w:tcPr>
            <w:tcW w:w="1720" w:type="dxa"/>
            <w:vAlign w:val="bottom"/>
          </w:tcPr>
          <w:p>
            <w:pPr>
              <w:spacing w:after="0" w:line="202" w:lineRule="exact"/>
              <w:rPr>
                <w:sz w:val="20"/>
                <w:szCs w:val="20"/>
                <w:color w:val="auto"/>
              </w:rPr>
            </w:pPr>
            <w:r>
              <w:rPr>
                <w:rFonts w:ascii="Arial" w:cs="Arial" w:eastAsia="Arial" w:hAnsi="Arial"/>
                <w:sz w:val="18"/>
                <w:szCs w:val="18"/>
                <w:color w:val="auto"/>
              </w:rPr>
              <w:t>Daniel Guglielmone</w:t>
            </w:r>
          </w:p>
        </w:tc>
        <w:tc>
          <w:tcPr>
            <w:tcW w:w="2120" w:type="dxa"/>
            <w:vAlign w:val="bottom"/>
            <w:shd w:val="clear" w:color="auto" w:fill="E5E5E5"/>
          </w:tcPr>
          <w:p>
            <w:pPr>
              <w:ind w:left="120"/>
              <w:spacing w:after="0" w:line="202" w:lineRule="exact"/>
              <w:rPr>
                <w:sz w:val="20"/>
                <w:szCs w:val="20"/>
                <w:color w:val="auto"/>
              </w:rPr>
            </w:pPr>
            <w:r>
              <w:rPr>
                <w:rFonts w:ascii="Arial" w:cs="Arial" w:eastAsia="Arial" w:hAnsi="Arial"/>
                <w:sz w:val="18"/>
                <w:szCs w:val="18"/>
                <w:color w:val="auto"/>
              </w:rPr>
              <w:t>Cash Benefits (multiple)</w:t>
            </w:r>
          </w:p>
        </w:tc>
        <w:tc>
          <w:tcPr>
            <w:tcW w:w="200" w:type="dxa"/>
            <w:vAlign w:val="bottom"/>
            <w:shd w:val="clear" w:color="auto" w:fill="E5E5E5"/>
          </w:tcPr>
          <w:p>
            <w:pPr>
              <w:spacing w:after="0"/>
              <w:rPr>
                <w:sz w:val="17"/>
                <w:szCs w:val="17"/>
                <w:color w:val="auto"/>
              </w:rPr>
            </w:pPr>
          </w:p>
        </w:tc>
        <w:tc>
          <w:tcPr>
            <w:tcW w:w="11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2 months</w:t>
            </w:r>
          </w:p>
        </w:tc>
        <w:tc>
          <w:tcPr>
            <w:tcW w:w="240" w:type="dxa"/>
            <w:vAlign w:val="bottom"/>
            <w:shd w:val="clear" w:color="auto" w:fill="E5E5E5"/>
          </w:tcPr>
          <w:p>
            <w:pPr>
              <w:spacing w:after="0"/>
              <w:rPr>
                <w:sz w:val="17"/>
                <w:szCs w:val="17"/>
                <w:color w:val="auto"/>
              </w:rPr>
            </w:pPr>
          </w:p>
        </w:tc>
        <w:tc>
          <w:tcPr>
            <w:tcW w:w="13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N/A</w:t>
            </w:r>
          </w:p>
        </w:tc>
        <w:tc>
          <w:tcPr>
            <w:tcW w:w="180" w:type="dxa"/>
            <w:vAlign w:val="bottom"/>
            <w:shd w:val="clear" w:color="auto" w:fill="E5E5E5"/>
          </w:tcPr>
          <w:p>
            <w:pPr>
              <w:spacing w:after="0"/>
              <w:rPr>
                <w:sz w:val="17"/>
                <w:szCs w:val="17"/>
                <w:color w:val="auto"/>
              </w:rPr>
            </w:pPr>
          </w:p>
        </w:tc>
        <w:tc>
          <w:tcPr>
            <w:tcW w:w="11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2.0x</w:t>
            </w:r>
          </w:p>
        </w:tc>
        <w:tc>
          <w:tcPr>
            <w:tcW w:w="300" w:type="dxa"/>
            <w:vAlign w:val="bottom"/>
            <w:shd w:val="clear" w:color="auto" w:fill="E5E5E5"/>
          </w:tcPr>
          <w:p>
            <w:pPr>
              <w:spacing w:after="0"/>
              <w:rPr>
                <w:sz w:val="17"/>
                <w:szCs w:val="17"/>
                <w:color w:val="auto"/>
              </w:rPr>
            </w:pPr>
          </w:p>
        </w:tc>
        <w:tc>
          <w:tcPr>
            <w:tcW w:w="11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N/A</w:t>
            </w:r>
          </w:p>
        </w:tc>
        <w:tc>
          <w:tcPr>
            <w:tcW w:w="220" w:type="dxa"/>
            <w:vAlign w:val="bottom"/>
            <w:shd w:val="clear" w:color="auto" w:fill="E5E5E5"/>
          </w:tcPr>
          <w:p>
            <w:pPr>
              <w:spacing w:after="0"/>
              <w:rPr>
                <w:sz w:val="17"/>
                <w:szCs w:val="17"/>
                <w:color w:val="auto"/>
              </w:rPr>
            </w:pPr>
          </w:p>
        </w:tc>
        <w:tc>
          <w:tcPr>
            <w:tcW w:w="12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3"/>
        </w:trPr>
        <w:tc>
          <w:tcPr>
            <w:tcW w:w="1720" w:type="dxa"/>
            <w:vAlign w:val="bottom"/>
          </w:tcPr>
          <w:p>
            <w:pPr>
              <w:spacing w:after="0"/>
              <w:rPr>
                <w:sz w:val="17"/>
                <w:szCs w:val="17"/>
                <w:color w:val="auto"/>
              </w:rPr>
            </w:pPr>
          </w:p>
        </w:tc>
        <w:tc>
          <w:tcPr>
            <w:tcW w:w="2120" w:type="dxa"/>
            <w:vAlign w:val="bottom"/>
          </w:tcPr>
          <w:p>
            <w:pPr>
              <w:ind w:left="120"/>
              <w:spacing w:after="0" w:line="202" w:lineRule="exact"/>
              <w:rPr>
                <w:sz w:val="20"/>
                <w:szCs w:val="20"/>
                <w:color w:val="auto"/>
              </w:rPr>
            </w:pPr>
            <w:r>
              <w:rPr>
                <w:rFonts w:ascii="Arial" w:cs="Arial" w:eastAsia="Arial" w:hAnsi="Arial"/>
                <w:sz w:val="18"/>
                <w:szCs w:val="18"/>
                <w:color w:val="auto"/>
              </w:rPr>
              <w:t>Cash Benefits (amount)</w:t>
            </w:r>
          </w:p>
        </w:tc>
        <w:tc>
          <w:tcPr>
            <w:tcW w:w="200" w:type="dxa"/>
            <w:vAlign w:val="bottom"/>
          </w:tcPr>
          <w:p>
            <w:pPr>
              <w:ind w:left="80"/>
              <w:spacing w:after="0" w:line="202" w:lineRule="exact"/>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95,833</w:t>
            </w:r>
          </w:p>
        </w:tc>
        <w:tc>
          <w:tcPr>
            <w:tcW w:w="24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136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 xml:space="preserve">- </w:t>
            </w:r>
          </w:p>
        </w:tc>
        <w:tc>
          <w:tcPr>
            <w:tcW w:w="180" w:type="dxa"/>
            <w:vAlign w:val="bottom"/>
          </w:tcPr>
          <w:p>
            <w:pPr>
              <w:ind w:left="80"/>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2,587,500</w:t>
            </w:r>
          </w:p>
        </w:tc>
        <w:tc>
          <w:tcPr>
            <w:tcW w:w="30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111"/>
              <w:spacing w:after="0" w:line="202" w:lineRule="exact"/>
              <w:rPr>
                <w:sz w:val="20"/>
                <w:szCs w:val="20"/>
                <w:color w:val="auto"/>
              </w:rPr>
            </w:pPr>
            <w:r>
              <w:rPr>
                <w:rFonts w:ascii="Arial" w:cs="Arial" w:eastAsia="Arial" w:hAnsi="Arial"/>
                <w:sz w:val="18"/>
                <w:szCs w:val="18"/>
                <w:color w:val="auto"/>
              </w:rPr>
              <w:t xml:space="preserve">- </w:t>
            </w:r>
          </w:p>
        </w:tc>
        <w:tc>
          <w:tcPr>
            <w:tcW w:w="22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549,169</w:t>
            </w:r>
          </w:p>
        </w:tc>
        <w:tc>
          <w:tcPr>
            <w:tcW w:w="0" w:type="dxa"/>
            <w:vAlign w:val="bottom"/>
          </w:tcPr>
          <w:p>
            <w:pPr>
              <w:spacing w:after="0"/>
              <w:rPr>
                <w:sz w:val="1"/>
                <w:szCs w:val="1"/>
                <w:color w:val="auto"/>
              </w:rPr>
            </w:pPr>
          </w:p>
        </w:tc>
      </w:tr>
      <w:tr>
        <w:trPr>
          <w:trHeight w:val="202"/>
        </w:trPr>
        <w:tc>
          <w:tcPr>
            <w:tcW w:w="1720" w:type="dxa"/>
            <w:vAlign w:val="bottom"/>
          </w:tcPr>
          <w:p>
            <w:pPr>
              <w:spacing w:after="0"/>
              <w:rPr>
                <w:sz w:val="17"/>
                <w:szCs w:val="17"/>
                <w:color w:val="auto"/>
              </w:rPr>
            </w:pPr>
          </w:p>
        </w:tc>
        <w:tc>
          <w:tcPr>
            <w:tcW w:w="2120" w:type="dxa"/>
            <w:vAlign w:val="bottom"/>
            <w:shd w:val="clear" w:color="auto" w:fill="E5E5E5"/>
          </w:tcPr>
          <w:p>
            <w:pPr>
              <w:ind w:left="120"/>
              <w:spacing w:after="0" w:line="202" w:lineRule="exact"/>
              <w:rPr>
                <w:sz w:val="20"/>
                <w:szCs w:val="20"/>
                <w:color w:val="auto"/>
              </w:rPr>
            </w:pPr>
            <w:r>
              <w:rPr>
                <w:rFonts w:ascii="Arial" w:cs="Arial" w:eastAsia="Arial" w:hAnsi="Arial"/>
                <w:sz w:val="16"/>
                <w:szCs w:val="16"/>
                <w:color w:val="auto"/>
              </w:rPr>
              <w:t>Medical Benefits</w:t>
            </w:r>
            <w:r>
              <w:rPr>
                <w:rFonts w:ascii="Arial" w:cs="Arial" w:eastAsia="Arial" w:hAnsi="Arial"/>
                <w:sz w:val="23"/>
                <w:szCs w:val="23"/>
                <w:color w:val="auto"/>
                <w:vertAlign w:val="superscript"/>
              </w:rPr>
              <w:t>(2)</w:t>
            </w:r>
          </w:p>
        </w:tc>
        <w:tc>
          <w:tcPr>
            <w:tcW w:w="200" w:type="dxa"/>
            <w:vAlign w:val="bottom"/>
            <w:shd w:val="clear" w:color="auto" w:fill="E5E5E5"/>
          </w:tcPr>
          <w:p>
            <w:pPr>
              <w:ind w:left="80"/>
              <w:spacing w:after="0" w:line="202" w:lineRule="exact"/>
              <w:rPr>
                <w:sz w:val="20"/>
                <w:szCs w:val="20"/>
                <w:color w:val="auto"/>
              </w:rPr>
            </w:pPr>
            <w:r>
              <w:rPr>
                <w:rFonts w:ascii="Arial" w:cs="Arial" w:eastAsia="Arial" w:hAnsi="Arial"/>
                <w:sz w:val="18"/>
                <w:szCs w:val="18"/>
                <w:color w:val="auto"/>
                <w:w w:val="99"/>
              </w:rPr>
              <w:t>$</w:t>
            </w:r>
          </w:p>
        </w:tc>
        <w:tc>
          <w:tcPr>
            <w:tcW w:w="11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6,482</w:t>
            </w:r>
          </w:p>
        </w:tc>
        <w:tc>
          <w:tcPr>
            <w:tcW w:w="240" w:type="dxa"/>
            <w:vAlign w:val="bottom"/>
            <w:shd w:val="clear" w:color="auto" w:fill="E5E5E5"/>
          </w:tcPr>
          <w:p>
            <w:pPr>
              <w:ind w:left="80"/>
              <w:spacing w:after="0" w:line="202" w:lineRule="exact"/>
              <w:rPr>
                <w:sz w:val="20"/>
                <w:szCs w:val="20"/>
                <w:color w:val="auto"/>
              </w:rPr>
            </w:pPr>
            <w:r>
              <w:rPr>
                <w:rFonts w:ascii="Arial" w:cs="Arial" w:eastAsia="Arial" w:hAnsi="Arial"/>
                <w:sz w:val="18"/>
                <w:szCs w:val="18"/>
                <w:color w:val="auto"/>
              </w:rPr>
              <w:t>$</w:t>
            </w:r>
          </w:p>
        </w:tc>
        <w:tc>
          <w:tcPr>
            <w:tcW w:w="1360" w:type="dxa"/>
            <w:vAlign w:val="bottom"/>
            <w:shd w:val="clear" w:color="auto" w:fill="E5E5E5"/>
          </w:tcPr>
          <w:p>
            <w:pPr>
              <w:jc w:val="right"/>
              <w:ind w:right="130"/>
              <w:spacing w:after="0" w:line="202" w:lineRule="exact"/>
              <w:rPr>
                <w:sz w:val="20"/>
                <w:szCs w:val="20"/>
                <w:color w:val="auto"/>
              </w:rPr>
            </w:pPr>
            <w:r>
              <w:rPr>
                <w:rFonts w:ascii="Arial" w:cs="Arial" w:eastAsia="Arial" w:hAnsi="Arial"/>
                <w:sz w:val="18"/>
                <w:szCs w:val="18"/>
                <w:color w:val="auto"/>
              </w:rPr>
              <w:t xml:space="preserve">- </w:t>
            </w:r>
          </w:p>
        </w:tc>
        <w:tc>
          <w:tcPr>
            <w:tcW w:w="180" w:type="dxa"/>
            <w:vAlign w:val="bottom"/>
            <w:shd w:val="clear" w:color="auto" w:fill="E5E5E5"/>
          </w:tcPr>
          <w:p>
            <w:pPr>
              <w:ind w:left="80"/>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77,779</w:t>
            </w:r>
          </w:p>
        </w:tc>
        <w:tc>
          <w:tcPr>
            <w:tcW w:w="300" w:type="dxa"/>
            <w:vAlign w:val="bottom"/>
            <w:shd w:val="clear" w:color="auto" w:fill="E5E5E5"/>
          </w:tcPr>
          <w:p>
            <w:pPr>
              <w:ind w:left="80"/>
              <w:spacing w:after="0" w:line="202" w:lineRule="exact"/>
              <w:rPr>
                <w:sz w:val="20"/>
                <w:szCs w:val="20"/>
                <w:color w:val="auto"/>
              </w:rPr>
            </w:pPr>
            <w:r>
              <w:rPr>
                <w:rFonts w:ascii="Arial" w:cs="Arial" w:eastAsia="Arial" w:hAnsi="Arial"/>
                <w:sz w:val="18"/>
                <w:szCs w:val="18"/>
                <w:color w:val="auto"/>
              </w:rPr>
              <w:t>$</w:t>
            </w:r>
          </w:p>
        </w:tc>
        <w:tc>
          <w:tcPr>
            <w:tcW w:w="1160" w:type="dxa"/>
            <w:vAlign w:val="bottom"/>
            <w:shd w:val="clear" w:color="auto" w:fill="E5E5E5"/>
          </w:tcPr>
          <w:p>
            <w:pPr>
              <w:jc w:val="right"/>
              <w:ind w:right="111"/>
              <w:spacing w:after="0" w:line="202" w:lineRule="exact"/>
              <w:rPr>
                <w:sz w:val="20"/>
                <w:szCs w:val="20"/>
                <w:color w:val="auto"/>
              </w:rPr>
            </w:pPr>
            <w:r>
              <w:rPr>
                <w:rFonts w:ascii="Arial" w:cs="Arial" w:eastAsia="Arial" w:hAnsi="Arial"/>
                <w:sz w:val="18"/>
                <w:szCs w:val="18"/>
                <w:color w:val="auto"/>
              </w:rPr>
              <w:t xml:space="preserve">- </w:t>
            </w:r>
          </w:p>
        </w:tc>
        <w:tc>
          <w:tcPr>
            <w:tcW w:w="220" w:type="dxa"/>
            <w:vAlign w:val="bottom"/>
            <w:shd w:val="clear" w:color="auto" w:fill="E5E5E5"/>
          </w:tcPr>
          <w:p>
            <w:pPr>
              <w:ind w:left="80"/>
              <w:spacing w:after="0" w:line="202" w:lineRule="exact"/>
              <w:rPr>
                <w:sz w:val="20"/>
                <w:szCs w:val="20"/>
                <w:color w:val="auto"/>
              </w:rPr>
            </w:pPr>
            <w:r>
              <w:rPr>
                <w:rFonts w:ascii="Arial" w:cs="Arial" w:eastAsia="Arial" w:hAnsi="Arial"/>
                <w:sz w:val="18"/>
                <w:szCs w:val="18"/>
                <w:color w:val="auto"/>
              </w:rPr>
              <w:t>$</w:t>
            </w:r>
          </w:p>
        </w:tc>
        <w:tc>
          <w:tcPr>
            <w:tcW w:w="12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38,890</w:t>
            </w:r>
          </w:p>
        </w:tc>
        <w:tc>
          <w:tcPr>
            <w:tcW w:w="0" w:type="dxa"/>
            <w:vAlign w:val="bottom"/>
          </w:tcPr>
          <w:p>
            <w:pPr>
              <w:spacing w:after="0"/>
              <w:rPr>
                <w:sz w:val="1"/>
                <w:szCs w:val="1"/>
                <w:color w:val="auto"/>
              </w:rPr>
            </w:pPr>
          </w:p>
        </w:tc>
      </w:tr>
      <w:tr>
        <w:trPr>
          <w:trHeight w:val="203"/>
        </w:trPr>
        <w:tc>
          <w:tcPr>
            <w:tcW w:w="1720" w:type="dxa"/>
            <w:vAlign w:val="bottom"/>
          </w:tcPr>
          <w:p>
            <w:pPr>
              <w:spacing w:after="0"/>
              <w:rPr>
                <w:sz w:val="17"/>
                <w:szCs w:val="17"/>
                <w:color w:val="auto"/>
              </w:rPr>
            </w:pPr>
          </w:p>
        </w:tc>
        <w:tc>
          <w:tcPr>
            <w:tcW w:w="2120" w:type="dxa"/>
            <w:vAlign w:val="bottom"/>
          </w:tcPr>
          <w:p>
            <w:pPr>
              <w:ind w:left="120"/>
              <w:spacing w:after="0" w:line="202" w:lineRule="exact"/>
              <w:rPr>
                <w:sz w:val="20"/>
                <w:szCs w:val="20"/>
                <w:color w:val="auto"/>
              </w:rPr>
            </w:pPr>
            <w:r>
              <w:rPr>
                <w:rFonts w:ascii="Arial" w:cs="Arial" w:eastAsia="Arial" w:hAnsi="Arial"/>
                <w:sz w:val="16"/>
                <w:szCs w:val="16"/>
                <w:color w:val="auto"/>
              </w:rPr>
              <w:t>Accelerated Equity</w:t>
            </w:r>
            <w:r>
              <w:rPr>
                <w:rFonts w:ascii="Arial" w:cs="Arial" w:eastAsia="Arial" w:hAnsi="Arial"/>
                <w:sz w:val="23"/>
                <w:szCs w:val="23"/>
                <w:color w:val="auto"/>
                <w:vertAlign w:val="superscript"/>
              </w:rPr>
              <w:t>(3)</w:t>
            </w:r>
          </w:p>
        </w:tc>
        <w:tc>
          <w:tcPr>
            <w:tcW w:w="200" w:type="dxa"/>
            <w:vAlign w:val="bottom"/>
          </w:tcPr>
          <w:p>
            <w:pPr>
              <w:ind w:left="80"/>
              <w:spacing w:after="0" w:line="202" w:lineRule="exact"/>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 xml:space="preserve">- </w:t>
            </w:r>
          </w:p>
        </w:tc>
        <w:tc>
          <w:tcPr>
            <w:tcW w:w="24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2,263,493</w:t>
            </w:r>
          </w:p>
        </w:tc>
        <w:tc>
          <w:tcPr>
            <w:tcW w:w="180" w:type="dxa"/>
            <w:vAlign w:val="bottom"/>
          </w:tcPr>
          <w:p>
            <w:pPr>
              <w:ind w:left="80"/>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2,263,493</w:t>
            </w:r>
          </w:p>
        </w:tc>
        <w:tc>
          <w:tcPr>
            <w:tcW w:w="30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2,263,493</w:t>
            </w:r>
          </w:p>
        </w:tc>
        <w:tc>
          <w:tcPr>
            <w:tcW w:w="22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2,263,493</w:t>
            </w:r>
          </w:p>
        </w:tc>
        <w:tc>
          <w:tcPr>
            <w:tcW w:w="0" w:type="dxa"/>
            <w:vAlign w:val="bottom"/>
          </w:tcPr>
          <w:p>
            <w:pPr>
              <w:spacing w:after="0"/>
              <w:rPr>
                <w:sz w:val="1"/>
                <w:szCs w:val="1"/>
                <w:color w:val="auto"/>
              </w:rPr>
            </w:pPr>
          </w:p>
        </w:tc>
      </w:tr>
      <w:tr>
        <w:trPr>
          <w:trHeight w:val="203"/>
        </w:trPr>
        <w:tc>
          <w:tcPr>
            <w:tcW w:w="1720" w:type="dxa"/>
            <w:vAlign w:val="bottom"/>
          </w:tcPr>
          <w:p>
            <w:pPr>
              <w:spacing w:after="0"/>
              <w:rPr>
                <w:sz w:val="17"/>
                <w:szCs w:val="17"/>
                <w:color w:val="auto"/>
              </w:rPr>
            </w:pPr>
          </w:p>
        </w:tc>
        <w:tc>
          <w:tcPr>
            <w:tcW w:w="2120" w:type="dxa"/>
            <w:vAlign w:val="bottom"/>
            <w:shd w:val="clear" w:color="auto" w:fill="E5E5E5"/>
          </w:tcPr>
          <w:p>
            <w:pPr>
              <w:ind w:left="120"/>
              <w:spacing w:after="0" w:line="202" w:lineRule="exact"/>
              <w:rPr>
                <w:sz w:val="20"/>
                <w:szCs w:val="20"/>
                <w:color w:val="auto"/>
              </w:rPr>
            </w:pPr>
            <w:r>
              <w:rPr>
                <w:rFonts w:ascii="Arial" w:cs="Arial" w:eastAsia="Arial" w:hAnsi="Arial"/>
                <w:sz w:val="16"/>
                <w:szCs w:val="16"/>
                <w:color w:val="auto"/>
              </w:rPr>
              <w:t>Other Benefits</w:t>
            </w:r>
            <w:r>
              <w:rPr>
                <w:rFonts w:ascii="Arial" w:cs="Arial" w:eastAsia="Arial" w:hAnsi="Arial"/>
                <w:sz w:val="23"/>
                <w:szCs w:val="23"/>
                <w:color w:val="auto"/>
                <w:vertAlign w:val="superscript"/>
              </w:rPr>
              <w:t>(4)</w:t>
            </w:r>
          </w:p>
        </w:tc>
        <w:tc>
          <w:tcPr>
            <w:tcW w:w="200" w:type="dxa"/>
            <w:vAlign w:val="bottom"/>
            <w:shd w:val="clear" w:color="auto" w:fill="E5E5E5"/>
          </w:tcPr>
          <w:p>
            <w:pPr>
              <w:ind w:left="80"/>
              <w:spacing w:after="0" w:line="202" w:lineRule="exact"/>
              <w:rPr>
                <w:sz w:val="20"/>
                <w:szCs w:val="20"/>
                <w:color w:val="auto"/>
              </w:rPr>
            </w:pPr>
            <w:r>
              <w:rPr>
                <w:rFonts w:ascii="Arial" w:cs="Arial" w:eastAsia="Arial" w:hAnsi="Arial"/>
                <w:sz w:val="18"/>
                <w:szCs w:val="18"/>
                <w:color w:val="auto"/>
                <w:w w:val="99"/>
              </w:rPr>
              <w:t>$</w:t>
            </w:r>
          </w:p>
        </w:tc>
        <w:tc>
          <w:tcPr>
            <w:tcW w:w="1140" w:type="dxa"/>
            <w:vAlign w:val="bottom"/>
            <w:shd w:val="clear" w:color="auto" w:fill="E5E5E5"/>
          </w:tcPr>
          <w:p>
            <w:pPr>
              <w:jc w:val="right"/>
              <w:ind w:right="130"/>
              <w:spacing w:after="0" w:line="202" w:lineRule="exact"/>
              <w:rPr>
                <w:sz w:val="20"/>
                <w:szCs w:val="20"/>
                <w:color w:val="auto"/>
              </w:rPr>
            </w:pPr>
            <w:r>
              <w:rPr>
                <w:rFonts w:ascii="Arial" w:cs="Arial" w:eastAsia="Arial" w:hAnsi="Arial"/>
                <w:sz w:val="18"/>
                <w:szCs w:val="18"/>
                <w:color w:val="auto"/>
              </w:rPr>
              <w:t xml:space="preserve">- </w:t>
            </w:r>
          </w:p>
        </w:tc>
        <w:tc>
          <w:tcPr>
            <w:tcW w:w="240" w:type="dxa"/>
            <w:vAlign w:val="bottom"/>
            <w:shd w:val="clear" w:color="auto" w:fill="E5E5E5"/>
          </w:tcPr>
          <w:p>
            <w:pPr>
              <w:ind w:left="80"/>
              <w:spacing w:after="0" w:line="202" w:lineRule="exact"/>
              <w:rPr>
                <w:sz w:val="20"/>
                <w:szCs w:val="20"/>
                <w:color w:val="auto"/>
              </w:rPr>
            </w:pPr>
            <w:r>
              <w:rPr>
                <w:rFonts w:ascii="Arial" w:cs="Arial" w:eastAsia="Arial" w:hAnsi="Arial"/>
                <w:sz w:val="18"/>
                <w:szCs w:val="18"/>
                <w:color w:val="auto"/>
              </w:rPr>
              <w:t>$</w:t>
            </w:r>
          </w:p>
        </w:tc>
        <w:tc>
          <w:tcPr>
            <w:tcW w:w="1360" w:type="dxa"/>
            <w:vAlign w:val="bottom"/>
            <w:shd w:val="clear" w:color="auto" w:fill="E5E5E5"/>
          </w:tcPr>
          <w:p>
            <w:pPr>
              <w:jc w:val="right"/>
              <w:ind w:right="130"/>
              <w:spacing w:after="0" w:line="202" w:lineRule="exact"/>
              <w:rPr>
                <w:sz w:val="20"/>
                <w:szCs w:val="20"/>
                <w:color w:val="auto"/>
              </w:rPr>
            </w:pPr>
            <w:r>
              <w:rPr>
                <w:rFonts w:ascii="Arial" w:cs="Arial" w:eastAsia="Arial" w:hAnsi="Arial"/>
                <w:sz w:val="18"/>
                <w:szCs w:val="18"/>
                <w:color w:val="auto"/>
              </w:rPr>
              <w:t xml:space="preserve">- </w:t>
            </w:r>
          </w:p>
        </w:tc>
        <w:tc>
          <w:tcPr>
            <w:tcW w:w="180" w:type="dxa"/>
            <w:vAlign w:val="bottom"/>
            <w:shd w:val="clear" w:color="auto" w:fill="E5E5E5"/>
          </w:tcPr>
          <w:p>
            <w:pPr>
              <w:ind w:left="80"/>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90,000</w:t>
            </w:r>
          </w:p>
        </w:tc>
        <w:tc>
          <w:tcPr>
            <w:tcW w:w="300" w:type="dxa"/>
            <w:vAlign w:val="bottom"/>
            <w:shd w:val="clear" w:color="auto" w:fill="E5E5E5"/>
          </w:tcPr>
          <w:p>
            <w:pPr>
              <w:ind w:left="80"/>
              <w:spacing w:after="0" w:line="202" w:lineRule="exact"/>
              <w:rPr>
                <w:sz w:val="20"/>
                <w:szCs w:val="20"/>
                <w:color w:val="auto"/>
              </w:rPr>
            </w:pPr>
            <w:r>
              <w:rPr>
                <w:rFonts w:ascii="Arial" w:cs="Arial" w:eastAsia="Arial" w:hAnsi="Arial"/>
                <w:sz w:val="18"/>
                <w:szCs w:val="18"/>
                <w:color w:val="auto"/>
              </w:rPr>
              <w:t>$</w:t>
            </w:r>
          </w:p>
        </w:tc>
        <w:tc>
          <w:tcPr>
            <w:tcW w:w="1160" w:type="dxa"/>
            <w:vAlign w:val="bottom"/>
            <w:shd w:val="clear" w:color="auto" w:fill="E5E5E5"/>
          </w:tcPr>
          <w:p>
            <w:pPr>
              <w:jc w:val="right"/>
              <w:ind w:right="111"/>
              <w:spacing w:after="0" w:line="202" w:lineRule="exact"/>
              <w:rPr>
                <w:sz w:val="20"/>
                <w:szCs w:val="20"/>
                <w:color w:val="auto"/>
              </w:rPr>
            </w:pPr>
            <w:r>
              <w:rPr>
                <w:rFonts w:ascii="Arial" w:cs="Arial" w:eastAsia="Arial" w:hAnsi="Arial"/>
                <w:sz w:val="18"/>
                <w:szCs w:val="18"/>
                <w:color w:val="auto"/>
              </w:rPr>
              <w:t xml:space="preserve">- </w:t>
            </w:r>
          </w:p>
        </w:tc>
        <w:tc>
          <w:tcPr>
            <w:tcW w:w="220" w:type="dxa"/>
            <w:vAlign w:val="bottom"/>
            <w:shd w:val="clear" w:color="auto" w:fill="E5E5E5"/>
          </w:tcPr>
          <w:p>
            <w:pPr>
              <w:ind w:left="80"/>
              <w:spacing w:after="0" w:line="202" w:lineRule="exact"/>
              <w:rPr>
                <w:sz w:val="20"/>
                <w:szCs w:val="20"/>
                <w:color w:val="auto"/>
              </w:rPr>
            </w:pPr>
            <w:r>
              <w:rPr>
                <w:rFonts w:ascii="Arial" w:cs="Arial" w:eastAsia="Arial" w:hAnsi="Arial"/>
                <w:sz w:val="18"/>
                <w:szCs w:val="18"/>
                <w:color w:val="auto"/>
              </w:rPr>
              <w:t>$</w:t>
            </w:r>
          </w:p>
        </w:tc>
        <w:tc>
          <w:tcPr>
            <w:tcW w:w="1220" w:type="dxa"/>
            <w:vAlign w:val="bottom"/>
            <w:shd w:val="clear" w:color="auto" w:fill="E5E5E5"/>
          </w:tcPr>
          <w:p>
            <w:pPr>
              <w:jc w:val="right"/>
              <w:ind w:right="111"/>
              <w:spacing w:after="0" w:line="202" w:lineRule="exact"/>
              <w:rPr>
                <w:sz w:val="20"/>
                <w:szCs w:val="20"/>
                <w:color w:val="auto"/>
              </w:rPr>
            </w:pPr>
            <w:r>
              <w:rPr>
                <w:rFonts w:ascii="Arial" w:cs="Arial" w:eastAsia="Arial" w:hAnsi="Arial"/>
                <w:sz w:val="18"/>
                <w:szCs w:val="18"/>
                <w:color w:val="auto"/>
              </w:rPr>
              <w:t xml:space="preserve">- </w:t>
            </w:r>
          </w:p>
        </w:tc>
        <w:tc>
          <w:tcPr>
            <w:tcW w:w="0" w:type="dxa"/>
            <w:vAlign w:val="bottom"/>
          </w:tcPr>
          <w:p>
            <w:pPr>
              <w:spacing w:after="0"/>
              <w:rPr>
                <w:sz w:val="1"/>
                <w:szCs w:val="1"/>
                <w:color w:val="auto"/>
              </w:rPr>
            </w:pPr>
          </w:p>
        </w:tc>
      </w:tr>
      <w:tr>
        <w:trPr>
          <w:trHeight w:val="203"/>
        </w:trPr>
        <w:tc>
          <w:tcPr>
            <w:tcW w:w="1720" w:type="dxa"/>
            <w:vAlign w:val="bottom"/>
          </w:tcPr>
          <w:p>
            <w:pPr>
              <w:spacing w:after="0"/>
              <w:rPr>
                <w:sz w:val="17"/>
                <w:szCs w:val="17"/>
                <w:color w:val="auto"/>
              </w:rPr>
            </w:pPr>
          </w:p>
        </w:tc>
        <w:tc>
          <w:tcPr>
            <w:tcW w:w="2120" w:type="dxa"/>
            <w:vAlign w:val="bottom"/>
          </w:tcPr>
          <w:p>
            <w:pPr>
              <w:ind w:left="120"/>
              <w:spacing w:after="0" w:line="202" w:lineRule="exact"/>
              <w:rPr>
                <w:sz w:val="20"/>
                <w:szCs w:val="20"/>
                <w:color w:val="auto"/>
              </w:rPr>
            </w:pPr>
            <w:r>
              <w:rPr>
                <w:rFonts w:ascii="Arial" w:cs="Arial" w:eastAsia="Arial" w:hAnsi="Arial"/>
                <w:sz w:val="18"/>
                <w:szCs w:val="18"/>
                <w:color w:val="auto"/>
              </w:rPr>
              <w:t>Excise Tax Gross-Up</w:t>
            </w:r>
          </w:p>
        </w:tc>
        <w:tc>
          <w:tcPr>
            <w:tcW w:w="20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N/A</w:t>
            </w:r>
          </w:p>
        </w:tc>
        <w:tc>
          <w:tcPr>
            <w:tcW w:w="24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N/A</w:t>
            </w:r>
          </w:p>
        </w:tc>
        <w:tc>
          <w:tcPr>
            <w:tcW w:w="18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N/A</w:t>
            </w:r>
          </w:p>
        </w:tc>
        <w:tc>
          <w:tcPr>
            <w:tcW w:w="30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N/A</w:t>
            </w:r>
          </w:p>
        </w:tc>
        <w:tc>
          <w:tcPr>
            <w:tcW w:w="22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3"/>
        </w:trPr>
        <w:tc>
          <w:tcPr>
            <w:tcW w:w="1720" w:type="dxa"/>
            <w:vAlign w:val="bottom"/>
            <w:shd w:val="clear" w:color="auto" w:fill="FF160F"/>
          </w:tcPr>
          <w:p>
            <w:pPr>
              <w:spacing w:after="0" w:line="202" w:lineRule="exact"/>
              <w:rPr>
                <w:sz w:val="20"/>
                <w:szCs w:val="20"/>
                <w:color w:val="auto"/>
              </w:rPr>
            </w:pPr>
            <w:r>
              <w:rPr>
                <w:rFonts w:ascii="Arial" w:cs="Arial" w:eastAsia="Arial" w:hAnsi="Arial"/>
                <w:sz w:val="18"/>
                <w:szCs w:val="18"/>
                <w:b w:val="1"/>
                <w:bCs w:val="1"/>
                <w:color w:val="FFFFFF"/>
              </w:rPr>
              <w:t>Total</w:t>
            </w:r>
          </w:p>
        </w:tc>
        <w:tc>
          <w:tcPr>
            <w:tcW w:w="2120" w:type="dxa"/>
            <w:vAlign w:val="bottom"/>
            <w:shd w:val="clear" w:color="auto" w:fill="FF160F"/>
          </w:tcPr>
          <w:p>
            <w:pPr>
              <w:spacing w:after="0"/>
              <w:rPr>
                <w:sz w:val="17"/>
                <w:szCs w:val="17"/>
                <w:color w:val="auto"/>
              </w:rPr>
            </w:pPr>
          </w:p>
        </w:tc>
        <w:tc>
          <w:tcPr>
            <w:tcW w:w="200" w:type="dxa"/>
            <w:vAlign w:val="bottom"/>
            <w:shd w:val="clear" w:color="auto" w:fill="FF160F"/>
          </w:tcPr>
          <w:p>
            <w:pPr>
              <w:ind w:left="80"/>
              <w:spacing w:after="0" w:line="202" w:lineRule="exact"/>
              <w:rPr>
                <w:sz w:val="20"/>
                <w:szCs w:val="20"/>
                <w:color w:val="auto"/>
              </w:rPr>
            </w:pPr>
            <w:r>
              <w:rPr>
                <w:rFonts w:ascii="Arial" w:cs="Arial" w:eastAsia="Arial" w:hAnsi="Arial"/>
                <w:sz w:val="18"/>
                <w:szCs w:val="18"/>
                <w:b w:val="1"/>
                <w:bCs w:val="1"/>
                <w:color w:val="FFFFFF"/>
                <w:w w:val="99"/>
              </w:rPr>
              <w:t>$</w:t>
            </w:r>
          </w:p>
        </w:tc>
        <w:tc>
          <w:tcPr>
            <w:tcW w:w="1140" w:type="dxa"/>
            <w:vAlign w:val="bottom"/>
            <w:shd w:val="clear" w:color="auto" w:fill="FF160F"/>
          </w:tcPr>
          <w:p>
            <w:pPr>
              <w:jc w:val="right"/>
              <w:spacing w:after="0" w:line="202" w:lineRule="exact"/>
              <w:rPr>
                <w:sz w:val="20"/>
                <w:szCs w:val="20"/>
                <w:color w:val="auto"/>
              </w:rPr>
            </w:pPr>
            <w:r>
              <w:rPr>
                <w:rFonts w:ascii="Arial" w:cs="Arial" w:eastAsia="Arial" w:hAnsi="Arial"/>
                <w:sz w:val="18"/>
                <w:szCs w:val="18"/>
                <w:b w:val="1"/>
                <w:bCs w:val="1"/>
                <w:color w:val="FFFFFF"/>
              </w:rPr>
              <w:t>102,315</w:t>
            </w:r>
          </w:p>
        </w:tc>
        <w:tc>
          <w:tcPr>
            <w:tcW w:w="240" w:type="dxa"/>
            <w:vAlign w:val="bottom"/>
            <w:shd w:val="clear" w:color="auto" w:fill="FF160F"/>
          </w:tcPr>
          <w:p>
            <w:pPr>
              <w:ind w:left="80"/>
              <w:spacing w:after="0" w:line="202" w:lineRule="exact"/>
              <w:rPr>
                <w:sz w:val="20"/>
                <w:szCs w:val="20"/>
                <w:color w:val="auto"/>
              </w:rPr>
            </w:pPr>
            <w:r>
              <w:rPr>
                <w:rFonts w:ascii="Arial" w:cs="Arial" w:eastAsia="Arial" w:hAnsi="Arial"/>
                <w:sz w:val="18"/>
                <w:szCs w:val="18"/>
                <w:b w:val="1"/>
                <w:bCs w:val="1"/>
                <w:color w:val="FFFFFF"/>
              </w:rPr>
              <w:t>$</w:t>
            </w:r>
          </w:p>
        </w:tc>
        <w:tc>
          <w:tcPr>
            <w:tcW w:w="1360" w:type="dxa"/>
            <w:vAlign w:val="bottom"/>
            <w:shd w:val="clear" w:color="auto" w:fill="FF160F"/>
          </w:tcPr>
          <w:p>
            <w:pPr>
              <w:jc w:val="right"/>
              <w:spacing w:after="0" w:line="202" w:lineRule="exact"/>
              <w:rPr>
                <w:sz w:val="20"/>
                <w:szCs w:val="20"/>
                <w:color w:val="auto"/>
              </w:rPr>
            </w:pPr>
            <w:r>
              <w:rPr>
                <w:rFonts w:ascii="Arial" w:cs="Arial" w:eastAsia="Arial" w:hAnsi="Arial"/>
                <w:sz w:val="18"/>
                <w:szCs w:val="18"/>
                <w:b w:val="1"/>
                <w:bCs w:val="1"/>
                <w:color w:val="FFFFFF"/>
              </w:rPr>
              <w:t>2,263,493</w:t>
            </w:r>
          </w:p>
        </w:tc>
        <w:tc>
          <w:tcPr>
            <w:tcW w:w="180" w:type="dxa"/>
            <w:vAlign w:val="bottom"/>
            <w:shd w:val="clear" w:color="auto" w:fill="FF160F"/>
          </w:tcPr>
          <w:p>
            <w:pPr>
              <w:ind w:left="80"/>
              <w:spacing w:after="0" w:line="202" w:lineRule="exact"/>
              <w:rPr>
                <w:sz w:val="20"/>
                <w:szCs w:val="20"/>
                <w:color w:val="auto"/>
              </w:rPr>
            </w:pPr>
            <w:r>
              <w:rPr>
                <w:rFonts w:ascii="Arial" w:cs="Arial" w:eastAsia="Arial" w:hAnsi="Arial"/>
                <w:sz w:val="18"/>
                <w:szCs w:val="18"/>
                <w:b w:val="1"/>
                <w:bCs w:val="1"/>
                <w:color w:val="FFFFFF"/>
                <w:w w:val="79"/>
              </w:rPr>
              <w:t>$</w:t>
            </w:r>
          </w:p>
        </w:tc>
        <w:tc>
          <w:tcPr>
            <w:tcW w:w="1160" w:type="dxa"/>
            <w:vAlign w:val="bottom"/>
            <w:shd w:val="clear" w:color="auto" w:fill="FF160F"/>
          </w:tcPr>
          <w:p>
            <w:pPr>
              <w:jc w:val="right"/>
              <w:spacing w:after="0" w:line="202" w:lineRule="exact"/>
              <w:rPr>
                <w:sz w:val="20"/>
                <w:szCs w:val="20"/>
                <w:color w:val="auto"/>
              </w:rPr>
            </w:pPr>
            <w:r>
              <w:rPr>
                <w:rFonts w:ascii="Arial" w:cs="Arial" w:eastAsia="Arial" w:hAnsi="Arial"/>
                <w:sz w:val="18"/>
                <w:szCs w:val="18"/>
                <w:b w:val="1"/>
                <w:bCs w:val="1"/>
                <w:color w:val="FFFFFF"/>
              </w:rPr>
              <w:t>5,018,772</w:t>
            </w:r>
          </w:p>
        </w:tc>
        <w:tc>
          <w:tcPr>
            <w:tcW w:w="300" w:type="dxa"/>
            <w:vAlign w:val="bottom"/>
            <w:shd w:val="clear" w:color="auto" w:fill="FF160F"/>
          </w:tcPr>
          <w:p>
            <w:pPr>
              <w:ind w:left="80"/>
              <w:spacing w:after="0" w:line="202" w:lineRule="exact"/>
              <w:rPr>
                <w:sz w:val="20"/>
                <w:szCs w:val="20"/>
                <w:color w:val="auto"/>
              </w:rPr>
            </w:pPr>
            <w:r>
              <w:rPr>
                <w:rFonts w:ascii="Arial" w:cs="Arial" w:eastAsia="Arial" w:hAnsi="Arial"/>
                <w:sz w:val="18"/>
                <w:szCs w:val="18"/>
                <w:b w:val="1"/>
                <w:bCs w:val="1"/>
                <w:color w:val="FFFFFF"/>
              </w:rPr>
              <w:t>$</w:t>
            </w:r>
          </w:p>
        </w:tc>
        <w:tc>
          <w:tcPr>
            <w:tcW w:w="1160" w:type="dxa"/>
            <w:vAlign w:val="bottom"/>
            <w:shd w:val="clear" w:color="auto" w:fill="FF160F"/>
          </w:tcPr>
          <w:p>
            <w:pPr>
              <w:jc w:val="right"/>
              <w:spacing w:after="0" w:line="202" w:lineRule="exact"/>
              <w:rPr>
                <w:sz w:val="20"/>
                <w:szCs w:val="20"/>
                <w:color w:val="auto"/>
              </w:rPr>
            </w:pPr>
            <w:r>
              <w:rPr>
                <w:rFonts w:ascii="Arial" w:cs="Arial" w:eastAsia="Arial" w:hAnsi="Arial"/>
                <w:sz w:val="18"/>
                <w:szCs w:val="18"/>
                <w:b w:val="1"/>
                <w:bCs w:val="1"/>
                <w:color w:val="FFFFFF"/>
              </w:rPr>
              <w:t>2,263,493</w:t>
            </w:r>
          </w:p>
        </w:tc>
        <w:tc>
          <w:tcPr>
            <w:tcW w:w="220" w:type="dxa"/>
            <w:vAlign w:val="bottom"/>
            <w:shd w:val="clear" w:color="auto" w:fill="FF160F"/>
          </w:tcPr>
          <w:p>
            <w:pPr>
              <w:ind w:left="80"/>
              <w:spacing w:after="0" w:line="202" w:lineRule="exact"/>
              <w:rPr>
                <w:sz w:val="20"/>
                <w:szCs w:val="20"/>
                <w:color w:val="auto"/>
              </w:rPr>
            </w:pPr>
            <w:r>
              <w:rPr>
                <w:rFonts w:ascii="Arial" w:cs="Arial" w:eastAsia="Arial" w:hAnsi="Arial"/>
                <w:sz w:val="18"/>
                <w:szCs w:val="18"/>
                <w:b w:val="1"/>
                <w:bCs w:val="1"/>
                <w:color w:val="FFFFFF"/>
              </w:rPr>
              <w:t>$</w:t>
            </w:r>
          </w:p>
        </w:tc>
        <w:tc>
          <w:tcPr>
            <w:tcW w:w="1220" w:type="dxa"/>
            <w:vAlign w:val="bottom"/>
            <w:shd w:val="clear" w:color="auto" w:fill="FF160F"/>
          </w:tcPr>
          <w:p>
            <w:pPr>
              <w:jc w:val="right"/>
              <w:spacing w:after="0" w:line="202" w:lineRule="exact"/>
              <w:rPr>
                <w:sz w:val="20"/>
                <w:szCs w:val="20"/>
                <w:color w:val="auto"/>
              </w:rPr>
            </w:pPr>
            <w:r>
              <w:rPr>
                <w:rFonts w:ascii="Arial" w:cs="Arial" w:eastAsia="Arial" w:hAnsi="Arial"/>
                <w:sz w:val="18"/>
                <w:szCs w:val="18"/>
                <w:b w:val="1"/>
                <w:bCs w:val="1"/>
                <w:color w:val="FFFFFF"/>
              </w:rPr>
              <w:t>2,851,552</w:t>
            </w:r>
          </w:p>
        </w:tc>
        <w:tc>
          <w:tcPr>
            <w:tcW w:w="0" w:type="dxa"/>
            <w:vAlign w:val="bottom"/>
          </w:tcPr>
          <w:p>
            <w:pPr>
              <w:spacing w:after="0"/>
              <w:rPr>
                <w:sz w:val="1"/>
                <w:szCs w:val="1"/>
                <w:color w:val="auto"/>
              </w:rPr>
            </w:pPr>
          </w:p>
        </w:tc>
      </w:tr>
      <w:tr>
        <w:trPr>
          <w:trHeight w:val="203"/>
        </w:trPr>
        <w:tc>
          <w:tcPr>
            <w:tcW w:w="1720" w:type="dxa"/>
            <w:vAlign w:val="bottom"/>
          </w:tcPr>
          <w:p>
            <w:pPr>
              <w:spacing w:after="0" w:line="202" w:lineRule="exact"/>
              <w:rPr>
                <w:sz w:val="20"/>
                <w:szCs w:val="20"/>
                <w:color w:val="auto"/>
              </w:rPr>
            </w:pPr>
            <w:r>
              <w:rPr>
                <w:rFonts w:ascii="Arial" w:cs="Arial" w:eastAsia="Arial" w:hAnsi="Arial"/>
                <w:sz w:val="18"/>
                <w:szCs w:val="18"/>
                <w:color w:val="auto"/>
              </w:rPr>
              <w:t>Dawn M. Becker</w:t>
            </w:r>
          </w:p>
        </w:tc>
        <w:tc>
          <w:tcPr>
            <w:tcW w:w="2120" w:type="dxa"/>
            <w:vAlign w:val="bottom"/>
            <w:shd w:val="clear" w:color="auto" w:fill="E5E5E5"/>
          </w:tcPr>
          <w:p>
            <w:pPr>
              <w:ind w:left="120"/>
              <w:spacing w:after="0" w:line="202" w:lineRule="exact"/>
              <w:rPr>
                <w:sz w:val="20"/>
                <w:szCs w:val="20"/>
                <w:color w:val="auto"/>
              </w:rPr>
            </w:pPr>
            <w:r>
              <w:rPr>
                <w:rFonts w:ascii="Arial" w:cs="Arial" w:eastAsia="Arial" w:hAnsi="Arial"/>
                <w:sz w:val="18"/>
                <w:szCs w:val="18"/>
                <w:color w:val="auto"/>
              </w:rPr>
              <w:t>Cash Benefits (multiple)</w:t>
            </w:r>
          </w:p>
        </w:tc>
        <w:tc>
          <w:tcPr>
            <w:tcW w:w="200" w:type="dxa"/>
            <w:vAlign w:val="bottom"/>
            <w:shd w:val="clear" w:color="auto" w:fill="E5E5E5"/>
          </w:tcPr>
          <w:p>
            <w:pPr>
              <w:spacing w:after="0"/>
              <w:rPr>
                <w:sz w:val="17"/>
                <w:szCs w:val="17"/>
                <w:color w:val="auto"/>
              </w:rPr>
            </w:pPr>
          </w:p>
        </w:tc>
        <w:tc>
          <w:tcPr>
            <w:tcW w:w="11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6 months</w:t>
            </w:r>
          </w:p>
        </w:tc>
        <w:tc>
          <w:tcPr>
            <w:tcW w:w="240" w:type="dxa"/>
            <w:vAlign w:val="bottom"/>
            <w:shd w:val="clear" w:color="auto" w:fill="E5E5E5"/>
          </w:tcPr>
          <w:p>
            <w:pPr>
              <w:spacing w:after="0"/>
              <w:rPr>
                <w:sz w:val="17"/>
                <w:szCs w:val="17"/>
                <w:color w:val="auto"/>
              </w:rPr>
            </w:pPr>
          </w:p>
        </w:tc>
        <w:tc>
          <w:tcPr>
            <w:tcW w:w="13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1.0x</w:t>
            </w:r>
          </w:p>
        </w:tc>
        <w:tc>
          <w:tcPr>
            <w:tcW w:w="180" w:type="dxa"/>
            <w:vAlign w:val="bottom"/>
            <w:shd w:val="clear" w:color="auto" w:fill="E5E5E5"/>
          </w:tcPr>
          <w:p>
            <w:pPr>
              <w:spacing w:after="0"/>
              <w:rPr>
                <w:sz w:val="17"/>
                <w:szCs w:val="17"/>
                <w:color w:val="auto"/>
              </w:rPr>
            </w:pPr>
          </w:p>
        </w:tc>
        <w:tc>
          <w:tcPr>
            <w:tcW w:w="11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2.0x</w:t>
            </w:r>
          </w:p>
        </w:tc>
        <w:tc>
          <w:tcPr>
            <w:tcW w:w="300" w:type="dxa"/>
            <w:vAlign w:val="bottom"/>
            <w:shd w:val="clear" w:color="auto" w:fill="E5E5E5"/>
          </w:tcPr>
          <w:p>
            <w:pPr>
              <w:spacing w:after="0"/>
              <w:rPr>
                <w:sz w:val="17"/>
                <w:szCs w:val="17"/>
                <w:color w:val="auto"/>
              </w:rPr>
            </w:pPr>
          </w:p>
        </w:tc>
        <w:tc>
          <w:tcPr>
            <w:tcW w:w="11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N/A</w:t>
            </w:r>
          </w:p>
        </w:tc>
        <w:tc>
          <w:tcPr>
            <w:tcW w:w="220" w:type="dxa"/>
            <w:vAlign w:val="bottom"/>
            <w:shd w:val="clear" w:color="auto" w:fill="E5E5E5"/>
          </w:tcPr>
          <w:p>
            <w:pPr>
              <w:spacing w:after="0"/>
              <w:rPr>
                <w:sz w:val="17"/>
                <w:szCs w:val="17"/>
                <w:color w:val="auto"/>
              </w:rPr>
            </w:pPr>
          </w:p>
        </w:tc>
        <w:tc>
          <w:tcPr>
            <w:tcW w:w="12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3"/>
        </w:trPr>
        <w:tc>
          <w:tcPr>
            <w:tcW w:w="1720" w:type="dxa"/>
            <w:vAlign w:val="bottom"/>
          </w:tcPr>
          <w:p>
            <w:pPr>
              <w:spacing w:after="0"/>
              <w:rPr>
                <w:sz w:val="17"/>
                <w:szCs w:val="17"/>
                <w:color w:val="auto"/>
              </w:rPr>
            </w:pPr>
          </w:p>
        </w:tc>
        <w:tc>
          <w:tcPr>
            <w:tcW w:w="2120" w:type="dxa"/>
            <w:vAlign w:val="bottom"/>
          </w:tcPr>
          <w:p>
            <w:pPr>
              <w:ind w:left="120"/>
              <w:spacing w:after="0" w:line="202" w:lineRule="exact"/>
              <w:rPr>
                <w:sz w:val="20"/>
                <w:szCs w:val="20"/>
                <w:color w:val="auto"/>
              </w:rPr>
            </w:pPr>
            <w:r>
              <w:rPr>
                <w:rFonts w:ascii="Arial" w:cs="Arial" w:eastAsia="Arial" w:hAnsi="Arial"/>
                <w:sz w:val="18"/>
                <w:szCs w:val="18"/>
                <w:color w:val="auto"/>
              </w:rPr>
              <w:t>Cash Benefits (amount)</w:t>
            </w:r>
          </w:p>
        </w:tc>
        <w:tc>
          <w:tcPr>
            <w:tcW w:w="200" w:type="dxa"/>
            <w:vAlign w:val="bottom"/>
          </w:tcPr>
          <w:p>
            <w:pPr>
              <w:ind w:left="80"/>
              <w:spacing w:after="0" w:line="202" w:lineRule="exact"/>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287,500</w:t>
            </w:r>
          </w:p>
        </w:tc>
        <w:tc>
          <w:tcPr>
            <w:tcW w:w="24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1,293,750</w:t>
            </w:r>
          </w:p>
        </w:tc>
        <w:tc>
          <w:tcPr>
            <w:tcW w:w="180" w:type="dxa"/>
            <w:vAlign w:val="bottom"/>
          </w:tcPr>
          <w:p>
            <w:pPr>
              <w:ind w:left="80"/>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2,587,500</w:t>
            </w:r>
          </w:p>
        </w:tc>
        <w:tc>
          <w:tcPr>
            <w:tcW w:w="30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111"/>
              <w:spacing w:after="0" w:line="202" w:lineRule="exact"/>
              <w:rPr>
                <w:sz w:val="20"/>
                <w:szCs w:val="20"/>
                <w:color w:val="auto"/>
              </w:rPr>
            </w:pPr>
            <w:r>
              <w:rPr>
                <w:rFonts w:ascii="Arial" w:cs="Arial" w:eastAsia="Arial" w:hAnsi="Arial"/>
                <w:sz w:val="18"/>
                <w:szCs w:val="18"/>
                <w:color w:val="auto"/>
              </w:rPr>
              <w:t xml:space="preserve">- </w:t>
            </w:r>
          </w:p>
        </w:tc>
        <w:tc>
          <w:tcPr>
            <w:tcW w:w="22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508,981</w:t>
            </w:r>
          </w:p>
        </w:tc>
        <w:tc>
          <w:tcPr>
            <w:tcW w:w="0" w:type="dxa"/>
            <w:vAlign w:val="bottom"/>
          </w:tcPr>
          <w:p>
            <w:pPr>
              <w:spacing w:after="0"/>
              <w:rPr>
                <w:sz w:val="1"/>
                <w:szCs w:val="1"/>
                <w:color w:val="auto"/>
              </w:rPr>
            </w:pPr>
          </w:p>
        </w:tc>
      </w:tr>
      <w:tr>
        <w:trPr>
          <w:trHeight w:val="203"/>
        </w:trPr>
        <w:tc>
          <w:tcPr>
            <w:tcW w:w="1720" w:type="dxa"/>
            <w:vAlign w:val="bottom"/>
          </w:tcPr>
          <w:p>
            <w:pPr>
              <w:spacing w:after="0"/>
              <w:rPr>
                <w:sz w:val="17"/>
                <w:szCs w:val="17"/>
                <w:color w:val="auto"/>
              </w:rPr>
            </w:pPr>
          </w:p>
        </w:tc>
        <w:tc>
          <w:tcPr>
            <w:tcW w:w="2120" w:type="dxa"/>
            <w:vAlign w:val="bottom"/>
            <w:shd w:val="clear" w:color="auto" w:fill="E5E5E5"/>
          </w:tcPr>
          <w:p>
            <w:pPr>
              <w:ind w:left="120"/>
              <w:spacing w:after="0" w:line="202" w:lineRule="exact"/>
              <w:rPr>
                <w:sz w:val="20"/>
                <w:szCs w:val="20"/>
                <w:color w:val="auto"/>
              </w:rPr>
            </w:pPr>
            <w:r>
              <w:rPr>
                <w:rFonts w:ascii="Arial" w:cs="Arial" w:eastAsia="Arial" w:hAnsi="Arial"/>
                <w:sz w:val="16"/>
                <w:szCs w:val="16"/>
                <w:color w:val="auto"/>
              </w:rPr>
              <w:t>Medical Benefits</w:t>
            </w:r>
            <w:r>
              <w:rPr>
                <w:rFonts w:ascii="Arial" w:cs="Arial" w:eastAsia="Arial" w:hAnsi="Arial"/>
                <w:sz w:val="23"/>
                <w:szCs w:val="23"/>
                <w:color w:val="auto"/>
                <w:vertAlign w:val="superscript"/>
              </w:rPr>
              <w:t>(2)</w:t>
            </w:r>
          </w:p>
        </w:tc>
        <w:tc>
          <w:tcPr>
            <w:tcW w:w="200" w:type="dxa"/>
            <w:vAlign w:val="bottom"/>
            <w:shd w:val="clear" w:color="auto" w:fill="E5E5E5"/>
          </w:tcPr>
          <w:p>
            <w:pPr>
              <w:ind w:left="80"/>
              <w:spacing w:after="0" w:line="202" w:lineRule="exact"/>
              <w:rPr>
                <w:sz w:val="20"/>
                <w:szCs w:val="20"/>
                <w:color w:val="auto"/>
              </w:rPr>
            </w:pPr>
            <w:r>
              <w:rPr>
                <w:rFonts w:ascii="Arial" w:cs="Arial" w:eastAsia="Arial" w:hAnsi="Arial"/>
                <w:sz w:val="18"/>
                <w:szCs w:val="18"/>
                <w:color w:val="auto"/>
                <w:w w:val="99"/>
              </w:rPr>
              <w:t>$</w:t>
            </w:r>
          </w:p>
        </w:tc>
        <w:tc>
          <w:tcPr>
            <w:tcW w:w="11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9,560</w:t>
            </w:r>
          </w:p>
        </w:tc>
        <w:tc>
          <w:tcPr>
            <w:tcW w:w="240" w:type="dxa"/>
            <w:vAlign w:val="bottom"/>
            <w:shd w:val="clear" w:color="auto" w:fill="E5E5E5"/>
          </w:tcPr>
          <w:p>
            <w:pPr>
              <w:ind w:left="80"/>
              <w:spacing w:after="0" w:line="202" w:lineRule="exact"/>
              <w:rPr>
                <w:sz w:val="20"/>
                <w:szCs w:val="20"/>
                <w:color w:val="auto"/>
              </w:rPr>
            </w:pPr>
            <w:r>
              <w:rPr>
                <w:rFonts w:ascii="Arial" w:cs="Arial" w:eastAsia="Arial" w:hAnsi="Arial"/>
                <w:sz w:val="18"/>
                <w:szCs w:val="18"/>
                <w:color w:val="auto"/>
              </w:rPr>
              <w:t>$</w:t>
            </w:r>
          </w:p>
        </w:tc>
        <w:tc>
          <w:tcPr>
            <w:tcW w:w="13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14,340</w:t>
            </w:r>
          </w:p>
        </w:tc>
        <w:tc>
          <w:tcPr>
            <w:tcW w:w="180" w:type="dxa"/>
            <w:vAlign w:val="bottom"/>
            <w:shd w:val="clear" w:color="auto" w:fill="E5E5E5"/>
          </w:tcPr>
          <w:p>
            <w:pPr>
              <w:ind w:left="80"/>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38,240</w:t>
            </w:r>
          </w:p>
        </w:tc>
        <w:tc>
          <w:tcPr>
            <w:tcW w:w="300" w:type="dxa"/>
            <w:vAlign w:val="bottom"/>
            <w:shd w:val="clear" w:color="auto" w:fill="E5E5E5"/>
          </w:tcPr>
          <w:p>
            <w:pPr>
              <w:ind w:left="80"/>
              <w:spacing w:after="0" w:line="202" w:lineRule="exact"/>
              <w:rPr>
                <w:sz w:val="20"/>
                <w:szCs w:val="20"/>
                <w:color w:val="auto"/>
              </w:rPr>
            </w:pPr>
            <w:r>
              <w:rPr>
                <w:rFonts w:ascii="Arial" w:cs="Arial" w:eastAsia="Arial" w:hAnsi="Arial"/>
                <w:sz w:val="18"/>
                <w:szCs w:val="18"/>
                <w:color w:val="auto"/>
              </w:rPr>
              <w:t>$</w:t>
            </w:r>
          </w:p>
        </w:tc>
        <w:tc>
          <w:tcPr>
            <w:tcW w:w="1160" w:type="dxa"/>
            <w:vAlign w:val="bottom"/>
            <w:shd w:val="clear" w:color="auto" w:fill="E5E5E5"/>
          </w:tcPr>
          <w:p>
            <w:pPr>
              <w:jc w:val="right"/>
              <w:ind w:right="111"/>
              <w:spacing w:after="0" w:line="202" w:lineRule="exact"/>
              <w:rPr>
                <w:sz w:val="20"/>
                <w:szCs w:val="20"/>
                <w:color w:val="auto"/>
              </w:rPr>
            </w:pPr>
            <w:r>
              <w:rPr>
                <w:rFonts w:ascii="Arial" w:cs="Arial" w:eastAsia="Arial" w:hAnsi="Arial"/>
                <w:sz w:val="18"/>
                <w:szCs w:val="18"/>
                <w:color w:val="auto"/>
              </w:rPr>
              <w:t xml:space="preserve">- </w:t>
            </w:r>
          </w:p>
        </w:tc>
        <w:tc>
          <w:tcPr>
            <w:tcW w:w="220" w:type="dxa"/>
            <w:vAlign w:val="bottom"/>
            <w:shd w:val="clear" w:color="auto" w:fill="E5E5E5"/>
          </w:tcPr>
          <w:p>
            <w:pPr>
              <w:ind w:left="80"/>
              <w:spacing w:after="0" w:line="202" w:lineRule="exact"/>
              <w:rPr>
                <w:sz w:val="20"/>
                <w:szCs w:val="20"/>
                <w:color w:val="auto"/>
              </w:rPr>
            </w:pPr>
            <w:r>
              <w:rPr>
                <w:rFonts w:ascii="Arial" w:cs="Arial" w:eastAsia="Arial" w:hAnsi="Arial"/>
                <w:sz w:val="18"/>
                <w:szCs w:val="18"/>
                <w:color w:val="auto"/>
              </w:rPr>
              <w:t>$</w:t>
            </w:r>
          </w:p>
        </w:tc>
        <w:tc>
          <w:tcPr>
            <w:tcW w:w="12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19,120</w:t>
            </w:r>
          </w:p>
        </w:tc>
        <w:tc>
          <w:tcPr>
            <w:tcW w:w="0" w:type="dxa"/>
            <w:vAlign w:val="bottom"/>
          </w:tcPr>
          <w:p>
            <w:pPr>
              <w:spacing w:after="0"/>
              <w:rPr>
                <w:sz w:val="1"/>
                <w:szCs w:val="1"/>
                <w:color w:val="auto"/>
              </w:rPr>
            </w:pPr>
          </w:p>
        </w:tc>
      </w:tr>
      <w:tr>
        <w:trPr>
          <w:trHeight w:val="203"/>
        </w:trPr>
        <w:tc>
          <w:tcPr>
            <w:tcW w:w="1720" w:type="dxa"/>
            <w:vAlign w:val="bottom"/>
          </w:tcPr>
          <w:p>
            <w:pPr>
              <w:spacing w:after="0"/>
              <w:rPr>
                <w:sz w:val="17"/>
                <w:szCs w:val="17"/>
                <w:color w:val="auto"/>
              </w:rPr>
            </w:pPr>
          </w:p>
        </w:tc>
        <w:tc>
          <w:tcPr>
            <w:tcW w:w="2120" w:type="dxa"/>
            <w:vAlign w:val="bottom"/>
          </w:tcPr>
          <w:p>
            <w:pPr>
              <w:ind w:left="120"/>
              <w:spacing w:after="0" w:line="202" w:lineRule="exact"/>
              <w:rPr>
                <w:sz w:val="20"/>
                <w:szCs w:val="20"/>
                <w:color w:val="auto"/>
              </w:rPr>
            </w:pPr>
            <w:r>
              <w:rPr>
                <w:rFonts w:ascii="Arial" w:cs="Arial" w:eastAsia="Arial" w:hAnsi="Arial"/>
                <w:sz w:val="16"/>
                <w:szCs w:val="16"/>
                <w:color w:val="auto"/>
              </w:rPr>
              <w:t>Accelerated Equity</w:t>
            </w:r>
            <w:r>
              <w:rPr>
                <w:rFonts w:ascii="Arial" w:cs="Arial" w:eastAsia="Arial" w:hAnsi="Arial"/>
                <w:sz w:val="23"/>
                <w:szCs w:val="23"/>
                <w:color w:val="auto"/>
                <w:vertAlign w:val="superscript"/>
              </w:rPr>
              <w:t>(3)</w:t>
            </w:r>
          </w:p>
        </w:tc>
        <w:tc>
          <w:tcPr>
            <w:tcW w:w="200" w:type="dxa"/>
            <w:vAlign w:val="bottom"/>
          </w:tcPr>
          <w:p>
            <w:pPr>
              <w:ind w:left="80"/>
              <w:spacing w:after="0" w:line="202" w:lineRule="exact"/>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 xml:space="preserve">- </w:t>
            </w:r>
          </w:p>
        </w:tc>
        <w:tc>
          <w:tcPr>
            <w:tcW w:w="24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1,767,926</w:t>
            </w:r>
          </w:p>
        </w:tc>
        <w:tc>
          <w:tcPr>
            <w:tcW w:w="180" w:type="dxa"/>
            <w:vAlign w:val="bottom"/>
          </w:tcPr>
          <w:p>
            <w:pPr>
              <w:ind w:left="80"/>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1,767,926</w:t>
            </w:r>
          </w:p>
        </w:tc>
        <w:tc>
          <w:tcPr>
            <w:tcW w:w="30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1,767,926</w:t>
            </w:r>
          </w:p>
        </w:tc>
        <w:tc>
          <w:tcPr>
            <w:tcW w:w="22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1,767,926</w:t>
            </w:r>
          </w:p>
        </w:tc>
        <w:tc>
          <w:tcPr>
            <w:tcW w:w="0" w:type="dxa"/>
            <w:vAlign w:val="bottom"/>
          </w:tcPr>
          <w:p>
            <w:pPr>
              <w:spacing w:after="0"/>
              <w:rPr>
                <w:sz w:val="1"/>
                <w:szCs w:val="1"/>
                <w:color w:val="auto"/>
              </w:rPr>
            </w:pPr>
          </w:p>
        </w:tc>
      </w:tr>
      <w:tr>
        <w:trPr>
          <w:trHeight w:val="203"/>
        </w:trPr>
        <w:tc>
          <w:tcPr>
            <w:tcW w:w="1720" w:type="dxa"/>
            <w:vAlign w:val="bottom"/>
          </w:tcPr>
          <w:p>
            <w:pPr>
              <w:spacing w:after="0"/>
              <w:rPr>
                <w:sz w:val="17"/>
                <w:szCs w:val="17"/>
                <w:color w:val="auto"/>
              </w:rPr>
            </w:pPr>
          </w:p>
        </w:tc>
        <w:tc>
          <w:tcPr>
            <w:tcW w:w="2120" w:type="dxa"/>
            <w:vAlign w:val="bottom"/>
            <w:shd w:val="clear" w:color="auto" w:fill="E5E5E5"/>
          </w:tcPr>
          <w:p>
            <w:pPr>
              <w:ind w:left="120"/>
              <w:spacing w:after="0" w:line="202" w:lineRule="exact"/>
              <w:rPr>
                <w:sz w:val="20"/>
                <w:szCs w:val="20"/>
                <w:color w:val="auto"/>
              </w:rPr>
            </w:pPr>
            <w:r>
              <w:rPr>
                <w:rFonts w:ascii="Arial" w:cs="Arial" w:eastAsia="Arial" w:hAnsi="Arial"/>
                <w:sz w:val="16"/>
                <w:szCs w:val="16"/>
                <w:color w:val="auto"/>
              </w:rPr>
              <w:t>Other Benefits</w:t>
            </w:r>
            <w:r>
              <w:rPr>
                <w:rFonts w:ascii="Arial" w:cs="Arial" w:eastAsia="Arial" w:hAnsi="Arial"/>
                <w:sz w:val="23"/>
                <w:szCs w:val="23"/>
                <w:color w:val="auto"/>
                <w:vertAlign w:val="superscript"/>
              </w:rPr>
              <w:t>(4)</w:t>
            </w:r>
          </w:p>
        </w:tc>
        <w:tc>
          <w:tcPr>
            <w:tcW w:w="200" w:type="dxa"/>
            <w:vAlign w:val="bottom"/>
            <w:shd w:val="clear" w:color="auto" w:fill="E5E5E5"/>
          </w:tcPr>
          <w:p>
            <w:pPr>
              <w:ind w:left="80"/>
              <w:spacing w:after="0" w:line="202" w:lineRule="exact"/>
              <w:rPr>
                <w:sz w:val="20"/>
                <w:szCs w:val="20"/>
                <w:color w:val="auto"/>
              </w:rPr>
            </w:pPr>
            <w:r>
              <w:rPr>
                <w:rFonts w:ascii="Arial" w:cs="Arial" w:eastAsia="Arial" w:hAnsi="Arial"/>
                <w:sz w:val="18"/>
                <w:szCs w:val="18"/>
                <w:color w:val="auto"/>
                <w:w w:val="99"/>
              </w:rPr>
              <w:t>$</w:t>
            </w:r>
          </w:p>
        </w:tc>
        <w:tc>
          <w:tcPr>
            <w:tcW w:w="1140" w:type="dxa"/>
            <w:vAlign w:val="bottom"/>
            <w:shd w:val="clear" w:color="auto" w:fill="E5E5E5"/>
          </w:tcPr>
          <w:p>
            <w:pPr>
              <w:jc w:val="right"/>
              <w:ind w:right="130"/>
              <w:spacing w:after="0" w:line="202" w:lineRule="exact"/>
              <w:rPr>
                <w:sz w:val="20"/>
                <w:szCs w:val="20"/>
                <w:color w:val="auto"/>
              </w:rPr>
            </w:pPr>
            <w:r>
              <w:rPr>
                <w:rFonts w:ascii="Arial" w:cs="Arial" w:eastAsia="Arial" w:hAnsi="Arial"/>
                <w:sz w:val="18"/>
                <w:szCs w:val="18"/>
                <w:color w:val="auto"/>
              </w:rPr>
              <w:t xml:space="preserve">- </w:t>
            </w:r>
          </w:p>
        </w:tc>
        <w:tc>
          <w:tcPr>
            <w:tcW w:w="240" w:type="dxa"/>
            <w:vAlign w:val="bottom"/>
            <w:shd w:val="clear" w:color="auto" w:fill="E5E5E5"/>
          </w:tcPr>
          <w:p>
            <w:pPr>
              <w:ind w:left="80"/>
              <w:spacing w:after="0" w:line="202" w:lineRule="exact"/>
              <w:rPr>
                <w:sz w:val="20"/>
                <w:szCs w:val="20"/>
                <w:color w:val="auto"/>
              </w:rPr>
            </w:pPr>
            <w:r>
              <w:rPr>
                <w:rFonts w:ascii="Arial" w:cs="Arial" w:eastAsia="Arial" w:hAnsi="Arial"/>
                <w:sz w:val="18"/>
                <w:szCs w:val="18"/>
                <w:color w:val="auto"/>
              </w:rPr>
              <w:t>$</w:t>
            </w:r>
          </w:p>
        </w:tc>
        <w:tc>
          <w:tcPr>
            <w:tcW w:w="13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60,000</w:t>
            </w:r>
          </w:p>
        </w:tc>
        <w:tc>
          <w:tcPr>
            <w:tcW w:w="180" w:type="dxa"/>
            <w:vAlign w:val="bottom"/>
            <w:shd w:val="clear" w:color="auto" w:fill="E5E5E5"/>
          </w:tcPr>
          <w:p>
            <w:pPr>
              <w:ind w:left="80"/>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90,000</w:t>
            </w:r>
          </w:p>
        </w:tc>
        <w:tc>
          <w:tcPr>
            <w:tcW w:w="300" w:type="dxa"/>
            <w:vAlign w:val="bottom"/>
            <w:shd w:val="clear" w:color="auto" w:fill="E5E5E5"/>
          </w:tcPr>
          <w:p>
            <w:pPr>
              <w:ind w:left="80"/>
              <w:spacing w:after="0" w:line="202" w:lineRule="exact"/>
              <w:rPr>
                <w:sz w:val="20"/>
                <w:szCs w:val="20"/>
                <w:color w:val="auto"/>
              </w:rPr>
            </w:pPr>
            <w:r>
              <w:rPr>
                <w:rFonts w:ascii="Arial" w:cs="Arial" w:eastAsia="Arial" w:hAnsi="Arial"/>
                <w:sz w:val="18"/>
                <w:szCs w:val="18"/>
                <w:color w:val="auto"/>
              </w:rPr>
              <w:t>$</w:t>
            </w:r>
          </w:p>
        </w:tc>
        <w:tc>
          <w:tcPr>
            <w:tcW w:w="1160" w:type="dxa"/>
            <w:vAlign w:val="bottom"/>
            <w:shd w:val="clear" w:color="auto" w:fill="E5E5E5"/>
          </w:tcPr>
          <w:p>
            <w:pPr>
              <w:jc w:val="right"/>
              <w:ind w:right="111"/>
              <w:spacing w:after="0" w:line="202" w:lineRule="exact"/>
              <w:rPr>
                <w:sz w:val="20"/>
                <w:szCs w:val="20"/>
                <w:color w:val="auto"/>
              </w:rPr>
            </w:pPr>
            <w:r>
              <w:rPr>
                <w:rFonts w:ascii="Arial" w:cs="Arial" w:eastAsia="Arial" w:hAnsi="Arial"/>
                <w:sz w:val="18"/>
                <w:szCs w:val="18"/>
                <w:color w:val="auto"/>
              </w:rPr>
              <w:t xml:space="preserve">- </w:t>
            </w:r>
          </w:p>
        </w:tc>
        <w:tc>
          <w:tcPr>
            <w:tcW w:w="220" w:type="dxa"/>
            <w:vAlign w:val="bottom"/>
            <w:shd w:val="clear" w:color="auto" w:fill="E5E5E5"/>
          </w:tcPr>
          <w:p>
            <w:pPr>
              <w:ind w:left="80"/>
              <w:spacing w:after="0" w:line="202" w:lineRule="exact"/>
              <w:rPr>
                <w:sz w:val="20"/>
                <w:szCs w:val="20"/>
                <w:color w:val="auto"/>
              </w:rPr>
            </w:pPr>
            <w:r>
              <w:rPr>
                <w:rFonts w:ascii="Arial" w:cs="Arial" w:eastAsia="Arial" w:hAnsi="Arial"/>
                <w:sz w:val="18"/>
                <w:szCs w:val="18"/>
                <w:color w:val="auto"/>
              </w:rPr>
              <w:t>$</w:t>
            </w:r>
          </w:p>
        </w:tc>
        <w:tc>
          <w:tcPr>
            <w:tcW w:w="1220" w:type="dxa"/>
            <w:vAlign w:val="bottom"/>
            <w:shd w:val="clear" w:color="auto" w:fill="E5E5E5"/>
          </w:tcPr>
          <w:p>
            <w:pPr>
              <w:jc w:val="right"/>
              <w:ind w:right="111"/>
              <w:spacing w:after="0" w:line="202" w:lineRule="exact"/>
              <w:rPr>
                <w:sz w:val="20"/>
                <w:szCs w:val="20"/>
                <w:color w:val="auto"/>
              </w:rPr>
            </w:pPr>
            <w:r>
              <w:rPr>
                <w:rFonts w:ascii="Arial" w:cs="Arial" w:eastAsia="Arial" w:hAnsi="Arial"/>
                <w:sz w:val="18"/>
                <w:szCs w:val="18"/>
                <w:color w:val="auto"/>
              </w:rPr>
              <w:t xml:space="preserve">- </w:t>
            </w:r>
          </w:p>
        </w:tc>
        <w:tc>
          <w:tcPr>
            <w:tcW w:w="0" w:type="dxa"/>
            <w:vAlign w:val="bottom"/>
          </w:tcPr>
          <w:p>
            <w:pPr>
              <w:spacing w:after="0"/>
              <w:rPr>
                <w:sz w:val="1"/>
                <w:szCs w:val="1"/>
                <w:color w:val="auto"/>
              </w:rPr>
            </w:pPr>
          </w:p>
        </w:tc>
      </w:tr>
      <w:tr>
        <w:trPr>
          <w:trHeight w:val="203"/>
        </w:trPr>
        <w:tc>
          <w:tcPr>
            <w:tcW w:w="1720" w:type="dxa"/>
            <w:vAlign w:val="bottom"/>
          </w:tcPr>
          <w:p>
            <w:pPr>
              <w:spacing w:after="0"/>
              <w:rPr>
                <w:sz w:val="17"/>
                <w:szCs w:val="17"/>
                <w:color w:val="auto"/>
              </w:rPr>
            </w:pPr>
          </w:p>
        </w:tc>
        <w:tc>
          <w:tcPr>
            <w:tcW w:w="2120" w:type="dxa"/>
            <w:vAlign w:val="bottom"/>
          </w:tcPr>
          <w:p>
            <w:pPr>
              <w:ind w:left="120"/>
              <w:spacing w:after="0" w:line="202" w:lineRule="exact"/>
              <w:rPr>
                <w:sz w:val="20"/>
                <w:szCs w:val="20"/>
                <w:color w:val="auto"/>
              </w:rPr>
            </w:pPr>
            <w:r>
              <w:rPr>
                <w:rFonts w:ascii="Arial" w:cs="Arial" w:eastAsia="Arial" w:hAnsi="Arial"/>
                <w:sz w:val="18"/>
                <w:szCs w:val="18"/>
                <w:color w:val="auto"/>
              </w:rPr>
              <w:t>Excise Tax Gross-Up</w:t>
            </w:r>
          </w:p>
        </w:tc>
        <w:tc>
          <w:tcPr>
            <w:tcW w:w="20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N/A</w:t>
            </w:r>
          </w:p>
        </w:tc>
        <w:tc>
          <w:tcPr>
            <w:tcW w:w="24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N/A</w:t>
            </w:r>
          </w:p>
        </w:tc>
        <w:tc>
          <w:tcPr>
            <w:tcW w:w="180" w:type="dxa"/>
            <w:vAlign w:val="bottom"/>
          </w:tcPr>
          <w:p>
            <w:pPr>
              <w:ind w:left="80"/>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11"/>
              <w:spacing w:after="0" w:line="202" w:lineRule="exact"/>
              <w:rPr>
                <w:sz w:val="20"/>
                <w:szCs w:val="20"/>
                <w:color w:val="auto"/>
              </w:rPr>
            </w:pPr>
            <w:r>
              <w:rPr>
                <w:rFonts w:ascii="Arial" w:cs="Arial" w:eastAsia="Arial" w:hAnsi="Arial"/>
                <w:sz w:val="18"/>
                <w:szCs w:val="18"/>
                <w:color w:val="auto"/>
              </w:rPr>
              <w:t xml:space="preserve">- </w:t>
            </w:r>
          </w:p>
        </w:tc>
        <w:tc>
          <w:tcPr>
            <w:tcW w:w="30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N/A</w:t>
            </w:r>
          </w:p>
        </w:tc>
        <w:tc>
          <w:tcPr>
            <w:tcW w:w="22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3"/>
        </w:trPr>
        <w:tc>
          <w:tcPr>
            <w:tcW w:w="1720" w:type="dxa"/>
            <w:vAlign w:val="bottom"/>
            <w:shd w:val="clear" w:color="auto" w:fill="FF160F"/>
          </w:tcPr>
          <w:p>
            <w:pPr>
              <w:spacing w:after="0" w:line="202" w:lineRule="exact"/>
              <w:rPr>
                <w:sz w:val="20"/>
                <w:szCs w:val="20"/>
                <w:color w:val="auto"/>
              </w:rPr>
            </w:pPr>
            <w:r>
              <w:rPr>
                <w:rFonts w:ascii="Arial" w:cs="Arial" w:eastAsia="Arial" w:hAnsi="Arial"/>
                <w:sz w:val="18"/>
                <w:szCs w:val="18"/>
                <w:b w:val="1"/>
                <w:bCs w:val="1"/>
                <w:color w:val="FFFFFF"/>
              </w:rPr>
              <w:t>Total</w:t>
            </w:r>
          </w:p>
        </w:tc>
        <w:tc>
          <w:tcPr>
            <w:tcW w:w="2120" w:type="dxa"/>
            <w:vAlign w:val="bottom"/>
            <w:shd w:val="clear" w:color="auto" w:fill="FF160F"/>
          </w:tcPr>
          <w:p>
            <w:pPr>
              <w:spacing w:after="0"/>
              <w:rPr>
                <w:sz w:val="17"/>
                <w:szCs w:val="17"/>
                <w:color w:val="auto"/>
              </w:rPr>
            </w:pPr>
          </w:p>
        </w:tc>
        <w:tc>
          <w:tcPr>
            <w:tcW w:w="200" w:type="dxa"/>
            <w:vAlign w:val="bottom"/>
            <w:shd w:val="clear" w:color="auto" w:fill="FF160F"/>
          </w:tcPr>
          <w:p>
            <w:pPr>
              <w:ind w:left="80"/>
              <w:spacing w:after="0" w:line="202" w:lineRule="exact"/>
              <w:rPr>
                <w:sz w:val="20"/>
                <w:szCs w:val="20"/>
                <w:color w:val="auto"/>
              </w:rPr>
            </w:pPr>
            <w:r>
              <w:rPr>
                <w:rFonts w:ascii="Arial" w:cs="Arial" w:eastAsia="Arial" w:hAnsi="Arial"/>
                <w:sz w:val="18"/>
                <w:szCs w:val="18"/>
                <w:b w:val="1"/>
                <w:bCs w:val="1"/>
                <w:color w:val="FFFFFF"/>
                <w:w w:val="99"/>
              </w:rPr>
              <w:t>$</w:t>
            </w:r>
          </w:p>
        </w:tc>
        <w:tc>
          <w:tcPr>
            <w:tcW w:w="1140" w:type="dxa"/>
            <w:vAlign w:val="bottom"/>
            <w:shd w:val="clear" w:color="auto" w:fill="FF160F"/>
          </w:tcPr>
          <w:p>
            <w:pPr>
              <w:jc w:val="right"/>
              <w:spacing w:after="0" w:line="202" w:lineRule="exact"/>
              <w:rPr>
                <w:sz w:val="20"/>
                <w:szCs w:val="20"/>
                <w:color w:val="auto"/>
              </w:rPr>
            </w:pPr>
            <w:r>
              <w:rPr>
                <w:rFonts w:ascii="Arial" w:cs="Arial" w:eastAsia="Arial" w:hAnsi="Arial"/>
                <w:sz w:val="18"/>
                <w:szCs w:val="18"/>
                <w:b w:val="1"/>
                <w:bCs w:val="1"/>
                <w:color w:val="FFFFFF"/>
              </w:rPr>
              <w:t>297,060</w:t>
            </w:r>
          </w:p>
        </w:tc>
        <w:tc>
          <w:tcPr>
            <w:tcW w:w="240" w:type="dxa"/>
            <w:vAlign w:val="bottom"/>
            <w:shd w:val="clear" w:color="auto" w:fill="FF160F"/>
          </w:tcPr>
          <w:p>
            <w:pPr>
              <w:ind w:left="80"/>
              <w:spacing w:after="0" w:line="202" w:lineRule="exact"/>
              <w:rPr>
                <w:sz w:val="20"/>
                <w:szCs w:val="20"/>
                <w:color w:val="auto"/>
              </w:rPr>
            </w:pPr>
            <w:r>
              <w:rPr>
                <w:rFonts w:ascii="Arial" w:cs="Arial" w:eastAsia="Arial" w:hAnsi="Arial"/>
                <w:sz w:val="18"/>
                <w:szCs w:val="18"/>
                <w:b w:val="1"/>
                <w:bCs w:val="1"/>
                <w:color w:val="FFFFFF"/>
              </w:rPr>
              <w:t>$</w:t>
            </w:r>
          </w:p>
        </w:tc>
        <w:tc>
          <w:tcPr>
            <w:tcW w:w="1360" w:type="dxa"/>
            <w:vAlign w:val="bottom"/>
            <w:shd w:val="clear" w:color="auto" w:fill="FF160F"/>
          </w:tcPr>
          <w:p>
            <w:pPr>
              <w:jc w:val="right"/>
              <w:spacing w:after="0" w:line="202" w:lineRule="exact"/>
              <w:rPr>
                <w:sz w:val="20"/>
                <w:szCs w:val="20"/>
                <w:color w:val="auto"/>
              </w:rPr>
            </w:pPr>
            <w:r>
              <w:rPr>
                <w:rFonts w:ascii="Arial" w:cs="Arial" w:eastAsia="Arial" w:hAnsi="Arial"/>
                <w:sz w:val="18"/>
                <w:szCs w:val="18"/>
                <w:b w:val="1"/>
                <w:bCs w:val="1"/>
                <w:color w:val="FFFFFF"/>
              </w:rPr>
              <w:t>3,136,016</w:t>
            </w:r>
          </w:p>
        </w:tc>
        <w:tc>
          <w:tcPr>
            <w:tcW w:w="180" w:type="dxa"/>
            <w:vAlign w:val="bottom"/>
            <w:shd w:val="clear" w:color="auto" w:fill="FF160F"/>
          </w:tcPr>
          <w:p>
            <w:pPr>
              <w:ind w:left="80"/>
              <w:spacing w:after="0" w:line="202" w:lineRule="exact"/>
              <w:rPr>
                <w:sz w:val="20"/>
                <w:szCs w:val="20"/>
                <w:color w:val="auto"/>
              </w:rPr>
            </w:pPr>
            <w:r>
              <w:rPr>
                <w:rFonts w:ascii="Arial" w:cs="Arial" w:eastAsia="Arial" w:hAnsi="Arial"/>
                <w:sz w:val="18"/>
                <w:szCs w:val="18"/>
                <w:b w:val="1"/>
                <w:bCs w:val="1"/>
                <w:color w:val="FFFFFF"/>
                <w:w w:val="79"/>
              </w:rPr>
              <w:t>$</w:t>
            </w:r>
          </w:p>
        </w:tc>
        <w:tc>
          <w:tcPr>
            <w:tcW w:w="1160" w:type="dxa"/>
            <w:vAlign w:val="bottom"/>
            <w:shd w:val="clear" w:color="auto" w:fill="FF160F"/>
          </w:tcPr>
          <w:p>
            <w:pPr>
              <w:jc w:val="right"/>
              <w:spacing w:after="0" w:line="202" w:lineRule="exact"/>
              <w:rPr>
                <w:sz w:val="20"/>
                <w:szCs w:val="20"/>
                <w:color w:val="auto"/>
              </w:rPr>
            </w:pPr>
            <w:r>
              <w:rPr>
                <w:rFonts w:ascii="Arial" w:cs="Arial" w:eastAsia="Arial" w:hAnsi="Arial"/>
                <w:sz w:val="18"/>
                <w:szCs w:val="18"/>
                <w:b w:val="1"/>
                <w:bCs w:val="1"/>
                <w:color w:val="FFFFFF"/>
              </w:rPr>
              <w:t>4,483,666</w:t>
            </w:r>
          </w:p>
        </w:tc>
        <w:tc>
          <w:tcPr>
            <w:tcW w:w="300" w:type="dxa"/>
            <w:vAlign w:val="bottom"/>
            <w:shd w:val="clear" w:color="auto" w:fill="FF160F"/>
          </w:tcPr>
          <w:p>
            <w:pPr>
              <w:ind w:left="80"/>
              <w:spacing w:after="0" w:line="202" w:lineRule="exact"/>
              <w:rPr>
                <w:sz w:val="20"/>
                <w:szCs w:val="20"/>
                <w:color w:val="auto"/>
              </w:rPr>
            </w:pPr>
            <w:r>
              <w:rPr>
                <w:rFonts w:ascii="Arial" w:cs="Arial" w:eastAsia="Arial" w:hAnsi="Arial"/>
                <w:sz w:val="18"/>
                <w:szCs w:val="18"/>
                <w:b w:val="1"/>
                <w:bCs w:val="1"/>
                <w:color w:val="FFFFFF"/>
              </w:rPr>
              <w:t>$</w:t>
            </w:r>
          </w:p>
        </w:tc>
        <w:tc>
          <w:tcPr>
            <w:tcW w:w="1160" w:type="dxa"/>
            <w:vAlign w:val="bottom"/>
            <w:shd w:val="clear" w:color="auto" w:fill="FF160F"/>
          </w:tcPr>
          <w:p>
            <w:pPr>
              <w:jc w:val="right"/>
              <w:spacing w:after="0" w:line="202" w:lineRule="exact"/>
              <w:rPr>
                <w:sz w:val="20"/>
                <w:szCs w:val="20"/>
                <w:color w:val="auto"/>
              </w:rPr>
            </w:pPr>
            <w:r>
              <w:rPr>
                <w:rFonts w:ascii="Arial" w:cs="Arial" w:eastAsia="Arial" w:hAnsi="Arial"/>
                <w:sz w:val="18"/>
                <w:szCs w:val="18"/>
                <w:b w:val="1"/>
                <w:bCs w:val="1"/>
                <w:color w:val="FFFFFF"/>
              </w:rPr>
              <w:t>1,767,926</w:t>
            </w:r>
          </w:p>
        </w:tc>
        <w:tc>
          <w:tcPr>
            <w:tcW w:w="220" w:type="dxa"/>
            <w:vAlign w:val="bottom"/>
            <w:shd w:val="clear" w:color="auto" w:fill="FF160F"/>
          </w:tcPr>
          <w:p>
            <w:pPr>
              <w:ind w:left="80"/>
              <w:spacing w:after="0" w:line="202" w:lineRule="exact"/>
              <w:rPr>
                <w:sz w:val="20"/>
                <w:szCs w:val="20"/>
                <w:color w:val="auto"/>
              </w:rPr>
            </w:pPr>
            <w:r>
              <w:rPr>
                <w:rFonts w:ascii="Arial" w:cs="Arial" w:eastAsia="Arial" w:hAnsi="Arial"/>
                <w:sz w:val="18"/>
                <w:szCs w:val="18"/>
                <w:b w:val="1"/>
                <w:bCs w:val="1"/>
                <w:color w:val="FFFFFF"/>
              </w:rPr>
              <w:t>$</w:t>
            </w:r>
          </w:p>
        </w:tc>
        <w:tc>
          <w:tcPr>
            <w:tcW w:w="1220" w:type="dxa"/>
            <w:vAlign w:val="bottom"/>
            <w:shd w:val="clear" w:color="auto" w:fill="FF160F"/>
          </w:tcPr>
          <w:p>
            <w:pPr>
              <w:jc w:val="right"/>
              <w:spacing w:after="0" w:line="202" w:lineRule="exact"/>
              <w:rPr>
                <w:sz w:val="20"/>
                <w:szCs w:val="20"/>
                <w:color w:val="auto"/>
              </w:rPr>
            </w:pPr>
            <w:r>
              <w:rPr>
                <w:rFonts w:ascii="Arial" w:cs="Arial" w:eastAsia="Arial" w:hAnsi="Arial"/>
                <w:sz w:val="18"/>
                <w:szCs w:val="18"/>
                <w:b w:val="1"/>
                <w:bCs w:val="1"/>
                <w:color w:val="FFFFFF"/>
              </w:rPr>
              <w:t>2,296,027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8" w:lineRule="exact"/>
        <w:rPr>
          <w:sz w:val="20"/>
          <w:szCs w:val="20"/>
          <w:color w:val="auto"/>
        </w:rPr>
      </w:pPr>
    </w:p>
    <w:p>
      <w:pPr>
        <w:jc w:val="both"/>
        <w:ind w:left="540" w:hanging="424"/>
        <w:spacing w:after="0" w:line="232" w:lineRule="auto"/>
        <w:tabs>
          <w:tab w:leader="none" w:pos="540" w:val="left"/>
        </w:tabs>
        <w:numPr>
          <w:ilvl w:val="0"/>
          <w:numId w:val="74"/>
        </w:numPr>
        <w:rPr>
          <w:rFonts w:ascii="Arial" w:cs="Arial" w:eastAsia="Arial" w:hAnsi="Arial"/>
          <w:sz w:val="24"/>
          <w:szCs w:val="24"/>
          <w:color w:val="auto"/>
          <w:vertAlign w:val="superscript"/>
        </w:rPr>
      </w:pPr>
      <w:r>
        <w:rPr>
          <w:rFonts w:ascii="Arial" w:cs="Arial" w:eastAsia="Arial" w:hAnsi="Arial"/>
          <w:sz w:val="16"/>
          <w:szCs w:val="16"/>
          <w:color w:val="auto"/>
        </w:rPr>
        <w:t>For all NEOs, the cash payments for termination without cause and termination following a change-in-control include base salary plus the highest bonus earned during 2022, 2021 and 2020, the last three completed fiscal years. The cash payments on termination with cause for Mr. Wood, Mr. Guglielmone and Ms. Becker are 1 month of base pay for every year of service above 5 years, capped at 6 months of base pay. The cash payment on death and disability for Mr. Berkes is a pro-rated bonus for the year in which the event occurs. The cash payments on disability for Mr. Wood, Mr. Guglielmone and Ms. Becker represent 1 year of base salary less amounts received from disability insurance maintained by the Company, grossed up for taxes on non-tax exempt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89535</wp:posOffset>
            </wp:positionV>
            <wp:extent cx="7003415" cy="12001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003415" cy="120015"/>
                    </a:xfrm>
                    <a:prstGeom prst="rect">
                      <a:avLst/>
                    </a:prstGeom>
                    <a:noFill/>
                  </pic:spPr>
                </pic:pic>
              </a:graphicData>
            </a:graphic>
          </wp:anchor>
        </w:drawing>
      </w:r>
    </w:p>
    <w:p>
      <w:pPr>
        <w:spacing w:after="0" w:line="125" w:lineRule="exact"/>
        <w:rPr>
          <w:sz w:val="20"/>
          <w:szCs w:val="20"/>
          <w:color w:val="auto"/>
        </w:rPr>
      </w:pPr>
    </w:p>
    <w:p>
      <w:pPr>
        <w:ind w:left="8080"/>
        <w:spacing w:after="0"/>
        <w:rPr>
          <w:sz w:val="20"/>
          <w:szCs w:val="20"/>
          <w:color w:val="auto"/>
        </w:rPr>
      </w:pPr>
      <w:r>
        <w:rPr>
          <w:rFonts w:ascii="Arial" w:cs="Arial" w:eastAsia="Arial" w:hAnsi="Arial"/>
          <w:sz w:val="14"/>
          <w:szCs w:val="14"/>
          <w:color w:val="FF160F"/>
        </w:rPr>
        <w:t>Federal Realty</w:t>
      </w:r>
      <w:r>
        <w:rPr>
          <w:rFonts w:ascii="Arial" w:cs="Arial" w:eastAsia="Arial" w:hAnsi="Arial"/>
          <w:sz w:val="14"/>
          <w:szCs w:val="14"/>
          <w:color w:val="000000"/>
        </w:rPr>
        <w:t xml:space="preserve">      2024 Proxy Statement   35</w:t>
      </w:r>
    </w:p>
    <w:p>
      <w:pPr>
        <w:sectPr>
          <w:pgSz w:w="11900" w:h="16838" w:orient="portrait"/>
          <w:cols w:equalWidth="0" w:num="1">
            <w:col w:w="11140"/>
          </w:cols>
          <w:pgMar w:left="320" w:top="482" w:right="4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4" w:lineRule="exact"/>
        <w:rPr>
          <w:sz w:val="20"/>
          <w:szCs w:val="20"/>
          <w:color w:val="auto"/>
        </w:rPr>
      </w:pPr>
    </w:p>
    <w:p>
      <w:pPr>
        <w:jc w:val="both"/>
        <w:ind w:left="540" w:right="20" w:hanging="424"/>
        <w:spacing w:after="0" w:line="205" w:lineRule="auto"/>
        <w:tabs>
          <w:tab w:leader="none" w:pos="540" w:val="left"/>
        </w:tabs>
        <w:numPr>
          <w:ilvl w:val="0"/>
          <w:numId w:val="75"/>
        </w:numPr>
        <w:rPr>
          <w:rFonts w:ascii="Arial" w:cs="Arial" w:eastAsia="Arial" w:hAnsi="Arial"/>
          <w:sz w:val="24"/>
          <w:szCs w:val="24"/>
          <w:color w:val="auto"/>
          <w:vertAlign w:val="superscript"/>
        </w:rPr>
      </w:pPr>
      <w:r>
        <w:rPr>
          <w:rFonts w:ascii="Arial" w:cs="Arial" w:eastAsia="Arial" w:hAnsi="Arial"/>
          <w:sz w:val="16"/>
          <w:szCs w:val="16"/>
          <w:color w:val="auto"/>
        </w:rPr>
        <w:t>Amounts in this row represent our estimate of the COBRA equivalent rates for health care benefits for all NEOs and current life and long-term disability premiums for Mr. Wood, Mr. Guglielmone and Ms. Becker. The period of time for which these benefits are provided varies as follows:</w:t>
      </w:r>
    </w:p>
    <w:p>
      <w:pPr>
        <w:spacing w:after="0" w:line="1" w:lineRule="exact"/>
        <w:rPr>
          <w:rFonts w:ascii="Arial" w:cs="Arial" w:eastAsia="Arial" w:hAnsi="Arial"/>
          <w:sz w:val="24"/>
          <w:szCs w:val="24"/>
          <w:color w:val="auto"/>
          <w:vertAlign w:val="superscript"/>
        </w:rPr>
      </w:pPr>
    </w:p>
    <w:p>
      <w:pPr>
        <w:jc w:val="both"/>
        <w:ind w:left="540" w:right="20" w:firstLine="8"/>
        <w:spacing w:after="0" w:line="246" w:lineRule="auto"/>
        <w:tabs>
          <w:tab w:leader="none" w:pos="800" w:val="left"/>
        </w:tabs>
        <w:numPr>
          <w:ilvl w:val="1"/>
          <w:numId w:val="75"/>
        </w:numPr>
        <w:rPr>
          <w:rFonts w:ascii="Arial" w:cs="Arial" w:eastAsia="Arial" w:hAnsi="Arial"/>
          <w:sz w:val="16"/>
          <w:szCs w:val="16"/>
          <w:color w:val="auto"/>
        </w:rPr>
      </w:pPr>
      <w:r>
        <w:rPr>
          <w:rFonts w:ascii="Arial" w:cs="Arial" w:eastAsia="Arial" w:hAnsi="Arial"/>
          <w:sz w:val="16"/>
          <w:szCs w:val="16"/>
          <w:color w:val="auto"/>
        </w:rPr>
        <w:t>termination without cause – 9 months for Mr. Wood and Ms. Becker; 1 year for Mr. Berkes; (b) termination following a change-in-control – 3 years for Mr. Wood and 2 years for each other NEO; (c) termination for cause – 1 month for every year of service above 5 years, capped at 6 months for Mr. Wood, Mr. Guglielmone and Ms. Becker; and (d) disability – 1 year. The amounts paid to Mr. Berkes are reduced by the amounts he pays for these benefits at the time of the event. All amounts shown in this row for Mr. Wood also include the estimated costs (calculated in accordance with GAAP) of satisfying the obligations under his Health Continuation Coverage Agreement.</w:t>
      </w:r>
    </w:p>
    <w:p>
      <w:pPr>
        <w:spacing w:after="0" w:line="2" w:lineRule="exact"/>
        <w:rPr>
          <w:rFonts w:ascii="Arial" w:cs="Arial" w:eastAsia="Arial" w:hAnsi="Arial"/>
          <w:sz w:val="16"/>
          <w:szCs w:val="16"/>
          <w:color w:val="auto"/>
        </w:rPr>
      </w:pPr>
    </w:p>
    <w:p>
      <w:pPr>
        <w:jc w:val="both"/>
        <w:ind w:left="540" w:hanging="424"/>
        <w:spacing w:after="0" w:line="224" w:lineRule="auto"/>
        <w:tabs>
          <w:tab w:leader="none" w:pos="540" w:val="left"/>
        </w:tabs>
        <w:numPr>
          <w:ilvl w:val="0"/>
          <w:numId w:val="75"/>
        </w:numPr>
        <w:rPr>
          <w:rFonts w:ascii="Arial" w:cs="Arial" w:eastAsia="Arial" w:hAnsi="Arial"/>
          <w:sz w:val="24"/>
          <w:szCs w:val="24"/>
          <w:color w:val="auto"/>
          <w:vertAlign w:val="superscript"/>
        </w:rPr>
      </w:pPr>
      <w:r>
        <w:rPr>
          <w:rFonts w:ascii="Arial" w:cs="Arial" w:eastAsia="Arial" w:hAnsi="Arial"/>
          <w:sz w:val="16"/>
          <w:szCs w:val="16"/>
          <w:color w:val="auto"/>
        </w:rPr>
        <w:t>All unvested restricted shares held by our NEOs will vest in the event of termination without cause, termination following a change-in-control, death or disability. Values were calculated by multiplying the number of unvested shares that vest under each termination event using the closing price of the Company’s shares on December 29, 2023. For Mr. Berkes, the amount also includes the value of the number of performance based units that would have been earned based on performance through the date of termination, prorated for the portion of the performance period that had lapsed, plus dividend equivalent rights on those units.</w:t>
      </w:r>
    </w:p>
    <w:p>
      <w:pPr>
        <w:jc w:val="both"/>
        <w:ind w:left="540" w:hanging="424"/>
        <w:spacing w:after="0" w:line="219" w:lineRule="auto"/>
        <w:tabs>
          <w:tab w:leader="none" w:pos="540" w:val="left"/>
        </w:tabs>
        <w:numPr>
          <w:ilvl w:val="0"/>
          <w:numId w:val="75"/>
        </w:numPr>
        <w:rPr>
          <w:rFonts w:ascii="Arial" w:cs="Arial" w:eastAsia="Arial" w:hAnsi="Arial"/>
          <w:sz w:val="24"/>
          <w:szCs w:val="24"/>
          <w:color w:val="auto"/>
          <w:vertAlign w:val="superscript"/>
        </w:rPr>
      </w:pPr>
      <w:r>
        <w:rPr>
          <w:rFonts w:ascii="Arial" w:cs="Arial" w:eastAsia="Arial" w:hAnsi="Arial"/>
          <w:sz w:val="16"/>
          <w:szCs w:val="16"/>
          <w:color w:val="auto"/>
        </w:rPr>
        <w:t>Amounts in this row are estimated costs for an administrative assistant and outplacement assistance for a period of 6 months in the event of a termination without cause for Mr. Wood and Ms. Becker and for a period of 12 months for Mr. Wood and 9 months for Mr. Guglielmone and Ms. Becker in the event of a termination following a change-in-control. The amount also includes the cost of providing a company vehicle to Mr. Wood for three years in the event of a termination following a change-in-control should he choose to use that benefit.</w:t>
      </w:r>
    </w:p>
    <w:p>
      <w:pPr>
        <w:jc w:val="both"/>
        <w:ind w:left="540" w:right="20" w:hanging="424"/>
        <w:spacing w:after="0" w:line="229" w:lineRule="auto"/>
        <w:tabs>
          <w:tab w:leader="none" w:pos="540" w:val="left"/>
        </w:tabs>
        <w:numPr>
          <w:ilvl w:val="0"/>
          <w:numId w:val="75"/>
        </w:numPr>
        <w:rPr>
          <w:rFonts w:ascii="Arial" w:cs="Arial" w:eastAsia="Arial" w:hAnsi="Arial"/>
          <w:sz w:val="24"/>
          <w:szCs w:val="24"/>
          <w:color w:val="auto"/>
          <w:vertAlign w:val="superscript"/>
        </w:rPr>
      </w:pPr>
      <w:r>
        <w:rPr>
          <w:rFonts w:ascii="Arial" w:cs="Arial" w:eastAsia="Arial" w:hAnsi="Arial"/>
          <w:sz w:val="16"/>
          <w:szCs w:val="16"/>
          <w:color w:val="auto"/>
        </w:rPr>
        <w:t>Change-in-control is deemed to have occurred when a person acquires a 20% interest in us, or our current Trustees, or those subsequently approved by our current Trustees, constitute less than 50% of our Board. Upon a change-in-control, each NEO is entitled to receive payments and benefits in the following circumstance: (a) the NEO is terminated from employment by the Company (other than for cause) or leaves for good reason within 2 years after the change-in-control; (b) Mr. Wood or Ms. Becker voluntarily leaves employment within the 30-day window following the 1-year anniversary of the change-in-control; or (c) Mr. Berkes is terminated from employment by the Company (other than for cause) or he leaves the Company as a result of a constructive termination within the 6-month period prior to or within 2 years after the change-in-control.</w:t>
      </w:r>
    </w:p>
    <w:p>
      <w:pPr>
        <w:spacing w:after="0" w:line="148" w:lineRule="exact"/>
        <w:rPr>
          <w:sz w:val="20"/>
          <w:szCs w:val="20"/>
          <w:color w:val="auto"/>
        </w:rPr>
      </w:pPr>
    </w:p>
    <w:p>
      <w:pPr>
        <w:ind w:left="120"/>
        <w:spacing w:after="0" w:line="207" w:lineRule="exact"/>
        <w:rPr>
          <w:sz w:val="20"/>
          <w:szCs w:val="20"/>
          <w:color w:val="auto"/>
        </w:rPr>
      </w:pPr>
      <w:r>
        <w:rPr>
          <w:rFonts w:ascii="MS PGothic" w:cs="MS PGothic" w:eastAsia="MS PGothic" w:hAnsi="MS PGothic"/>
          <w:sz w:val="18"/>
          <w:szCs w:val="18"/>
          <w:color w:val="FF160F"/>
        </w:rPr>
        <w:t>➣</w:t>
      </w:r>
      <w:r>
        <w:rPr>
          <w:rFonts w:ascii="Arial" w:cs="Arial" w:eastAsia="Arial" w:hAnsi="Arial"/>
          <w:sz w:val="18"/>
          <w:szCs w:val="18"/>
          <w:b w:val="1"/>
          <w:bCs w:val="1"/>
          <w:color w:val="auto"/>
        </w:rPr>
        <w:t xml:space="preserve">   CEO PAY RATIO</w:t>
      </w:r>
    </w:p>
    <w:p>
      <w:pPr>
        <w:spacing w:after="0" w:line="265" w:lineRule="exact"/>
        <w:rPr>
          <w:sz w:val="20"/>
          <w:szCs w:val="20"/>
          <w:color w:val="auto"/>
        </w:rPr>
      </w:pPr>
    </w:p>
    <w:p>
      <w:pPr>
        <w:jc w:val="both"/>
        <w:ind w:left="120"/>
        <w:spacing w:after="0" w:line="239" w:lineRule="auto"/>
        <w:rPr>
          <w:sz w:val="20"/>
          <w:szCs w:val="20"/>
          <w:color w:val="auto"/>
        </w:rPr>
      </w:pPr>
      <w:r>
        <w:rPr>
          <w:rFonts w:ascii="Arial" w:cs="Arial" w:eastAsia="Arial" w:hAnsi="Arial"/>
          <w:sz w:val="18"/>
          <w:szCs w:val="18"/>
          <w:color w:val="auto"/>
        </w:rPr>
        <w:t>Our compensation and benefit programs are substantially similar throughout the Company and are designed to reward all employees who contribute to our success with a total compensation package that is competitive in the marketplace for each employee’s position and performance. We are required to calculate and disclose the compensation of our median paid employee as well as the ratio of the total annual compensation paid to our CEO to the annual compensation of our median paid employee. The determination of our median paid employee was used taking our total employee population as of December 31, 2023, excluding our CEO, which included full-time and part-time employees ranging from executive vice presidents to maintenance technicians. For the determination, we used annual base pay plus annual bonus at target levels plus overtime actually paid, the combination of which we believe most closely approximates the total annual direct compensation of our employees. For purposes of the calculation, base pay was annualized for the 64 employees who started with us in 2023. No other adjustments were made.</w:t>
      </w:r>
    </w:p>
    <w:p>
      <w:pPr>
        <w:spacing w:after="0" w:line="183" w:lineRule="exact"/>
        <w:rPr>
          <w:sz w:val="20"/>
          <w:szCs w:val="20"/>
          <w:color w:val="auto"/>
        </w:rPr>
      </w:pPr>
    </w:p>
    <w:p>
      <w:pPr>
        <w:jc w:val="both"/>
        <w:ind w:left="120"/>
        <w:spacing w:after="0" w:line="247" w:lineRule="auto"/>
        <w:rPr>
          <w:sz w:val="20"/>
          <w:szCs w:val="20"/>
          <w:color w:val="auto"/>
        </w:rPr>
      </w:pPr>
      <w:r>
        <w:rPr>
          <w:rFonts w:ascii="Arial" w:cs="Arial" w:eastAsia="Arial" w:hAnsi="Arial"/>
          <w:sz w:val="18"/>
          <w:szCs w:val="18"/>
          <w:color w:val="auto"/>
        </w:rPr>
        <w:t>The actual total annual compensation of our Chief Executive Officer and median paid employee for 2023 was calculated in accordance with the requirements of the Summary Compensation Table included in this proxy statement. Based on this methodology, we have determined that the total annual compensation paid to our Chief Executive Officer in 2023 was $8,941,820 and the total annual compensation paid to our median paid employee in 2023 was $135,358 resulting in a ratio of 66:1.</w:t>
      </w:r>
    </w:p>
    <w:p>
      <w:pPr>
        <w:spacing w:after="0" w:line="174" w:lineRule="exact"/>
        <w:rPr>
          <w:sz w:val="20"/>
          <w:szCs w:val="20"/>
          <w:color w:val="auto"/>
        </w:rPr>
      </w:pPr>
    </w:p>
    <w:p>
      <w:pPr>
        <w:jc w:val="both"/>
        <w:ind w:left="120"/>
        <w:spacing w:after="0" w:line="244" w:lineRule="auto"/>
        <w:rPr>
          <w:sz w:val="20"/>
          <w:szCs w:val="20"/>
          <w:color w:val="auto"/>
        </w:rPr>
      </w:pPr>
      <w:r>
        <w:rPr>
          <w:rFonts w:ascii="Arial" w:cs="Arial" w:eastAsia="Arial" w:hAnsi="Arial"/>
          <w:sz w:val="18"/>
          <w:szCs w:val="18"/>
          <w:color w:val="auto"/>
        </w:rPr>
        <w:t>We calculated our pay ratio in accordance with SEC rules; however, those rules allow companies discretion in methodologies used to identify the median paid employee and the compensation used to determine the median paid employee. As a result, this ratio is unique to our Company. Other companies may make their determinations differently so that the ratio may not be comparable across companies. We believe our ratio is a reasonable estimate. Our ratio is very heavily influenced by what employees/services we choose to provide through employees as opposed to through third parties who are not taken into account in the calculation of the pay ratio.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312420</wp:posOffset>
            </wp:positionV>
            <wp:extent cx="7003415" cy="12001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003415" cy="120015"/>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ind w:left="340"/>
        <w:spacing w:after="0"/>
        <w:rPr>
          <w:sz w:val="20"/>
          <w:szCs w:val="20"/>
          <w:color w:val="auto"/>
        </w:rPr>
      </w:pPr>
      <w:r>
        <w:rPr>
          <w:rFonts w:ascii="Arial" w:cs="Arial" w:eastAsia="Arial" w:hAnsi="Arial"/>
          <w:sz w:val="14"/>
          <w:szCs w:val="14"/>
          <w:color w:val="FF160F"/>
        </w:rPr>
        <w:t>Federal Realty</w:t>
      </w:r>
      <w:r>
        <w:rPr>
          <w:rFonts w:ascii="Arial" w:cs="Arial" w:eastAsia="Arial" w:hAnsi="Arial"/>
          <w:sz w:val="14"/>
          <w:szCs w:val="14"/>
          <w:color w:val="000000"/>
        </w:rPr>
        <w:t xml:space="preserve">      2024 Proxy Statement   36</w:t>
      </w:r>
    </w:p>
    <w:p>
      <w:pPr>
        <w:sectPr>
          <w:pgSz w:w="11900" w:h="16838" w:orient="portrait"/>
          <w:cols w:equalWidth="0" w:num="1">
            <w:col w:w="11140"/>
          </w:cols>
          <w:pgMar w:left="320" w:top="482" w:right="4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69" w:lineRule="exact"/>
        <w:rPr>
          <w:sz w:val="20"/>
          <w:szCs w:val="20"/>
          <w:color w:val="auto"/>
        </w:rPr>
      </w:pPr>
    </w:p>
    <w:p>
      <w:pPr>
        <w:ind w:left="120"/>
        <w:spacing w:after="0" w:line="207" w:lineRule="exact"/>
        <w:rPr>
          <w:sz w:val="20"/>
          <w:szCs w:val="20"/>
          <w:color w:val="auto"/>
        </w:rPr>
      </w:pPr>
      <w:r>
        <w:rPr>
          <w:rFonts w:ascii="MS PGothic" w:cs="MS PGothic" w:eastAsia="MS PGothic" w:hAnsi="MS PGothic"/>
          <w:sz w:val="18"/>
          <w:szCs w:val="18"/>
          <w:color w:val="000000"/>
          <w:shd w:val="clear" w:color="auto" w:fill="FF160F"/>
        </w:rPr>
        <w:t>➣</w:t>
      </w:r>
      <w:r>
        <w:rPr>
          <w:rFonts w:ascii="Arial" w:cs="Arial" w:eastAsia="Arial" w:hAnsi="Arial"/>
          <w:sz w:val="18"/>
          <w:szCs w:val="18"/>
          <w:b w:val="1"/>
          <w:bCs w:val="1"/>
          <w:color w:val="FF160F"/>
        </w:rPr>
        <w:t xml:space="preserve">   PAY VERSUS PERFORMANCE DISCLOSURE</w:t>
      </w:r>
    </w:p>
    <w:p>
      <w:pPr>
        <w:spacing w:after="0" w:line="18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860" w:type="dxa"/>
            <w:vAlign w:val="bottom"/>
            <w:shd w:val="clear" w:color="auto" w:fill="FF160F"/>
          </w:tcPr>
          <w:p>
            <w:pPr>
              <w:spacing w:after="0"/>
              <w:rPr>
                <w:sz w:val="14"/>
                <w:szCs w:val="14"/>
                <w:color w:val="auto"/>
              </w:rPr>
            </w:pPr>
          </w:p>
        </w:tc>
        <w:tc>
          <w:tcPr>
            <w:tcW w:w="300" w:type="dxa"/>
            <w:vAlign w:val="bottom"/>
            <w:shd w:val="clear" w:color="auto" w:fill="FF160F"/>
          </w:tcPr>
          <w:p>
            <w:pPr>
              <w:spacing w:after="0"/>
              <w:rPr>
                <w:sz w:val="14"/>
                <w:szCs w:val="14"/>
                <w:color w:val="auto"/>
              </w:rPr>
            </w:pPr>
          </w:p>
        </w:tc>
        <w:tc>
          <w:tcPr>
            <w:tcW w:w="960" w:type="dxa"/>
            <w:vAlign w:val="bottom"/>
            <w:shd w:val="clear" w:color="auto" w:fill="FF160F"/>
          </w:tcPr>
          <w:p>
            <w:pPr>
              <w:spacing w:after="0"/>
              <w:rPr>
                <w:sz w:val="14"/>
                <w:szCs w:val="14"/>
                <w:color w:val="auto"/>
              </w:rPr>
            </w:pPr>
          </w:p>
        </w:tc>
        <w:tc>
          <w:tcPr>
            <w:tcW w:w="300" w:type="dxa"/>
            <w:vAlign w:val="bottom"/>
            <w:shd w:val="clear" w:color="auto" w:fill="FF160F"/>
          </w:tcPr>
          <w:p>
            <w:pPr>
              <w:spacing w:after="0"/>
              <w:rPr>
                <w:sz w:val="14"/>
                <w:szCs w:val="14"/>
                <w:color w:val="auto"/>
              </w:rPr>
            </w:pPr>
          </w:p>
        </w:tc>
        <w:tc>
          <w:tcPr>
            <w:tcW w:w="1020" w:type="dxa"/>
            <w:vAlign w:val="bottom"/>
            <w:shd w:val="clear" w:color="auto" w:fill="FF160F"/>
          </w:tcPr>
          <w:p>
            <w:pPr>
              <w:spacing w:after="0"/>
              <w:rPr>
                <w:sz w:val="14"/>
                <w:szCs w:val="14"/>
                <w:color w:val="auto"/>
              </w:rPr>
            </w:pPr>
          </w:p>
        </w:tc>
        <w:tc>
          <w:tcPr>
            <w:tcW w:w="200" w:type="dxa"/>
            <w:vAlign w:val="bottom"/>
            <w:shd w:val="clear" w:color="auto" w:fill="FF160F"/>
          </w:tcPr>
          <w:p>
            <w:pPr>
              <w:spacing w:after="0"/>
              <w:rPr>
                <w:sz w:val="14"/>
                <w:szCs w:val="14"/>
                <w:color w:val="auto"/>
              </w:rPr>
            </w:pPr>
          </w:p>
        </w:tc>
        <w:tc>
          <w:tcPr>
            <w:tcW w:w="1180" w:type="dxa"/>
            <w:vAlign w:val="bottom"/>
            <w:shd w:val="clear" w:color="auto" w:fill="FF160F"/>
          </w:tcPr>
          <w:p>
            <w:pPr>
              <w:spacing w:after="0"/>
              <w:rPr>
                <w:sz w:val="14"/>
                <w:szCs w:val="14"/>
                <w:color w:val="auto"/>
              </w:rPr>
            </w:pPr>
          </w:p>
        </w:tc>
        <w:tc>
          <w:tcPr>
            <w:tcW w:w="320" w:type="dxa"/>
            <w:vAlign w:val="bottom"/>
            <w:shd w:val="clear" w:color="auto" w:fill="FF160F"/>
          </w:tcPr>
          <w:p>
            <w:pPr>
              <w:spacing w:after="0"/>
              <w:rPr>
                <w:sz w:val="14"/>
                <w:szCs w:val="14"/>
                <w:color w:val="auto"/>
              </w:rPr>
            </w:pPr>
          </w:p>
        </w:tc>
        <w:tc>
          <w:tcPr>
            <w:tcW w:w="1080" w:type="dxa"/>
            <w:vAlign w:val="bottom"/>
            <w:shd w:val="clear" w:color="auto" w:fill="FF160F"/>
          </w:tcPr>
          <w:p>
            <w:pPr>
              <w:spacing w:after="0"/>
              <w:rPr>
                <w:sz w:val="14"/>
                <w:szCs w:val="14"/>
                <w:color w:val="auto"/>
              </w:rPr>
            </w:pPr>
          </w:p>
        </w:tc>
        <w:tc>
          <w:tcPr>
            <w:tcW w:w="200" w:type="dxa"/>
            <w:vAlign w:val="bottom"/>
            <w:shd w:val="clear" w:color="auto" w:fill="FF160F"/>
          </w:tcPr>
          <w:p>
            <w:pPr>
              <w:spacing w:after="0"/>
              <w:rPr>
                <w:sz w:val="14"/>
                <w:szCs w:val="14"/>
                <w:color w:val="auto"/>
              </w:rPr>
            </w:pPr>
          </w:p>
        </w:tc>
        <w:tc>
          <w:tcPr>
            <w:tcW w:w="1960" w:type="dxa"/>
            <w:vAlign w:val="bottom"/>
            <w:gridSpan w:val="3"/>
            <w:shd w:val="clear" w:color="auto" w:fill="FF160F"/>
          </w:tcPr>
          <w:p>
            <w:pPr>
              <w:jc w:val="right"/>
              <w:ind w:right="142"/>
              <w:spacing w:after="0"/>
              <w:rPr>
                <w:sz w:val="20"/>
                <w:szCs w:val="20"/>
                <w:color w:val="auto"/>
              </w:rPr>
            </w:pPr>
            <w:r>
              <w:rPr>
                <w:rFonts w:ascii="Arial" w:cs="Arial" w:eastAsia="Arial" w:hAnsi="Arial"/>
                <w:sz w:val="14"/>
                <w:szCs w:val="14"/>
                <w:b w:val="1"/>
                <w:bCs w:val="1"/>
                <w:color w:val="FFFFFF"/>
              </w:rPr>
              <w:t>Value of Initial Fixed $100</w:t>
            </w:r>
          </w:p>
        </w:tc>
        <w:tc>
          <w:tcPr>
            <w:tcW w:w="900" w:type="dxa"/>
            <w:vAlign w:val="bottom"/>
            <w:shd w:val="clear" w:color="auto" w:fill="FF160F"/>
          </w:tcPr>
          <w:p>
            <w:pPr>
              <w:spacing w:after="0"/>
              <w:rPr>
                <w:sz w:val="14"/>
                <w:szCs w:val="14"/>
                <w:color w:val="auto"/>
              </w:rPr>
            </w:pPr>
          </w:p>
        </w:tc>
        <w:tc>
          <w:tcPr>
            <w:tcW w:w="280" w:type="dxa"/>
            <w:vAlign w:val="bottom"/>
            <w:shd w:val="clear" w:color="auto" w:fill="FF160F"/>
          </w:tcPr>
          <w:p>
            <w:pPr>
              <w:spacing w:after="0"/>
              <w:rPr>
                <w:sz w:val="14"/>
                <w:szCs w:val="14"/>
                <w:color w:val="auto"/>
              </w:rPr>
            </w:pPr>
          </w:p>
        </w:tc>
        <w:tc>
          <w:tcPr>
            <w:tcW w:w="460" w:type="dxa"/>
            <w:vAlign w:val="bottom"/>
            <w:shd w:val="clear" w:color="auto" w:fill="FF160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860" w:type="dxa"/>
            <w:vAlign w:val="bottom"/>
            <w:shd w:val="clear" w:color="auto" w:fill="FF160F"/>
          </w:tcPr>
          <w:p>
            <w:pPr>
              <w:spacing w:after="0"/>
              <w:rPr>
                <w:sz w:val="14"/>
                <w:szCs w:val="14"/>
                <w:color w:val="auto"/>
              </w:rPr>
            </w:pPr>
          </w:p>
        </w:tc>
        <w:tc>
          <w:tcPr>
            <w:tcW w:w="300" w:type="dxa"/>
            <w:vAlign w:val="bottom"/>
            <w:shd w:val="clear" w:color="auto" w:fill="FF160F"/>
          </w:tcPr>
          <w:p>
            <w:pPr>
              <w:spacing w:after="0"/>
              <w:rPr>
                <w:sz w:val="14"/>
                <w:szCs w:val="14"/>
                <w:color w:val="auto"/>
              </w:rPr>
            </w:pPr>
          </w:p>
        </w:tc>
        <w:tc>
          <w:tcPr>
            <w:tcW w:w="960" w:type="dxa"/>
            <w:vAlign w:val="bottom"/>
            <w:shd w:val="clear" w:color="auto" w:fill="FF160F"/>
          </w:tcPr>
          <w:p>
            <w:pPr>
              <w:spacing w:after="0"/>
              <w:rPr>
                <w:sz w:val="14"/>
                <w:szCs w:val="14"/>
                <w:color w:val="auto"/>
              </w:rPr>
            </w:pPr>
          </w:p>
        </w:tc>
        <w:tc>
          <w:tcPr>
            <w:tcW w:w="300" w:type="dxa"/>
            <w:vAlign w:val="bottom"/>
            <w:shd w:val="clear" w:color="auto" w:fill="FF160F"/>
          </w:tcPr>
          <w:p>
            <w:pPr>
              <w:spacing w:after="0"/>
              <w:rPr>
                <w:sz w:val="14"/>
                <w:szCs w:val="14"/>
                <w:color w:val="auto"/>
              </w:rPr>
            </w:pPr>
          </w:p>
        </w:tc>
        <w:tc>
          <w:tcPr>
            <w:tcW w:w="1020" w:type="dxa"/>
            <w:vAlign w:val="bottom"/>
            <w:shd w:val="clear" w:color="auto" w:fill="FF160F"/>
          </w:tcPr>
          <w:p>
            <w:pPr>
              <w:spacing w:after="0"/>
              <w:rPr>
                <w:sz w:val="14"/>
                <w:szCs w:val="14"/>
                <w:color w:val="auto"/>
              </w:rPr>
            </w:pPr>
          </w:p>
        </w:tc>
        <w:tc>
          <w:tcPr>
            <w:tcW w:w="200" w:type="dxa"/>
            <w:vAlign w:val="bottom"/>
            <w:shd w:val="clear" w:color="auto" w:fill="FF160F"/>
          </w:tcPr>
          <w:p>
            <w:pPr>
              <w:spacing w:after="0"/>
              <w:rPr>
                <w:sz w:val="14"/>
                <w:szCs w:val="14"/>
                <w:color w:val="auto"/>
              </w:rPr>
            </w:pPr>
          </w:p>
        </w:tc>
        <w:tc>
          <w:tcPr>
            <w:tcW w:w="1180" w:type="dxa"/>
            <w:vAlign w:val="bottom"/>
            <w:vMerge w:val="restart"/>
            <w:shd w:val="clear" w:color="auto" w:fill="FF160F"/>
          </w:tcPr>
          <w:p>
            <w:pPr>
              <w:jc w:val="center"/>
              <w:ind w:right="144"/>
              <w:spacing w:after="0"/>
              <w:rPr>
                <w:sz w:val="20"/>
                <w:szCs w:val="20"/>
                <w:color w:val="auto"/>
              </w:rPr>
            </w:pPr>
            <w:r>
              <w:rPr>
                <w:rFonts w:ascii="Arial" w:cs="Arial" w:eastAsia="Arial" w:hAnsi="Arial"/>
                <w:sz w:val="14"/>
                <w:szCs w:val="14"/>
                <w:b w:val="1"/>
                <w:bCs w:val="1"/>
                <w:color w:val="FFFFFF"/>
              </w:rPr>
              <w:t>Average</w:t>
            </w:r>
          </w:p>
        </w:tc>
        <w:tc>
          <w:tcPr>
            <w:tcW w:w="320" w:type="dxa"/>
            <w:vAlign w:val="bottom"/>
            <w:shd w:val="clear" w:color="auto" w:fill="FF160F"/>
          </w:tcPr>
          <w:p>
            <w:pPr>
              <w:spacing w:after="0"/>
              <w:rPr>
                <w:sz w:val="14"/>
                <w:szCs w:val="14"/>
                <w:color w:val="auto"/>
              </w:rPr>
            </w:pPr>
          </w:p>
        </w:tc>
        <w:tc>
          <w:tcPr>
            <w:tcW w:w="1080" w:type="dxa"/>
            <w:vAlign w:val="bottom"/>
            <w:shd w:val="clear" w:color="auto" w:fill="FF160F"/>
          </w:tcPr>
          <w:p>
            <w:pPr>
              <w:spacing w:after="0"/>
              <w:rPr>
                <w:sz w:val="14"/>
                <w:szCs w:val="14"/>
                <w:color w:val="auto"/>
              </w:rPr>
            </w:pPr>
          </w:p>
        </w:tc>
        <w:tc>
          <w:tcPr>
            <w:tcW w:w="200" w:type="dxa"/>
            <w:vAlign w:val="bottom"/>
            <w:shd w:val="clear" w:color="auto" w:fill="FF160F"/>
          </w:tcPr>
          <w:p>
            <w:pPr>
              <w:spacing w:after="0"/>
              <w:rPr>
                <w:sz w:val="14"/>
                <w:szCs w:val="14"/>
                <w:color w:val="auto"/>
              </w:rPr>
            </w:pPr>
          </w:p>
        </w:tc>
        <w:tc>
          <w:tcPr>
            <w:tcW w:w="1960" w:type="dxa"/>
            <w:vAlign w:val="bottom"/>
            <w:gridSpan w:val="3"/>
            <w:shd w:val="clear" w:color="auto" w:fill="FF160F"/>
          </w:tcPr>
          <w:p>
            <w:pPr>
              <w:jc w:val="right"/>
              <w:ind w:right="242"/>
              <w:spacing w:after="0"/>
              <w:rPr>
                <w:sz w:val="20"/>
                <w:szCs w:val="20"/>
                <w:color w:val="auto"/>
              </w:rPr>
            </w:pPr>
            <w:r>
              <w:rPr>
                <w:rFonts w:ascii="Arial" w:cs="Arial" w:eastAsia="Arial" w:hAnsi="Arial"/>
                <w:sz w:val="14"/>
                <w:szCs w:val="14"/>
                <w:b w:val="1"/>
                <w:bCs w:val="1"/>
                <w:color w:val="FFFFFF"/>
              </w:rPr>
              <w:t>Investment Based On:</w:t>
            </w:r>
          </w:p>
        </w:tc>
        <w:tc>
          <w:tcPr>
            <w:tcW w:w="900" w:type="dxa"/>
            <w:vAlign w:val="bottom"/>
            <w:shd w:val="clear" w:color="auto" w:fill="FF160F"/>
          </w:tcPr>
          <w:p>
            <w:pPr>
              <w:spacing w:after="0"/>
              <w:rPr>
                <w:sz w:val="14"/>
                <w:szCs w:val="14"/>
                <w:color w:val="auto"/>
              </w:rPr>
            </w:pPr>
          </w:p>
        </w:tc>
        <w:tc>
          <w:tcPr>
            <w:tcW w:w="280" w:type="dxa"/>
            <w:vAlign w:val="bottom"/>
            <w:shd w:val="clear" w:color="auto" w:fill="FF160F"/>
          </w:tcPr>
          <w:p>
            <w:pPr>
              <w:spacing w:after="0"/>
              <w:rPr>
                <w:sz w:val="14"/>
                <w:szCs w:val="14"/>
                <w:color w:val="auto"/>
              </w:rPr>
            </w:pPr>
          </w:p>
        </w:tc>
        <w:tc>
          <w:tcPr>
            <w:tcW w:w="460" w:type="dxa"/>
            <w:vAlign w:val="bottom"/>
            <w:shd w:val="clear" w:color="auto" w:fill="FF160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860" w:type="dxa"/>
            <w:vAlign w:val="bottom"/>
            <w:shd w:val="clear" w:color="auto" w:fill="FF160F"/>
          </w:tcPr>
          <w:p>
            <w:pPr>
              <w:spacing w:after="0"/>
              <w:rPr>
                <w:sz w:val="13"/>
                <w:szCs w:val="13"/>
                <w:color w:val="auto"/>
              </w:rPr>
            </w:pPr>
          </w:p>
        </w:tc>
        <w:tc>
          <w:tcPr>
            <w:tcW w:w="300" w:type="dxa"/>
            <w:vAlign w:val="bottom"/>
            <w:shd w:val="clear" w:color="auto" w:fill="FF160F"/>
          </w:tcPr>
          <w:p>
            <w:pPr>
              <w:spacing w:after="0"/>
              <w:rPr>
                <w:sz w:val="13"/>
                <w:szCs w:val="13"/>
                <w:color w:val="auto"/>
              </w:rPr>
            </w:pPr>
          </w:p>
        </w:tc>
        <w:tc>
          <w:tcPr>
            <w:tcW w:w="960" w:type="dxa"/>
            <w:vAlign w:val="bottom"/>
            <w:shd w:val="clear" w:color="auto" w:fill="FF160F"/>
          </w:tcPr>
          <w:p>
            <w:pPr>
              <w:spacing w:after="0"/>
              <w:rPr>
                <w:sz w:val="13"/>
                <w:szCs w:val="13"/>
                <w:color w:val="auto"/>
              </w:rPr>
            </w:pPr>
          </w:p>
        </w:tc>
        <w:tc>
          <w:tcPr>
            <w:tcW w:w="300" w:type="dxa"/>
            <w:vAlign w:val="bottom"/>
            <w:shd w:val="clear" w:color="auto" w:fill="FF160F"/>
          </w:tcPr>
          <w:p>
            <w:pPr>
              <w:spacing w:after="0"/>
              <w:rPr>
                <w:sz w:val="13"/>
                <w:szCs w:val="13"/>
                <w:color w:val="auto"/>
              </w:rPr>
            </w:pPr>
          </w:p>
        </w:tc>
        <w:tc>
          <w:tcPr>
            <w:tcW w:w="1020" w:type="dxa"/>
            <w:vAlign w:val="bottom"/>
            <w:shd w:val="clear" w:color="auto" w:fill="FF160F"/>
          </w:tcPr>
          <w:p>
            <w:pPr>
              <w:spacing w:after="0"/>
              <w:rPr>
                <w:sz w:val="13"/>
                <w:szCs w:val="13"/>
                <w:color w:val="auto"/>
              </w:rPr>
            </w:pPr>
          </w:p>
        </w:tc>
        <w:tc>
          <w:tcPr>
            <w:tcW w:w="200" w:type="dxa"/>
            <w:vAlign w:val="bottom"/>
            <w:shd w:val="clear" w:color="auto" w:fill="FF160F"/>
          </w:tcPr>
          <w:p>
            <w:pPr>
              <w:spacing w:after="0"/>
              <w:rPr>
                <w:sz w:val="13"/>
                <w:szCs w:val="13"/>
                <w:color w:val="auto"/>
              </w:rPr>
            </w:pPr>
          </w:p>
        </w:tc>
        <w:tc>
          <w:tcPr>
            <w:tcW w:w="1180" w:type="dxa"/>
            <w:vAlign w:val="bottom"/>
            <w:vMerge w:val="continue"/>
            <w:shd w:val="clear" w:color="auto" w:fill="FF160F"/>
          </w:tcPr>
          <w:p>
            <w:pPr>
              <w:spacing w:after="0"/>
              <w:rPr>
                <w:sz w:val="13"/>
                <w:szCs w:val="13"/>
                <w:color w:val="auto"/>
              </w:rPr>
            </w:pPr>
          </w:p>
        </w:tc>
        <w:tc>
          <w:tcPr>
            <w:tcW w:w="320" w:type="dxa"/>
            <w:vAlign w:val="bottom"/>
            <w:shd w:val="clear" w:color="auto" w:fill="FF160F"/>
          </w:tcPr>
          <w:p>
            <w:pPr>
              <w:spacing w:after="0"/>
              <w:rPr>
                <w:sz w:val="13"/>
                <w:szCs w:val="13"/>
                <w:color w:val="auto"/>
              </w:rPr>
            </w:pPr>
          </w:p>
        </w:tc>
        <w:tc>
          <w:tcPr>
            <w:tcW w:w="1080" w:type="dxa"/>
            <w:vAlign w:val="bottom"/>
            <w:shd w:val="clear" w:color="auto" w:fill="FF160F"/>
          </w:tcPr>
          <w:p>
            <w:pPr>
              <w:spacing w:after="0"/>
              <w:rPr>
                <w:sz w:val="13"/>
                <w:szCs w:val="13"/>
                <w:color w:val="auto"/>
              </w:rPr>
            </w:pPr>
          </w:p>
        </w:tc>
        <w:tc>
          <w:tcPr>
            <w:tcW w:w="200" w:type="dxa"/>
            <w:vAlign w:val="bottom"/>
            <w:shd w:val="clear" w:color="auto" w:fill="FF160F"/>
          </w:tcPr>
          <w:p>
            <w:pPr>
              <w:spacing w:after="0"/>
              <w:rPr>
                <w:sz w:val="13"/>
                <w:szCs w:val="13"/>
                <w:color w:val="auto"/>
              </w:rPr>
            </w:pPr>
          </w:p>
        </w:tc>
        <w:tc>
          <w:tcPr>
            <w:tcW w:w="880" w:type="dxa"/>
            <w:vAlign w:val="bottom"/>
            <w:shd w:val="clear" w:color="auto" w:fill="FF160F"/>
          </w:tcPr>
          <w:p>
            <w:pPr>
              <w:spacing w:after="0"/>
              <w:rPr>
                <w:sz w:val="13"/>
                <w:szCs w:val="13"/>
                <w:color w:val="auto"/>
              </w:rPr>
            </w:pPr>
          </w:p>
        </w:tc>
        <w:tc>
          <w:tcPr>
            <w:tcW w:w="220" w:type="dxa"/>
            <w:vAlign w:val="bottom"/>
            <w:shd w:val="clear" w:color="auto" w:fill="FF160F"/>
          </w:tcPr>
          <w:p>
            <w:pPr>
              <w:spacing w:after="0"/>
              <w:rPr>
                <w:sz w:val="13"/>
                <w:szCs w:val="13"/>
                <w:color w:val="auto"/>
              </w:rPr>
            </w:pPr>
          </w:p>
        </w:tc>
        <w:tc>
          <w:tcPr>
            <w:tcW w:w="860" w:type="dxa"/>
            <w:vAlign w:val="bottom"/>
            <w:shd w:val="clear" w:color="auto" w:fill="FF160F"/>
          </w:tcPr>
          <w:p>
            <w:pPr>
              <w:spacing w:after="0"/>
              <w:rPr>
                <w:sz w:val="13"/>
                <w:szCs w:val="13"/>
                <w:color w:val="auto"/>
              </w:rPr>
            </w:pPr>
          </w:p>
        </w:tc>
        <w:tc>
          <w:tcPr>
            <w:tcW w:w="900" w:type="dxa"/>
            <w:vAlign w:val="bottom"/>
            <w:shd w:val="clear" w:color="auto" w:fill="FF160F"/>
          </w:tcPr>
          <w:p>
            <w:pPr>
              <w:spacing w:after="0"/>
              <w:rPr>
                <w:sz w:val="13"/>
                <w:szCs w:val="13"/>
                <w:color w:val="auto"/>
              </w:rPr>
            </w:pPr>
          </w:p>
        </w:tc>
        <w:tc>
          <w:tcPr>
            <w:tcW w:w="280" w:type="dxa"/>
            <w:vAlign w:val="bottom"/>
            <w:shd w:val="clear" w:color="auto" w:fill="FF160F"/>
          </w:tcPr>
          <w:p>
            <w:pPr>
              <w:spacing w:after="0"/>
              <w:rPr>
                <w:sz w:val="13"/>
                <w:szCs w:val="13"/>
                <w:color w:val="auto"/>
              </w:rPr>
            </w:pPr>
          </w:p>
        </w:tc>
        <w:tc>
          <w:tcPr>
            <w:tcW w:w="460" w:type="dxa"/>
            <w:vAlign w:val="bottom"/>
            <w:shd w:val="clear" w:color="auto" w:fill="FF160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860" w:type="dxa"/>
            <w:vAlign w:val="bottom"/>
            <w:shd w:val="clear" w:color="auto" w:fill="FF160F"/>
          </w:tcPr>
          <w:p>
            <w:pPr>
              <w:spacing w:after="0"/>
              <w:rPr>
                <w:sz w:val="14"/>
                <w:szCs w:val="14"/>
                <w:color w:val="auto"/>
              </w:rPr>
            </w:pPr>
          </w:p>
        </w:tc>
        <w:tc>
          <w:tcPr>
            <w:tcW w:w="300" w:type="dxa"/>
            <w:vAlign w:val="bottom"/>
            <w:shd w:val="clear" w:color="auto" w:fill="FF160F"/>
          </w:tcPr>
          <w:p>
            <w:pPr>
              <w:spacing w:after="0"/>
              <w:rPr>
                <w:sz w:val="14"/>
                <w:szCs w:val="14"/>
                <w:color w:val="auto"/>
              </w:rPr>
            </w:pPr>
          </w:p>
        </w:tc>
        <w:tc>
          <w:tcPr>
            <w:tcW w:w="960" w:type="dxa"/>
            <w:vAlign w:val="bottom"/>
            <w:shd w:val="clear" w:color="auto" w:fill="FF160F"/>
          </w:tcPr>
          <w:p>
            <w:pPr>
              <w:jc w:val="center"/>
              <w:ind w:right="162"/>
              <w:spacing w:after="0"/>
              <w:rPr>
                <w:sz w:val="20"/>
                <w:szCs w:val="20"/>
                <w:color w:val="auto"/>
              </w:rPr>
            </w:pPr>
            <w:r>
              <w:rPr>
                <w:rFonts w:ascii="Arial" w:cs="Arial" w:eastAsia="Arial" w:hAnsi="Arial"/>
                <w:sz w:val="14"/>
                <w:szCs w:val="14"/>
                <w:b w:val="1"/>
                <w:bCs w:val="1"/>
                <w:color w:val="FFFFFF"/>
              </w:rPr>
              <w:t>Summary</w:t>
            </w:r>
          </w:p>
        </w:tc>
        <w:tc>
          <w:tcPr>
            <w:tcW w:w="300" w:type="dxa"/>
            <w:vAlign w:val="bottom"/>
            <w:shd w:val="clear" w:color="auto" w:fill="FF160F"/>
          </w:tcPr>
          <w:p>
            <w:pPr>
              <w:spacing w:after="0"/>
              <w:rPr>
                <w:sz w:val="14"/>
                <w:szCs w:val="14"/>
                <w:color w:val="auto"/>
              </w:rPr>
            </w:pPr>
          </w:p>
        </w:tc>
        <w:tc>
          <w:tcPr>
            <w:tcW w:w="1020" w:type="dxa"/>
            <w:vAlign w:val="bottom"/>
            <w:shd w:val="clear" w:color="auto" w:fill="FF160F"/>
          </w:tcPr>
          <w:p>
            <w:pPr>
              <w:spacing w:after="0"/>
              <w:rPr>
                <w:sz w:val="14"/>
                <w:szCs w:val="14"/>
                <w:color w:val="auto"/>
              </w:rPr>
            </w:pPr>
          </w:p>
        </w:tc>
        <w:tc>
          <w:tcPr>
            <w:tcW w:w="200" w:type="dxa"/>
            <w:vAlign w:val="bottom"/>
            <w:shd w:val="clear" w:color="auto" w:fill="FF160F"/>
          </w:tcPr>
          <w:p>
            <w:pPr>
              <w:spacing w:after="0"/>
              <w:rPr>
                <w:sz w:val="14"/>
                <w:szCs w:val="14"/>
                <w:color w:val="auto"/>
              </w:rPr>
            </w:pPr>
          </w:p>
        </w:tc>
        <w:tc>
          <w:tcPr>
            <w:tcW w:w="1180" w:type="dxa"/>
            <w:vAlign w:val="bottom"/>
            <w:shd w:val="clear" w:color="auto" w:fill="FF160F"/>
          </w:tcPr>
          <w:p>
            <w:pPr>
              <w:jc w:val="center"/>
              <w:ind w:right="124"/>
              <w:spacing w:after="0"/>
              <w:rPr>
                <w:sz w:val="20"/>
                <w:szCs w:val="20"/>
                <w:color w:val="auto"/>
              </w:rPr>
            </w:pPr>
            <w:r>
              <w:rPr>
                <w:rFonts w:ascii="Arial" w:cs="Arial" w:eastAsia="Arial" w:hAnsi="Arial"/>
                <w:sz w:val="14"/>
                <w:szCs w:val="14"/>
                <w:b w:val="1"/>
                <w:bCs w:val="1"/>
                <w:color w:val="FFFFFF"/>
              </w:rPr>
              <w:t>Summary</w:t>
            </w:r>
          </w:p>
        </w:tc>
        <w:tc>
          <w:tcPr>
            <w:tcW w:w="320" w:type="dxa"/>
            <w:vAlign w:val="bottom"/>
            <w:shd w:val="clear" w:color="auto" w:fill="FF160F"/>
          </w:tcPr>
          <w:p>
            <w:pPr>
              <w:spacing w:after="0"/>
              <w:rPr>
                <w:sz w:val="14"/>
                <w:szCs w:val="14"/>
                <w:color w:val="auto"/>
              </w:rPr>
            </w:pPr>
          </w:p>
        </w:tc>
        <w:tc>
          <w:tcPr>
            <w:tcW w:w="1080" w:type="dxa"/>
            <w:vAlign w:val="bottom"/>
            <w:shd w:val="clear" w:color="auto" w:fill="FF160F"/>
          </w:tcPr>
          <w:p>
            <w:pPr>
              <w:jc w:val="center"/>
              <w:ind w:right="241"/>
              <w:spacing w:after="0"/>
              <w:rPr>
                <w:sz w:val="20"/>
                <w:szCs w:val="20"/>
                <w:color w:val="auto"/>
              </w:rPr>
            </w:pPr>
            <w:r>
              <w:rPr>
                <w:rFonts w:ascii="Arial" w:cs="Arial" w:eastAsia="Arial" w:hAnsi="Arial"/>
                <w:sz w:val="14"/>
                <w:szCs w:val="14"/>
                <w:b w:val="1"/>
                <w:bCs w:val="1"/>
                <w:color w:val="FFFFFF"/>
              </w:rPr>
              <w:t>Average</w:t>
            </w:r>
          </w:p>
        </w:tc>
        <w:tc>
          <w:tcPr>
            <w:tcW w:w="200" w:type="dxa"/>
            <w:vAlign w:val="bottom"/>
            <w:shd w:val="clear" w:color="auto" w:fill="FF160F"/>
          </w:tcPr>
          <w:p>
            <w:pPr>
              <w:spacing w:after="0"/>
              <w:rPr>
                <w:sz w:val="14"/>
                <w:szCs w:val="14"/>
                <w:color w:val="auto"/>
              </w:rPr>
            </w:pPr>
          </w:p>
        </w:tc>
        <w:tc>
          <w:tcPr>
            <w:tcW w:w="880" w:type="dxa"/>
            <w:vAlign w:val="bottom"/>
            <w:shd w:val="clear" w:color="auto" w:fill="FF160F"/>
          </w:tcPr>
          <w:p>
            <w:pPr>
              <w:spacing w:after="0"/>
              <w:rPr>
                <w:sz w:val="14"/>
                <w:szCs w:val="14"/>
                <w:color w:val="auto"/>
              </w:rPr>
            </w:pPr>
          </w:p>
        </w:tc>
        <w:tc>
          <w:tcPr>
            <w:tcW w:w="1080" w:type="dxa"/>
            <w:vAlign w:val="bottom"/>
            <w:gridSpan w:val="2"/>
            <w:shd w:val="clear" w:color="auto" w:fill="FF160F"/>
          </w:tcPr>
          <w:p>
            <w:pPr>
              <w:jc w:val="center"/>
              <w:spacing w:after="0"/>
              <w:rPr>
                <w:sz w:val="20"/>
                <w:szCs w:val="20"/>
                <w:color w:val="auto"/>
              </w:rPr>
            </w:pPr>
            <w:r>
              <w:rPr>
                <w:rFonts w:ascii="Arial" w:cs="Arial" w:eastAsia="Arial" w:hAnsi="Arial"/>
                <w:sz w:val="14"/>
                <w:szCs w:val="14"/>
                <w:b w:val="1"/>
                <w:bCs w:val="1"/>
                <w:color w:val="FFFFFF"/>
              </w:rPr>
              <w:t>Peer Group</w:t>
            </w:r>
          </w:p>
        </w:tc>
        <w:tc>
          <w:tcPr>
            <w:tcW w:w="900" w:type="dxa"/>
            <w:vAlign w:val="bottom"/>
            <w:shd w:val="clear" w:color="auto" w:fill="FF160F"/>
          </w:tcPr>
          <w:p>
            <w:pPr>
              <w:spacing w:after="0"/>
              <w:rPr>
                <w:sz w:val="14"/>
                <w:szCs w:val="14"/>
                <w:color w:val="auto"/>
              </w:rPr>
            </w:pPr>
          </w:p>
        </w:tc>
        <w:tc>
          <w:tcPr>
            <w:tcW w:w="280" w:type="dxa"/>
            <w:vAlign w:val="bottom"/>
            <w:shd w:val="clear" w:color="auto" w:fill="FF160F"/>
          </w:tcPr>
          <w:p>
            <w:pPr>
              <w:spacing w:after="0"/>
              <w:rPr>
                <w:sz w:val="14"/>
                <w:szCs w:val="14"/>
                <w:color w:val="auto"/>
              </w:rPr>
            </w:pPr>
          </w:p>
        </w:tc>
        <w:tc>
          <w:tcPr>
            <w:tcW w:w="460" w:type="dxa"/>
            <w:vAlign w:val="bottom"/>
            <w:shd w:val="clear" w:color="auto" w:fill="FF160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60" w:type="dxa"/>
            <w:vAlign w:val="bottom"/>
            <w:shd w:val="clear" w:color="auto" w:fill="FF160F"/>
          </w:tcPr>
          <w:p>
            <w:pPr>
              <w:spacing w:after="0"/>
              <w:rPr>
                <w:sz w:val="14"/>
                <w:szCs w:val="14"/>
                <w:color w:val="auto"/>
              </w:rPr>
            </w:pPr>
          </w:p>
        </w:tc>
        <w:tc>
          <w:tcPr>
            <w:tcW w:w="1260" w:type="dxa"/>
            <w:vAlign w:val="bottom"/>
            <w:gridSpan w:val="2"/>
            <w:shd w:val="clear" w:color="auto" w:fill="FF160F"/>
          </w:tcPr>
          <w:p>
            <w:pPr>
              <w:jc w:val="center"/>
              <w:spacing w:after="0"/>
              <w:rPr>
                <w:sz w:val="20"/>
                <w:szCs w:val="20"/>
                <w:color w:val="auto"/>
              </w:rPr>
            </w:pPr>
            <w:r>
              <w:rPr>
                <w:rFonts w:ascii="Arial" w:cs="Arial" w:eastAsia="Arial" w:hAnsi="Arial"/>
                <w:sz w:val="14"/>
                <w:szCs w:val="14"/>
                <w:b w:val="1"/>
                <w:bCs w:val="1"/>
                <w:color w:val="FFFFFF"/>
              </w:rPr>
              <w:t>Compenstion</w:t>
            </w:r>
          </w:p>
        </w:tc>
        <w:tc>
          <w:tcPr>
            <w:tcW w:w="1320" w:type="dxa"/>
            <w:vAlign w:val="bottom"/>
            <w:gridSpan w:val="2"/>
            <w:shd w:val="clear" w:color="auto" w:fill="FF160F"/>
          </w:tcPr>
          <w:p>
            <w:pPr>
              <w:ind w:left="160"/>
              <w:spacing w:after="0"/>
              <w:rPr>
                <w:sz w:val="20"/>
                <w:szCs w:val="20"/>
                <w:color w:val="auto"/>
              </w:rPr>
            </w:pPr>
            <w:r>
              <w:rPr>
                <w:rFonts w:ascii="Arial" w:cs="Arial" w:eastAsia="Arial" w:hAnsi="Arial"/>
                <w:sz w:val="14"/>
                <w:szCs w:val="14"/>
                <w:b w:val="1"/>
                <w:bCs w:val="1"/>
                <w:color w:val="FFFFFF"/>
              </w:rPr>
              <w:t>Compensation</w:t>
            </w:r>
          </w:p>
        </w:tc>
        <w:tc>
          <w:tcPr>
            <w:tcW w:w="200" w:type="dxa"/>
            <w:vAlign w:val="bottom"/>
            <w:shd w:val="clear" w:color="auto" w:fill="FF160F"/>
          </w:tcPr>
          <w:p>
            <w:pPr>
              <w:spacing w:after="0"/>
              <w:rPr>
                <w:sz w:val="14"/>
                <w:szCs w:val="14"/>
                <w:color w:val="auto"/>
              </w:rPr>
            </w:pPr>
          </w:p>
        </w:tc>
        <w:tc>
          <w:tcPr>
            <w:tcW w:w="1180" w:type="dxa"/>
            <w:vAlign w:val="bottom"/>
            <w:shd w:val="clear" w:color="auto" w:fill="FF160F"/>
          </w:tcPr>
          <w:p>
            <w:pPr>
              <w:jc w:val="center"/>
              <w:ind w:right="144"/>
              <w:spacing w:after="0"/>
              <w:rPr>
                <w:sz w:val="20"/>
                <w:szCs w:val="20"/>
                <w:color w:val="auto"/>
              </w:rPr>
            </w:pPr>
            <w:r>
              <w:rPr>
                <w:rFonts w:ascii="Arial" w:cs="Arial" w:eastAsia="Arial" w:hAnsi="Arial"/>
                <w:sz w:val="14"/>
                <w:szCs w:val="14"/>
                <w:b w:val="1"/>
                <w:bCs w:val="1"/>
                <w:color w:val="FFFFFF"/>
              </w:rPr>
              <w:t>Compenstion</w:t>
            </w:r>
          </w:p>
        </w:tc>
        <w:tc>
          <w:tcPr>
            <w:tcW w:w="1400" w:type="dxa"/>
            <w:vAlign w:val="bottom"/>
            <w:gridSpan w:val="2"/>
            <w:shd w:val="clear" w:color="auto" w:fill="FF160F"/>
          </w:tcPr>
          <w:p>
            <w:pPr>
              <w:jc w:val="center"/>
              <w:spacing w:after="0"/>
              <w:rPr>
                <w:sz w:val="20"/>
                <w:szCs w:val="20"/>
                <w:color w:val="auto"/>
              </w:rPr>
            </w:pPr>
            <w:r>
              <w:rPr>
                <w:rFonts w:ascii="Arial" w:cs="Arial" w:eastAsia="Arial" w:hAnsi="Arial"/>
                <w:sz w:val="14"/>
                <w:szCs w:val="14"/>
                <w:b w:val="1"/>
                <w:bCs w:val="1"/>
                <w:color w:val="FFFFFF"/>
              </w:rPr>
              <w:t>Compensation</w:t>
            </w:r>
          </w:p>
        </w:tc>
        <w:tc>
          <w:tcPr>
            <w:tcW w:w="200" w:type="dxa"/>
            <w:vAlign w:val="bottom"/>
            <w:shd w:val="clear" w:color="auto" w:fill="FF160F"/>
          </w:tcPr>
          <w:p>
            <w:pPr>
              <w:spacing w:after="0"/>
              <w:rPr>
                <w:sz w:val="14"/>
                <w:szCs w:val="14"/>
                <w:color w:val="auto"/>
              </w:rPr>
            </w:pPr>
          </w:p>
        </w:tc>
        <w:tc>
          <w:tcPr>
            <w:tcW w:w="880" w:type="dxa"/>
            <w:vAlign w:val="bottom"/>
            <w:shd w:val="clear" w:color="auto" w:fill="FF160F"/>
          </w:tcPr>
          <w:p>
            <w:pPr>
              <w:jc w:val="right"/>
              <w:ind w:right="304"/>
              <w:spacing w:after="0"/>
              <w:rPr>
                <w:sz w:val="20"/>
                <w:szCs w:val="20"/>
                <w:color w:val="auto"/>
              </w:rPr>
            </w:pPr>
            <w:r>
              <w:rPr>
                <w:rFonts w:ascii="Arial" w:cs="Arial" w:eastAsia="Arial" w:hAnsi="Arial"/>
                <w:sz w:val="14"/>
                <w:szCs w:val="14"/>
                <w:b w:val="1"/>
                <w:bCs w:val="1"/>
                <w:color w:val="FFFFFF"/>
              </w:rPr>
              <w:t>Total</w:t>
            </w:r>
          </w:p>
        </w:tc>
        <w:tc>
          <w:tcPr>
            <w:tcW w:w="220" w:type="dxa"/>
            <w:vAlign w:val="bottom"/>
            <w:shd w:val="clear" w:color="auto" w:fill="FF160F"/>
          </w:tcPr>
          <w:p>
            <w:pPr>
              <w:spacing w:after="0"/>
              <w:rPr>
                <w:sz w:val="14"/>
                <w:szCs w:val="14"/>
                <w:color w:val="auto"/>
              </w:rPr>
            </w:pPr>
          </w:p>
        </w:tc>
        <w:tc>
          <w:tcPr>
            <w:tcW w:w="860" w:type="dxa"/>
            <w:vAlign w:val="bottom"/>
            <w:shd w:val="clear" w:color="auto" w:fill="FF160F"/>
          </w:tcPr>
          <w:p>
            <w:pPr>
              <w:jc w:val="center"/>
              <w:ind w:right="162"/>
              <w:spacing w:after="0"/>
              <w:rPr>
                <w:sz w:val="20"/>
                <w:szCs w:val="20"/>
                <w:color w:val="auto"/>
              </w:rPr>
            </w:pPr>
            <w:r>
              <w:rPr>
                <w:rFonts w:ascii="Arial" w:cs="Arial" w:eastAsia="Arial" w:hAnsi="Arial"/>
                <w:sz w:val="14"/>
                <w:szCs w:val="14"/>
                <w:b w:val="1"/>
                <w:bCs w:val="1"/>
                <w:color w:val="FFFFFF"/>
              </w:rPr>
              <w:t>Total</w:t>
            </w:r>
          </w:p>
        </w:tc>
        <w:tc>
          <w:tcPr>
            <w:tcW w:w="900" w:type="dxa"/>
            <w:vAlign w:val="bottom"/>
            <w:shd w:val="clear" w:color="auto" w:fill="FF160F"/>
          </w:tcPr>
          <w:p>
            <w:pPr>
              <w:jc w:val="center"/>
              <w:spacing w:after="0"/>
              <w:rPr>
                <w:sz w:val="20"/>
                <w:szCs w:val="20"/>
                <w:color w:val="auto"/>
              </w:rPr>
            </w:pPr>
            <w:r>
              <w:rPr>
                <w:rFonts w:ascii="Arial" w:cs="Arial" w:eastAsia="Arial" w:hAnsi="Arial"/>
                <w:sz w:val="14"/>
                <w:szCs w:val="14"/>
                <w:b w:val="1"/>
                <w:bCs w:val="1"/>
                <w:color w:val="FFFFFF"/>
                <w:w w:val="97"/>
              </w:rPr>
              <w:t>Net</w:t>
            </w:r>
          </w:p>
        </w:tc>
        <w:tc>
          <w:tcPr>
            <w:tcW w:w="740" w:type="dxa"/>
            <w:vAlign w:val="bottom"/>
            <w:gridSpan w:val="2"/>
            <w:shd w:val="clear" w:color="auto" w:fill="FF160F"/>
          </w:tcPr>
          <w:p>
            <w:pPr>
              <w:ind w:left="120"/>
              <w:spacing w:after="0"/>
              <w:rPr>
                <w:sz w:val="20"/>
                <w:szCs w:val="20"/>
                <w:color w:val="auto"/>
              </w:rPr>
            </w:pPr>
            <w:r>
              <w:rPr>
                <w:rFonts w:ascii="Arial" w:cs="Arial" w:eastAsia="Arial" w:hAnsi="Arial"/>
                <w:sz w:val="14"/>
                <w:szCs w:val="14"/>
                <w:b w:val="1"/>
                <w:bCs w:val="1"/>
                <w:color w:val="FFFFFF"/>
              </w:rPr>
              <w:t>FFO per</w:t>
            </w:r>
          </w:p>
        </w:tc>
        <w:tc>
          <w:tcPr>
            <w:tcW w:w="0" w:type="dxa"/>
            <w:vAlign w:val="bottom"/>
          </w:tcPr>
          <w:p>
            <w:pPr>
              <w:spacing w:after="0"/>
              <w:rPr>
                <w:sz w:val="1"/>
                <w:szCs w:val="1"/>
                <w:color w:val="auto"/>
              </w:rPr>
            </w:pPr>
          </w:p>
        </w:tc>
      </w:tr>
      <w:tr>
        <w:trPr>
          <w:trHeight w:val="162"/>
        </w:trPr>
        <w:tc>
          <w:tcPr>
            <w:tcW w:w="1860" w:type="dxa"/>
            <w:vAlign w:val="bottom"/>
            <w:shd w:val="clear" w:color="auto" w:fill="FF160F"/>
          </w:tcPr>
          <w:p>
            <w:pPr>
              <w:spacing w:after="0"/>
              <w:rPr>
                <w:sz w:val="14"/>
                <w:szCs w:val="14"/>
                <w:color w:val="auto"/>
              </w:rPr>
            </w:pPr>
          </w:p>
        </w:tc>
        <w:tc>
          <w:tcPr>
            <w:tcW w:w="1260" w:type="dxa"/>
            <w:vAlign w:val="bottom"/>
            <w:gridSpan w:val="2"/>
            <w:shd w:val="clear" w:color="auto" w:fill="FF160F"/>
          </w:tcPr>
          <w:p>
            <w:pPr>
              <w:ind w:left="180"/>
              <w:spacing w:after="0"/>
              <w:rPr>
                <w:sz w:val="20"/>
                <w:szCs w:val="20"/>
                <w:color w:val="auto"/>
              </w:rPr>
            </w:pPr>
            <w:r>
              <w:rPr>
                <w:rFonts w:ascii="Arial" w:cs="Arial" w:eastAsia="Arial" w:hAnsi="Arial"/>
                <w:sz w:val="14"/>
                <w:szCs w:val="14"/>
                <w:b w:val="1"/>
                <w:bCs w:val="1"/>
                <w:color w:val="FFFFFF"/>
              </w:rPr>
              <w:t>Table Total for</w:t>
            </w:r>
          </w:p>
        </w:tc>
        <w:tc>
          <w:tcPr>
            <w:tcW w:w="1320" w:type="dxa"/>
            <w:vAlign w:val="bottom"/>
            <w:gridSpan w:val="2"/>
            <w:shd w:val="clear" w:color="auto" w:fill="FF160F"/>
          </w:tcPr>
          <w:p>
            <w:pPr>
              <w:ind w:left="120"/>
              <w:spacing w:after="0"/>
              <w:rPr>
                <w:sz w:val="20"/>
                <w:szCs w:val="20"/>
                <w:color w:val="auto"/>
              </w:rPr>
            </w:pPr>
            <w:r>
              <w:rPr>
                <w:rFonts w:ascii="Arial" w:cs="Arial" w:eastAsia="Arial" w:hAnsi="Arial"/>
                <w:sz w:val="14"/>
                <w:szCs w:val="14"/>
                <w:b w:val="1"/>
                <w:bCs w:val="1"/>
                <w:color w:val="FFFFFF"/>
              </w:rPr>
              <w:t>Actually Paid to</w:t>
            </w:r>
          </w:p>
        </w:tc>
        <w:tc>
          <w:tcPr>
            <w:tcW w:w="200" w:type="dxa"/>
            <w:vAlign w:val="bottom"/>
            <w:shd w:val="clear" w:color="auto" w:fill="FF160F"/>
          </w:tcPr>
          <w:p>
            <w:pPr>
              <w:spacing w:after="0"/>
              <w:rPr>
                <w:sz w:val="14"/>
                <w:szCs w:val="14"/>
                <w:color w:val="auto"/>
              </w:rPr>
            </w:pPr>
          </w:p>
        </w:tc>
        <w:tc>
          <w:tcPr>
            <w:tcW w:w="1180" w:type="dxa"/>
            <w:vAlign w:val="bottom"/>
            <w:shd w:val="clear" w:color="auto" w:fill="FF160F"/>
          </w:tcPr>
          <w:p>
            <w:pPr>
              <w:jc w:val="center"/>
              <w:ind w:right="124"/>
              <w:spacing w:after="0"/>
              <w:rPr>
                <w:sz w:val="20"/>
                <w:szCs w:val="20"/>
                <w:color w:val="auto"/>
              </w:rPr>
            </w:pPr>
            <w:r>
              <w:rPr>
                <w:rFonts w:ascii="Arial" w:cs="Arial" w:eastAsia="Arial" w:hAnsi="Arial"/>
                <w:sz w:val="14"/>
                <w:szCs w:val="14"/>
                <w:b w:val="1"/>
                <w:bCs w:val="1"/>
                <w:color w:val="FFFFFF"/>
              </w:rPr>
              <w:t>Table Total for</w:t>
            </w:r>
          </w:p>
        </w:tc>
        <w:tc>
          <w:tcPr>
            <w:tcW w:w="1400" w:type="dxa"/>
            <w:vAlign w:val="bottom"/>
            <w:gridSpan w:val="2"/>
            <w:shd w:val="clear" w:color="auto" w:fill="FF160F"/>
          </w:tcPr>
          <w:p>
            <w:pPr>
              <w:jc w:val="center"/>
              <w:spacing w:after="0"/>
              <w:rPr>
                <w:sz w:val="20"/>
                <w:szCs w:val="20"/>
                <w:color w:val="auto"/>
              </w:rPr>
            </w:pPr>
            <w:r>
              <w:rPr>
                <w:rFonts w:ascii="Arial" w:cs="Arial" w:eastAsia="Arial" w:hAnsi="Arial"/>
                <w:sz w:val="14"/>
                <w:szCs w:val="14"/>
                <w:b w:val="1"/>
                <w:bCs w:val="1"/>
                <w:color w:val="FFFFFF"/>
              </w:rPr>
              <w:t>Actually Paid to</w:t>
            </w:r>
          </w:p>
        </w:tc>
        <w:tc>
          <w:tcPr>
            <w:tcW w:w="1080" w:type="dxa"/>
            <w:vAlign w:val="bottom"/>
            <w:gridSpan w:val="2"/>
            <w:shd w:val="clear" w:color="auto" w:fill="FF160F"/>
          </w:tcPr>
          <w:p>
            <w:pPr>
              <w:ind w:left="120"/>
              <w:spacing w:after="0"/>
              <w:rPr>
                <w:sz w:val="20"/>
                <w:szCs w:val="20"/>
                <w:color w:val="auto"/>
              </w:rPr>
            </w:pPr>
            <w:r>
              <w:rPr>
                <w:rFonts w:ascii="Arial" w:cs="Arial" w:eastAsia="Arial" w:hAnsi="Arial"/>
                <w:sz w:val="14"/>
                <w:szCs w:val="14"/>
                <w:b w:val="1"/>
                <w:bCs w:val="1"/>
                <w:color w:val="FFFFFF"/>
              </w:rPr>
              <w:t>Shareholder</w:t>
            </w:r>
          </w:p>
        </w:tc>
        <w:tc>
          <w:tcPr>
            <w:tcW w:w="1080" w:type="dxa"/>
            <w:vAlign w:val="bottom"/>
            <w:gridSpan w:val="2"/>
            <w:shd w:val="clear" w:color="auto" w:fill="FF160F"/>
          </w:tcPr>
          <w:p>
            <w:pPr>
              <w:ind w:left="120"/>
              <w:spacing w:after="0"/>
              <w:rPr>
                <w:sz w:val="20"/>
                <w:szCs w:val="20"/>
                <w:color w:val="auto"/>
              </w:rPr>
            </w:pPr>
            <w:r>
              <w:rPr>
                <w:rFonts w:ascii="Arial" w:cs="Arial" w:eastAsia="Arial" w:hAnsi="Arial"/>
                <w:sz w:val="14"/>
                <w:szCs w:val="14"/>
                <w:b w:val="1"/>
                <w:bCs w:val="1"/>
                <w:color w:val="FFFFFF"/>
              </w:rPr>
              <w:t>Shareholder</w:t>
            </w:r>
          </w:p>
        </w:tc>
        <w:tc>
          <w:tcPr>
            <w:tcW w:w="900" w:type="dxa"/>
            <w:vAlign w:val="bottom"/>
            <w:shd w:val="clear" w:color="auto" w:fill="FF160F"/>
          </w:tcPr>
          <w:p>
            <w:pPr>
              <w:jc w:val="center"/>
              <w:spacing w:after="0"/>
              <w:rPr>
                <w:sz w:val="20"/>
                <w:szCs w:val="20"/>
                <w:color w:val="auto"/>
              </w:rPr>
            </w:pPr>
            <w:r>
              <w:rPr>
                <w:rFonts w:ascii="Arial" w:cs="Arial" w:eastAsia="Arial" w:hAnsi="Arial"/>
                <w:sz w:val="14"/>
                <w:szCs w:val="14"/>
                <w:b w:val="1"/>
                <w:bCs w:val="1"/>
                <w:color w:val="FFFFFF"/>
              </w:rPr>
              <w:t>Income</w:t>
            </w:r>
          </w:p>
        </w:tc>
        <w:tc>
          <w:tcPr>
            <w:tcW w:w="740" w:type="dxa"/>
            <w:vAlign w:val="bottom"/>
            <w:gridSpan w:val="2"/>
            <w:shd w:val="clear" w:color="auto" w:fill="FF160F"/>
          </w:tcPr>
          <w:p>
            <w:pPr>
              <w:ind w:left="160"/>
              <w:spacing w:after="0"/>
              <w:rPr>
                <w:sz w:val="20"/>
                <w:szCs w:val="20"/>
                <w:color w:val="auto"/>
              </w:rPr>
            </w:pPr>
            <w:r>
              <w:rPr>
                <w:rFonts w:ascii="Arial" w:cs="Arial" w:eastAsia="Arial" w:hAnsi="Arial"/>
                <w:sz w:val="14"/>
                <w:szCs w:val="14"/>
                <w:b w:val="1"/>
                <w:bCs w:val="1"/>
                <w:color w:val="FFFFFF"/>
              </w:rPr>
              <w:t>Diluted</w:t>
            </w:r>
          </w:p>
        </w:tc>
        <w:tc>
          <w:tcPr>
            <w:tcW w:w="0" w:type="dxa"/>
            <w:vAlign w:val="bottom"/>
          </w:tcPr>
          <w:p>
            <w:pPr>
              <w:spacing w:after="0"/>
              <w:rPr>
                <w:sz w:val="1"/>
                <w:szCs w:val="1"/>
                <w:color w:val="auto"/>
              </w:rPr>
            </w:pPr>
          </w:p>
        </w:tc>
      </w:tr>
      <w:tr>
        <w:trPr>
          <w:trHeight w:val="171"/>
        </w:trPr>
        <w:tc>
          <w:tcPr>
            <w:tcW w:w="1860" w:type="dxa"/>
            <w:vAlign w:val="bottom"/>
            <w:shd w:val="clear" w:color="auto" w:fill="FF160F"/>
          </w:tcPr>
          <w:p>
            <w:pPr>
              <w:spacing w:after="0"/>
              <w:rPr>
                <w:sz w:val="20"/>
                <w:szCs w:val="20"/>
                <w:color w:val="auto"/>
              </w:rPr>
            </w:pPr>
            <w:r>
              <w:rPr>
                <w:rFonts w:ascii="Arial" w:cs="Arial" w:eastAsia="Arial" w:hAnsi="Arial"/>
                <w:sz w:val="14"/>
                <w:szCs w:val="14"/>
                <w:b w:val="1"/>
                <w:bCs w:val="1"/>
                <w:color w:val="FFFFFF"/>
              </w:rPr>
              <w:t>Year</w:t>
            </w:r>
          </w:p>
        </w:tc>
        <w:tc>
          <w:tcPr>
            <w:tcW w:w="300" w:type="dxa"/>
            <w:vAlign w:val="bottom"/>
            <w:shd w:val="clear" w:color="auto" w:fill="FF160F"/>
          </w:tcPr>
          <w:p>
            <w:pPr>
              <w:spacing w:after="0"/>
              <w:rPr>
                <w:sz w:val="14"/>
                <w:szCs w:val="14"/>
                <w:color w:val="auto"/>
              </w:rPr>
            </w:pPr>
          </w:p>
        </w:tc>
        <w:tc>
          <w:tcPr>
            <w:tcW w:w="960" w:type="dxa"/>
            <w:vAlign w:val="bottom"/>
            <w:shd w:val="clear" w:color="auto" w:fill="FF160F"/>
          </w:tcPr>
          <w:p>
            <w:pPr>
              <w:jc w:val="center"/>
              <w:ind w:right="162"/>
              <w:spacing w:after="0" w:line="172" w:lineRule="exact"/>
              <w:rPr>
                <w:sz w:val="20"/>
                <w:szCs w:val="20"/>
                <w:color w:val="auto"/>
              </w:rPr>
            </w:pPr>
            <w:r>
              <w:rPr>
                <w:rFonts w:ascii="Arial" w:cs="Arial" w:eastAsia="Arial" w:hAnsi="Arial"/>
                <w:sz w:val="14"/>
                <w:szCs w:val="14"/>
                <w:b w:val="1"/>
                <w:bCs w:val="1"/>
                <w:color w:val="FFFFFF"/>
                <w:w w:val="92"/>
              </w:rPr>
              <w:t>PEO</w:t>
            </w:r>
            <w:r>
              <w:rPr>
                <w:rFonts w:ascii="Arial" w:cs="Arial" w:eastAsia="Arial" w:hAnsi="Arial"/>
                <w:sz w:val="17"/>
                <w:szCs w:val="17"/>
                <w:b w:val="1"/>
                <w:bCs w:val="1"/>
                <w:color w:val="FFFFFF"/>
                <w:w w:val="92"/>
                <w:vertAlign w:val="superscript"/>
              </w:rPr>
              <w:t>(1)</w:t>
            </w:r>
          </w:p>
        </w:tc>
        <w:tc>
          <w:tcPr>
            <w:tcW w:w="300" w:type="dxa"/>
            <w:vAlign w:val="bottom"/>
            <w:shd w:val="clear" w:color="auto" w:fill="FF160F"/>
          </w:tcPr>
          <w:p>
            <w:pPr>
              <w:spacing w:after="0"/>
              <w:rPr>
                <w:sz w:val="14"/>
                <w:szCs w:val="14"/>
                <w:color w:val="auto"/>
              </w:rPr>
            </w:pPr>
          </w:p>
        </w:tc>
        <w:tc>
          <w:tcPr>
            <w:tcW w:w="1020" w:type="dxa"/>
            <w:vAlign w:val="bottom"/>
            <w:shd w:val="clear" w:color="auto" w:fill="FF160F"/>
          </w:tcPr>
          <w:p>
            <w:pPr>
              <w:jc w:val="right"/>
              <w:ind w:right="381"/>
              <w:spacing w:after="0" w:line="172" w:lineRule="exact"/>
              <w:rPr>
                <w:sz w:val="20"/>
                <w:szCs w:val="20"/>
                <w:color w:val="auto"/>
              </w:rPr>
            </w:pPr>
            <w:r>
              <w:rPr>
                <w:rFonts w:ascii="Arial" w:cs="Arial" w:eastAsia="Arial" w:hAnsi="Arial"/>
                <w:sz w:val="14"/>
                <w:szCs w:val="14"/>
                <w:b w:val="1"/>
                <w:bCs w:val="1"/>
                <w:color w:val="FFFFFF"/>
              </w:rPr>
              <w:t>PEO</w:t>
            </w:r>
            <w:r>
              <w:rPr>
                <w:rFonts w:ascii="Arial" w:cs="Arial" w:eastAsia="Arial" w:hAnsi="Arial"/>
                <w:sz w:val="17"/>
                <w:szCs w:val="17"/>
                <w:b w:val="1"/>
                <w:bCs w:val="1"/>
                <w:color w:val="FFFFFF"/>
                <w:vertAlign w:val="superscript"/>
              </w:rPr>
              <w:t>(1)</w:t>
            </w:r>
          </w:p>
        </w:tc>
        <w:tc>
          <w:tcPr>
            <w:tcW w:w="1380" w:type="dxa"/>
            <w:vAlign w:val="bottom"/>
            <w:gridSpan w:val="2"/>
            <w:shd w:val="clear" w:color="auto" w:fill="FF160F"/>
          </w:tcPr>
          <w:p>
            <w:pPr>
              <w:ind w:left="100"/>
              <w:spacing w:after="0" w:line="172" w:lineRule="exact"/>
              <w:rPr>
                <w:sz w:val="20"/>
                <w:szCs w:val="20"/>
                <w:color w:val="auto"/>
              </w:rPr>
            </w:pPr>
            <w:r>
              <w:rPr>
                <w:rFonts w:ascii="Arial" w:cs="Arial" w:eastAsia="Arial" w:hAnsi="Arial"/>
                <w:sz w:val="14"/>
                <w:szCs w:val="14"/>
                <w:b w:val="1"/>
                <w:bCs w:val="1"/>
                <w:color w:val="FFFFFF"/>
              </w:rPr>
              <w:t>non-PEO NEOs</w:t>
            </w:r>
            <w:r>
              <w:rPr>
                <w:rFonts w:ascii="Arial" w:cs="Arial" w:eastAsia="Arial" w:hAnsi="Arial"/>
                <w:sz w:val="17"/>
                <w:szCs w:val="17"/>
                <w:b w:val="1"/>
                <w:bCs w:val="1"/>
                <w:color w:val="FFFFFF"/>
                <w:vertAlign w:val="superscript"/>
              </w:rPr>
              <w:t>(2)</w:t>
            </w:r>
          </w:p>
        </w:tc>
        <w:tc>
          <w:tcPr>
            <w:tcW w:w="1400" w:type="dxa"/>
            <w:vAlign w:val="bottom"/>
            <w:gridSpan w:val="2"/>
            <w:shd w:val="clear" w:color="auto" w:fill="FF160F"/>
          </w:tcPr>
          <w:p>
            <w:pPr>
              <w:ind w:left="120"/>
              <w:spacing w:after="0" w:line="172" w:lineRule="exact"/>
              <w:rPr>
                <w:sz w:val="20"/>
                <w:szCs w:val="20"/>
                <w:color w:val="auto"/>
              </w:rPr>
            </w:pPr>
            <w:r>
              <w:rPr>
                <w:rFonts w:ascii="Arial" w:cs="Arial" w:eastAsia="Arial" w:hAnsi="Arial"/>
                <w:sz w:val="14"/>
                <w:szCs w:val="14"/>
                <w:b w:val="1"/>
                <w:bCs w:val="1"/>
                <w:color w:val="FFFFFF"/>
              </w:rPr>
              <w:t>non-PEO NEOs</w:t>
            </w:r>
            <w:r>
              <w:rPr>
                <w:rFonts w:ascii="Arial" w:cs="Arial" w:eastAsia="Arial" w:hAnsi="Arial"/>
                <w:sz w:val="17"/>
                <w:szCs w:val="17"/>
                <w:b w:val="1"/>
                <w:bCs w:val="1"/>
                <w:color w:val="FFFFFF"/>
                <w:vertAlign w:val="superscript"/>
              </w:rPr>
              <w:t>(2)</w:t>
            </w:r>
          </w:p>
        </w:tc>
        <w:tc>
          <w:tcPr>
            <w:tcW w:w="200" w:type="dxa"/>
            <w:vAlign w:val="bottom"/>
            <w:shd w:val="clear" w:color="auto" w:fill="FF160F"/>
          </w:tcPr>
          <w:p>
            <w:pPr>
              <w:spacing w:after="0"/>
              <w:rPr>
                <w:sz w:val="14"/>
                <w:szCs w:val="14"/>
                <w:color w:val="auto"/>
              </w:rPr>
            </w:pPr>
          </w:p>
        </w:tc>
        <w:tc>
          <w:tcPr>
            <w:tcW w:w="880" w:type="dxa"/>
            <w:vAlign w:val="bottom"/>
            <w:shd w:val="clear" w:color="auto" w:fill="FF160F"/>
          </w:tcPr>
          <w:p>
            <w:pPr>
              <w:jc w:val="right"/>
              <w:ind w:right="244"/>
              <w:spacing w:after="0"/>
              <w:rPr>
                <w:sz w:val="20"/>
                <w:szCs w:val="20"/>
                <w:color w:val="auto"/>
              </w:rPr>
            </w:pPr>
            <w:r>
              <w:rPr>
                <w:rFonts w:ascii="Arial" w:cs="Arial" w:eastAsia="Arial" w:hAnsi="Arial"/>
                <w:sz w:val="14"/>
                <w:szCs w:val="14"/>
                <w:b w:val="1"/>
                <w:bCs w:val="1"/>
                <w:color w:val="FFFFFF"/>
              </w:rPr>
              <w:t>Return</w:t>
            </w:r>
          </w:p>
        </w:tc>
        <w:tc>
          <w:tcPr>
            <w:tcW w:w="220" w:type="dxa"/>
            <w:vAlign w:val="bottom"/>
            <w:shd w:val="clear" w:color="auto" w:fill="FF160F"/>
          </w:tcPr>
          <w:p>
            <w:pPr>
              <w:spacing w:after="0"/>
              <w:rPr>
                <w:sz w:val="14"/>
                <w:szCs w:val="14"/>
                <w:color w:val="auto"/>
              </w:rPr>
            </w:pPr>
          </w:p>
        </w:tc>
        <w:tc>
          <w:tcPr>
            <w:tcW w:w="860" w:type="dxa"/>
            <w:vAlign w:val="bottom"/>
            <w:shd w:val="clear" w:color="auto" w:fill="FF160F"/>
          </w:tcPr>
          <w:p>
            <w:pPr>
              <w:jc w:val="center"/>
              <w:ind w:right="162"/>
              <w:spacing w:after="0" w:line="172" w:lineRule="exact"/>
              <w:rPr>
                <w:sz w:val="20"/>
                <w:szCs w:val="20"/>
                <w:color w:val="auto"/>
              </w:rPr>
            </w:pPr>
            <w:r>
              <w:rPr>
                <w:rFonts w:ascii="Arial" w:cs="Arial" w:eastAsia="Arial" w:hAnsi="Arial"/>
                <w:sz w:val="14"/>
                <w:szCs w:val="14"/>
                <w:b w:val="1"/>
                <w:bCs w:val="1"/>
                <w:color w:val="FFFFFF"/>
                <w:w w:val="98"/>
              </w:rPr>
              <w:t>Return</w:t>
            </w:r>
            <w:r>
              <w:rPr>
                <w:rFonts w:ascii="Arial" w:cs="Arial" w:eastAsia="Arial" w:hAnsi="Arial"/>
                <w:sz w:val="17"/>
                <w:szCs w:val="17"/>
                <w:b w:val="1"/>
                <w:bCs w:val="1"/>
                <w:color w:val="FFFFFF"/>
                <w:w w:val="98"/>
                <w:vertAlign w:val="superscript"/>
              </w:rPr>
              <w:t>(3)</w:t>
            </w:r>
          </w:p>
        </w:tc>
        <w:tc>
          <w:tcPr>
            <w:tcW w:w="900" w:type="dxa"/>
            <w:vAlign w:val="bottom"/>
            <w:shd w:val="clear" w:color="auto" w:fill="FF160F"/>
          </w:tcPr>
          <w:p>
            <w:pPr>
              <w:jc w:val="center"/>
              <w:spacing w:after="0"/>
              <w:rPr>
                <w:sz w:val="20"/>
                <w:szCs w:val="20"/>
                <w:color w:val="auto"/>
              </w:rPr>
            </w:pPr>
            <w:r>
              <w:rPr>
                <w:rFonts w:ascii="Arial" w:cs="Arial" w:eastAsia="Arial" w:hAnsi="Arial"/>
                <w:sz w:val="14"/>
                <w:szCs w:val="14"/>
                <w:b w:val="1"/>
                <w:bCs w:val="1"/>
                <w:color w:val="FFFFFF"/>
              </w:rPr>
              <w:t>(in 000s)</w:t>
            </w:r>
          </w:p>
        </w:tc>
        <w:tc>
          <w:tcPr>
            <w:tcW w:w="740" w:type="dxa"/>
            <w:vAlign w:val="bottom"/>
            <w:gridSpan w:val="2"/>
            <w:shd w:val="clear" w:color="auto" w:fill="FF160F"/>
          </w:tcPr>
          <w:p>
            <w:pPr>
              <w:ind w:left="140"/>
              <w:spacing w:after="0" w:line="172" w:lineRule="exact"/>
              <w:rPr>
                <w:sz w:val="20"/>
                <w:szCs w:val="20"/>
                <w:color w:val="auto"/>
              </w:rPr>
            </w:pPr>
            <w:r>
              <w:rPr>
                <w:rFonts w:ascii="Arial" w:cs="Arial" w:eastAsia="Arial" w:hAnsi="Arial"/>
                <w:sz w:val="14"/>
                <w:szCs w:val="14"/>
                <w:b w:val="1"/>
                <w:bCs w:val="1"/>
                <w:color w:val="FFFFFF"/>
              </w:rPr>
              <w:t>Share</w:t>
            </w:r>
            <w:r>
              <w:rPr>
                <w:rFonts w:ascii="Arial" w:cs="Arial" w:eastAsia="Arial" w:hAnsi="Arial"/>
                <w:sz w:val="17"/>
                <w:szCs w:val="17"/>
                <w:b w:val="1"/>
                <w:bCs w:val="1"/>
                <w:color w:val="FFFFFF"/>
                <w:vertAlign w:val="superscript"/>
              </w:rPr>
              <w:t>(4)</w:t>
            </w:r>
          </w:p>
        </w:tc>
        <w:tc>
          <w:tcPr>
            <w:tcW w:w="0" w:type="dxa"/>
            <w:vAlign w:val="bottom"/>
          </w:tcPr>
          <w:p>
            <w:pPr>
              <w:spacing w:after="0"/>
              <w:rPr>
                <w:sz w:val="1"/>
                <w:szCs w:val="1"/>
                <w:color w:val="auto"/>
              </w:rPr>
            </w:pPr>
          </w:p>
        </w:tc>
      </w:tr>
      <w:tr>
        <w:trPr>
          <w:trHeight w:val="175"/>
        </w:trPr>
        <w:tc>
          <w:tcPr>
            <w:tcW w:w="1860" w:type="dxa"/>
            <w:vAlign w:val="bottom"/>
          </w:tcPr>
          <w:p>
            <w:pPr>
              <w:spacing w:after="0" w:line="175" w:lineRule="exact"/>
              <w:rPr>
                <w:sz w:val="20"/>
                <w:szCs w:val="20"/>
                <w:color w:val="auto"/>
              </w:rPr>
            </w:pPr>
            <w:r>
              <w:rPr>
                <w:rFonts w:ascii="Arial" w:cs="Arial" w:eastAsia="Arial" w:hAnsi="Arial"/>
                <w:sz w:val="16"/>
                <w:szCs w:val="16"/>
                <w:color w:val="auto"/>
              </w:rPr>
              <w:t>2023</w:t>
            </w:r>
          </w:p>
        </w:tc>
        <w:tc>
          <w:tcPr>
            <w:tcW w:w="300" w:type="dxa"/>
            <w:vAlign w:val="bottom"/>
          </w:tcPr>
          <w:p>
            <w:pPr>
              <w:ind w:left="180"/>
              <w:spacing w:after="0" w:line="175" w:lineRule="exact"/>
              <w:rPr>
                <w:sz w:val="20"/>
                <w:szCs w:val="20"/>
                <w:color w:val="auto"/>
              </w:rPr>
            </w:pPr>
            <w:r>
              <w:rPr>
                <w:rFonts w:ascii="Arial" w:cs="Arial" w:eastAsia="Arial" w:hAnsi="Arial"/>
                <w:sz w:val="16"/>
                <w:szCs w:val="16"/>
                <w:color w:val="auto"/>
              </w:rPr>
              <w:t>$</w:t>
            </w:r>
          </w:p>
        </w:tc>
        <w:tc>
          <w:tcPr>
            <w:tcW w:w="960" w:type="dxa"/>
            <w:vAlign w:val="bottom"/>
          </w:tcPr>
          <w:p>
            <w:pPr>
              <w:jc w:val="right"/>
              <w:ind w:right="42"/>
              <w:spacing w:after="0" w:line="175" w:lineRule="exact"/>
              <w:rPr>
                <w:sz w:val="20"/>
                <w:szCs w:val="20"/>
                <w:color w:val="auto"/>
              </w:rPr>
            </w:pPr>
            <w:r>
              <w:rPr>
                <w:rFonts w:ascii="Arial" w:cs="Arial" w:eastAsia="Arial" w:hAnsi="Arial"/>
                <w:sz w:val="16"/>
                <w:szCs w:val="16"/>
                <w:color w:val="auto"/>
              </w:rPr>
              <w:t>8,941,820</w:t>
            </w:r>
          </w:p>
        </w:tc>
        <w:tc>
          <w:tcPr>
            <w:tcW w:w="300" w:type="dxa"/>
            <w:vAlign w:val="bottom"/>
          </w:tcPr>
          <w:p>
            <w:pPr>
              <w:ind w:left="120"/>
              <w:spacing w:after="0" w:line="175" w:lineRule="exact"/>
              <w:rPr>
                <w:sz w:val="20"/>
                <w:szCs w:val="20"/>
                <w:color w:val="auto"/>
              </w:rPr>
            </w:pPr>
            <w:r>
              <w:rPr>
                <w:rFonts w:ascii="Arial" w:cs="Arial" w:eastAsia="Arial" w:hAnsi="Arial"/>
                <w:sz w:val="16"/>
                <w:szCs w:val="16"/>
                <w:color w:val="auto"/>
              </w:rPr>
              <w:t>$</w:t>
            </w:r>
          </w:p>
        </w:tc>
        <w:tc>
          <w:tcPr>
            <w:tcW w:w="1020" w:type="dxa"/>
            <w:vAlign w:val="bottom"/>
          </w:tcPr>
          <w:p>
            <w:pPr>
              <w:jc w:val="right"/>
              <w:ind w:right="41"/>
              <w:spacing w:after="0" w:line="175" w:lineRule="exact"/>
              <w:rPr>
                <w:sz w:val="20"/>
                <w:szCs w:val="20"/>
                <w:color w:val="auto"/>
              </w:rPr>
            </w:pPr>
            <w:r>
              <w:rPr>
                <w:rFonts w:ascii="Arial" w:cs="Arial" w:eastAsia="Arial" w:hAnsi="Arial"/>
                <w:sz w:val="16"/>
                <w:szCs w:val="16"/>
                <w:color w:val="auto"/>
              </w:rPr>
              <w:t>9,972,582</w:t>
            </w:r>
          </w:p>
        </w:tc>
        <w:tc>
          <w:tcPr>
            <w:tcW w:w="200" w:type="dxa"/>
            <w:vAlign w:val="bottom"/>
          </w:tcPr>
          <w:p>
            <w:pPr>
              <w:ind w:left="100"/>
              <w:spacing w:after="0" w:line="175" w:lineRule="exact"/>
              <w:rPr>
                <w:sz w:val="20"/>
                <w:szCs w:val="20"/>
                <w:color w:val="auto"/>
              </w:rPr>
            </w:pPr>
            <w:r>
              <w:rPr>
                <w:rFonts w:ascii="Arial" w:cs="Arial" w:eastAsia="Arial" w:hAnsi="Arial"/>
                <w:sz w:val="16"/>
                <w:szCs w:val="16"/>
                <w:color w:val="auto"/>
                <w:w w:val="89"/>
              </w:rPr>
              <w:t>$</w:t>
            </w:r>
          </w:p>
        </w:tc>
        <w:tc>
          <w:tcPr>
            <w:tcW w:w="1180" w:type="dxa"/>
            <w:vAlign w:val="bottom"/>
          </w:tcPr>
          <w:p>
            <w:pPr>
              <w:jc w:val="right"/>
              <w:ind w:right="44"/>
              <w:spacing w:after="0" w:line="175" w:lineRule="exact"/>
              <w:rPr>
                <w:sz w:val="20"/>
                <w:szCs w:val="20"/>
                <w:color w:val="auto"/>
              </w:rPr>
            </w:pPr>
            <w:r>
              <w:rPr>
                <w:rFonts w:ascii="Arial" w:cs="Arial" w:eastAsia="Arial" w:hAnsi="Arial"/>
                <w:sz w:val="16"/>
                <w:szCs w:val="16"/>
                <w:color w:val="auto"/>
              </w:rPr>
              <w:t>2,499,276</w:t>
            </w:r>
          </w:p>
        </w:tc>
        <w:tc>
          <w:tcPr>
            <w:tcW w:w="320" w:type="dxa"/>
            <w:vAlign w:val="bottom"/>
          </w:tcPr>
          <w:p>
            <w:pPr>
              <w:ind w:left="120"/>
              <w:spacing w:after="0" w:line="175" w:lineRule="exact"/>
              <w:rPr>
                <w:sz w:val="20"/>
                <w:szCs w:val="20"/>
                <w:color w:val="auto"/>
              </w:rPr>
            </w:pPr>
            <w:r>
              <w:rPr>
                <w:rFonts w:ascii="Arial" w:cs="Arial" w:eastAsia="Arial" w:hAnsi="Arial"/>
                <w:sz w:val="16"/>
                <w:szCs w:val="16"/>
                <w:color w:val="auto"/>
              </w:rPr>
              <w:t>$</w:t>
            </w:r>
          </w:p>
        </w:tc>
        <w:tc>
          <w:tcPr>
            <w:tcW w:w="1080" w:type="dxa"/>
            <w:vAlign w:val="bottom"/>
          </w:tcPr>
          <w:p>
            <w:pPr>
              <w:jc w:val="right"/>
              <w:ind w:right="41"/>
              <w:spacing w:after="0" w:line="175" w:lineRule="exact"/>
              <w:rPr>
                <w:sz w:val="20"/>
                <w:szCs w:val="20"/>
                <w:color w:val="auto"/>
              </w:rPr>
            </w:pPr>
            <w:r>
              <w:rPr>
                <w:rFonts w:ascii="Arial" w:cs="Arial" w:eastAsia="Arial" w:hAnsi="Arial"/>
                <w:sz w:val="16"/>
                <w:szCs w:val="16"/>
                <w:color w:val="auto"/>
              </w:rPr>
              <w:t>2,742,212</w:t>
            </w:r>
          </w:p>
        </w:tc>
        <w:tc>
          <w:tcPr>
            <w:tcW w:w="200" w:type="dxa"/>
            <w:vAlign w:val="bottom"/>
          </w:tcPr>
          <w:p>
            <w:pPr>
              <w:ind w:left="100"/>
              <w:spacing w:after="0" w:line="175" w:lineRule="exact"/>
              <w:rPr>
                <w:sz w:val="20"/>
                <w:szCs w:val="20"/>
                <w:color w:val="auto"/>
              </w:rPr>
            </w:pPr>
            <w:r>
              <w:rPr>
                <w:rFonts w:ascii="Arial" w:cs="Arial" w:eastAsia="Arial" w:hAnsi="Arial"/>
                <w:sz w:val="16"/>
                <w:szCs w:val="16"/>
                <w:color w:val="auto"/>
                <w:w w:val="89"/>
              </w:rPr>
              <w:t>$</w:t>
            </w:r>
          </w:p>
        </w:tc>
        <w:tc>
          <w:tcPr>
            <w:tcW w:w="880" w:type="dxa"/>
            <w:vAlign w:val="bottom"/>
          </w:tcPr>
          <w:p>
            <w:pPr>
              <w:jc w:val="right"/>
              <w:ind w:right="44"/>
              <w:spacing w:after="0" w:line="175" w:lineRule="exact"/>
              <w:rPr>
                <w:sz w:val="20"/>
                <w:szCs w:val="20"/>
                <w:color w:val="auto"/>
              </w:rPr>
            </w:pPr>
            <w:r>
              <w:rPr>
                <w:rFonts w:ascii="Arial" w:cs="Arial" w:eastAsia="Arial" w:hAnsi="Arial"/>
                <w:sz w:val="16"/>
                <w:szCs w:val="16"/>
                <w:color w:val="auto"/>
              </w:rPr>
              <w:t>95.04</w:t>
            </w:r>
          </w:p>
        </w:tc>
        <w:tc>
          <w:tcPr>
            <w:tcW w:w="220" w:type="dxa"/>
            <w:vAlign w:val="bottom"/>
          </w:tcPr>
          <w:p>
            <w:pPr>
              <w:ind w:left="100"/>
              <w:spacing w:after="0" w:line="175" w:lineRule="exact"/>
              <w:rPr>
                <w:sz w:val="20"/>
                <w:szCs w:val="20"/>
                <w:color w:val="auto"/>
              </w:rPr>
            </w:pPr>
            <w:r>
              <w:rPr>
                <w:rFonts w:ascii="Arial" w:cs="Arial" w:eastAsia="Arial" w:hAnsi="Arial"/>
                <w:sz w:val="16"/>
                <w:szCs w:val="16"/>
                <w:color w:val="auto"/>
              </w:rPr>
              <w:t>$</w:t>
            </w:r>
          </w:p>
        </w:tc>
        <w:tc>
          <w:tcPr>
            <w:tcW w:w="860" w:type="dxa"/>
            <w:vAlign w:val="bottom"/>
          </w:tcPr>
          <w:p>
            <w:pPr>
              <w:jc w:val="right"/>
              <w:ind w:right="42"/>
              <w:spacing w:after="0" w:line="175" w:lineRule="exact"/>
              <w:rPr>
                <w:sz w:val="20"/>
                <w:szCs w:val="20"/>
                <w:color w:val="auto"/>
              </w:rPr>
            </w:pPr>
            <w:r>
              <w:rPr>
                <w:rFonts w:ascii="Arial" w:cs="Arial" w:eastAsia="Arial" w:hAnsi="Arial"/>
                <w:sz w:val="16"/>
                <w:szCs w:val="16"/>
                <w:color w:val="auto"/>
              </w:rPr>
              <w:t>113.74</w:t>
            </w:r>
          </w:p>
        </w:tc>
        <w:tc>
          <w:tcPr>
            <w:tcW w:w="900" w:type="dxa"/>
            <w:vAlign w:val="bottom"/>
          </w:tcPr>
          <w:p>
            <w:pPr>
              <w:jc w:val="center"/>
              <w:spacing w:after="0" w:line="175" w:lineRule="exact"/>
              <w:rPr>
                <w:sz w:val="20"/>
                <w:szCs w:val="20"/>
                <w:color w:val="auto"/>
              </w:rPr>
            </w:pPr>
            <w:r>
              <w:rPr>
                <w:rFonts w:ascii="Arial" w:cs="Arial" w:eastAsia="Arial" w:hAnsi="Arial"/>
                <w:sz w:val="16"/>
                <w:szCs w:val="16"/>
                <w:color w:val="auto"/>
              </w:rPr>
              <w:t>$247,217</w:t>
            </w:r>
          </w:p>
        </w:tc>
        <w:tc>
          <w:tcPr>
            <w:tcW w:w="280" w:type="dxa"/>
            <w:vAlign w:val="bottom"/>
          </w:tcPr>
          <w:p>
            <w:pPr>
              <w:ind w:left="120"/>
              <w:spacing w:after="0" w:line="175" w:lineRule="exact"/>
              <w:rPr>
                <w:sz w:val="20"/>
                <w:szCs w:val="20"/>
                <w:color w:val="auto"/>
              </w:rPr>
            </w:pPr>
            <w:r>
              <w:rPr>
                <w:rFonts w:ascii="Arial" w:cs="Arial" w:eastAsia="Arial" w:hAnsi="Arial"/>
                <w:sz w:val="16"/>
                <w:szCs w:val="16"/>
                <w:color w:val="auto"/>
              </w:rPr>
              <w:t>$</w:t>
            </w:r>
          </w:p>
        </w:tc>
        <w:tc>
          <w:tcPr>
            <w:tcW w:w="460" w:type="dxa"/>
            <w:vAlign w:val="bottom"/>
          </w:tcPr>
          <w:p>
            <w:pPr>
              <w:jc w:val="right"/>
              <w:spacing w:after="0" w:line="175" w:lineRule="exact"/>
              <w:rPr>
                <w:sz w:val="20"/>
                <w:szCs w:val="20"/>
                <w:color w:val="auto"/>
              </w:rPr>
            </w:pPr>
            <w:r>
              <w:rPr>
                <w:rFonts w:ascii="Arial" w:cs="Arial" w:eastAsia="Arial" w:hAnsi="Arial"/>
                <w:sz w:val="16"/>
                <w:szCs w:val="16"/>
                <w:color w:val="auto"/>
              </w:rPr>
              <w:t>6.55</w:t>
            </w:r>
          </w:p>
        </w:tc>
        <w:tc>
          <w:tcPr>
            <w:tcW w:w="0" w:type="dxa"/>
            <w:vAlign w:val="bottom"/>
          </w:tcPr>
          <w:p>
            <w:pPr>
              <w:spacing w:after="0"/>
              <w:rPr>
                <w:sz w:val="1"/>
                <w:szCs w:val="1"/>
                <w:color w:val="auto"/>
              </w:rPr>
            </w:pPr>
          </w:p>
        </w:tc>
      </w:tr>
      <w:tr>
        <w:trPr>
          <w:trHeight w:val="189"/>
        </w:trPr>
        <w:tc>
          <w:tcPr>
            <w:tcW w:w="1860" w:type="dxa"/>
            <w:vAlign w:val="bottom"/>
          </w:tcPr>
          <w:p>
            <w:pPr>
              <w:spacing w:after="0"/>
              <w:rPr>
                <w:sz w:val="20"/>
                <w:szCs w:val="20"/>
                <w:color w:val="auto"/>
              </w:rPr>
            </w:pPr>
            <w:r>
              <w:rPr>
                <w:rFonts w:ascii="Arial" w:cs="Arial" w:eastAsia="Arial" w:hAnsi="Arial"/>
                <w:sz w:val="16"/>
                <w:szCs w:val="16"/>
                <w:color w:val="auto"/>
              </w:rPr>
              <w:t>2022</w:t>
            </w:r>
          </w:p>
        </w:tc>
        <w:tc>
          <w:tcPr>
            <w:tcW w:w="300" w:type="dxa"/>
            <w:vAlign w:val="bottom"/>
          </w:tcPr>
          <w:p>
            <w:pPr>
              <w:ind w:left="18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42"/>
              <w:spacing w:after="0"/>
              <w:rPr>
                <w:sz w:val="20"/>
                <w:szCs w:val="20"/>
                <w:color w:val="auto"/>
              </w:rPr>
            </w:pPr>
            <w:r>
              <w:rPr>
                <w:rFonts w:ascii="Arial" w:cs="Arial" w:eastAsia="Arial" w:hAnsi="Arial"/>
                <w:sz w:val="16"/>
                <w:szCs w:val="16"/>
                <w:color w:val="auto"/>
              </w:rPr>
              <w:t>8,916,031</w:t>
            </w:r>
          </w:p>
        </w:tc>
        <w:tc>
          <w:tcPr>
            <w:tcW w:w="300" w:type="dxa"/>
            <w:vAlign w:val="bottom"/>
          </w:tcPr>
          <w:p>
            <w:pPr>
              <w:ind w:left="12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6,570,796</w:t>
            </w:r>
          </w:p>
        </w:tc>
        <w:tc>
          <w:tcPr>
            <w:tcW w:w="200" w:type="dxa"/>
            <w:vAlign w:val="bottom"/>
          </w:tcPr>
          <w:p>
            <w:pPr>
              <w:ind w:left="100"/>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44"/>
              <w:spacing w:after="0"/>
              <w:rPr>
                <w:sz w:val="20"/>
                <w:szCs w:val="20"/>
                <w:color w:val="auto"/>
              </w:rPr>
            </w:pPr>
            <w:r>
              <w:rPr>
                <w:rFonts w:ascii="Arial" w:cs="Arial" w:eastAsia="Arial" w:hAnsi="Arial"/>
                <w:sz w:val="16"/>
                <w:szCs w:val="16"/>
                <w:color w:val="auto"/>
              </w:rPr>
              <w:t>2,177,775</w:t>
            </w:r>
          </w:p>
        </w:tc>
        <w:tc>
          <w:tcPr>
            <w:tcW w:w="320" w:type="dxa"/>
            <w:vAlign w:val="bottom"/>
          </w:tcPr>
          <w:p>
            <w:pPr>
              <w:ind w:left="12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41"/>
              <w:spacing w:after="0"/>
              <w:rPr>
                <w:sz w:val="20"/>
                <w:szCs w:val="20"/>
                <w:color w:val="auto"/>
              </w:rPr>
            </w:pPr>
            <w:r>
              <w:rPr>
                <w:rFonts w:ascii="Arial" w:cs="Arial" w:eastAsia="Arial" w:hAnsi="Arial"/>
                <w:sz w:val="16"/>
                <w:szCs w:val="16"/>
                <w:color w:val="auto"/>
              </w:rPr>
              <w:t>1,669,484</w:t>
            </w:r>
          </w:p>
        </w:tc>
        <w:tc>
          <w:tcPr>
            <w:tcW w:w="200" w:type="dxa"/>
            <w:vAlign w:val="bottom"/>
          </w:tcPr>
          <w:p>
            <w:pPr>
              <w:ind w:left="100"/>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44"/>
              <w:spacing w:after="0"/>
              <w:rPr>
                <w:sz w:val="20"/>
                <w:szCs w:val="20"/>
                <w:color w:val="auto"/>
              </w:rPr>
            </w:pPr>
            <w:r>
              <w:rPr>
                <w:rFonts w:ascii="Arial" w:cs="Arial" w:eastAsia="Arial" w:hAnsi="Arial"/>
                <w:sz w:val="16"/>
                <w:szCs w:val="16"/>
                <w:color w:val="auto"/>
              </w:rPr>
              <w:t>89.10</w:t>
            </w:r>
          </w:p>
        </w:tc>
        <w:tc>
          <w:tcPr>
            <w:tcW w:w="220" w:type="dxa"/>
            <w:vAlign w:val="bottom"/>
          </w:tcPr>
          <w:p>
            <w:pPr>
              <w:ind w:left="10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42"/>
              <w:spacing w:after="0"/>
              <w:rPr>
                <w:sz w:val="20"/>
                <w:szCs w:val="20"/>
                <w:color w:val="auto"/>
              </w:rPr>
            </w:pPr>
            <w:r>
              <w:rPr>
                <w:rFonts w:ascii="Arial" w:cs="Arial" w:eastAsia="Arial" w:hAnsi="Arial"/>
                <w:sz w:val="16"/>
                <w:szCs w:val="16"/>
                <w:color w:val="auto"/>
              </w:rPr>
              <w:t>104.09</w:t>
            </w:r>
          </w:p>
        </w:tc>
        <w:tc>
          <w:tcPr>
            <w:tcW w:w="900" w:type="dxa"/>
            <w:vAlign w:val="bottom"/>
          </w:tcPr>
          <w:p>
            <w:pPr>
              <w:jc w:val="center"/>
              <w:spacing w:after="0"/>
              <w:rPr>
                <w:sz w:val="20"/>
                <w:szCs w:val="20"/>
                <w:color w:val="auto"/>
              </w:rPr>
            </w:pPr>
            <w:r>
              <w:rPr>
                <w:rFonts w:ascii="Arial" w:cs="Arial" w:eastAsia="Arial" w:hAnsi="Arial"/>
                <w:sz w:val="16"/>
                <w:szCs w:val="16"/>
                <w:color w:val="auto"/>
              </w:rPr>
              <w:t>$395,661</w:t>
            </w:r>
          </w:p>
        </w:tc>
        <w:tc>
          <w:tcPr>
            <w:tcW w:w="280" w:type="dxa"/>
            <w:vAlign w:val="bottom"/>
          </w:tcPr>
          <w:p>
            <w:pPr>
              <w:ind w:left="120"/>
              <w:spacing w:after="0"/>
              <w:rPr>
                <w:sz w:val="20"/>
                <w:szCs w:val="20"/>
                <w:color w:val="auto"/>
              </w:rPr>
            </w:pPr>
            <w:r>
              <w:rPr>
                <w:rFonts w:ascii="Arial" w:cs="Arial" w:eastAsia="Arial" w:hAnsi="Arial"/>
                <w:sz w:val="16"/>
                <w:szCs w:val="16"/>
                <w:color w:val="auto"/>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6.32</w:t>
            </w:r>
          </w:p>
        </w:tc>
        <w:tc>
          <w:tcPr>
            <w:tcW w:w="0" w:type="dxa"/>
            <w:vAlign w:val="bottom"/>
          </w:tcPr>
          <w:p>
            <w:pPr>
              <w:spacing w:after="0"/>
              <w:rPr>
                <w:sz w:val="1"/>
                <w:szCs w:val="1"/>
                <w:color w:val="auto"/>
              </w:rPr>
            </w:pPr>
          </w:p>
        </w:tc>
      </w:tr>
      <w:tr>
        <w:trPr>
          <w:trHeight w:val="189"/>
        </w:trPr>
        <w:tc>
          <w:tcPr>
            <w:tcW w:w="1860" w:type="dxa"/>
            <w:vAlign w:val="bottom"/>
          </w:tcPr>
          <w:p>
            <w:pPr>
              <w:spacing w:after="0"/>
              <w:rPr>
                <w:sz w:val="20"/>
                <w:szCs w:val="20"/>
                <w:color w:val="auto"/>
              </w:rPr>
            </w:pPr>
            <w:r>
              <w:rPr>
                <w:rFonts w:ascii="Arial" w:cs="Arial" w:eastAsia="Arial" w:hAnsi="Arial"/>
                <w:sz w:val="16"/>
                <w:szCs w:val="16"/>
                <w:color w:val="auto"/>
              </w:rPr>
              <w:t>2021</w:t>
            </w:r>
          </w:p>
        </w:tc>
        <w:tc>
          <w:tcPr>
            <w:tcW w:w="300" w:type="dxa"/>
            <w:vAlign w:val="bottom"/>
          </w:tcPr>
          <w:p>
            <w:pPr>
              <w:ind w:left="18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42"/>
              <w:spacing w:after="0"/>
              <w:rPr>
                <w:sz w:val="20"/>
                <w:szCs w:val="20"/>
                <w:color w:val="auto"/>
              </w:rPr>
            </w:pPr>
            <w:r>
              <w:rPr>
                <w:rFonts w:ascii="Arial" w:cs="Arial" w:eastAsia="Arial" w:hAnsi="Arial"/>
                <w:sz w:val="16"/>
                <w:szCs w:val="16"/>
                <w:color w:val="auto"/>
              </w:rPr>
              <w:t>7,520,917</w:t>
            </w:r>
          </w:p>
        </w:tc>
        <w:tc>
          <w:tcPr>
            <w:tcW w:w="300" w:type="dxa"/>
            <w:vAlign w:val="bottom"/>
          </w:tcPr>
          <w:p>
            <w:pPr>
              <w:ind w:left="12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15,446,709</w:t>
            </w:r>
          </w:p>
        </w:tc>
        <w:tc>
          <w:tcPr>
            <w:tcW w:w="200" w:type="dxa"/>
            <w:vAlign w:val="bottom"/>
          </w:tcPr>
          <w:p>
            <w:pPr>
              <w:ind w:left="100"/>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44"/>
              <w:spacing w:after="0"/>
              <w:rPr>
                <w:sz w:val="20"/>
                <w:szCs w:val="20"/>
                <w:color w:val="auto"/>
              </w:rPr>
            </w:pPr>
            <w:r>
              <w:rPr>
                <w:rFonts w:ascii="Arial" w:cs="Arial" w:eastAsia="Arial" w:hAnsi="Arial"/>
                <w:sz w:val="16"/>
                <w:szCs w:val="16"/>
                <w:color w:val="auto"/>
              </w:rPr>
              <w:t>2,955,860</w:t>
            </w:r>
          </w:p>
        </w:tc>
        <w:tc>
          <w:tcPr>
            <w:tcW w:w="320" w:type="dxa"/>
            <w:vAlign w:val="bottom"/>
          </w:tcPr>
          <w:p>
            <w:pPr>
              <w:ind w:left="12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41"/>
              <w:spacing w:after="0"/>
              <w:rPr>
                <w:sz w:val="20"/>
                <w:szCs w:val="20"/>
                <w:color w:val="auto"/>
              </w:rPr>
            </w:pPr>
            <w:r>
              <w:rPr>
                <w:rFonts w:ascii="Arial" w:cs="Arial" w:eastAsia="Arial" w:hAnsi="Arial"/>
                <w:sz w:val="16"/>
                <w:szCs w:val="16"/>
                <w:color w:val="auto"/>
              </w:rPr>
              <w:t>3,999,185</w:t>
            </w:r>
          </w:p>
        </w:tc>
        <w:tc>
          <w:tcPr>
            <w:tcW w:w="200" w:type="dxa"/>
            <w:vAlign w:val="bottom"/>
          </w:tcPr>
          <w:p>
            <w:pPr>
              <w:ind w:left="100"/>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44"/>
              <w:spacing w:after="0"/>
              <w:rPr>
                <w:sz w:val="20"/>
                <w:szCs w:val="20"/>
                <w:color w:val="auto"/>
              </w:rPr>
            </w:pPr>
            <w:r>
              <w:rPr>
                <w:rFonts w:ascii="Arial" w:cs="Arial" w:eastAsia="Arial" w:hAnsi="Arial"/>
                <w:sz w:val="16"/>
                <w:szCs w:val="16"/>
                <w:color w:val="auto"/>
              </w:rPr>
              <w:t>115.21</w:t>
            </w:r>
          </w:p>
        </w:tc>
        <w:tc>
          <w:tcPr>
            <w:tcW w:w="220" w:type="dxa"/>
            <w:vAlign w:val="bottom"/>
          </w:tcPr>
          <w:p>
            <w:pPr>
              <w:ind w:left="10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42"/>
              <w:spacing w:after="0"/>
              <w:rPr>
                <w:sz w:val="20"/>
                <w:szCs w:val="20"/>
                <w:color w:val="auto"/>
              </w:rPr>
            </w:pPr>
            <w:r>
              <w:rPr>
                <w:rFonts w:ascii="Arial" w:cs="Arial" w:eastAsia="Arial" w:hAnsi="Arial"/>
                <w:sz w:val="16"/>
                <w:szCs w:val="16"/>
                <w:color w:val="auto"/>
              </w:rPr>
              <w:t>119.96</w:t>
            </w:r>
          </w:p>
        </w:tc>
        <w:tc>
          <w:tcPr>
            <w:tcW w:w="900" w:type="dxa"/>
            <w:vAlign w:val="bottom"/>
          </w:tcPr>
          <w:p>
            <w:pPr>
              <w:jc w:val="center"/>
              <w:spacing w:after="0"/>
              <w:rPr>
                <w:sz w:val="20"/>
                <w:szCs w:val="20"/>
                <w:color w:val="auto"/>
              </w:rPr>
            </w:pPr>
            <w:r>
              <w:rPr>
                <w:rFonts w:ascii="Arial" w:cs="Arial" w:eastAsia="Arial" w:hAnsi="Arial"/>
                <w:sz w:val="16"/>
                <w:szCs w:val="16"/>
                <w:color w:val="auto"/>
              </w:rPr>
              <w:t>$269,081</w:t>
            </w:r>
          </w:p>
        </w:tc>
        <w:tc>
          <w:tcPr>
            <w:tcW w:w="280" w:type="dxa"/>
            <w:vAlign w:val="bottom"/>
          </w:tcPr>
          <w:p>
            <w:pPr>
              <w:ind w:left="120"/>
              <w:spacing w:after="0"/>
              <w:rPr>
                <w:sz w:val="20"/>
                <w:szCs w:val="20"/>
                <w:color w:val="auto"/>
              </w:rPr>
            </w:pPr>
            <w:r>
              <w:rPr>
                <w:rFonts w:ascii="Arial" w:cs="Arial" w:eastAsia="Arial" w:hAnsi="Arial"/>
                <w:sz w:val="16"/>
                <w:szCs w:val="16"/>
                <w:color w:val="auto"/>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5.57</w:t>
            </w:r>
          </w:p>
        </w:tc>
        <w:tc>
          <w:tcPr>
            <w:tcW w:w="0" w:type="dxa"/>
            <w:vAlign w:val="bottom"/>
          </w:tcPr>
          <w:p>
            <w:pPr>
              <w:spacing w:after="0"/>
              <w:rPr>
                <w:sz w:val="1"/>
                <w:szCs w:val="1"/>
                <w:color w:val="auto"/>
              </w:rPr>
            </w:pPr>
          </w:p>
        </w:tc>
      </w:tr>
      <w:tr>
        <w:trPr>
          <w:trHeight w:val="215"/>
        </w:trPr>
        <w:tc>
          <w:tcPr>
            <w:tcW w:w="1860" w:type="dxa"/>
            <w:vAlign w:val="bottom"/>
          </w:tcPr>
          <w:p>
            <w:pPr>
              <w:spacing w:after="0"/>
              <w:rPr>
                <w:sz w:val="20"/>
                <w:szCs w:val="20"/>
                <w:color w:val="auto"/>
              </w:rPr>
            </w:pPr>
            <w:r>
              <w:rPr>
                <w:rFonts w:ascii="Arial" w:cs="Arial" w:eastAsia="Arial" w:hAnsi="Arial"/>
                <w:sz w:val="16"/>
                <w:szCs w:val="16"/>
                <w:color w:val="auto"/>
              </w:rPr>
              <w:t>2020</w:t>
            </w:r>
          </w:p>
        </w:tc>
        <w:tc>
          <w:tcPr>
            <w:tcW w:w="300" w:type="dxa"/>
            <w:vAlign w:val="bottom"/>
          </w:tcPr>
          <w:p>
            <w:pPr>
              <w:ind w:left="18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42"/>
              <w:spacing w:after="0"/>
              <w:rPr>
                <w:sz w:val="20"/>
                <w:szCs w:val="20"/>
                <w:color w:val="auto"/>
              </w:rPr>
            </w:pPr>
            <w:r>
              <w:rPr>
                <w:rFonts w:ascii="Arial" w:cs="Arial" w:eastAsia="Arial" w:hAnsi="Arial"/>
                <w:sz w:val="16"/>
                <w:szCs w:val="16"/>
                <w:color w:val="auto"/>
              </w:rPr>
              <w:t>7,481,796</w:t>
            </w:r>
          </w:p>
        </w:tc>
        <w:tc>
          <w:tcPr>
            <w:tcW w:w="300" w:type="dxa"/>
            <w:vAlign w:val="bottom"/>
          </w:tcPr>
          <w:p>
            <w:pPr>
              <w:ind w:left="12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1,832,214</w:t>
            </w:r>
          </w:p>
        </w:tc>
        <w:tc>
          <w:tcPr>
            <w:tcW w:w="200" w:type="dxa"/>
            <w:vAlign w:val="bottom"/>
          </w:tcPr>
          <w:p>
            <w:pPr>
              <w:ind w:left="100"/>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44"/>
              <w:spacing w:after="0"/>
              <w:rPr>
                <w:sz w:val="20"/>
                <w:szCs w:val="20"/>
                <w:color w:val="auto"/>
              </w:rPr>
            </w:pPr>
            <w:r>
              <w:rPr>
                <w:rFonts w:ascii="Arial" w:cs="Arial" w:eastAsia="Arial" w:hAnsi="Arial"/>
                <w:sz w:val="16"/>
                <w:szCs w:val="16"/>
                <w:color w:val="auto"/>
              </w:rPr>
              <w:t>1,753,182</w:t>
            </w:r>
          </w:p>
        </w:tc>
        <w:tc>
          <w:tcPr>
            <w:tcW w:w="320" w:type="dxa"/>
            <w:vAlign w:val="bottom"/>
          </w:tcPr>
          <w:p>
            <w:pPr>
              <w:ind w:left="12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41"/>
              <w:spacing w:after="0"/>
              <w:rPr>
                <w:sz w:val="20"/>
                <w:szCs w:val="20"/>
                <w:color w:val="auto"/>
              </w:rPr>
            </w:pPr>
            <w:r>
              <w:rPr>
                <w:rFonts w:ascii="Arial" w:cs="Arial" w:eastAsia="Arial" w:hAnsi="Arial"/>
                <w:sz w:val="16"/>
                <w:szCs w:val="16"/>
                <w:color w:val="auto"/>
              </w:rPr>
              <w:t>859,320</w:t>
            </w:r>
          </w:p>
        </w:tc>
        <w:tc>
          <w:tcPr>
            <w:tcW w:w="200" w:type="dxa"/>
            <w:vAlign w:val="bottom"/>
          </w:tcPr>
          <w:p>
            <w:pPr>
              <w:ind w:left="100"/>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44"/>
              <w:spacing w:after="0"/>
              <w:rPr>
                <w:sz w:val="20"/>
                <w:szCs w:val="20"/>
                <w:color w:val="auto"/>
              </w:rPr>
            </w:pPr>
            <w:r>
              <w:rPr>
                <w:rFonts w:ascii="Arial" w:cs="Arial" w:eastAsia="Arial" w:hAnsi="Arial"/>
                <w:sz w:val="16"/>
                <w:szCs w:val="16"/>
                <w:color w:val="auto"/>
              </w:rPr>
              <w:t>69.44</w:t>
            </w:r>
          </w:p>
        </w:tc>
        <w:tc>
          <w:tcPr>
            <w:tcW w:w="220" w:type="dxa"/>
            <w:vAlign w:val="bottom"/>
          </w:tcPr>
          <w:p>
            <w:pPr>
              <w:ind w:left="10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42"/>
              <w:spacing w:after="0"/>
              <w:rPr>
                <w:sz w:val="20"/>
                <w:szCs w:val="20"/>
                <w:color w:val="auto"/>
              </w:rPr>
            </w:pPr>
            <w:r>
              <w:rPr>
                <w:rFonts w:ascii="Arial" w:cs="Arial" w:eastAsia="Arial" w:hAnsi="Arial"/>
                <w:sz w:val="16"/>
                <w:szCs w:val="16"/>
                <w:color w:val="auto"/>
              </w:rPr>
              <w:t>73.36</w:t>
            </w:r>
          </w:p>
        </w:tc>
        <w:tc>
          <w:tcPr>
            <w:tcW w:w="900" w:type="dxa"/>
            <w:vAlign w:val="bottom"/>
          </w:tcPr>
          <w:p>
            <w:pPr>
              <w:jc w:val="center"/>
              <w:spacing w:after="0"/>
              <w:rPr>
                <w:sz w:val="20"/>
                <w:szCs w:val="20"/>
                <w:color w:val="auto"/>
              </w:rPr>
            </w:pPr>
            <w:r>
              <w:rPr>
                <w:rFonts w:ascii="Arial" w:cs="Arial" w:eastAsia="Arial" w:hAnsi="Arial"/>
                <w:sz w:val="16"/>
                <w:szCs w:val="16"/>
                <w:color w:val="auto"/>
              </w:rPr>
              <w:t>$135,888</w:t>
            </w:r>
          </w:p>
        </w:tc>
        <w:tc>
          <w:tcPr>
            <w:tcW w:w="280" w:type="dxa"/>
            <w:vAlign w:val="bottom"/>
          </w:tcPr>
          <w:p>
            <w:pPr>
              <w:ind w:left="120"/>
              <w:spacing w:after="0"/>
              <w:rPr>
                <w:sz w:val="20"/>
                <w:szCs w:val="20"/>
                <w:color w:val="auto"/>
              </w:rPr>
            </w:pPr>
            <w:r>
              <w:rPr>
                <w:rFonts w:ascii="Arial" w:cs="Arial" w:eastAsia="Arial" w:hAnsi="Arial"/>
                <w:sz w:val="16"/>
                <w:szCs w:val="16"/>
                <w:color w:val="auto"/>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4.38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4617085</wp:posOffset>
            </wp:positionH>
            <wp:positionV relativeFrom="paragraph">
              <wp:posOffset>-1001395</wp:posOffset>
            </wp:positionV>
            <wp:extent cx="137160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37160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86995</wp:posOffset>
            </wp:positionV>
            <wp:extent cx="77152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7" w:lineRule="exact"/>
        <w:rPr>
          <w:sz w:val="20"/>
          <w:szCs w:val="20"/>
          <w:color w:val="auto"/>
        </w:rPr>
      </w:pPr>
    </w:p>
    <w:p>
      <w:pPr>
        <w:ind w:left="540" w:hanging="424"/>
        <w:spacing w:after="0" w:line="233" w:lineRule="auto"/>
        <w:tabs>
          <w:tab w:leader="none" w:pos="540" w:val="left"/>
        </w:tabs>
        <w:numPr>
          <w:ilvl w:val="0"/>
          <w:numId w:val="76"/>
        </w:numPr>
        <w:rPr>
          <w:rFonts w:ascii="Arial" w:cs="Arial" w:eastAsia="Arial" w:hAnsi="Arial"/>
          <w:sz w:val="20"/>
          <w:szCs w:val="20"/>
          <w:color w:val="auto"/>
          <w:vertAlign w:val="superscript"/>
        </w:rPr>
      </w:pPr>
      <w:r>
        <w:rPr>
          <w:rFonts w:ascii="Arial" w:cs="Arial" w:eastAsia="Arial" w:hAnsi="Arial"/>
          <w:sz w:val="16"/>
          <w:szCs w:val="16"/>
          <w:color w:val="auto"/>
        </w:rPr>
        <w:t>Mr. Wood was our principal executive officer for all years shown. Following are the adjustments made during each year shown to arrive at compensation actually paid to our principal executive officer during each year.</w:t>
      </w:r>
    </w:p>
    <w:p>
      <w:pPr>
        <w:spacing w:after="0" w:line="112"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5660" w:type="dxa"/>
            <w:vAlign w:val="bottom"/>
            <w:shd w:val="clear" w:color="auto" w:fill="FF160F"/>
          </w:tcPr>
          <w:p>
            <w:pPr>
              <w:spacing w:after="0"/>
              <w:rPr>
                <w:sz w:val="14"/>
                <w:szCs w:val="14"/>
                <w:color w:val="auto"/>
              </w:rPr>
            </w:pPr>
          </w:p>
        </w:tc>
        <w:tc>
          <w:tcPr>
            <w:tcW w:w="280" w:type="dxa"/>
            <w:vAlign w:val="bottom"/>
            <w:shd w:val="clear" w:color="auto" w:fill="FF160F"/>
          </w:tcPr>
          <w:p>
            <w:pPr>
              <w:spacing w:after="0"/>
              <w:rPr>
                <w:sz w:val="14"/>
                <w:szCs w:val="14"/>
                <w:color w:val="auto"/>
              </w:rPr>
            </w:pPr>
          </w:p>
        </w:tc>
        <w:tc>
          <w:tcPr>
            <w:tcW w:w="1000" w:type="dxa"/>
            <w:vAlign w:val="bottom"/>
            <w:shd w:val="clear" w:color="auto" w:fill="FF160F"/>
          </w:tcPr>
          <w:p>
            <w:pPr>
              <w:spacing w:after="0"/>
              <w:rPr>
                <w:sz w:val="14"/>
                <w:szCs w:val="14"/>
                <w:color w:val="auto"/>
              </w:rPr>
            </w:pPr>
          </w:p>
        </w:tc>
        <w:tc>
          <w:tcPr>
            <w:tcW w:w="340" w:type="dxa"/>
            <w:vAlign w:val="bottom"/>
            <w:shd w:val="clear" w:color="auto" w:fill="FF160F"/>
          </w:tcPr>
          <w:p>
            <w:pPr>
              <w:spacing w:after="0"/>
              <w:rPr>
                <w:sz w:val="14"/>
                <w:szCs w:val="14"/>
                <w:color w:val="auto"/>
              </w:rPr>
            </w:pPr>
          </w:p>
        </w:tc>
        <w:tc>
          <w:tcPr>
            <w:tcW w:w="1220" w:type="dxa"/>
            <w:vAlign w:val="bottom"/>
            <w:shd w:val="clear" w:color="auto" w:fill="FF160F"/>
          </w:tcPr>
          <w:p>
            <w:pPr>
              <w:jc w:val="right"/>
              <w:spacing w:after="0"/>
              <w:rPr>
                <w:sz w:val="20"/>
                <w:szCs w:val="20"/>
                <w:color w:val="auto"/>
              </w:rPr>
            </w:pPr>
            <w:r>
              <w:rPr>
                <w:rFonts w:ascii="Arial" w:cs="Arial" w:eastAsia="Arial" w:hAnsi="Arial"/>
                <w:sz w:val="14"/>
                <w:szCs w:val="14"/>
                <w:b w:val="1"/>
                <w:bCs w:val="1"/>
                <w:color w:val="FFFFFF"/>
              </w:rPr>
              <w:t>PEO</w:t>
            </w:r>
          </w:p>
        </w:tc>
        <w:tc>
          <w:tcPr>
            <w:tcW w:w="240" w:type="dxa"/>
            <w:vAlign w:val="bottom"/>
            <w:shd w:val="clear" w:color="auto" w:fill="FF160F"/>
          </w:tcPr>
          <w:p>
            <w:pPr>
              <w:spacing w:after="0"/>
              <w:rPr>
                <w:sz w:val="14"/>
                <w:szCs w:val="14"/>
                <w:color w:val="auto"/>
              </w:rPr>
            </w:pPr>
          </w:p>
        </w:tc>
        <w:tc>
          <w:tcPr>
            <w:tcW w:w="820" w:type="dxa"/>
            <w:vAlign w:val="bottom"/>
            <w:shd w:val="clear" w:color="auto" w:fill="FF160F"/>
          </w:tcPr>
          <w:p>
            <w:pPr>
              <w:spacing w:after="0"/>
              <w:rPr>
                <w:sz w:val="14"/>
                <w:szCs w:val="14"/>
                <w:color w:val="auto"/>
              </w:rPr>
            </w:pPr>
          </w:p>
        </w:tc>
        <w:tc>
          <w:tcPr>
            <w:tcW w:w="200" w:type="dxa"/>
            <w:vAlign w:val="bottom"/>
            <w:shd w:val="clear" w:color="auto" w:fill="FF160F"/>
          </w:tcPr>
          <w:p>
            <w:pPr>
              <w:spacing w:after="0"/>
              <w:rPr>
                <w:sz w:val="14"/>
                <w:szCs w:val="14"/>
                <w:color w:val="auto"/>
              </w:rPr>
            </w:pPr>
          </w:p>
        </w:tc>
        <w:tc>
          <w:tcPr>
            <w:tcW w:w="140" w:type="dxa"/>
            <w:vAlign w:val="bottom"/>
            <w:shd w:val="clear" w:color="auto" w:fill="FF160F"/>
          </w:tcPr>
          <w:p>
            <w:pPr>
              <w:spacing w:after="0"/>
              <w:rPr>
                <w:sz w:val="14"/>
                <w:szCs w:val="14"/>
                <w:color w:val="auto"/>
              </w:rPr>
            </w:pPr>
          </w:p>
        </w:tc>
        <w:tc>
          <w:tcPr>
            <w:tcW w:w="180" w:type="dxa"/>
            <w:vAlign w:val="bottom"/>
            <w:shd w:val="clear" w:color="auto" w:fill="FF160F"/>
          </w:tcPr>
          <w:p>
            <w:pPr>
              <w:spacing w:after="0"/>
              <w:rPr>
                <w:sz w:val="14"/>
                <w:szCs w:val="14"/>
                <w:color w:val="auto"/>
              </w:rPr>
            </w:pPr>
          </w:p>
        </w:tc>
        <w:tc>
          <w:tcPr>
            <w:tcW w:w="820" w:type="dxa"/>
            <w:vAlign w:val="bottom"/>
            <w:shd w:val="clear" w:color="auto" w:fill="FF160F"/>
          </w:tcPr>
          <w:p>
            <w:pPr>
              <w:spacing w:after="0"/>
              <w:rPr>
                <w:sz w:val="14"/>
                <w:szCs w:val="14"/>
                <w:color w:val="auto"/>
              </w:rPr>
            </w:pPr>
          </w:p>
        </w:tc>
        <w:tc>
          <w:tcPr>
            <w:tcW w:w="120" w:type="dxa"/>
            <w:vAlign w:val="bottom"/>
            <w:shd w:val="clear" w:color="auto" w:fill="FF160F"/>
          </w:tcPr>
          <w:p>
            <w:pPr>
              <w:spacing w:after="0"/>
              <w:rPr>
                <w:sz w:val="14"/>
                <w:szCs w:val="14"/>
                <w:color w:val="auto"/>
              </w:rPr>
            </w:pPr>
          </w:p>
        </w:tc>
      </w:tr>
      <w:tr>
        <w:trPr>
          <w:trHeight w:val="162"/>
        </w:trPr>
        <w:tc>
          <w:tcPr>
            <w:tcW w:w="5660" w:type="dxa"/>
            <w:vAlign w:val="bottom"/>
            <w:shd w:val="clear" w:color="auto" w:fill="FF160F"/>
          </w:tcPr>
          <w:p>
            <w:pPr>
              <w:spacing w:after="0"/>
              <w:rPr>
                <w:sz w:val="20"/>
                <w:szCs w:val="20"/>
                <w:color w:val="auto"/>
              </w:rPr>
            </w:pPr>
            <w:r>
              <w:rPr>
                <w:rFonts w:ascii="Arial" w:cs="Arial" w:eastAsia="Arial" w:hAnsi="Arial"/>
                <w:sz w:val="14"/>
                <w:szCs w:val="14"/>
                <w:b w:val="1"/>
                <w:bCs w:val="1"/>
                <w:color w:val="FFFFFF"/>
              </w:rPr>
              <w:t>Adjustments</w:t>
            </w:r>
          </w:p>
        </w:tc>
        <w:tc>
          <w:tcPr>
            <w:tcW w:w="280" w:type="dxa"/>
            <w:vAlign w:val="bottom"/>
            <w:shd w:val="clear" w:color="auto" w:fill="FF160F"/>
          </w:tcPr>
          <w:p>
            <w:pPr>
              <w:spacing w:after="0"/>
              <w:rPr>
                <w:sz w:val="14"/>
                <w:szCs w:val="14"/>
                <w:color w:val="auto"/>
              </w:rPr>
            </w:pPr>
          </w:p>
        </w:tc>
        <w:tc>
          <w:tcPr>
            <w:tcW w:w="1000" w:type="dxa"/>
            <w:vAlign w:val="bottom"/>
            <w:shd w:val="clear" w:color="auto" w:fill="FF160F"/>
          </w:tcPr>
          <w:p>
            <w:pPr>
              <w:jc w:val="right"/>
              <w:ind w:right="480"/>
              <w:spacing w:after="0"/>
              <w:rPr>
                <w:sz w:val="20"/>
                <w:szCs w:val="20"/>
                <w:color w:val="auto"/>
              </w:rPr>
            </w:pPr>
            <w:r>
              <w:rPr>
                <w:rFonts w:ascii="Arial" w:cs="Arial" w:eastAsia="Arial" w:hAnsi="Arial"/>
                <w:sz w:val="14"/>
                <w:szCs w:val="14"/>
                <w:b w:val="1"/>
                <w:bCs w:val="1"/>
                <w:color w:val="FFFFFF"/>
              </w:rPr>
              <w:t>2023</w:t>
            </w:r>
          </w:p>
        </w:tc>
        <w:tc>
          <w:tcPr>
            <w:tcW w:w="340" w:type="dxa"/>
            <w:vAlign w:val="bottom"/>
            <w:shd w:val="clear" w:color="auto" w:fill="FF160F"/>
          </w:tcPr>
          <w:p>
            <w:pPr>
              <w:spacing w:after="0"/>
              <w:rPr>
                <w:sz w:val="14"/>
                <w:szCs w:val="14"/>
                <w:color w:val="auto"/>
              </w:rPr>
            </w:pPr>
          </w:p>
        </w:tc>
        <w:tc>
          <w:tcPr>
            <w:tcW w:w="1220" w:type="dxa"/>
            <w:vAlign w:val="bottom"/>
            <w:shd w:val="clear" w:color="auto" w:fill="FF160F"/>
          </w:tcPr>
          <w:p>
            <w:pPr>
              <w:jc w:val="right"/>
              <w:ind w:right="601"/>
              <w:spacing w:after="0"/>
              <w:rPr>
                <w:sz w:val="20"/>
                <w:szCs w:val="20"/>
                <w:color w:val="auto"/>
              </w:rPr>
            </w:pPr>
            <w:r>
              <w:rPr>
                <w:rFonts w:ascii="Arial" w:cs="Arial" w:eastAsia="Arial" w:hAnsi="Arial"/>
                <w:sz w:val="14"/>
                <w:szCs w:val="14"/>
                <w:b w:val="1"/>
                <w:bCs w:val="1"/>
                <w:color w:val="FFFFFF"/>
              </w:rPr>
              <w:t>2022</w:t>
            </w:r>
          </w:p>
        </w:tc>
        <w:tc>
          <w:tcPr>
            <w:tcW w:w="240" w:type="dxa"/>
            <w:vAlign w:val="bottom"/>
            <w:shd w:val="clear" w:color="auto" w:fill="FF160F"/>
          </w:tcPr>
          <w:p>
            <w:pPr>
              <w:spacing w:after="0"/>
              <w:rPr>
                <w:sz w:val="14"/>
                <w:szCs w:val="14"/>
                <w:color w:val="auto"/>
              </w:rPr>
            </w:pPr>
          </w:p>
        </w:tc>
        <w:tc>
          <w:tcPr>
            <w:tcW w:w="820" w:type="dxa"/>
            <w:vAlign w:val="bottom"/>
            <w:shd w:val="clear" w:color="auto" w:fill="FF160F"/>
          </w:tcPr>
          <w:p>
            <w:pPr>
              <w:jc w:val="right"/>
              <w:ind w:right="260"/>
              <w:spacing w:after="0"/>
              <w:rPr>
                <w:sz w:val="20"/>
                <w:szCs w:val="20"/>
                <w:color w:val="auto"/>
              </w:rPr>
            </w:pPr>
            <w:r>
              <w:rPr>
                <w:rFonts w:ascii="Arial" w:cs="Arial" w:eastAsia="Arial" w:hAnsi="Arial"/>
                <w:sz w:val="14"/>
                <w:szCs w:val="14"/>
                <w:b w:val="1"/>
                <w:bCs w:val="1"/>
                <w:color w:val="FFFFFF"/>
              </w:rPr>
              <w:t>2021</w:t>
            </w:r>
          </w:p>
        </w:tc>
        <w:tc>
          <w:tcPr>
            <w:tcW w:w="200" w:type="dxa"/>
            <w:vAlign w:val="bottom"/>
            <w:shd w:val="clear" w:color="auto" w:fill="FF160F"/>
          </w:tcPr>
          <w:p>
            <w:pPr>
              <w:spacing w:after="0"/>
              <w:rPr>
                <w:sz w:val="14"/>
                <w:szCs w:val="14"/>
                <w:color w:val="auto"/>
              </w:rPr>
            </w:pPr>
          </w:p>
        </w:tc>
        <w:tc>
          <w:tcPr>
            <w:tcW w:w="140" w:type="dxa"/>
            <w:vAlign w:val="bottom"/>
            <w:shd w:val="clear" w:color="auto" w:fill="FF160F"/>
          </w:tcPr>
          <w:p>
            <w:pPr>
              <w:spacing w:after="0"/>
              <w:rPr>
                <w:sz w:val="14"/>
                <w:szCs w:val="14"/>
                <w:color w:val="auto"/>
              </w:rPr>
            </w:pPr>
          </w:p>
        </w:tc>
        <w:tc>
          <w:tcPr>
            <w:tcW w:w="180" w:type="dxa"/>
            <w:vAlign w:val="bottom"/>
            <w:shd w:val="clear" w:color="auto" w:fill="FF160F"/>
          </w:tcPr>
          <w:p>
            <w:pPr>
              <w:spacing w:after="0"/>
              <w:rPr>
                <w:sz w:val="14"/>
                <w:szCs w:val="14"/>
                <w:color w:val="auto"/>
              </w:rPr>
            </w:pPr>
          </w:p>
        </w:tc>
        <w:tc>
          <w:tcPr>
            <w:tcW w:w="820" w:type="dxa"/>
            <w:vAlign w:val="bottom"/>
            <w:shd w:val="clear" w:color="auto" w:fill="FF160F"/>
          </w:tcPr>
          <w:p>
            <w:pPr>
              <w:jc w:val="right"/>
              <w:ind w:right="260"/>
              <w:spacing w:after="0"/>
              <w:rPr>
                <w:sz w:val="20"/>
                <w:szCs w:val="20"/>
                <w:color w:val="auto"/>
              </w:rPr>
            </w:pPr>
            <w:r>
              <w:rPr>
                <w:rFonts w:ascii="Arial" w:cs="Arial" w:eastAsia="Arial" w:hAnsi="Arial"/>
                <w:sz w:val="14"/>
                <w:szCs w:val="14"/>
                <w:b w:val="1"/>
                <w:bCs w:val="1"/>
                <w:color w:val="FFFFFF"/>
              </w:rPr>
              <w:t>2020</w:t>
            </w:r>
          </w:p>
        </w:tc>
        <w:tc>
          <w:tcPr>
            <w:tcW w:w="120" w:type="dxa"/>
            <w:vAlign w:val="bottom"/>
            <w:shd w:val="clear" w:color="auto" w:fill="FF160F"/>
          </w:tcPr>
          <w:p>
            <w:pPr>
              <w:spacing w:after="0"/>
              <w:rPr>
                <w:sz w:val="14"/>
                <w:szCs w:val="14"/>
                <w:color w:val="auto"/>
              </w:rPr>
            </w:pPr>
          </w:p>
        </w:tc>
      </w:tr>
      <w:tr>
        <w:trPr>
          <w:trHeight w:val="189"/>
        </w:trPr>
        <w:tc>
          <w:tcPr>
            <w:tcW w:w="5660" w:type="dxa"/>
            <w:vAlign w:val="bottom"/>
          </w:tcPr>
          <w:p>
            <w:pPr>
              <w:spacing w:after="0"/>
              <w:rPr>
                <w:sz w:val="20"/>
                <w:szCs w:val="20"/>
                <w:color w:val="auto"/>
              </w:rPr>
            </w:pPr>
            <w:r>
              <w:rPr>
                <w:rFonts w:ascii="Arial" w:cs="Arial" w:eastAsia="Arial" w:hAnsi="Arial"/>
                <w:sz w:val="16"/>
                <w:szCs w:val="16"/>
                <w:color w:val="auto"/>
              </w:rPr>
              <w:t>Amounts reported under "Stock Awards" in SCT</w:t>
            </w:r>
          </w:p>
        </w:tc>
        <w:tc>
          <w:tcPr>
            <w:tcW w:w="280" w:type="dxa"/>
            <w:vAlign w:val="bottom"/>
          </w:tcPr>
          <w:p>
            <w:pPr>
              <w:spacing w:after="0"/>
              <w:rPr>
                <w:sz w:val="20"/>
                <w:szCs w:val="20"/>
                <w:color w:val="auto"/>
              </w:rPr>
            </w:pPr>
            <w:r>
              <w:rPr>
                <w:rFonts w:ascii="Arial" w:cs="Arial" w:eastAsia="Arial" w:hAnsi="Arial"/>
                <w:sz w:val="16"/>
                <w:szCs w:val="16"/>
                <w:color w:val="auto"/>
              </w:rPr>
              <w:t>  $</w:t>
            </w: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(6,502,565)</w:t>
            </w:r>
          </w:p>
        </w:tc>
        <w:tc>
          <w:tcPr>
            <w:tcW w:w="340" w:type="dxa"/>
            <w:vAlign w:val="bottom"/>
          </w:tcPr>
          <w:p>
            <w:pPr>
              <w:ind w:left="140"/>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41"/>
              <w:spacing w:after="0"/>
              <w:rPr>
                <w:sz w:val="20"/>
                <w:szCs w:val="20"/>
                <w:color w:val="auto"/>
              </w:rPr>
            </w:pPr>
            <w:r>
              <w:rPr>
                <w:rFonts w:ascii="Arial" w:cs="Arial" w:eastAsia="Arial" w:hAnsi="Arial"/>
                <w:sz w:val="16"/>
                <w:szCs w:val="16"/>
                <w:color w:val="auto"/>
              </w:rPr>
              <w:t>(6,474,391)</w:t>
            </w:r>
          </w:p>
        </w:tc>
        <w:tc>
          <w:tcPr>
            <w:tcW w:w="240" w:type="dxa"/>
            <w:vAlign w:val="bottom"/>
          </w:tcPr>
          <w:p>
            <w:pPr>
              <w:ind w:left="6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(5,213,719)</w:t>
            </w:r>
          </w:p>
        </w:tc>
        <w:tc>
          <w:tcPr>
            <w:tcW w:w="32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(5,830,493)</w:t>
            </w:r>
          </w:p>
        </w:tc>
      </w:tr>
      <w:tr>
        <w:trPr>
          <w:trHeight w:val="189"/>
        </w:trPr>
        <w:tc>
          <w:tcPr>
            <w:tcW w:w="5660" w:type="dxa"/>
            <w:vAlign w:val="bottom"/>
            <w:shd w:val="clear" w:color="auto" w:fill="D8D8D8"/>
          </w:tcPr>
          <w:p>
            <w:pPr>
              <w:spacing w:after="0"/>
              <w:rPr>
                <w:sz w:val="20"/>
                <w:szCs w:val="20"/>
                <w:color w:val="auto"/>
              </w:rPr>
            </w:pPr>
            <w:r>
              <w:rPr>
                <w:rFonts w:ascii="Arial" w:cs="Arial" w:eastAsia="Arial" w:hAnsi="Arial"/>
                <w:sz w:val="16"/>
                <w:szCs w:val="16"/>
                <w:color w:val="auto"/>
              </w:rPr>
              <w:t>Change Fair Value of Awards Granted in Year and Unvested as of Year-End</w:t>
            </w:r>
          </w:p>
        </w:tc>
        <w:tc>
          <w:tcPr>
            <w:tcW w:w="280" w:type="dxa"/>
            <w:vAlign w:val="bottom"/>
            <w:shd w:val="clear" w:color="auto" w:fill="D8D8D8"/>
          </w:tcPr>
          <w:p>
            <w:pPr>
              <w:spacing w:after="0"/>
              <w:rPr>
                <w:sz w:val="20"/>
                <w:szCs w:val="20"/>
                <w:color w:val="auto"/>
              </w:rPr>
            </w:pPr>
            <w:r>
              <w:rPr>
                <w:rFonts w:ascii="Arial" w:cs="Arial" w:eastAsia="Arial" w:hAnsi="Arial"/>
                <w:sz w:val="16"/>
                <w:szCs w:val="16"/>
                <w:color w:val="auto"/>
              </w:rPr>
              <w:t>  $</w:t>
            </w:r>
          </w:p>
        </w:tc>
        <w:tc>
          <w:tcPr>
            <w:tcW w:w="1000" w:type="dxa"/>
            <w:vAlign w:val="bottom"/>
            <w:shd w:val="clear" w:color="auto" w:fill="D8D8D8"/>
          </w:tcPr>
          <w:p>
            <w:pPr>
              <w:jc w:val="right"/>
              <w:ind w:right="100"/>
              <w:spacing w:after="0"/>
              <w:rPr>
                <w:sz w:val="20"/>
                <w:szCs w:val="20"/>
                <w:color w:val="auto"/>
              </w:rPr>
            </w:pPr>
            <w:r>
              <w:rPr>
                <w:rFonts w:ascii="Arial" w:cs="Arial" w:eastAsia="Arial" w:hAnsi="Arial"/>
                <w:sz w:val="16"/>
                <w:szCs w:val="16"/>
                <w:color w:val="auto"/>
              </w:rPr>
              <w:t>6,203,610</w:t>
            </w:r>
          </w:p>
        </w:tc>
        <w:tc>
          <w:tcPr>
            <w:tcW w:w="340" w:type="dxa"/>
            <w:vAlign w:val="bottom"/>
            <w:shd w:val="clear" w:color="auto" w:fill="D8D8D8"/>
          </w:tcPr>
          <w:p>
            <w:pPr>
              <w:ind w:left="140"/>
              <w:spacing w:after="0"/>
              <w:rPr>
                <w:sz w:val="20"/>
                <w:szCs w:val="20"/>
                <w:color w:val="auto"/>
              </w:rPr>
            </w:pPr>
            <w:r>
              <w:rPr>
                <w:rFonts w:ascii="Arial" w:cs="Arial" w:eastAsia="Arial" w:hAnsi="Arial"/>
                <w:sz w:val="16"/>
                <w:szCs w:val="16"/>
                <w:color w:val="auto"/>
              </w:rPr>
              <w:t xml:space="preserve">$ </w:t>
            </w:r>
          </w:p>
        </w:tc>
        <w:tc>
          <w:tcPr>
            <w:tcW w:w="1220" w:type="dxa"/>
            <w:vAlign w:val="bottom"/>
            <w:shd w:val="clear" w:color="auto" w:fill="D8D8D8"/>
          </w:tcPr>
          <w:p>
            <w:pPr>
              <w:jc w:val="right"/>
              <w:ind w:right="181"/>
              <w:spacing w:after="0"/>
              <w:rPr>
                <w:sz w:val="20"/>
                <w:szCs w:val="20"/>
                <w:color w:val="auto"/>
              </w:rPr>
            </w:pPr>
            <w:r>
              <w:rPr>
                <w:rFonts w:ascii="Arial" w:cs="Arial" w:eastAsia="Arial" w:hAnsi="Arial"/>
                <w:sz w:val="16"/>
                <w:szCs w:val="16"/>
                <w:color w:val="auto"/>
                <w:w w:val="97"/>
              </w:rPr>
              <w:t>   5,171,732</w:t>
            </w:r>
          </w:p>
        </w:tc>
        <w:tc>
          <w:tcPr>
            <w:tcW w:w="240" w:type="dxa"/>
            <w:vAlign w:val="bottom"/>
            <w:shd w:val="clear" w:color="auto" w:fill="D8D8D8"/>
          </w:tcPr>
          <w:p>
            <w:pPr>
              <w:ind w:left="6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D8D8D8"/>
          </w:tcPr>
          <w:p>
            <w:pPr>
              <w:jc w:val="right"/>
              <w:ind w:right="200"/>
              <w:spacing w:after="0"/>
              <w:rPr>
                <w:sz w:val="20"/>
                <w:szCs w:val="20"/>
                <w:color w:val="auto"/>
              </w:rPr>
            </w:pPr>
            <w:r>
              <w:rPr>
                <w:rFonts w:ascii="Arial" w:cs="Arial" w:eastAsia="Arial" w:hAnsi="Arial"/>
                <w:sz w:val="16"/>
                <w:szCs w:val="16"/>
                <w:color w:val="auto"/>
              </w:rPr>
              <w:t>7,421,261</w:t>
            </w:r>
          </w:p>
        </w:tc>
        <w:tc>
          <w:tcPr>
            <w:tcW w:w="320" w:type="dxa"/>
            <w:vAlign w:val="bottom"/>
            <w:gridSpan w:val="2"/>
            <w:shd w:val="clear" w:color="auto" w:fill="D8D8D8"/>
          </w:tcPr>
          <w:p>
            <w:pPr>
              <w:ind w:left="14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D8D8D8"/>
          </w:tcPr>
          <w:p>
            <w:pPr>
              <w:jc w:val="right"/>
              <w:ind w:right="120"/>
              <w:spacing w:after="0"/>
              <w:rPr>
                <w:sz w:val="20"/>
                <w:szCs w:val="20"/>
                <w:color w:val="auto"/>
              </w:rPr>
            </w:pPr>
            <w:r>
              <w:rPr>
                <w:rFonts w:ascii="Arial" w:cs="Arial" w:eastAsia="Arial" w:hAnsi="Arial"/>
                <w:sz w:val="16"/>
                <w:szCs w:val="16"/>
                <w:color w:val="auto"/>
              </w:rPr>
              <w:t>3,899,517</w:t>
            </w:r>
          </w:p>
        </w:tc>
      </w:tr>
      <w:tr>
        <w:trPr>
          <w:trHeight w:val="175"/>
        </w:trPr>
        <w:tc>
          <w:tcPr>
            <w:tcW w:w="5660" w:type="dxa"/>
            <w:vAlign w:val="bottom"/>
          </w:tcPr>
          <w:p>
            <w:pPr>
              <w:spacing w:after="0" w:line="175" w:lineRule="exact"/>
              <w:rPr>
                <w:sz w:val="20"/>
                <w:szCs w:val="20"/>
                <w:color w:val="auto"/>
              </w:rPr>
            </w:pPr>
            <w:r>
              <w:rPr>
                <w:rFonts w:ascii="Arial" w:cs="Arial" w:eastAsia="Arial" w:hAnsi="Arial"/>
                <w:sz w:val="16"/>
                <w:szCs w:val="16"/>
                <w:color w:val="auto"/>
              </w:rPr>
              <w:t>Change in Fair Value from Prior Year-End to Current Year-End of Awards</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9"/>
        </w:trPr>
        <w:tc>
          <w:tcPr>
            <w:tcW w:w="5660" w:type="dxa"/>
            <w:vAlign w:val="bottom"/>
          </w:tcPr>
          <w:p>
            <w:pPr>
              <w:ind w:left="160"/>
              <w:spacing w:after="0"/>
              <w:rPr>
                <w:sz w:val="20"/>
                <w:szCs w:val="20"/>
                <w:color w:val="auto"/>
              </w:rPr>
            </w:pPr>
            <w:r>
              <w:rPr>
                <w:rFonts w:ascii="Arial" w:cs="Arial" w:eastAsia="Arial" w:hAnsi="Arial"/>
                <w:sz w:val="16"/>
                <w:szCs w:val="16"/>
                <w:color w:val="auto"/>
              </w:rPr>
              <w:t>Granted Prior to Year that were Outstanding and Unvested as of Year-</w:t>
            </w: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3"/>
        </w:trPr>
        <w:tc>
          <w:tcPr>
            <w:tcW w:w="5660" w:type="dxa"/>
            <w:vAlign w:val="bottom"/>
          </w:tcPr>
          <w:p>
            <w:pPr>
              <w:ind w:left="160"/>
              <w:spacing w:after="0"/>
              <w:rPr>
                <w:sz w:val="20"/>
                <w:szCs w:val="20"/>
                <w:color w:val="auto"/>
              </w:rPr>
            </w:pPr>
            <w:r>
              <w:rPr>
                <w:rFonts w:ascii="Arial" w:cs="Arial" w:eastAsia="Arial" w:hAnsi="Arial"/>
                <w:sz w:val="16"/>
                <w:szCs w:val="16"/>
                <w:color w:val="auto"/>
              </w:rPr>
              <w:t>End</w:t>
            </w:r>
          </w:p>
        </w:tc>
        <w:tc>
          <w:tcPr>
            <w:tcW w:w="280" w:type="dxa"/>
            <w:vAlign w:val="bottom"/>
          </w:tcPr>
          <w:p>
            <w:pPr>
              <w:spacing w:after="0"/>
              <w:rPr>
                <w:sz w:val="20"/>
                <w:szCs w:val="20"/>
                <w:color w:val="auto"/>
              </w:rPr>
            </w:pPr>
            <w:r>
              <w:rPr>
                <w:rFonts w:ascii="Arial" w:cs="Arial" w:eastAsia="Arial" w:hAnsi="Arial"/>
                <w:sz w:val="16"/>
                <w:szCs w:val="16"/>
                <w:color w:val="auto"/>
              </w:rPr>
              <w:t>  $</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406,886</w:t>
            </w:r>
          </w:p>
        </w:tc>
        <w:tc>
          <w:tcPr>
            <w:tcW w:w="340" w:type="dxa"/>
            <w:vAlign w:val="bottom"/>
          </w:tcPr>
          <w:p>
            <w:pPr>
              <w:ind w:left="140"/>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41"/>
              <w:spacing w:after="0"/>
              <w:rPr>
                <w:sz w:val="20"/>
                <w:szCs w:val="20"/>
                <w:color w:val="auto"/>
              </w:rPr>
            </w:pPr>
            <w:r>
              <w:rPr>
                <w:rFonts w:ascii="Arial" w:cs="Arial" w:eastAsia="Arial" w:hAnsi="Arial"/>
                <w:sz w:val="16"/>
                <w:szCs w:val="16"/>
                <w:color w:val="auto"/>
              </w:rPr>
              <w:t>(1,546,034)</w:t>
            </w:r>
          </w:p>
        </w:tc>
        <w:tc>
          <w:tcPr>
            <w:tcW w:w="240" w:type="dxa"/>
            <w:vAlign w:val="bottom"/>
          </w:tcPr>
          <w:p>
            <w:pPr>
              <w:ind w:left="6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4,544,000</w:t>
            </w:r>
          </w:p>
        </w:tc>
        <w:tc>
          <w:tcPr>
            <w:tcW w:w="32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(3,866,637)</w:t>
            </w:r>
          </w:p>
        </w:tc>
      </w:tr>
      <w:tr>
        <w:trPr>
          <w:trHeight w:val="175"/>
        </w:trPr>
        <w:tc>
          <w:tcPr>
            <w:tcW w:w="5660" w:type="dxa"/>
            <w:vAlign w:val="bottom"/>
            <w:shd w:val="clear" w:color="auto" w:fill="D8D8D8"/>
          </w:tcPr>
          <w:p>
            <w:pPr>
              <w:spacing w:after="0" w:line="175" w:lineRule="exact"/>
              <w:rPr>
                <w:sz w:val="20"/>
                <w:szCs w:val="20"/>
                <w:color w:val="auto"/>
              </w:rPr>
            </w:pPr>
            <w:r>
              <w:rPr>
                <w:rFonts w:ascii="Arial" w:cs="Arial" w:eastAsia="Arial" w:hAnsi="Arial"/>
                <w:sz w:val="16"/>
                <w:szCs w:val="16"/>
                <w:color w:val="auto"/>
              </w:rPr>
              <w:t>Change in Fair Value from Prior Year-End to Vesting Date of Awards</w:t>
            </w:r>
          </w:p>
        </w:tc>
        <w:tc>
          <w:tcPr>
            <w:tcW w:w="280" w:type="dxa"/>
            <w:vAlign w:val="bottom"/>
            <w:shd w:val="clear" w:color="auto" w:fill="D8D8D8"/>
          </w:tcPr>
          <w:p>
            <w:pPr>
              <w:spacing w:after="0"/>
              <w:rPr>
                <w:sz w:val="15"/>
                <w:szCs w:val="15"/>
                <w:color w:val="auto"/>
              </w:rPr>
            </w:pPr>
          </w:p>
        </w:tc>
        <w:tc>
          <w:tcPr>
            <w:tcW w:w="1000" w:type="dxa"/>
            <w:vAlign w:val="bottom"/>
            <w:shd w:val="clear" w:color="auto" w:fill="D8D8D8"/>
          </w:tcPr>
          <w:p>
            <w:pPr>
              <w:spacing w:after="0"/>
              <w:rPr>
                <w:sz w:val="15"/>
                <w:szCs w:val="15"/>
                <w:color w:val="auto"/>
              </w:rPr>
            </w:pPr>
          </w:p>
        </w:tc>
        <w:tc>
          <w:tcPr>
            <w:tcW w:w="340" w:type="dxa"/>
            <w:vAlign w:val="bottom"/>
            <w:shd w:val="clear" w:color="auto" w:fill="D8D8D8"/>
          </w:tcPr>
          <w:p>
            <w:pPr>
              <w:spacing w:after="0"/>
              <w:rPr>
                <w:sz w:val="15"/>
                <w:szCs w:val="15"/>
                <w:color w:val="auto"/>
              </w:rPr>
            </w:pPr>
          </w:p>
        </w:tc>
        <w:tc>
          <w:tcPr>
            <w:tcW w:w="1220" w:type="dxa"/>
            <w:vAlign w:val="bottom"/>
            <w:shd w:val="clear" w:color="auto" w:fill="D8D8D8"/>
          </w:tcPr>
          <w:p>
            <w:pPr>
              <w:spacing w:after="0"/>
              <w:rPr>
                <w:sz w:val="15"/>
                <w:szCs w:val="15"/>
                <w:color w:val="auto"/>
              </w:rPr>
            </w:pPr>
          </w:p>
        </w:tc>
        <w:tc>
          <w:tcPr>
            <w:tcW w:w="240" w:type="dxa"/>
            <w:vAlign w:val="bottom"/>
            <w:shd w:val="clear" w:color="auto" w:fill="D8D8D8"/>
          </w:tcPr>
          <w:p>
            <w:pPr>
              <w:spacing w:after="0"/>
              <w:rPr>
                <w:sz w:val="15"/>
                <w:szCs w:val="15"/>
                <w:color w:val="auto"/>
              </w:rPr>
            </w:pPr>
          </w:p>
        </w:tc>
        <w:tc>
          <w:tcPr>
            <w:tcW w:w="820" w:type="dxa"/>
            <w:vAlign w:val="bottom"/>
            <w:shd w:val="clear" w:color="auto" w:fill="D8D8D8"/>
          </w:tcPr>
          <w:p>
            <w:pPr>
              <w:spacing w:after="0"/>
              <w:rPr>
                <w:sz w:val="15"/>
                <w:szCs w:val="15"/>
                <w:color w:val="auto"/>
              </w:rPr>
            </w:pPr>
          </w:p>
        </w:tc>
        <w:tc>
          <w:tcPr>
            <w:tcW w:w="200" w:type="dxa"/>
            <w:vAlign w:val="bottom"/>
            <w:shd w:val="clear" w:color="auto" w:fill="D8D8D8"/>
          </w:tcPr>
          <w:p>
            <w:pPr>
              <w:spacing w:after="0"/>
              <w:rPr>
                <w:sz w:val="15"/>
                <w:szCs w:val="15"/>
                <w:color w:val="auto"/>
              </w:rPr>
            </w:pPr>
          </w:p>
        </w:tc>
        <w:tc>
          <w:tcPr>
            <w:tcW w:w="140" w:type="dxa"/>
            <w:vAlign w:val="bottom"/>
            <w:shd w:val="clear" w:color="auto" w:fill="D8D8D8"/>
          </w:tcPr>
          <w:p>
            <w:pPr>
              <w:spacing w:after="0"/>
              <w:rPr>
                <w:sz w:val="15"/>
                <w:szCs w:val="15"/>
                <w:color w:val="auto"/>
              </w:rPr>
            </w:pPr>
          </w:p>
        </w:tc>
        <w:tc>
          <w:tcPr>
            <w:tcW w:w="180" w:type="dxa"/>
            <w:vAlign w:val="bottom"/>
            <w:shd w:val="clear" w:color="auto" w:fill="D8D8D8"/>
          </w:tcPr>
          <w:p>
            <w:pPr>
              <w:spacing w:after="0"/>
              <w:rPr>
                <w:sz w:val="15"/>
                <w:szCs w:val="15"/>
                <w:color w:val="auto"/>
              </w:rPr>
            </w:pPr>
          </w:p>
        </w:tc>
        <w:tc>
          <w:tcPr>
            <w:tcW w:w="820" w:type="dxa"/>
            <w:vAlign w:val="bottom"/>
            <w:shd w:val="clear" w:color="auto" w:fill="D8D8D8"/>
          </w:tcPr>
          <w:p>
            <w:pPr>
              <w:spacing w:after="0"/>
              <w:rPr>
                <w:sz w:val="15"/>
                <w:szCs w:val="15"/>
                <w:color w:val="auto"/>
              </w:rPr>
            </w:pPr>
          </w:p>
        </w:tc>
        <w:tc>
          <w:tcPr>
            <w:tcW w:w="120" w:type="dxa"/>
            <w:vAlign w:val="bottom"/>
            <w:shd w:val="clear" w:color="auto" w:fill="D8D8D8"/>
          </w:tcPr>
          <w:p>
            <w:pPr>
              <w:spacing w:after="0"/>
              <w:rPr>
                <w:sz w:val="15"/>
                <w:szCs w:val="15"/>
                <w:color w:val="auto"/>
              </w:rPr>
            </w:pPr>
          </w:p>
        </w:tc>
      </w:tr>
      <w:tr>
        <w:trPr>
          <w:trHeight w:val="203"/>
        </w:trPr>
        <w:tc>
          <w:tcPr>
            <w:tcW w:w="5660" w:type="dxa"/>
            <w:vAlign w:val="bottom"/>
            <w:shd w:val="clear" w:color="auto" w:fill="D8D8D8"/>
          </w:tcPr>
          <w:p>
            <w:pPr>
              <w:ind w:left="160"/>
              <w:spacing w:after="0"/>
              <w:rPr>
                <w:sz w:val="20"/>
                <w:szCs w:val="20"/>
                <w:color w:val="auto"/>
              </w:rPr>
            </w:pPr>
            <w:r>
              <w:rPr>
                <w:rFonts w:ascii="Arial" w:cs="Arial" w:eastAsia="Arial" w:hAnsi="Arial"/>
                <w:sz w:val="16"/>
                <w:szCs w:val="16"/>
                <w:color w:val="auto"/>
              </w:rPr>
              <w:t>Granted Prior to Year that Vested During Year</w:t>
            </w:r>
          </w:p>
        </w:tc>
        <w:tc>
          <w:tcPr>
            <w:tcW w:w="280" w:type="dxa"/>
            <w:vAlign w:val="bottom"/>
            <w:shd w:val="clear" w:color="auto" w:fill="D8D8D8"/>
          </w:tcPr>
          <w:p>
            <w:pPr>
              <w:spacing w:after="0"/>
              <w:rPr>
                <w:sz w:val="20"/>
                <w:szCs w:val="20"/>
                <w:color w:val="auto"/>
              </w:rPr>
            </w:pPr>
            <w:r>
              <w:rPr>
                <w:rFonts w:ascii="Arial" w:cs="Arial" w:eastAsia="Arial" w:hAnsi="Arial"/>
                <w:sz w:val="16"/>
                <w:szCs w:val="16"/>
                <w:color w:val="auto"/>
              </w:rPr>
              <w:t>  $</w:t>
            </w:r>
          </w:p>
        </w:tc>
        <w:tc>
          <w:tcPr>
            <w:tcW w:w="1000" w:type="dxa"/>
            <w:vAlign w:val="bottom"/>
            <w:shd w:val="clear" w:color="auto" w:fill="D8D8D8"/>
          </w:tcPr>
          <w:p>
            <w:pPr>
              <w:jc w:val="right"/>
              <w:ind w:right="100"/>
              <w:spacing w:after="0"/>
              <w:rPr>
                <w:sz w:val="20"/>
                <w:szCs w:val="20"/>
                <w:color w:val="auto"/>
              </w:rPr>
            </w:pPr>
            <w:r>
              <w:rPr>
                <w:rFonts w:ascii="Arial" w:cs="Arial" w:eastAsia="Arial" w:hAnsi="Arial"/>
                <w:sz w:val="16"/>
                <w:szCs w:val="16"/>
                <w:color w:val="auto"/>
              </w:rPr>
              <w:t>449,965</w:t>
            </w:r>
          </w:p>
        </w:tc>
        <w:tc>
          <w:tcPr>
            <w:tcW w:w="340" w:type="dxa"/>
            <w:vAlign w:val="bottom"/>
            <w:shd w:val="clear" w:color="auto" w:fill="D8D8D8"/>
          </w:tcPr>
          <w:p>
            <w:pPr>
              <w:ind w:left="140"/>
              <w:spacing w:after="0"/>
              <w:rPr>
                <w:sz w:val="20"/>
                <w:szCs w:val="20"/>
                <w:color w:val="auto"/>
              </w:rPr>
            </w:pPr>
            <w:r>
              <w:rPr>
                <w:rFonts w:ascii="Arial" w:cs="Arial" w:eastAsia="Arial" w:hAnsi="Arial"/>
                <w:sz w:val="16"/>
                <w:szCs w:val="16"/>
                <w:color w:val="auto"/>
              </w:rPr>
              <w:t>$</w:t>
            </w:r>
          </w:p>
        </w:tc>
        <w:tc>
          <w:tcPr>
            <w:tcW w:w="1220" w:type="dxa"/>
            <w:vAlign w:val="bottom"/>
            <w:shd w:val="clear" w:color="auto" w:fill="D8D8D8"/>
          </w:tcPr>
          <w:p>
            <w:pPr>
              <w:jc w:val="right"/>
              <w:ind w:right="181"/>
              <w:spacing w:after="0"/>
              <w:rPr>
                <w:sz w:val="20"/>
                <w:szCs w:val="20"/>
                <w:color w:val="auto"/>
              </w:rPr>
            </w:pPr>
            <w:r>
              <w:rPr>
                <w:rFonts w:ascii="Arial" w:cs="Arial" w:eastAsia="Arial" w:hAnsi="Arial"/>
                <w:sz w:val="16"/>
                <w:szCs w:val="16"/>
                <w:color w:val="auto"/>
              </w:rPr>
              <w:t>66,969</w:t>
            </w:r>
          </w:p>
        </w:tc>
        <w:tc>
          <w:tcPr>
            <w:tcW w:w="240" w:type="dxa"/>
            <w:vAlign w:val="bottom"/>
            <w:shd w:val="clear" w:color="auto" w:fill="D8D8D8"/>
          </w:tcPr>
          <w:p>
            <w:pPr>
              <w:ind w:left="60"/>
              <w:spacing w:after="0"/>
              <w:rPr>
                <w:sz w:val="20"/>
                <w:szCs w:val="20"/>
                <w:color w:val="auto"/>
              </w:rPr>
            </w:pPr>
            <w:r>
              <w:rPr>
                <w:rFonts w:ascii="Arial" w:cs="Arial" w:eastAsia="Arial" w:hAnsi="Arial"/>
                <w:sz w:val="16"/>
                <w:szCs w:val="16"/>
                <w:color w:val="auto"/>
              </w:rPr>
              <w:t>$</w:t>
            </w:r>
          </w:p>
        </w:tc>
        <w:tc>
          <w:tcPr>
            <w:tcW w:w="820" w:type="dxa"/>
            <w:vAlign w:val="bottom"/>
            <w:shd w:val="clear" w:color="auto" w:fill="D8D8D8"/>
          </w:tcPr>
          <w:p>
            <w:pPr>
              <w:jc w:val="right"/>
              <w:spacing w:after="0"/>
              <w:rPr>
                <w:sz w:val="20"/>
                <w:szCs w:val="20"/>
                <w:color w:val="auto"/>
              </w:rPr>
            </w:pPr>
            <w:r>
              <w:rPr>
                <w:rFonts w:ascii="Arial" w:cs="Arial" w:eastAsia="Arial" w:hAnsi="Arial"/>
                <w:sz w:val="16"/>
                <w:szCs w:val="16"/>
                <w:color w:val="auto"/>
              </w:rPr>
              <w:t>765,243</w:t>
            </w:r>
          </w:p>
        </w:tc>
        <w:tc>
          <w:tcPr>
            <w:tcW w:w="200" w:type="dxa"/>
            <w:vAlign w:val="bottom"/>
            <w:shd w:val="clear" w:color="auto" w:fill="D8D8D8"/>
          </w:tcPr>
          <w:p>
            <w:pPr>
              <w:spacing w:after="0"/>
              <w:rPr>
                <w:sz w:val="17"/>
                <w:szCs w:val="17"/>
                <w:color w:val="auto"/>
              </w:rPr>
            </w:pPr>
          </w:p>
        </w:tc>
        <w:tc>
          <w:tcPr>
            <w:tcW w:w="320" w:type="dxa"/>
            <w:vAlign w:val="bottom"/>
            <w:gridSpan w:val="2"/>
            <w:shd w:val="clear" w:color="auto" w:fill="D8D8D8"/>
          </w:tcPr>
          <w:p>
            <w:pPr>
              <w:ind w:left="14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D8D8D8"/>
          </w:tcPr>
          <w:p>
            <w:pPr>
              <w:jc w:val="right"/>
              <w:ind w:right="60"/>
              <w:spacing w:after="0"/>
              <w:rPr>
                <w:sz w:val="20"/>
                <w:szCs w:val="20"/>
                <w:color w:val="auto"/>
              </w:rPr>
            </w:pPr>
            <w:r>
              <w:rPr>
                <w:rFonts w:ascii="Arial" w:cs="Arial" w:eastAsia="Arial" w:hAnsi="Arial"/>
                <w:sz w:val="16"/>
                <w:szCs w:val="16"/>
                <w:color w:val="auto"/>
              </w:rPr>
              <w:t>(223,600)</w:t>
            </w:r>
          </w:p>
        </w:tc>
      </w:tr>
      <w:tr>
        <w:trPr>
          <w:trHeight w:val="175"/>
        </w:trPr>
        <w:tc>
          <w:tcPr>
            <w:tcW w:w="5660" w:type="dxa"/>
            <w:vAlign w:val="bottom"/>
          </w:tcPr>
          <w:p>
            <w:pPr>
              <w:spacing w:after="0" w:line="175" w:lineRule="exact"/>
              <w:rPr>
                <w:sz w:val="20"/>
                <w:szCs w:val="20"/>
                <w:color w:val="auto"/>
              </w:rPr>
            </w:pPr>
            <w:r>
              <w:rPr>
                <w:rFonts w:ascii="Arial" w:cs="Arial" w:eastAsia="Arial" w:hAnsi="Arial"/>
                <w:sz w:val="16"/>
                <w:szCs w:val="16"/>
                <w:color w:val="auto"/>
              </w:rPr>
              <w:t>Increase based on Dividends or Other Earnings Paid During Year prior to</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03"/>
        </w:trPr>
        <w:tc>
          <w:tcPr>
            <w:tcW w:w="5660" w:type="dxa"/>
            <w:vAlign w:val="bottom"/>
          </w:tcPr>
          <w:p>
            <w:pPr>
              <w:ind w:left="160"/>
              <w:spacing w:after="0"/>
              <w:rPr>
                <w:sz w:val="20"/>
                <w:szCs w:val="20"/>
                <w:color w:val="auto"/>
              </w:rPr>
            </w:pPr>
            <w:r>
              <w:rPr>
                <w:rFonts w:ascii="Arial" w:cs="Arial" w:eastAsia="Arial" w:hAnsi="Arial"/>
                <w:sz w:val="16"/>
                <w:szCs w:val="16"/>
                <w:color w:val="auto"/>
              </w:rPr>
              <w:t>Vesting Date of Award</w:t>
            </w:r>
          </w:p>
        </w:tc>
        <w:tc>
          <w:tcPr>
            <w:tcW w:w="280" w:type="dxa"/>
            <w:vAlign w:val="bottom"/>
          </w:tcPr>
          <w:p>
            <w:pPr>
              <w:spacing w:after="0"/>
              <w:rPr>
                <w:sz w:val="20"/>
                <w:szCs w:val="20"/>
                <w:color w:val="auto"/>
              </w:rPr>
            </w:pPr>
            <w:r>
              <w:rPr>
                <w:rFonts w:ascii="Arial" w:cs="Arial" w:eastAsia="Arial" w:hAnsi="Arial"/>
                <w:sz w:val="16"/>
                <w:szCs w:val="16"/>
                <w:color w:val="auto"/>
              </w:rPr>
              <w:t xml:space="preserve">  $ </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w w:val="96"/>
              </w:rPr>
              <w:t>   472,866</w:t>
            </w:r>
          </w:p>
        </w:tc>
        <w:tc>
          <w:tcPr>
            <w:tcW w:w="340" w:type="dxa"/>
            <w:vAlign w:val="bottom"/>
          </w:tcPr>
          <w:p>
            <w:pPr>
              <w:ind w:left="140"/>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81"/>
              <w:spacing w:after="0"/>
              <w:rPr>
                <w:sz w:val="20"/>
                <w:szCs w:val="20"/>
                <w:color w:val="auto"/>
              </w:rPr>
            </w:pPr>
            <w:r>
              <w:rPr>
                <w:rFonts w:ascii="Arial" w:cs="Arial" w:eastAsia="Arial" w:hAnsi="Arial"/>
                <w:sz w:val="16"/>
                <w:szCs w:val="16"/>
                <w:color w:val="auto"/>
              </w:rPr>
              <w:t>436,488</w:t>
            </w:r>
          </w:p>
        </w:tc>
        <w:tc>
          <w:tcPr>
            <w:tcW w:w="240" w:type="dxa"/>
            <w:vAlign w:val="bottom"/>
          </w:tcPr>
          <w:p>
            <w:pPr>
              <w:ind w:left="60"/>
              <w:spacing w:after="0"/>
              <w:rPr>
                <w:sz w:val="20"/>
                <w:szCs w:val="20"/>
                <w:color w:val="auto"/>
              </w:rPr>
            </w:pPr>
            <w:r>
              <w:rPr>
                <w:rFonts w:ascii="Arial" w:cs="Arial" w:eastAsia="Arial" w:hAnsi="Arial"/>
                <w:sz w:val="16"/>
                <w:szCs w:val="16"/>
                <w:color w:val="auto"/>
              </w:rPr>
              <w:t xml:space="preserve">$ </w:t>
            </w: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w w:val="96"/>
              </w:rPr>
              <w:t>   409,008</w:t>
            </w:r>
          </w:p>
        </w:tc>
        <w:tc>
          <w:tcPr>
            <w:tcW w:w="320" w:type="dxa"/>
            <w:vAlign w:val="bottom"/>
            <w:gridSpan w:val="2"/>
          </w:tcPr>
          <w:p>
            <w:pPr>
              <w:ind w:left="140"/>
              <w:spacing w:after="0"/>
              <w:rPr>
                <w:sz w:val="20"/>
                <w:szCs w:val="20"/>
                <w:color w:val="auto"/>
              </w:rPr>
            </w:pPr>
            <w:r>
              <w:rPr>
                <w:rFonts w:ascii="Arial" w:cs="Arial" w:eastAsia="Arial" w:hAnsi="Arial"/>
                <w:sz w:val="16"/>
                <w:szCs w:val="16"/>
                <w:color w:val="auto"/>
              </w:rPr>
              <w:t xml:space="preserve">$ </w:t>
            </w: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w w:val="96"/>
              </w:rPr>
              <w:t>   371,631</w:t>
            </w:r>
          </w:p>
        </w:tc>
      </w:tr>
      <w:tr>
        <w:trPr>
          <w:trHeight w:val="27"/>
        </w:trPr>
        <w:tc>
          <w:tcPr>
            <w:tcW w:w="56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189"/>
        </w:trPr>
        <w:tc>
          <w:tcPr>
            <w:tcW w:w="5660" w:type="dxa"/>
            <w:vAlign w:val="bottom"/>
            <w:shd w:val="clear" w:color="auto" w:fill="D8D8D8"/>
          </w:tcPr>
          <w:p>
            <w:pPr>
              <w:spacing w:after="0"/>
              <w:rPr>
                <w:sz w:val="20"/>
                <w:szCs w:val="20"/>
                <w:color w:val="auto"/>
              </w:rPr>
            </w:pPr>
            <w:r>
              <w:rPr>
                <w:rFonts w:ascii="Arial" w:cs="Arial" w:eastAsia="Arial" w:hAnsi="Arial"/>
                <w:sz w:val="16"/>
                <w:szCs w:val="16"/>
                <w:b w:val="1"/>
                <w:bCs w:val="1"/>
                <w:color w:val="auto"/>
              </w:rPr>
              <w:t>Total Adjustments</w:t>
            </w:r>
          </w:p>
        </w:tc>
        <w:tc>
          <w:tcPr>
            <w:tcW w:w="280" w:type="dxa"/>
            <w:vAlign w:val="bottom"/>
            <w:shd w:val="clear" w:color="auto" w:fill="D8D8D8"/>
          </w:tcPr>
          <w:p>
            <w:pPr>
              <w:spacing w:after="0"/>
              <w:rPr>
                <w:sz w:val="20"/>
                <w:szCs w:val="20"/>
                <w:color w:val="auto"/>
              </w:rPr>
            </w:pPr>
            <w:r>
              <w:rPr>
                <w:rFonts w:ascii="Arial" w:cs="Arial" w:eastAsia="Arial" w:hAnsi="Arial"/>
                <w:sz w:val="16"/>
                <w:szCs w:val="16"/>
                <w:b w:val="1"/>
                <w:bCs w:val="1"/>
                <w:color w:val="auto"/>
              </w:rPr>
              <w:t>  $</w:t>
            </w:r>
          </w:p>
        </w:tc>
        <w:tc>
          <w:tcPr>
            <w:tcW w:w="1000" w:type="dxa"/>
            <w:vAlign w:val="bottom"/>
            <w:shd w:val="clear" w:color="auto" w:fill="D8D8D8"/>
          </w:tcPr>
          <w:p>
            <w:pPr>
              <w:jc w:val="right"/>
              <w:ind w:right="100"/>
              <w:spacing w:after="0"/>
              <w:rPr>
                <w:sz w:val="20"/>
                <w:szCs w:val="20"/>
                <w:color w:val="auto"/>
              </w:rPr>
            </w:pPr>
            <w:r>
              <w:rPr>
                <w:rFonts w:ascii="Arial" w:cs="Arial" w:eastAsia="Arial" w:hAnsi="Arial"/>
                <w:sz w:val="16"/>
                <w:szCs w:val="16"/>
                <w:b w:val="1"/>
                <w:bCs w:val="1"/>
                <w:color w:val="auto"/>
              </w:rPr>
              <w:t>1,030,762</w:t>
            </w:r>
          </w:p>
        </w:tc>
        <w:tc>
          <w:tcPr>
            <w:tcW w:w="340" w:type="dxa"/>
            <w:vAlign w:val="bottom"/>
            <w:shd w:val="clear" w:color="auto" w:fill="D8D8D8"/>
          </w:tcPr>
          <w:p>
            <w:pPr>
              <w:ind w:left="140"/>
              <w:spacing w:after="0"/>
              <w:rPr>
                <w:sz w:val="20"/>
                <w:szCs w:val="20"/>
                <w:color w:val="auto"/>
              </w:rPr>
            </w:pPr>
            <w:r>
              <w:rPr>
                <w:rFonts w:ascii="Arial" w:cs="Arial" w:eastAsia="Arial" w:hAnsi="Arial"/>
                <w:sz w:val="16"/>
                <w:szCs w:val="16"/>
                <w:b w:val="1"/>
                <w:bCs w:val="1"/>
                <w:color w:val="auto"/>
              </w:rPr>
              <w:t>$</w:t>
            </w:r>
          </w:p>
        </w:tc>
        <w:tc>
          <w:tcPr>
            <w:tcW w:w="1220" w:type="dxa"/>
            <w:vAlign w:val="bottom"/>
            <w:shd w:val="clear" w:color="auto" w:fill="D8D8D8"/>
          </w:tcPr>
          <w:p>
            <w:pPr>
              <w:jc w:val="right"/>
              <w:ind w:right="141"/>
              <w:spacing w:after="0"/>
              <w:rPr>
                <w:sz w:val="20"/>
                <w:szCs w:val="20"/>
                <w:color w:val="auto"/>
              </w:rPr>
            </w:pPr>
            <w:r>
              <w:rPr>
                <w:rFonts w:ascii="Arial" w:cs="Arial" w:eastAsia="Arial" w:hAnsi="Arial"/>
                <w:sz w:val="16"/>
                <w:szCs w:val="16"/>
                <w:b w:val="1"/>
                <w:bCs w:val="1"/>
                <w:color w:val="auto"/>
              </w:rPr>
              <w:t>(2,345,236)</w:t>
            </w:r>
          </w:p>
        </w:tc>
        <w:tc>
          <w:tcPr>
            <w:tcW w:w="240" w:type="dxa"/>
            <w:vAlign w:val="bottom"/>
            <w:shd w:val="clear" w:color="auto" w:fill="D8D8D8"/>
          </w:tcPr>
          <w:p>
            <w:pPr>
              <w:ind w:left="60"/>
              <w:spacing w:after="0"/>
              <w:rPr>
                <w:sz w:val="20"/>
                <w:szCs w:val="20"/>
                <w:color w:val="auto"/>
              </w:rPr>
            </w:pPr>
            <w:r>
              <w:rPr>
                <w:rFonts w:ascii="Arial" w:cs="Arial" w:eastAsia="Arial" w:hAnsi="Arial"/>
                <w:sz w:val="16"/>
                <w:szCs w:val="16"/>
                <w:b w:val="1"/>
                <w:bCs w:val="1"/>
                <w:color w:val="auto"/>
              </w:rPr>
              <w:t>$</w:t>
            </w:r>
          </w:p>
        </w:tc>
        <w:tc>
          <w:tcPr>
            <w:tcW w:w="1020" w:type="dxa"/>
            <w:vAlign w:val="bottom"/>
            <w:gridSpan w:val="2"/>
            <w:shd w:val="clear" w:color="auto" w:fill="D8D8D8"/>
          </w:tcPr>
          <w:p>
            <w:pPr>
              <w:jc w:val="right"/>
              <w:ind w:right="200"/>
              <w:spacing w:after="0"/>
              <w:rPr>
                <w:sz w:val="20"/>
                <w:szCs w:val="20"/>
                <w:color w:val="auto"/>
              </w:rPr>
            </w:pPr>
            <w:r>
              <w:rPr>
                <w:rFonts w:ascii="Arial" w:cs="Arial" w:eastAsia="Arial" w:hAnsi="Arial"/>
                <w:sz w:val="16"/>
                <w:szCs w:val="16"/>
                <w:b w:val="1"/>
                <w:bCs w:val="1"/>
                <w:color w:val="auto"/>
              </w:rPr>
              <w:t>7,925,792</w:t>
            </w:r>
          </w:p>
        </w:tc>
        <w:tc>
          <w:tcPr>
            <w:tcW w:w="320" w:type="dxa"/>
            <w:vAlign w:val="bottom"/>
            <w:gridSpan w:val="2"/>
            <w:shd w:val="clear" w:color="auto" w:fill="D8D8D8"/>
          </w:tcPr>
          <w:p>
            <w:pPr>
              <w:ind w:left="140"/>
              <w:spacing w:after="0"/>
              <w:rPr>
                <w:sz w:val="20"/>
                <w:szCs w:val="20"/>
                <w:color w:val="auto"/>
              </w:rPr>
            </w:pPr>
            <w:r>
              <w:rPr>
                <w:rFonts w:ascii="Arial" w:cs="Arial" w:eastAsia="Arial" w:hAnsi="Arial"/>
                <w:sz w:val="16"/>
                <w:szCs w:val="16"/>
                <w:b w:val="1"/>
                <w:bCs w:val="1"/>
                <w:color w:val="auto"/>
              </w:rPr>
              <w:t>$</w:t>
            </w:r>
          </w:p>
        </w:tc>
        <w:tc>
          <w:tcPr>
            <w:tcW w:w="940" w:type="dxa"/>
            <w:vAlign w:val="bottom"/>
            <w:gridSpan w:val="2"/>
            <w:shd w:val="clear" w:color="auto" w:fill="D8D8D8"/>
          </w:tcPr>
          <w:p>
            <w:pPr>
              <w:jc w:val="right"/>
              <w:ind w:right="60"/>
              <w:spacing w:after="0"/>
              <w:rPr>
                <w:sz w:val="20"/>
                <w:szCs w:val="20"/>
                <w:color w:val="auto"/>
              </w:rPr>
            </w:pPr>
            <w:r>
              <w:rPr>
                <w:rFonts w:ascii="Arial" w:cs="Arial" w:eastAsia="Arial" w:hAnsi="Arial"/>
                <w:sz w:val="16"/>
                <w:szCs w:val="16"/>
                <w:b w:val="1"/>
                <w:bCs w:val="1"/>
                <w:color w:val="auto"/>
              </w:rPr>
              <w:t>(5,649,582)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5" w:lineRule="exact"/>
        <w:rPr>
          <w:sz w:val="20"/>
          <w:szCs w:val="20"/>
          <w:color w:val="auto"/>
        </w:rPr>
      </w:pPr>
    </w:p>
    <w:p>
      <w:pPr>
        <w:jc w:val="both"/>
        <w:ind w:left="540" w:right="20" w:hanging="424"/>
        <w:spacing w:after="0" w:line="237" w:lineRule="auto"/>
        <w:tabs>
          <w:tab w:leader="none" w:pos="540" w:val="left"/>
        </w:tabs>
        <w:numPr>
          <w:ilvl w:val="0"/>
          <w:numId w:val="77"/>
        </w:numPr>
        <w:rPr>
          <w:rFonts w:ascii="Arial" w:cs="Arial" w:eastAsia="Arial" w:hAnsi="Arial"/>
          <w:sz w:val="20"/>
          <w:szCs w:val="20"/>
          <w:color w:val="auto"/>
          <w:vertAlign w:val="superscript"/>
        </w:rPr>
      </w:pPr>
      <w:r>
        <w:rPr>
          <w:rFonts w:ascii="Arial" w:cs="Arial" w:eastAsia="Arial" w:hAnsi="Arial"/>
          <w:sz w:val="16"/>
          <w:szCs w:val="16"/>
          <w:color w:val="auto"/>
        </w:rPr>
        <w:t>For 2020, our other NEOs included Mr. Guglielmone and Ms. Becker. For 2021, 2022 and 2023, our other NEOs included Mr. Berkes, Mr. Guglielmone and Ms. Becker. Following are the adjustments made during each year shown to arrive at the average compensation actually paid to our other NEOs during each year.</w:t>
      </w:r>
    </w:p>
    <w:p>
      <w:pPr>
        <w:spacing w:after="0" w:line="112"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5540" w:type="dxa"/>
            <w:vAlign w:val="bottom"/>
            <w:shd w:val="clear" w:color="auto" w:fill="FF160F"/>
          </w:tcPr>
          <w:p>
            <w:pPr>
              <w:spacing w:after="0"/>
              <w:rPr>
                <w:sz w:val="14"/>
                <w:szCs w:val="14"/>
                <w:color w:val="auto"/>
              </w:rPr>
            </w:pPr>
          </w:p>
        </w:tc>
        <w:tc>
          <w:tcPr>
            <w:tcW w:w="280" w:type="dxa"/>
            <w:vAlign w:val="bottom"/>
            <w:shd w:val="clear" w:color="auto" w:fill="FF160F"/>
          </w:tcPr>
          <w:p>
            <w:pPr>
              <w:spacing w:after="0"/>
              <w:rPr>
                <w:sz w:val="14"/>
                <w:szCs w:val="14"/>
                <w:color w:val="auto"/>
              </w:rPr>
            </w:pPr>
          </w:p>
        </w:tc>
        <w:tc>
          <w:tcPr>
            <w:tcW w:w="1120" w:type="dxa"/>
            <w:vAlign w:val="bottom"/>
            <w:shd w:val="clear" w:color="auto" w:fill="FF160F"/>
          </w:tcPr>
          <w:p>
            <w:pPr>
              <w:spacing w:after="0"/>
              <w:rPr>
                <w:sz w:val="14"/>
                <w:szCs w:val="14"/>
                <w:color w:val="auto"/>
              </w:rPr>
            </w:pPr>
          </w:p>
        </w:tc>
        <w:tc>
          <w:tcPr>
            <w:tcW w:w="340" w:type="dxa"/>
            <w:vAlign w:val="bottom"/>
            <w:shd w:val="clear" w:color="auto" w:fill="FF160F"/>
          </w:tcPr>
          <w:p>
            <w:pPr>
              <w:spacing w:after="0"/>
              <w:rPr>
                <w:sz w:val="14"/>
                <w:szCs w:val="14"/>
                <w:color w:val="auto"/>
              </w:rPr>
            </w:pPr>
          </w:p>
        </w:tc>
        <w:tc>
          <w:tcPr>
            <w:tcW w:w="2480" w:type="dxa"/>
            <w:vAlign w:val="bottom"/>
            <w:gridSpan w:val="4"/>
            <w:shd w:val="clear" w:color="auto" w:fill="FF160F"/>
          </w:tcPr>
          <w:p>
            <w:pPr>
              <w:jc w:val="right"/>
              <w:ind w:right="740"/>
              <w:spacing w:after="0"/>
              <w:rPr>
                <w:sz w:val="20"/>
                <w:szCs w:val="20"/>
                <w:color w:val="auto"/>
              </w:rPr>
            </w:pPr>
            <w:r>
              <w:rPr>
                <w:rFonts w:ascii="Arial" w:cs="Arial" w:eastAsia="Arial" w:hAnsi="Arial"/>
                <w:sz w:val="14"/>
                <w:szCs w:val="14"/>
                <w:b w:val="1"/>
                <w:bCs w:val="1"/>
                <w:color w:val="FFFFFF"/>
              </w:rPr>
              <w:t>Average of Other NEOs</w:t>
            </w:r>
          </w:p>
        </w:tc>
        <w:tc>
          <w:tcPr>
            <w:tcW w:w="140" w:type="dxa"/>
            <w:vAlign w:val="bottom"/>
            <w:shd w:val="clear" w:color="auto" w:fill="FF160F"/>
          </w:tcPr>
          <w:p>
            <w:pPr>
              <w:spacing w:after="0"/>
              <w:rPr>
                <w:sz w:val="14"/>
                <w:szCs w:val="14"/>
                <w:color w:val="auto"/>
              </w:rPr>
            </w:pPr>
          </w:p>
        </w:tc>
        <w:tc>
          <w:tcPr>
            <w:tcW w:w="200" w:type="dxa"/>
            <w:vAlign w:val="bottom"/>
            <w:shd w:val="clear" w:color="auto" w:fill="FF160F"/>
          </w:tcPr>
          <w:p>
            <w:pPr>
              <w:spacing w:after="0"/>
              <w:rPr>
                <w:sz w:val="14"/>
                <w:szCs w:val="14"/>
                <w:color w:val="auto"/>
              </w:rPr>
            </w:pPr>
          </w:p>
        </w:tc>
        <w:tc>
          <w:tcPr>
            <w:tcW w:w="800" w:type="dxa"/>
            <w:vAlign w:val="bottom"/>
            <w:shd w:val="clear" w:color="auto" w:fill="FF160F"/>
          </w:tcPr>
          <w:p>
            <w:pPr>
              <w:spacing w:after="0"/>
              <w:rPr>
                <w:sz w:val="14"/>
                <w:szCs w:val="14"/>
                <w:color w:val="auto"/>
              </w:rPr>
            </w:pPr>
          </w:p>
        </w:tc>
        <w:tc>
          <w:tcPr>
            <w:tcW w:w="120" w:type="dxa"/>
            <w:vAlign w:val="bottom"/>
            <w:shd w:val="clear" w:color="auto" w:fill="FF160F"/>
          </w:tcPr>
          <w:p>
            <w:pPr>
              <w:spacing w:after="0"/>
              <w:rPr>
                <w:sz w:val="14"/>
                <w:szCs w:val="14"/>
                <w:color w:val="auto"/>
              </w:rPr>
            </w:pPr>
          </w:p>
        </w:tc>
      </w:tr>
      <w:tr>
        <w:trPr>
          <w:trHeight w:val="162"/>
        </w:trPr>
        <w:tc>
          <w:tcPr>
            <w:tcW w:w="5540" w:type="dxa"/>
            <w:vAlign w:val="bottom"/>
            <w:shd w:val="clear" w:color="auto" w:fill="FF160F"/>
          </w:tcPr>
          <w:p>
            <w:pPr>
              <w:spacing w:after="0"/>
              <w:rPr>
                <w:sz w:val="20"/>
                <w:szCs w:val="20"/>
                <w:color w:val="auto"/>
              </w:rPr>
            </w:pPr>
            <w:r>
              <w:rPr>
                <w:rFonts w:ascii="Arial" w:cs="Arial" w:eastAsia="Arial" w:hAnsi="Arial"/>
                <w:sz w:val="14"/>
                <w:szCs w:val="14"/>
                <w:b w:val="1"/>
                <w:bCs w:val="1"/>
                <w:color w:val="FFFFFF"/>
              </w:rPr>
              <w:t>Adjustments</w:t>
            </w:r>
          </w:p>
        </w:tc>
        <w:tc>
          <w:tcPr>
            <w:tcW w:w="280" w:type="dxa"/>
            <w:vAlign w:val="bottom"/>
            <w:shd w:val="clear" w:color="auto" w:fill="FF160F"/>
          </w:tcPr>
          <w:p>
            <w:pPr>
              <w:spacing w:after="0"/>
              <w:rPr>
                <w:sz w:val="14"/>
                <w:szCs w:val="14"/>
                <w:color w:val="auto"/>
              </w:rPr>
            </w:pPr>
          </w:p>
        </w:tc>
        <w:tc>
          <w:tcPr>
            <w:tcW w:w="1120" w:type="dxa"/>
            <w:vAlign w:val="bottom"/>
            <w:shd w:val="clear" w:color="auto" w:fill="FF160F"/>
          </w:tcPr>
          <w:p>
            <w:pPr>
              <w:jc w:val="right"/>
              <w:ind w:right="560"/>
              <w:spacing w:after="0"/>
              <w:rPr>
                <w:sz w:val="20"/>
                <w:szCs w:val="20"/>
                <w:color w:val="auto"/>
              </w:rPr>
            </w:pPr>
            <w:r>
              <w:rPr>
                <w:rFonts w:ascii="Arial" w:cs="Arial" w:eastAsia="Arial" w:hAnsi="Arial"/>
                <w:sz w:val="14"/>
                <w:szCs w:val="14"/>
                <w:b w:val="1"/>
                <w:bCs w:val="1"/>
                <w:color w:val="FFFFFF"/>
              </w:rPr>
              <w:t>2023</w:t>
            </w:r>
          </w:p>
        </w:tc>
        <w:tc>
          <w:tcPr>
            <w:tcW w:w="340" w:type="dxa"/>
            <w:vAlign w:val="bottom"/>
            <w:shd w:val="clear" w:color="auto" w:fill="FF160F"/>
          </w:tcPr>
          <w:p>
            <w:pPr>
              <w:spacing w:after="0"/>
              <w:rPr>
                <w:sz w:val="14"/>
                <w:szCs w:val="14"/>
                <w:color w:val="auto"/>
              </w:rPr>
            </w:pPr>
          </w:p>
        </w:tc>
        <w:tc>
          <w:tcPr>
            <w:tcW w:w="1000" w:type="dxa"/>
            <w:vAlign w:val="bottom"/>
            <w:shd w:val="clear" w:color="auto" w:fill="FF160F"/>
          </w:tcPr>
          <w:p>
            <w:pPr>
              <w:jc w:val="right"/>
              <w:ind w:right="461"/>
              <w:spacing w:after="0"/>
              <w:rPr>
                <w:sz w:val="20"/>
                <w:szCs w:val="20"/>
                <w:color w:val="auto"/>
              </w:rPr>
            </w:pPr>
            <w:r>
              <w:rPr>
                <w:rFonts w:ascii="Arial" w:cs="Arial" w:eastAsia="Arial" w:hAnsi="Arial"/>
                <w:sz w:val="14"/>
                <w:szCs w:val="14"/>
                <w:b w:val="1"/>
                <w:bCs w:val="1"/>
                <w:color w:val="FFFFFF"/>
              </w:rPr>
              <w:t>2022</w:t>
            </w:r>
          </w:p>
        </w:tc>
        <w:tc>
          <w:tcPr>
            <w:tcW w:w="340" w:type="dxa"/>
            <w:vAlign w:val="bottom"/>
            <w:shd w:val="clear" w:color="auto" w:fill="FF160F"/>
          </w:tcPr>
          <w:p>
            <w:pPr>
              <w:spacing w:after="0"/>
              <w:rPr>
                <w:sz w:val="14"/>
                <w:szCs w:val="14"/>
                <w:color w:val="auto"/>
              </w:rPr>
            </w:pPr>
          </w:p>
        </w:tc>
        <w:tc>
          <w:tcPr>
            <w:tcW w:w="940" w:type="dxa"/>
            <w:vAlign w:val="bottom"/>
            <w:shd w:val="clear" w:color="auto" w:fill="FF160F"/>
          </w:tcPr>
          <w:p>
            <w:pPr>
              <w:jc w:val="right"/>
              <w:ind w:right="320"/>
              <w:spacing w:after="0"/>
              <w:rPr>
                <w:sz w:val="20"/>
                <w:szCs w:val="20"/>
                <w:color w:val="auto"/>
              </w:rPr>
            </w:pPr>
            <w:r>
              <w:rPr>
                <w:rFonts w:ascii="Arial" w:cs="Arial" w:eastAsia="Arial" w:hAnsi="Arial"/>
                <w:sz w:val="14"/>
                <w:szCs w:val="14"/>
                <w:b w:val="1"/>
                <w:bCs w:val="1"/>
                <w:color w:val="FFFFFF"/>
              </w:rPr>
              <w:t>2021</w:t>
            </w:r>
          </w:p>
        </w:tc>
        <w:tc>
          <w:tcPr>
            <w:tcW w:w="200" w:type="dxa"/>
            <w:vAlign w:val="bottom"/>
            <w:shd w:val="clear" w:color="auto" w:fill="FF160F"/>
          </w:tcPr>
          <w:p>
            <w:pPr>
              <w:spacing w:after="0"/>
              <w:rPr>
                <w:sz w:val="14"/>
                <w:szCs w:val="14"/>
                <w:color w:val="auto"/>
              </w:rPr>
            </w:pPr>
          </w:p>
        </w:tc>
        <w:tc>
          <w:tcPr>
            <w:tcW w:w="140" w:type="dxa"/>
            <w:vAlign w:val="bottom"/>
            <w:shd w:val="clear" w:color="auto" w:fill="FF160F"/>
          </w:tcPr>
          <w:p>
            <w:pPr>
              <w:spacing w:after="0"/>
              <w:rPr>
                <w:sz w:val="14"/>
                <w:szCs w:val="14"/>
                <w:color w:val="auto"/>
              </w:rPr>
            </w:pPr>
          </w:p>
        </w:tc>
        <w:tc>
          <w:tcPr>
            <w:tcW w:w="200" w:type="dxa"/>
            <w:vAlign w:val="bottom"/>
            <w:shd w:val="clear" w:color="auto" w:fill="FF160F"/>
          </w:tcPr>
          <w:p>
            <w:pPr>
              <w:spacing w:after="0"/>
              <w:rPr>
                <w:sz w:val="14"/>
                <w:szCs w:val="14"/>
                <w:color w:val="auto"/>
              </w:rPr>
            </w:pPr>
          </w:p>
        </w:tc>
        <w:tc>
          <w:tcPr>
            <w:tcW w:w="800" w:type="dxa"/>
            <w:vAlign w:val="bottom"/>
            <w:shd w:val="clear" w:color="auto" w:fill="FF160F"/>
          </w:tcPr>
          <w:p>
            <w:pPr>
              <w:jc w:val="right"/>
              <w:ind w:right="260"/>
              <w:spacing w:after="0"/>
              <w:rPr>
                <w:sz w:val="20"/>
                <w:szCs w:val="20"/>
                <w:color w:val="auto"/>
              </w:rPr>
            </w:pPr>
            <w:r>
              <w:rPr>
                <w:rFonts w:ascii="Arial" w:cs="Arial" w:eastAsia="Arial" w:hAnsi="Arial"/>
                <w:sz w:val="14"/>
                <w:szCs w:val="14"/>
                <w:b w:val="1"/>
                <w:bCs w:val="1"/>
                <w:color w:val="FFFFFF"/>
              </w:rPr>
              <w:t>2020</w:t>
            </w:r>
          </w:p>
        </w:tc>
        <w:tc>
          <w:tcPr>
            <w:tcW w:w="120" w:type="dxa"/>
            <w:vAlign w:val="bottom"/>
            <w:shd w:val="clear" w:color="auto" w:fill="FF160F"/>
          </w:tcPr>
          <w:p>
            <w:pPr>
              <w:spacing w:after="0"/>
              <w:rPr>
                <w:sz w:val="14"/>
                <w:szCs w:val="14"/>
                <w:color w:val="auto"/>
              </w:rPr>
            </w:pPr>
          </w:p>
        </w:tc>
      </w:tr>
      <w:tr>
        <w:trPr>
          <w:trHeight w:val="189"/>
        </w:trPr>
        <w:tc>
          <w:tcPr>
            <w:tcW w:w="5540" w:type="dxa"/>
            <w:vAlign w:val="bottom"/>
          </w:tcPr>
          <w:p>
            <w:pPr>
              <w:spacing w:after="0"/>
              <w:rPr>
                <w:sz w:val="20"/>
                <w:szCs w:val="20"/>
                <w:color w:val="auto"/>
              </w:rPr>
            </w:pPr>
            <w:r>
              <w:rPr>
                <w:rFonts w:ascii="Arial" w:cs="Arial" w:eastAsia="Arial" w:hAnsi="Arial"/>
                <w:sz w:val="16"/>
                <w:szCs w:val="16"/>
                <w:color w:val="auto"/>
              </w:rPr>
              <w:t>Amounts reported under "Stock Awards" in SCT</w:t>
            </w:r>
          </w:p>
        </w:tc>
        <w:tc>
          <w:tcPr>
            <w:tcW w:w="280" w:type="dxa"/>
            <w:vAlign w:val="bottom"/>
          </w:tcPr>
          <w:p>
            <w:pPr>
              <w:spacing w:after="0"/>
              <w:rPr>
                <w:sz w:val="20"/>
                <w:szCs w:val="20"/>
                <w:color w:val="auto"/>
              </w:rPr>
            </w:pPr>
            <w:r>
              <w:rPr>
                <w:rFonts w:ascii="Arial" w:cs="Arial" w:eastAsia="Arial" w:hAnsi="Arial"/>
                <w:sz w:val="16"/>
                <w:szCs w:val="16"/>
                <w:color w:val="auto"/>
              </w:rPr>
              <w:t>  $</w:t>
            </w: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(1,143,120)</w:t>
            </w:r>
          </w:p>
        </w:tc>
        <w:tc>
          <w:tcPr>
            <w:tcW w:w="340" w:type="dxa"/>
            <w:vAlign w:val="bottom"/>
          </w:tcPr>
          <w:p>
            <w:pPr>
              <w:ind w:left="14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41"/>
              <w:spacing w:after="0"/>
              <w:rPr>
                <w:sz w:val="20"/>
                <w:szCs w:val="20"/>
                <w:color w:val="auto"/>
              </w:rPr>
            </w:pPr>
            <w:r>
              <w:rPr>
                <w:rFonts w:ascii="Arial" w:cs="Arial" w:eastAsia="Arial" w:hAnsi="Arial"/>
                <w:sz w:val="16"/>
                <w:szCs w:val="16"/>
                <w:color w:val="auto"/>
              </w:rPr>
              <w:t>(941,423)</w:t>
            </w:r>
          </w:p>
        </w:tc>
        <w:tc>
          <w:tcPr>
            <w:tcW w:w="340" w:type="dxa"/>
            <w:vAlign w:val="bottom"/>
          </w:tcPr>
          <w:p>
            <w:pPr>
              <w:ind w:left="140"/>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6"/>
                <w:szCs w:val="16"/>
                <w:color w:val="auto"/>
              </w:rPr>
              <w:t>(1,903,744)</w:t>
            </w:r>
          </w:p>
        </w:tc>
        <w:tc>
          <w:tcPr>
            <w:tcW w:w="34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(863,272)</w:t>
            </w:r>
          </w:p>
        </w:tc>
      </w:tr>
      <w:tr>
        <w:trPr>
          <w:trHeight w:val="175"/>
        </w:trPr>
        <w:tc>
          <w:tcPr>
            <w:tcW w:w="5540" w:type="dxa"/>
            <w:vAlign w:val="bottom"/>
            <w:shd w:val="clear" w:color="auto" w:fill="D8D8D8"/>
          </w:tcPr>
          <w:p>
            <w:pPr>
              <w:spacing w:after="0" w:line="175" w:lineRule="exact"/>
              <w:rPr>
                <w:sz w:val="20"/>
                <w:szCs w:val="20"/>
                <w:color w:val="auto"/>
              </w:rPr>
            </w:pPr>
            <w:r>
              <w:rPr>
                <w:rFonts w:ascii="Arial" w:cs="Arial" w:eastAsia="Arial" w:hAnsi="Arial"/>
                <w:sz w:val="16"/>
                <w:szCs w:val="16"/>
                <w:color w:val="auto"/>
              </w:rPr>
              <w:t>Change Fair Value of Awards Granted in Year and Unvested as of Year-</w:t>
            </w:r>
          </w:p>
        </w:tc>
        <w:tc>
          <w:tcPr>
            <w:tcW w:w="280" w:type="dxa"/>
            <w:vAlign w:val="bottom"/>
            <w:shd w:val="clear" w:color="auto" w:fill="D8D8D8"/>
          </w:tcPr>
          <w:p>
            <w:pPr>
              <w:spacing w:after="0"/>
              <w:rPr>
                <w:sz w:val="15"/>
                <w:szCs w:val="15"/>
                <w:color w:val="auto"/>
              </w:rPr>
            </w:pPr>
          </w:p>
        </w:tc>
        <w:tc>
          <w:tcPr>
            <w:tcW w:w="1120" w:type="dxa"/>
            <w:vAlign w:val="bottom"/>
            <w:shd w:val="clear" w:color="auto" w:fill="D8D8D8"/>
          </w:tcPr>
          <w:p>
            <w:pPr>
              <w:spacing w:after="0"/>
              <w:rPr>
                <w:sz w:val="15"/>
                <w:szCs w:val="15"/>
                <w:color w:val="auto"/>
              </w:rPr>
            </w:pPr>
          </w:p>
        </w:tc>
        <w:tc>
          <w:tcPr>
            <w:tcW w:w="340" w:type="dxa"/>
            <w:vAlign w:val="bottom"/>
            <w:shd w:val="clear" w:color="auto" w:fill="D8D8D8"/>
          </w:tcPr>
          <w:p>
            <w:pPr>
              <w:spacing w:after="0"/>
              <w:rPr>
                <w:sz w:val="15"/>
                <w:szCs w:val="15"/>
                <w:color w:val="auto"/>
              </w:rPr>
            </w:pPr>
          </w:p>
        </w:tc>
        <w:tc>
          <w:tcPr>
            <w:tcW w:w="1000" w:type="dxa"/>
            <w:vAlign w:val="bottom"/>
            <w:shd w:val="clear" w:color="auto" w:fill="D8D8D8"/>
          </w:tcPr>
          <w:p>
            <w:pPr>
              <w:spacing w:after="0"/>
              <w:rPr>
                <w:sz w:val="15"/>
                <w:szCs w:val="15"/>
                <w:color w:val="auto"/>
              </w:rPr>
            </w:pPr>
          </w:p>
        </w:tc>
        <w:tc>
          <w:tcPr>
            <w:tcW w:w="340" w:type="dxa"/>
            <w:vAlign w:val="bottom"/>
            <w:shd w:val="clear" w:color="auto" w:fill="D8D8D8"/>
          </w:tcPr>
          <w:p>
            <w:pPr>
              <w:spacing w:after="0"/>
              <w:rPr>
                <w:sz w:val="15"/>
                <w:szCs w:val="15"/>
                <w:color w:val="auto"/>
              </w:rPr>
            </w:pPr>
          </w:p>
        </w:tc>
        <w:tc>
          <w:tcPr>
            <w:tcW w:w="940" w:type="dxa"/>
            <w:vAlign w:val="bottom"/>
            <w:shd w:val="clear" w:color="auto" w:fill="D8D8D8"/>
          </w:tcPr>
          <w:p>
            <w:pPr>
              <w:spacing w:after="0"/>
              <w:rPr>
                <w:sz w:val="15"/>
                <w:szCs w:val="15"/>
                <w:color w:val="auto"/>
              </w:rPr>
            </w:pPr>
          </w:p>
        </w:tc>
        <w:tc>
          <w:tcPr>
            <w:tcW w:w="200" w:type="dxa"/>
            <w:vAlign w:val="bottom"/>
            <w:shd w:val="clear" w:color="auto" w:fill="D8D8D8"/>
          </w:tcPr>
          <w:p>
            <w:pPr>
              <w:spacing w:after="0"/>
              <w:rPr>
                <w:sz w:val="15"/>
                <w:szCs w:val="15"/>
                <w:color w:val="auto"/>
              </w:rPr>
            </w:pPr>
          </w:p>
        </w:tc>
        <w:tc>
          <w:tcPr>
            <w:tcW w:w="140" w:type="dxa"/>
            <w:vAlign w:val="bottom"/>
            <w:shd w:val="clear" w:color="auto" w:fill="D8D8D8"/>
          </w:tcPr>
          <w:p>
            <w:pPr>
              <w:spacing w:after="0"/>
              <w:rPr>
                <w:sz w:val="15"/>
                <w:szCs w:val="15"/>
                <w:color w:val="auto"/>
              </w:rPr>
            </w:pPr>
          </w:p>
        </w:tc>
        <w:tc>
          <w:tcPr>
            <w:tcW w:w="200" w:type="dxa"/>
            <w:vAlign w:val="bottom"/>
            <w:shd w:val="clear" w:color="auto" w:fill="D8D8D8"/>
          </w:tcPr>
          <w:p>
            <w:pPr>
              <w:spacing w:after="0"/>
              <w:rPr>
                <w:sz w:val="15"/>
                <w:szCs w:val="15"/>
                <w:color w:val="auto"/>
              </w:rPr>
            </w:pPr>
          </w:p>
        </w:tc>
        <w:tc>
          <w:tcPr>
            <w:tcW w:w="800" w:type="dxa"/>
            <w:vAlign w:val="bottom"/>
            <w:shd w:val="clear" w:color="auto" w:fill="D8D8D8"/>
          </w:tcPr>
          <w:p>
            <w:pPr>
              <w:spacing w:after="0"/>
              <w:rPr>
                <w:sz w:val="15"/>
                <w:szCs w:val="15"/>
                <w:color w:val="auto"/>
              </w:rPr>
            </w:pPr>
          </w:p>
        </w:tc>
        <w:tc>
          <w:tcPr>
            <w:tcW w:w="120" w:type="dxa"/>
            <w:vAlign w:val="bottom"/>
            <w:shd w:val="clear" w:color="auto" w:fill="D8D8D8"/>
          </w:tcPr>
          <w:p>
            <w:pPr>
              <w:spacing w:after="0"/>
              <w:rPr>
                <w:sz w:val="15"/>
                <w:szCs w:val="15"/>
                <w:color w:val="auto"/>
              </w:rPr>
            </w:pPr>
          </w:p>
        </w:tc>
      </w:tr>
      <w:tr>
        <w:trPr>
          <w:trHeight w:val="203"/>
        </w:trPr>
        <w:tc>
          <w:tcPr>
            <w:tcW w:w="5540" w:type="dxa"/>
            <w:vAlign w:val="bottom"/>
            <w:shd w:val="clear" w:color="auto" w:fill="D8D8D8"/>
          </w:tcPr>
          <w:p>
            <w:pPr>
              <w:ind w:left="160"/>
              <w:spacing w:after="0"/>
              <w:rPr>
                <w:sz w:val="20"/>
                <w:szCs w:val="20"/>
                <w:color w:val="auto"/>
              </w:rPr>
            </w:pPr>
            <w:r>
              <w:rPr>
                <w:rFonts w:ascii="Arial" w:cs="Arial" w:eastAsia="Arial" w:hAnsi="Arial"/>
                <w:sz w:val="16"/>
                <w:szCs w:val="16"/>
                <w:color w:val="auto"/>
              </w:rPr>
              <w:t>End</w:t>
            </w:r>
          </w:p>
        </w:tc>
        <w:tc>
          <w:tcPr>
            <w:tcW w:w="280" w:type="dxa"/>
            <w:vAlign w:val="bottom"/>
            <w:shd w:val="clear" w:color="auto" w:fill="D8D8D8"/>
          </w:tcPr>
          <w:p>
            <w:pPr>
              <w:spacing w:after="0"/>
              <w:rPr>
                <w:sz w:val="20"/>
                <w:szCs w:val="20"/>
                <w:color w:val="auto"/>
              </w:rPr>
            </w:pPr>
            <w:r>
              <w:rPr>
                <w:rFonts w:ascii="Arial" w:cs="Arial" w:eastAsia="Arial" w:hAnsi="Arial"/>
                <w:sz w:val="16"/>
                <w:szCs w:val="16"/>
                <w:color w:val="auto"/>
              </w:rPr>
              <w:t xml:space="preserve">  $ </w:t>
            </w:r>
          </w:p>
        </w:tc>
        <w:tc>
          <w:tcPr>
            <w:tcW w:w="1120" w:type="dxa"/>
            <w:vAlign w:val="bottom"/>
            <w:shd w:val="clear" w:color="auto" w:fill="D8D8D8"/>
          </w:tcPr>
          <w:p>
            <w:pPr>
              <w:jc w:val="right"/>
              <w:ind w:right="100"/>
              <w:spacing w:after="0"/>
              <w:rPr>
                <w:sz w:val="20"/>
                <w:szCs w:val="20"/>
                <w:color w:val="auto"/>
              </w:rPr>
            </w:pPr>
            <w:r>
              <w:rPr>
                <w:rFonts w:ascii="Arial" w:cs="Arial" w:eastAsia="Arial" w:hAnsi="Arial"/>
                <w:sz w:val="16"/>
                <w:szCs w:val="16"/>
                <w:color w:val="auto"/>
                <w:w w:val="95"/>
              </w:rPr>
              <w:t>   1,090,565</w:t>
            </w:r>
          </w:p>
        </w:tc>
        <w:tc>
          <w:tcPr>
            <w:tcW w:w="340" w:type="dxa"/>
            <w:vAlign w:val="bottom"/>
            <w:shd w:val="clear" w:color="auto" w:fill="D8D8D8"/>
          </w:tcPr>
          <w:p>
            <w:pPr>
              <w:ind w:left="140"/>
              <w:spacing w:after="0"/>
              <w:rPr>
                <w:sz w:val="20"/>
                <w:szCs w:val="20"/>
                <w:color w:val="auto"/>
              </w:rPr>
            </w:pPr>
            <w:r>
              <w:rPr>
                <w:rFonts w:ascii="Arial" w:cs="Arial" w:eastAsia="Arial" w:hAnsi="Arial"/>
                <w:sz w:val="16"/>
                <w:szCs w:val="16"/>
                <w:color w:val="auto"/>
              </w:rPr>
              <w:t xml:space="preserve">$ </w:t>
            </w:r>
          </w:p>
        </w:tc>
        <w:tc>
          <w:tcPr>
            <w:tcW w:w="1000" w:type="dxa"/>
            <w:vAlign w:val="bottom"/>
            <w:shd w:val="clear" w:color="auto" w:fill="D8D8D8"/>
          </w:tcPr>
          <w:p>
            <w:pPr>
              <w:jc w:val="right"/>
              <w:ind w:right="101"/>
              <w:spacing w:after="0"/>
              <w:rPr>
                <w:sz w:val="20"/>
                <w:szCs w:val="20"/>
                <w:color w:val="auto"/>
              </w:rPr>
            </w:pPr>
            <w:r>
              <w:rPr>
                <w:rFonts w:ascii="Arial" w:cs="Arial" w:eastAsia="Arial" w:hAnsi="Arial"/>
                <w:sz w:val="16"/>
                <w:szCs w:val="16"/>
                <w:color w:val="auto"/>
                <w:w w:val="96"/>
              </w:rPr>
              <w:t>   752,007</w:t>
            </w:r>
          </w:p>
        </w:tc>
        <w:tc>
          <w:tcPr>
            <w:tcW w:w="340" w:type="dxa"/>
            <w:vAlign w:val="bottom"/>
            <w:shd w:val="clear" w:color="auto" w:fill="D8D8D8"/>
          </w:tcPr>
          <w:p>
            <w:pPr>
              <w:ind w:left="140"/>
              <w:spacing w:after="0"/>
              <w:rPr>
                <w:sz w:val="20"/>
                <w:szCs w:val="20"/>
                <w:color w:val="auto"/>
              </w:rPr>
            </w:pPr>
            <w:r>
              <w:rPr>
                <w:rFonts w:ascii="Arial" w:cs="Arial" w:eastAsia="Arial" w:hAnsi="Arial"/>
                <w:sz w:val="16"/>
                <w:szCs w:val="16"/>
                <w:color w:val="auto"/>
              </w:rPr>
              <w:t xml:space="preserve">$ </w:t>
            </w:r>
          </w:p>
        </w:tc>
        <w:tc>
          <w:tcPr>
            <w:tcW w:w="1140" w:type="dxa"/>
            <w:vAlign w:val="bottom"/>
            <w:gridSpan w:val="2"/>
            <w:shd w:val="clear" w:color="auto" w:fill="D8D8D8"/>
          </w:tcPr>
          <w:p>
            <w:pPr>
              <w:jc w:val="right"/>
              <w:ind w:right="200"/>
              <w:spacing w:after="0"/>
              <w:rPr>
                <w:sz w:val="20"/>
                <w:szCs w:val="20"/>
                <w:color w:val="auto"/>
              </w:rPr>
            </w:pPr>
            <w:r>
              <w:rPr>
                <w:rFonts w:ascii="Arial" w:cs="Arial" w:eastAsia="Arial" w:hAnsi="Arial"/>
                <w:sz w:val="16"/>
                <w:szCs w:val="16"/>
                <w:color w:val="auto"/>
                <w:w w:val="95"/>
              </w:rPr>
              <w:t>   1,669,647</w:t>
            </w:r>
          </w:p>
        </w:tc>
        <w:tc>
          <w:tcPr>
            <w:tcW w:w="340" w:type="dxa"/>
            <w:vAlign w:val="bottom"/>
            <w:gridSpan w:val="2"/>
            <w:shd w:val="clear" w:color="auto" w:fill="D8D8D8"/>
          </w:tcPr>
          <w:p>
            <w:pPr>
              <w:ind w:left="140"/>
              <w:spacing w:after="0"/>
              <w:rPr>
                <w:sz w:val="20"/>
                <w:szCs w:val="20"/>
                <w:color w:val="auto"/>
              </w:rPr>
            </w:pPr>
            <w:r>
              <w:rPr>
                <w:rFonts w:ascii="Arial" w:cs="Arial" w:eastAsia="Arial" w:hAnsi="Arial"/>
                <w:sz w:val="16"/>
                <w:szCs w:val="16"/>
                <w:color w:val="auto"/>
              </w:rPr>
              <w:t xml:space="preserve">$ </w:t>
            </w:r>
          </w:p>
        </w:tc>
        <w:tc>
          <w:tcPr>
            <w:tcW w:w="920" w:type="dxa"/>
            <w:vAlign w:val="bottom"/>
            <w:gridSpan w:val="2"/>
            <w:shd w:val="clear" w:color="auto" w:fill="D8D8D8"/>
          </w:tcPr>
          <w:p>
            <w:pPr>
              <w:jc w:val="right"/>
              <w:ind w:right="120"/>
              <w:spacing w:after="0"/>
              <w:rPr>
                <w:sz w:val="20"/>
                <w:szCs w:val="20"/>
                <w:color w:val="auto"/>
              </w:rPr>
            </w:pPr>
            <w:r>
              <w:rPr>
                <w:rFonts w:ascii="Arial" w:cs="Arial" w:eastAsia="Arial" w:hAnsi="Arial"/>
                <w:sz w:val="16"/>
                <w:szCs w:val="16"/>
                <w:color w:val="auto"/>
                <w:w w:val="94"/>
              </w:rPr>
              <w:t>   577,369</w:t>
            </w:r>
          </w:p>
        </w:tc>
      </w:tr>
      <w:tr>
        <w:trPr>
          <w:trHeight w:val="175"/>
        </w:trPr>
        <w:tc>
          <w:tcPr>
            <w:tcW w:w="5540" w:type="dxa"/>
            <w:vAlign w:val="bottom"/>
          </w:tcPr>
          <w:p>
            <w:pPr>
              <w:spacing w:after="0" w:line="175" w:lineRule="exact"/>
              <w:rPr>
                <w:sz w:val="20"/>
                <w:szCs w:val="20"/>
                <w:color w:val="auto"/>
              </w:rPr>
            </w:pPr>
            <w:r>
              <w:rPr>
                <w:rFonts w:ascii="Arial" w:cs="Arial" w:eastAsia="Arial" w:hAnsi="Arial"/>
                <w:sz w:val="16"/>
                <w:szCs w:val="16"/>
                <w:color w:val="auto"/>
              </w:rPr>
              <w:t>Change in Fair Value from Prior Year-End to Current Year-End of Awards</w:t>
            </w: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9"/>
        </w:trPr>
        <w:tc>
          <w:tcPr>
            <w:tcW w:w="5540" w:type="dxa"/>
            <w:vAlign w:val="bottom"/>
          </w:tcPr>
          <w:p>
            <w:pPr>
              <w:ind w:left="160"/>
              <w:spacing w:after="0"/>
              <w:rPr>
                <w:sz w:val="20"/>
                <w:szCs w:val="20"/>
                <w:color w:val="auto"/>
              </w:rPr>
            </w:pPr>
            <w:r>
              <w:rPr>
                <w:rFonts w:ascii="Arial" w:cs="Arial" w:eastAsia="Arial" w:hAnsi="Arial"/>
                <w:sz w:val="16"/>
                <w:szCs w:val="16"/>
                <w:color w:val="auto"/>
              </w:rPr>
              <w:t>Granted Prior to Year that were Outstanding and Unvested as of Year-</w:t>
            </w: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3"/>
        </w:trPr>
        <w:tc>
          <w:tcPr>
            <w:tcW w:w="5540" w:type="dxa"/>
            <w:vAlign w:val="bottom"/>
          </w:tcPr>
          <w:p>
            <w:pPr>
              <w:ind w:left="160"/>
              <w:spacing w:after="0"/>
              <w:rPr>
                <w:sz w:val="20"/>
                <w:szCs w:val="20"/>
                <w:color w:val="auto"/>
              </w:rPr>
            </w:pPr>
            <w:r>
              <w:rPr>
                <w:rFonts w:ascii="Arial" w:cs="Arial" w:eastAsia="Arial" w:hAnsi="Arial"/>
                <w:sz w:val="16"/>
                <w:szCs w:val="16"/>
                <w:color w:val="auto"/>
              </w:rPr>
              <w:t>End</w:t>
            </w:r>
          </w:p>
        </w:tc>
        <w:tc>
          <w:tcPr>
            <w:tcW w:w="280" w:type="dxa"/>
            <w:vAlign w:val="bottom"/>
          </w:tcPr>
          <w:p>
            <w:pPr>
              <w:spacing w:after="0"/>
              <w:rPr>
                <w:sz w:val="20"/>
                <w:szCs w:val="20"/>
                <w:color w:val="auto"/>
              </w:rPr>
            </w:pPr>
            <w:r>
              <w:rPr>
                <w:rFonts w:ascii="Arial" w:cs="Arial" w:eastAsia="Arial" w:hAnsi="Arial"/>
                <w:sz w:val="16"/>
                <w:szCs w:val="16"/>
                <w:color w:val="auto"/>
              </w:rPr>
              <w:t>  $</w:t>
            </w:r>
          </w:p>
        </w:tc>
        <w:tc>
          <w:tcPr>
            <w:tcW w:w="1120" w:type="dxa"/>
            <w:vAlign w:val="bottom"/>
          </w:tcPr>
          <w:p>
            <w:pPr>
              <w:jc w:val="right"/>
              <w:ind w:right="100"/>
              <w:spacing w:after="0"/>
              <w:rPr>
                <w:sz w:val="20"/>
                <w:szCs w:val="20"/>
                <w:color w:val="auto"/>
              </w:rPr>
            </w:pPr>
            <w:r>
              <w:rPr>
                <w:rFonts w:ascii="Arial" w:cs="Arial" w:eastAsia="Arial" w:hAnsi="Arial"/>
                <w:sz w:val="16"/>
                <w:szCs w:val="16"/>
                <w:color w:val="auto"/>
              </w:rPr>
              <w:t>99,558</w:t>
            </w:r>
          </w:p>
        </w:tc>
        <w:tc>
          <w:tcPr>
            <w:tcW w:w="340" w:type="dxa"/>
            <w:vAlign w:val="bottom"/>
          </w:tcPr>
          <w:p>
            <w:pPr>
              <w:ind w:left="14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41"/>
              <w:spacing w:after="0"/>
              <w:rPr>
                <w:sz w:val="20"/>
                <w:szCs w:val="20"/>
                <w:color w:val="auto"/>
              </w:rPr>
            </w:pPr>
            <w:r>
              <w:rPr>
                <w:rFonts w:ascii="Arial" w:cs="Arial" w:eastAsia="Arial" w:hAnsi="Arial"/>
                <w:sz w:val="16"/>
                <w:szCs w:val="16"/>
                <w:color w:val="auto"/>
              </w:rPr>
              <w:t>(433,020)</w:t>
            </w:r>
          </w:p>
        </w:tc>
        <w:tc>
          <w:tcPr>
            <w:tcW w:w="340" w:type="dxa"/>
            <w:vAlign w:val="bottom"/>
          </w:tcPr>
          <w:p>
            <w:pPr>
              <w:ind w:left="140"/>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1,024,717</w:t>
            </w:r>
          </w:p>
        </w:tc>
        <w:tc>
          <w:tcPr>
            <w:tcW w:w="34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(616,362)</w:t>
            </w:r>
          </w:p>
        </w:tc>
      </w:tr>
      <w:tr>
        <w:trPr>
          <w:trHeight w:val="175"/>
        </w:trPr>
        <w:tc>
          <w:tcPr>
            <w:tcW w:w="5540" w:type="dxa"/>
            <w:vAlign w:val="bottom"/>
            <w:shd w:val="clear" w:color="auto" w:fill="D8D8D8"/>
          </w:tcPr>
          <w:p>
            <w:pPr>
              <w:spacing w:after="0" w:line="175" w:lineRule="exact"/>
              <w:rPr>
                <w:sz w:val="20"/>
                <w:szCs w:val="20"/>
                <w:color w:val="auto"/>
              </w:rPr>
            </w:pPr>
            <w:r>
              <w:rPr>
                <w:rFonts w:ascii="Arial" w:cs="Arial" w:eastAsia="Arial" w:hAnsi="Arial"/>
                <w:sz w:val="16"/>
                <w:szCs w:val="16"/>
                <w:color w:val="auto"/>
              </w:rPr>
              <w:t>Change in Fair Value from Prior Year-End to Vesting Date of Awards</w:t>
            </w:r>
          </w:p>
        </w:tc>
        <w:tc>
          <w:tcPr>
            <w:tcW w:w="280" w:type="dxa"/>
            <w:vAlign w:val="bottom"/>
            <w:shd w:val="clear" w:color="auto" w:fill="D8D8D8"/>
          </w:tcPr>
          <w:p>
            <w:pPr>
              <w:spacing w:after="0"/>
              <w:rPr>
                <w:sz w:val="15"/>
                <w:szCs w:val="15"/>
                <w:color w:val="auto"/>
              </w:rPr>
            </w:pPr>
          </w:p>
        </w:tc>
        <w:tc>
          <w:tcPr>
            <w:tcW w:w="1120" w:type="dxa"/>
            <w:vAlign w:val="bottom"/>
            <w:shd w:val="clear" w:color="auto" w:fill="D8D8D8"/>
          </w:tcPr>
          <w:p>
            <w:pPr>
              <w:spacing w:after="0"/>
              <w:rPr>
                <w:sz w:val="15"/>
                <w:szCs w:val="15"/>
                <w:color w:val="auto"/>
              </w:rPr>
            </w:pPr>
          </w:p>
        </w:tc>
        <w:tc>
          <w:tcPr>
            <w:tcW w:w="340" w:type="dxa"/>
            <w:vAlign w:val="bottom"/>
            <w:shd w:val="clear" w:color="auto" w:fill="D8D8D8"/>
          </w:tcPr>
          <w:p>
            <w:pPr>
              <w:spacing w:after="0"/>
              <w:rPr>
                <w:sz w:val="15"/>
                <w:szCs w:val="15"/>
                <w:color w:val="auto"/>
              </w:rPr>
            </w:pPr>
          </w:p>
        </w:tc>
        <w:tc>
          <w:tcPr>
            <w:tcW w:w="1000" w:type="dxa"/>
            <w:vAlign w:val="bottom"/>
            <w:shd w:val="clear" w:color="auto" w:fill="D8D8D8"/>
          </w:tcPr>
          <w:p>
            <w:pPr>
              <w:spacing w:after="0"/>
              <w:rPr>
                <w:sz w:val="15"/>
                <w:szCs w:val="15"/>
                <w:color w:val="auto"/>
              </w:rPr>
            </w:pPr>
          </w:p>
        </w:tc>
        <w:tc>
          <w:tcPr>
            <w:tcW w:w="340" w:type="dxa"/>
            <w:vAlign w:val="bottom"/>
            <w:shd w:val="clear" w:color="auto" w:fill="D8D8D8"/>
          </w:tcPr>
          <w:p>
            <w:pPr>
              <w:spacing w:after="0"/>
              <w:rPr>
                <w:sz w:val="15"/>
                <w:szCs w:val="15"/>
                <w:color w:val="auto"/>
              </w:rPr>
            </w:pPr>
          </w:p>
        </w:tc>
        <w:tc>
          <w:tcPr>
            <w:tcW w:w="940" w:type="dxa"/>
            <w:vAlign w:val="bottom"/>
            <w:shd w:val="clear" w:color="auto" w:fill="D8D8D8"/>
          </w:tcPr>
          <w:p>
            <w:pPr>
              <w:spacing w:after="0"/>
              <w:rPr>
                <w:sz w:val="15"/>
                <w:szCs w:val="15"/>
                <w:color w:val="auto"/>
              </w:rPr>
            </w:pPr>
          </w:p>
        </w:tc>
        <w:tc>
          <w:tcPr>
            <w:tcW w:w="200" w:type="dxa"/>
            <w:vAlign w:val="bottom"/>
            <w:shd w:val="clear" w:color="auto" w:fill="D8D8D8"/>
          </w:tcPr>
          <w:p>
            <w:pPr>
              <w:spacing w:after="0"/>
              <w:rPr>
                <w:sz w:val="15"/>
                <w:szCs w:val="15"/>
                <w:color w:val="auto"/>
              </w:rPr>
            </w:pPr>
          </w:p>
        </w:tc>
        <w:tc>
          <w:tcPr>
            <w:tcW w:w="140" w:type="dxa"/>
            <w:vAlign w:val="bottom"/>
            <w:shd w:val="clear" w:color="auto" w:fill="D8D8D8"/>
          </w:tcPr>
          <w:p>
            <w:pPr>
              <w:spacing w:after="0"/>
              <w:rPr>
                <w:sz w:val="15"/>
                <w:szCs w:val="15"/>
                <w:color w:val="auto"/>
              </w:rPr>
            </w:pPr>
          </w:p>
        </w:tc>
        <w:tc>
          <w:tcPr>
            <w:tcW w:w="200" w:type="dxa"/>
            <w:vAlign w:val="bottom"/>
            <w:shd w:val="clear" w:color="auto" w:fill="D8D8D8"/>
          </w:tcPr>
          <w:p>
            <w:pPr>
              <w:spacing w:after="0"/>
              <w:rPr>
                <w:sz w:val="15"/>
                <w:szCs w:val="15"/>
                <w:color w:val="auto"/>
              </w:rPr>
            </w:pPr>
          </w:p>
        </w:tc>
        <w:tc>
          <w:tcPr>
            <w:tcW w:w="800" w:type="dxa"/>
            <w:vAlign w:val="bottom"/>
            <w:shd w:val="clear" w:color="auto" w:fill="D8D8D8"/>
          </w:tcPr>
          <w:p>
            <w:pPr>
              <w:spacing w:after="0"/>
              <w:rPr>
                <w:sz w:val="15"/>
                <w:szCs w:val="15"/>
                <w:color w:val="auto"/>
              </w:rPr>
            </w:pPr>
          </w:p>
        </w:tc>
        <w:tc>
          <w:tcPr>
            <w:tcW w:w="120" w:type="dxa"/>
            <w:vAlign w:val="bottom"/>
            <w:shd w:val="clear" w:color="auto" w:fill="D8D8D8"/>
          </w:tcPr>
          <w:p>
            <w:pPr>
              <w:spacing w:after="0"/>
              <w:rPr>
                <w:sz w:val="15"/>
                <w:szCs w:val="15"/>
                <w:color w:val="auto"/>
              </w:rPr>
            </w:pPr>
          </w:p>
        </w:tc>
      </w:tr>
      <w:tr>
        <w:trPr>
          <w:trHeight w:val="203"/>
        </w:trPr>
        <w:tc>
          <w:tcPr>
            <w:tcW w:w="5540" w:type="dxa"/>
            <w:vAlign w:val="bottom"/>
            <w:shd w:val="clear" w:color="auto" w:fill="D8D8D8"/>
          </w:tcPr>
          <w:p>
            <w:pPr>
              <w:ind w:left="160"/>
              <w:spacing w:after="0"/>
              <w:rPr>
                <w:sz w:val="20"/>
                <w:szCs w:val="20"/>
                <w:color w:val="auto"/>
              </w:rPr>
            </w:pPr>
            <w:r>
              <w:rPr>
                <w:rFonts w:ascii="Arial" w:cs="Arial" w:eastAsia="Arial" w:hAnsi="Arial"/>
                <w:sz w:val="16"/>
                <w:szCs w:val="16"/>
                <w:color w:val="auto"/>
              </w:rPr>
              <w:t>Granted Prior to Year that Vested During Year</w:t>
            </w:r>
          </w:p>
        </w:tc>
        <w:tc>
          <w:tcPr>
            <w:tcW w:w="280" w:type="dxa"/>
            <w:vAlign w:val="bottom"/>
            <w:shd w:val="clear" w:color="auto" w:fill="D8D8D8"/>
          </w:tcPr>
          <w:p>
            <w:pPr>
              <w:spacing w:after="0"/>
              <w:rPr>
                <w:sz w:val="20"/>
                <w:szCs w:val="20"/>
                <w:color w:val="auto"/>
              </w:rPr>
            </w:pPr>
            <w:r>
              <w:rPr>
                <w:rFonts w:ascii="Arial" w:cs="Arial" w:eastAsia="Arial" w:hAnsi="Arial"/>
                <w:sz w:val="16"/>
                <w:szCs w:val="16"/>
                <w:color w:val="auto"/>
              </w:rPr>
              <w:t>  $</w:t>
            </w:r>
          </w:p>
        </w:tc>
        <w:tc>
          <w:tcPr>
            <w:tcW w:w="1120" w:type="dxa"/>
            <w:vAlign w:val="bottom"/>
            <w:shd w:val="clear" w:color="auto" w:fill="D8D8D8"/>
          </w:tcPr>
          <w:p>
            <w:pPr>
              <w:jc w:val="right"/>
              <w:ind w:right="100"/>
              <w:spacing w:after="0"/>
              <w:rPr>
                <w:sz w:val="20"/>
                <w:szCs w:val="20"/>
                <w:color w:val="auto"/>
              </w:rPr>
            </w:pPr>
            <w:r>
              <w:rPr>
                <w:rFonts w:ascii="Arial" w:cs="Arial" w:eastAsia="Arial" w:hAnsi="Arial"/>
                <w:sz w:val="16"/>
                <w:szCs w:val="16"/>
                <w:color w:val="auto"/>
              </w:rPr>
              <w:t>91,527</w:t>
            </w:r>
          </w:p>
        </w:tc>
        <w:tc>
          <w:tcPr>
            <w:tcW w:w="340" w:type="dxa"/>
            <w:vAlign w:val="bottom"/>
            <w:shd w:val="clear" w:color="auto" w:fill="D8D8D8"/>
          </w:tcPr>
          <w:p>
            <w:pPr>
              <w:ind w:left="140"/>
              <w:spacing w:after="0"/>
              <w:rPr>
                <w:sz w:val="20"/>
                <w:szCs w:val="20"/>
                <w:color w:val="auto"/>
              </w:rPr>
            </w:pPr>
            <w:r>
              <w:rPr>
                <w:rFonts w:ascii="Arial" w:cs="Arial" w:eastAsia="Arial" w:hAnsi="Arial"/>
                <w:sz w:val="16"/>
                <w:szCs w:val="16"/>
                <w:color w:val="auto"/>
              </w:rPr>
              <w:t>$</w:t>
            </w:r>
          </w:p>
        </w:tc>
        <w:tc>
          <w:tcPr>
            <w:tcW w:w="1000" w:type="dxa"/>
            <w:vAlign w:val="bottom"/>
            <w:shd w:val="clear" w:color="auto" w:fill="D8D8D8"/>
          </w:tcPr>
          <w:p>
            <w:pPr>
              <w:jc w:val="right"/>
              <w:ind w:right="101"/>
              <w:spacing w:after="0"/>
              <w:rPr>
                <w:sz w:val="20"/>
                <w:szCs w:val="20"/>
                <w:color w:val="auto"/>
              </w:rPr>
            </w:pPr>
            <w:r>
              <w:rPr>
                <w:rFonts w:ascii="Arial" w:cs="Arial" w:eastAsia="Arial" w:hAnsi="Arial"/>
                <w:sz w:val="16"/>
                <w:szCs w:val="16"/>
                <w:color w:val="auto"/>
              </w:rPr>
              <w:t>5,263</w:t>
            </w:r>
          </w:p>
        </w:tc>
        <w:tc>
          <w:tcPr>
            <w:tcW w:w="340" w:type="dxa"/>
            <w:vAlign w:val="bottom"/>
            <w:shd w:val="clear" w:color="auto" w:fill="D8D8D8"/>
          </w:tcPr>
          <w:p>
            <w:pPr>
              <w:ind w:left="140"/>
              <w:spacing w:after="0"/>
              <w:rPr>
                <w:sz w:val="20"/>
                <w:szCs w:val="20"/>
                <w:color w:val="auto"/>
              </w:rPr>
            </w:pPr>
            <w:r>
              <w:rPr>
                <w:rFonts w:ascii="Arial" w:cs="Arial" w:eastAsia="Arial" w:hAnsi="Arial"/>
                <w:sz w:val="16"/>
                <w:szCs w:val="16"/>
                <w:color w:val="auto"/>
              </w:rPr>
              <w:t>$</w:t>
            </w:r>
          </w:p>
        </w:tc>
        <w:tc>
          <w:tcPr>
            <w:tcW w:w="940" w:type="dxa"/>
            <w:vAlign w:val="bottom"/>
            <w:shd w:val="clear" w:color="auto" w:fill="D8D8D8"/>
          </w:tcPr>
          <w:p>
            <w:pPr>
              <w:jc w:val="right"/>
              <w:spacing w:after="0"/>
              <w:rPr>
                <w:sz w:val="20"/>
                <w:szCs w:val="20"/>
                <w:color w:val="auto"/>
              </w:rPr>
            </w:pPr>
            <w:r>
              <w:rPr>
                <w:rFonts w:ascii="Arial" w:cs="Arial" w:eastAsia="Arial" w:hAnsi="Arial"/>
                <w:sz w:val="16"/>
                <w:szCs w:val="16"/>
                <w:color w:val="auto"/>
              </w:rPr>
              <w:t>149,658</w:t>
            </w:r>
          </w:p>
        </w:tc>
        <w:tc>
          <w:tcPr>
            <w:tcW w:w="200" w:type="dxa"/>
            <w:vAlign w:val="bottom"/>
            <w:shd w:val="clear" w:color="auto" w:fill="D8D8D8"/>
          </w:tcPr>
          <w:p>
            <w:pPr>
              <w:spacing w:after="0"/>
              <w:rPr>
                <w:sz w:val="17"/>
                <w:szCs w:val="17"/>
                <w:color w:val="auto"/>
              </w:rPr>
            </w:pPr>
          </w:p>
        </w:tc>
        <w:tc>
          <w:tcPr>
            <w:tcW w:w="340" w:type="dxa"/>
            <w:vAlign w:val="bottom"/>
            <w:gridSpan w:val="2"/>
            <w:shd w:val="clear" w:color="auto" w:fill="D8D8D8"/>
          </w:tcPr>
          <w:p>
            <w:pPr>
              <w:ind w:left="14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D8D8D8"/>
          </w:tcPr>
          <w:p>
            <w:pPr>
              <w:jc w:val="right"/>
              <w:ind w:right="60"/>
              <w:spacing w:after="0"/>
              <w:rPr>
                <w:sz w:val="20"/>
                <w:szCs w:val="20"/>
                <w:color w:val="auto"/>
              </w:rPr>
            </w:pPr>
            <w:r>
              <w:rPr>
                <w:rFonts w:ascii="Arial" w:cs="Arial" w:eastAsia="Arial" w:hAnsi="Arial"/>
                <w:sz w:val="16"/>
                <w:szCs w:val="16"/>
                <w:color w:val="auto"/>
              </w:rPr>
              <w:t>(51,710)</w:t>
            </w:r>
          </w:p>
        </w:tc>
      </w:tr>
      <w:tr>
        <w:trPr>
          <w:trHeight w:val="175"/>
        </w:trPr>
        <w:tc>
          <w:tcPr>
            <w:tcW w:w="5540" w:type="dxa"/>
            <w:vAlign w:val="bottom"/>
          </w:tcPr>
          <w:p>
            <w:pPr>
              <w:spacing w:after="0" w:line="175" w:lineRule="exact"/>
              <w:rPr>
                <w:sz w:val="20"/>
                <w:szCs w:val="20"/>
                <w:color w:val="auto"/>
              </w:rPr>
            </w:pPr>
            <w:r>
              <w:rPr>
                <w:rFonts w:ascii="Arial" w:cs="Arial" w:eastAsia="Arial" w:hAnsi="Arial"/>
                <w:sz w:val="16"/>
                <w:szCs w:val="16"/>
                <w:color w:val="auto"/>
              </w:rPr>
              <w:t>Increase based on Dividends or Other Earnings Paid During Year prior to</w:t>
            </w: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03"/>
        </w:trPr>
        <w:tc>
          <w:tcPr>
            <w:tcW w:w="5540" w:type="dxa"/>
            <w:vAlign w:val="bottom"/>
          </w:tcPr>
          <w:p>
            <w:pPr>
              <w:ind w:left="160"/>
              <w:spacing w:after="0"/>
              <w:rPr>
                <w:sz w:val="20"/>
                <w:szCs w:val="20"/>
                <w:color w:val="auto"/>
              </w:rPr>
            </w:pPr>
            <w:r>
              <w:rPr>
                <w:rFonts w:ascii="Arial" w:cs="Arial" w:eastAsia="Arial" w:hAnsi="Arial"/>
                <w:sz w:val="16"/>
                <w:szCs w:val="16"/>
                <w:color w:val="auto"/>
              </w:rPr>
              <w:t>Vesting Date of Award</w:t>
            </w:r>
          </w:p>
        </w:tc>
        <w:tc>
          <w:tcPr>
            <w:tcW w:w="280" w:type="dxa"/>
            <w:vAlign w:val="bottom"/>
          </w:tcPr>
          <w:p>
            <w:pPr>
              <w:spacing w:after="0"/>
              <w:rPr>
                <w:sz w:val="20"/>
                <w:szCs w:val="20"/>
                <w:color w:val="auto"/>
              </w:rPr>
            </w:pPr>
            <w:r>
              <w:rPr>
                <w:rFonts w:ascii="Arial" w:cs="Arial" w:eastAsia="Arial" w:hAnsi="Arial"/>
                <w:sz w:val="16"/>
                <w:szCs w:val="16"/>
                <w:color w:val="auto"/>
              </w:rPr>
              <w:t>  $</w:t>
            </w:r>
          </w:p>
        </w:tc>
        <w:tc>
          <w:tcPr>
            <w:tcW w:w="1120" w:type="dxa"/>
            <w:vAlign w:val="bottom"/>
          </w:tcPr>
          <w:p>
            <w:pPr>
              <w:jc w:val="right"/>
              <w:ind w:right="100"/>
              <w:spacing w:after="0"/>
              <w:rPr>
                <w:sz w:val="20"/>
                <w:szCs w:val="20"/>
                <w:color w:val="auto"/>
              </w:rPr>
            </w:pPr>
            <w:r>
              <w:rPr>
                <w:rFonts w:ascii="Arial" w:cs="Arial" w:eastAsia="Arial" w:hAnsi="Arial"/>
                <w:sz w:val="16"/>
                <w:szCs w:val="16"/>
                <w:color w:val="auto"/>
              </w:rPr>
              <w:t>104,406</w:t>
            </w:r>
          </w:p>
        </w:tc>
        <w:tc>
          <w:tcPr>
            <w:tcW w:w="340" w:type="dxa"/>
            <w:vAlign w:val="bottom"/>
          </w:tcPr>
          <w:p>
            <w:pPr>
              <w:ind w:left="14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01"/>
              <w:spacing w:after="0"/>
              <w:rPr>
                <w:sz w:val="20"/>
                <w:szCs w:val="20"/>
                <w:color w:val="auto"/>
              </w:rPr>
            </w:pPr>
            <w:r>
              <w:rPr>
                <w:rFonts w:ascii="Arial" w:cs="Arial" w:eastAsia="Arial" w:hAnsi="Arial"/>
                <w:sz w:val="16"/>
                <w:szCs w:val="16"/>
                <w:color w:val="auto"/>
              </w:rPr>
              <w:t>108,881</w:t>
            </w:r>
          </w:p>
        </w:tc>
        <w:tc>
          <w:tcPr>
            <w:tcW w:w="340" w:type="dxa"/>
            <w:vAlign w:val="bottom"/>
          </w:tcPr>
          <w:p>
            <w:pPr>
              <w:ind w:left="14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103,048</w:t>
            </w:r>
          </w:p>
        </w:tc>
        <w:tc>
          <w:tcPr>
            <w:tcW w:w="200" w:type="dxa"/>
            <w:vAlign w:val="bottom"/>
          </w:tcPr>
          <w:p>
            <w:pPr>
              <w:spacing w:after="0"/>
              <w:rPr>
                <w:sz w:val="17"/>
                <w:szCs w:val="17"/>
                <w:color w:val="auto"/>
              </w:rPr>
            </w:pPr>
          </w:p>
        </w:tc>
        <w:tc>
          <w:tcPr>
            <w:tcW w:w="34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60,114</w:t>
            </w:r>
          </w:p>
        </w:tc>
      </w:tr>
      <w:tr>
        <w:trPr>
          <w:trHeight w:val="27"/>
        </w:trPr>
        <w:tc>
          <w:tcPr>
            <w:tcW w:w="55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189"/>
        </w:trPr>
        <w:tc>
          <w:tcPr>
            <w:tcW w:w="5540" w:type="dxa"/>
            <w:vAlign w:val="bottom"/>
            <w:shd w:val="clear" w:color="auto" w:fill="D8D8D8"/>
          </w:tcPr>
          <w:p>
            <w:pPr>
              <w:spacing w:after="0"/>
              <w:rPr>
                <w:sz w:val="20"/>
                <w:szCs w:val="20"/>
                <w:color w:val="auto"/>
              </w:rPr>
            </w:pPr>
            <w:r>
              <w:rPr>
                <w:rFonts w:ascii="Arial" w:cs="Arial" w:eastAsia="Arial" w:hAnsi="Arial"/>
                <w:sz w:val="16"/>
                <w:szCs w:val="16"/>
                <w:b w:val="1"/>
                <w:bCs w:val="1"/>
                <w:color w:val="auto"/>
              </w:rPr>
              <w:t>Total Adjustments</w:t>
            </w:r>
          </w:p>
        </w:tc>
        <w:tc>
          <w:tcPr>
            <w:tcW w:w="280" w:type="dxa"/>
            <w:vAlign w:val="bottom"/>
            <w:shd w:val="clear" w:color="auto" w:fill="D8D8D8"/>
          </w:tcPr>
          <w:p>
            <w:pPr>
              <w:spacing w:after="0"/>
              <w:rPr>
                <w:sz w:val="20"/>
                <w:szCs w:val="20"/>
                <w:color w:val="auto"/>
              </w:rPr>
            </w:pPr>
            <w:r>
              <w:rPr>
                <w:rFonts w:ascii="Arial" w:cs="Arial" w:eastAsia="Arial" w:hAnsi="Arial"/>
                <w:sz w:val="16"/>
                <w:szCs w:val="16"/>
                <w:b w:val="1"/>
                <w:bCs w:val="1"/>
                <w:color w:val="auto"/>
              </w:rPr>
              <w:t>  $</w:t>
            </w:r>
          </w:p>
        </w:tc>
        <w:tc>
          <w:tcPr>
            <w:tcW w:w="1120" w:type="dxa"/>
            <w:vAlign w:val="bottom"/>
            <w:shd w:val="clear" w:color="auto" w:fill="D8D8D8"/>
          </w:tcPr>
          <w:p>
            <w:pPr>
              <w:jc w:val="right"/>
              <w:ind w:right="100"/>
              <w:spacing w:after="0"/>
              <w:rPr>
                <w:sz w:val="20"/>
                <w:szCs w:val="20"/>
                <w:color w:val="auto"/>
              </w:rPr>
            </w:pPr>
            <w:r>
              <w:rPr>
                <w:rFonts w:ascii="Arial" w:cs="Arial" w:eastAsia="Arial" w:hAnsi="Arial"/>
                <w:sz w:val="16"/>
                <w:szCs w:val="16"/>
                <w:b w:val="1"/>
                <w:bCs w:val="1"/>
                <w:color w:val="auto"/>
              </w:rPr>
              <w:t>242,936</w:t>
            </w:r>
          </w:p>
        </w:tc>
        <w:tc>
          <w:tcPr>
            <w:tcW w:w="340" w:type="dxa"/>
            <w:vAlign w:val="bottom"/>
            <w:shd w:val="clear" w:color="auto" w:fill="D8D8D8"/>
          </w:tcPr>
          <w:p>
            <w:pPr>
              <w:ind w:left="140"/>
              <w:spacing w:after="0"/>
              <w:rPr>
                <w:sz w:val="20"/>
                <w:szCs w:val="20"/>
                <w:color w:val="auto"/>
              </w:rPr>
            </w:pPr>
            <w:r>
              <w:rPr>
                <w:rFonts w:ascii="Arial" w:cs="Arial" w:eastAsia="Arial" w:hAnsi="Arial"/>
                <w:sz w:val="16"/>
                <w:szCs w:val="16"/>
                <w:b w:val="1"/>
                <w:bCs w:val="1"/>
                <w:color w:val="auto"/>
              </w:rPr>
              <w:t>$</w:t>
            </w:r>
          </w:p>
        </w:tc>
        <w:tc>
          <w:tcPr>
            <w:tcW w:w="1000" w:type="dxa"/>
            <w:vAlign w:val="bottom"/>
            <w:shd w:val="clear" w:color="auto" w:fill="D8D8D8"/>
          </w:tcPr>
          <w:p>
            <w:pPr>
              <w:jc w:val="right"/>
              <w:ind w:right="41"/>
              <w:spacing w:after="0"/>
              <w:rPr>
                <w:sz w:val="20"/>
                <w:szCs w:val="20"/>
                <w:color w:val="auto"/>
              </w:rPr>
            </w:pPr>
            <w:r>
              <w:rPr>
                <w:rFonts w:ascii="Arial" w:cs="Arial" w:eastAsia="Arial" w:hAnsi="Arial"/>
                <w:sz w:val="16"/>
                <w:szCs w:val="16"/>
                <w:b w:val="1"/>
                <w:bCs w:val="1"/>
                <w:color w:val="auto"/>
              </w:rPr>
              <w:t>(508,292)</w:t>
            </w:r>
          </w:p>
        </w:tc>
        <w:tc>
          <w:tcPr>
            <w:tcW w:w="340" w:type="dxa"/>
            <w:vAlign w:val="bottom"/>
            <w:shd w:val="clear" w:color="auto" w:fill="D8D8D8"/>
          </w:tcPr>
          <w:p>
            <w:pPr>
              <w:ind w:left="140"/>
              <w:spacing w:after="0"/>
              <w:rPr>
                <w:sz w:val="20"/>
                <w:szCs w:val="20"/>
                <w:color w:val="auto"/>
              </w:rPr>
            </w:pPr>
            <w:r>
              <w:rPr>
                <w:rFonts w:ascii="Arial" w:cs="Arial" w:eastAsia="Arial" w:hAnsi="Arial"/>
                <w:sz w:val="16"/>
                <w:szCs w:val="16"/>
                <w:b w:val="1"/>
                <w:bCs w:val="1"/>
                <w:color w:val="auto"/>
              </w:rPr>
              <w:t>$</w:t>
            </w:r>
          </w:p>
        </w:tc>
        <w:tc>
          <w:tcPr>
            <w:tcW w:w="1140" w:type="dxa"/>
            <w:vAlign w:val="bottom"/>
            <w:gridSpan w:val="2"/>
            <w:shd w:val="clear" w:color="auto" w:fill="D8D8D8"/>
          </w:tcPr>
          <w:p>
            <w:pPr>
              <w:jc w:val="right"/>
              <w:ind w:right="200"/>
              <w:spacing w:after="0"/>
              <w:rPr>
                <w:sz w:val="20"/>
                <w:szCs w:val="20"/>
                <w:color w:val="auto"/>
              </w:rPr>
            </w:pPr>
            <w:r>
              <w:rPr>
                <w:rFonts w:ascii="Arial" w:cs="Arial" w:eastAsia="Arial" w:hAnsi="Arial"/>
                <w:sz w:val="16"/>
                <w:szCs w:val="16"/>
                <w:b w:val="1"/>
                <w:bCs w:val="1"/>
                <w:color w:val="auto"/>
              </w:rPr>
              <w:t>1,043,325</w:t>
            </w:r>
          </w:p>
        </w:tc>
        <w:tc>
          <w:tcPr>
            <w:tcW w:w="340" w:type="dxa"/>
            <w:vAlign w:val="bottom"/>
            <w:gridSpan w:val="2"/>
            <w:shd w:val="clear" w:color="auto" w:fill="D8D8D8"/>
          </w:tcPr>
          <w:p>
            <w:pPr>
              <w:ind w:left="140"/>
              <w:spacing w:after="0"/>
              <w:rPr>
                <w:sz w:val="20"/>
                <w:szCs w:val="20"/>
                <w:color w:val="auto"/>
              </w:rPr>
            </w:pPr>
            <w:r>
              <w:rPr>
                <w:rFonts w:ascii="Arial" w:cs="Arial" w:eastAsia="Arial" w:hAnsi="Arial"/>
                <w:sz w:val="16"/>
                <w:szCs w:val="16"/>
                <w:b w:val="1"/>
                <w:bCs w:val="1"/>
                <w:color w:val="auto"/>
              </w:rPr>
              <w:t>$</w:t>
            </w:r>
          </w:p>
        </w:tc>
        <w:tc>
          <w:tcPr>
            <w:tcW w:w="920" w:type="dxa"/>
            <w:vAlign w:val="bottom"/>
            <w:gridSpan w:val="2"/>
            <w:shd w:val="clear" w:color="auto" w:fill="D8D8D8"/>
          </w:tcPr>
          <w:p>
            <w:pPr>
              <w:jc w:val="right"/>
              <w:ind w:right="60"/>
              <w:spacing w:after="0"/>
              <w:rPr>
                <w:sz w:val="20"/>
                <w:szCs w:val="20"/>
                <w:color w:val="auto"/>
              </w:rPr>
            </w:pPr>
            <w:r>
              <w:rPr>
                <w:rFonts w:ascii="Arial" w:cs="Arial" w:eastAsia="Arial" w:hAnsi="Arial"/>
                <w:sz w:val="16"/>
                <w:szCs w:val="16"/>
                <w:b w:val="1"/>
                <w:bCs w:val="1"/>
                <w:color w:val="auto"/>
              </w:rPr>
              <w:t>(893,862)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94615</wp:posOffset>
            </wp:positionV>
            <wp:extent cx="7003415" cy="12001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003415" cy="120015"/>
                    </a:xfrm>
                    <a:prstGeom prst="rect">
                      <a:avLst/>
                    </a:prstGeom>
                    <a:noFill/>
                  </pic:spPr>
                </pic:pic>
              </a:graphicData>
            </a:graphic>
          </wp:anchor>
        </w:drawing>
      </w:r>
    </w:p>
    <w:p>
      <w:pPr>
        <w:spacing w:after="0" w:line="133" w:lineRule="exact"/>
        <w:rPr>
          <w:sz w:val="20"/>
          <w:szCs w:val="20"/>
          <w:color w:val="auto"/>
        </w:rPr>
      </w:pPr>
    </w:p>
    <w:p>
      <w:pPr>
        <w:ind w:left="8080"/>
        <w:spacing w:after="0"/>
        <w:rPr>
          <w:sz w:val="20"/>
          <w:szCs w:val="20"/>
          <w:color w:val="auto"/>
        </w:rPr>
      </w:pPr>
      <w:r>
        <w:rPr>
          <w:rFonts w:ascii="Arial" w:cs="Arial" w:eastAsia="Arial" w:hAnsi="Arial"/>
          <w:sz w:val="14"/>
          <w:szCs w:val="14"/>
          <w:color w:val="FF160F"/>
        </w:rPr>
        <w:t>Federal Realty</w:t>
      </w:r>
      <w:r>
        <w:rPr>
          <w:rFonts w:ascii="Arial" w:cs="Arial" w:eastAsia="Arial" w:hAnsi="Arial"/>
          <w:sz w:val="14"/>
          <w:szCs w:val="14"/>
          <w:color w:val="000000"/>
        </w:rPr>
        <w:t xml:space="preserve">      2024 Proxy Statement   37</w:t>
      </w:r>
    </w:p>
    <w:p>
      <w:pPr>
        <w:sectPr>
          <w:pgSz w:w="11900" w:h="16838" w:orient="portrait"/>
          <w:cols w:equalWidth="0" w:num="1">
            <w:col w:w="11140"/>
          </w:cols>
          <w:pgMar w:left="320" w:top="482" w:right="4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302260</wp:posOffset>
            </wp:positionV>
            <wp:extent cx="77152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left="540" w:hanging="424"/>
        <w:spacing w:after="0"/>
        <w:tabs>
          <w:tab w:leader="none" w:pos="540" w:val="left"/>
        </w:tabs>
        <w:numPr>
          <w:ilvl w:val="0"/>
          <w:numId w:val="78"/>
        </w:numPr>
        <w:rPr>
          <w:rFonts w:ascii="Arial" w:cs="Arial" w:eastAsia="Arial" w:hAnsi="Arial"/>
          <w:sz w:val="20"/>
          <w:szCs w:val="20"/>
          <w:color w:val="auto"/>
          <w:vertAlign w:val="superscript"/>
        </w:rPr>
      </w:pPr>
      <w:r>
        <w:rPr>
          <w:rFonts w:ascii="Arial" w:cs="Arial" w:eastAsia="Arial" w:hAnsi="Arial"/>
          <w:sz w:val="16"/>
          <w:szCs w:val="16"/>
          <w:color w:val="auto"/>
        </w:rPr>
        <w:t>Peer group is the BBRESHOP Index.</w:t>
      </w:r>
    </w:p>
    <w:p>
      <w:pPr>
        <w:jc w:val="both"/>
        <w:ind w:left="540" w:right="20" w:hanging="424"/>
        <w:spacing w:after="0" w:line="239" w:lineRule="auto"/>
        <w:tabs>
          <w:tab w:leader="none" w:pos="540" w:val="left"/>
        </w:tabs>
        <w:numPr>
          <w:ilvl w:val="0"/>
          <w:numId w:val="78"/>
        </w:numPr>
        <w:rPr>
          <w:rFonts w:ascii="Arial" w:cs="Arial" w:eastAsia="Arial" w:hAnsi="Arial"/>
          <w:sz w:val="20"/>
          <w:szCs w:val="20"/>
          <w:color w:val="auto"/>
          <w:vertAlign w:val="superscript"/>
        </w:rPr>
      </w:pPr>
      <w:r>
        <w:rPr>
          <w:rFonts w:ascii="Arial" w:cs="Arial" w:eastAsia="Arial" w:hAnsi="Arial"/>
          <w:sz w:val="16"/>
          <w:szCs w:val="16"/>
          <w:color w:val="auto"/>
        </w:rPr>
        <w:t>The Company has identified FFO per diluted share as the most important additional financial metric used to link pay and performance. Our annual bonus program pays out based on our absolute level of FFO per diluted share achieved for the year and one-third of our long-term incentive plan pays out based on a metric tied to FFO per diluted share. FFO per diluted share is a non-GAAP financial measure of a real estate company’s operating performance and is defined by the National Association of Real Estate Investment Trusts. We consider FFO per diluted share a meaningful measure of operating performance primarily because it avoids the assumption that the value of real estate assets diminishes predictably over time and is a primary way of evaluating our operating performance as compared to other real estate investment trusts. A reconciliation of FFO per diluted share to net income is included as Appendix A.</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Relationship to Compensation Actually Paid</w:t>
      </w:r>
    </w:p>
    <w:p>
      <w:pPr>
        <w:spacing w:after="0" w:line="104" w:lineRule="exact"/>
        <w:rPr>
          <w:sz w:val="20"/>
          <w:szCs w:val="20"/>
          <w:color w:val="auto"/>
        </w:rPr>
      </w:pPr>
    </w:p>
    <w:p>
      <w:pPr>
        <w:ind w:left="120" w:right="20"/>
        <w:spacing w:after="0" w:line="271" w:lineRule="auto"/>
        <w:rPr>
          <w:sz w:val="20"/>
          <w:szCs w:val="20"/>
          <w:color w:val="auto"/>
        </w:rPr>
      </w:pPr>
      <w:r>
        <w:rPr>
          <w:rFonts w:ascii="Arial" w:cs="Arial" w:eastAsia="Arial" w:hAnsi="Arial"/>
          <w:sz w:val="18"/>
          <w:szCs w:val="18"/>
          <w:color w:val="auto"/>
        </w:rPr>
        <w:t>The following charts show the relationship of the compensation actually paid to our CEO and the average compensation actually paid to our other NEOs to the total shareholder return for the Company and for the BBRESHOP Index.</w:t>
      </w:r>
    </w:p>
    <w:p>
      <w:pPr>
        <w:spacing w:after="0" w:line="199" w:lineRule="exact"/>
        <w:rPr>
          <w:sz w:val="20"/>
          <w:szCs w:val="20"/>
          <w:color w:val="auto"/>
        </w:rPr>
      </w:pPr>
    </w:p>
    <w:p>
      <w:pPr>
        <w:ind w:left="120"/>
        <w:spacing w:after="0"/>
        <w:rPr>
          <w:sz w:val="20"/>
          <w:szCs w:val="20"/>
          <w:color w:val="auto"/>
        </w:rPr>
      </w:pPr>
      <w:r>
        <w:rPr>
          <w:sz w:val="1"/>
          <w:szCs w:val="1"/>
          <w:color w:val="auto"/>
        </w:rPr>
        <w:drawing>
          <wp:inline distT="0" distB="0" distL="0" distR="0">
            <wp:extent cx="2588895" cy="1482725"/>
            <wp:effectExtent l="0" t="0" r="0" b="0"/>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2588895" cy="148272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w:t>
      </w:r>
      <w:r>
        <w:rPr>
          <w:sz w:val="1"/>
          <w:szCs w:val="1"/>
          <w:color w:val="auto"/>
        </w:rPr>
        <w:drawing>
          <wp:inline distT="0" distB="0" distL="0" distR="0">
            <wp:extent cx="2588895" cy="1482725"/>
            <wp:effectExtent l="0" t="0" r="0" b="0"/>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2588895" cy="1482725"/>
                    </a:xfrm>
                    <a:prstGeom prst="rect">
                      <a:avLst/>
                    </a:prstGeom>
                    <a:noFill/>
                    <a:ln>
                      <a:noFill/>
                    </a:ln>
                  </pic:spPr>
                </pic:pic>
              </a:graphicData>
            </a:graphic>
          </wp:inline>
        </w:drawing>
      </w:r>
    </w:p>
    <w:p>
      <w:pPr>
        <w:spacing w:after="0" w:line="235" w:lineRule="exact"/>
        <w:rPr>
          <w:sz w:val="20"/>
          <w:szCs w:val="20"/>
          <w:color w:val="auto"/>
        </w:rPr>
      </w:pPr>
    </w:p>
    <w:p>
      <w:pPr>
        <w:ind w:left="660" w:hanging="436"/>
        <w:spacing w:after="0"/>
        <w:tabs>
          <w:tab w:leader="none" w:pos="660" w:val="left"/>
        </w:tabs>
        <w:numPr>
          <w:ilvl w:val="0"/>
          <w:numId w:val="79"/>
        </w:numPr>
        <w:rPr>
          <w:rFonts w:ascii="Arial" w:cs="Arial" w:eastAsia="Arial" w:hAnsi="Arial"/>
          <w:sz w:val="16"/>
          <w:szCs w:val="16"/>
          <w:color w:val="auto"/>
        </w:rPr>
      </w:pPr>
      <w:r>
        <w:rPr>
          <w:rFonts w:ascii="Arial" w:cs="Arial" w:eastAsia="Arial" w:hAnsi="Arial"/>
          <w:sz w:val="16"/>
          <w:szCs w:val="16"/>
          <w:color w:val="auto"/>
        </w:rPr>
        <w:t>Compensation actually paid is shown in thousands.</w:t>
      </w:r>
    </w:p>
    <w:p>
      <w:pPr>
        <w:spacing w:after="0" w:line="216" w:lineRule="exact"/>
        <w:rPr>
          <w:sz w:val="20"/>
          <w:szCs w:val="20"/>
          <w:color w:val="auto"/>
        </w:rPr>
      </w:pPr>
    </w:p>
    <w:p>
      <w:pPr>
        <w:ind w:left="120" w:right="20"/>
        <w:spacing w:after="0" w:line="271" w:lineRule="auto"/>
        <w:rPr>
          <w:sz w:val="20"/>
          <w:szCs w:val="20"/>
          <w:color w:val="auto"/>
        </w:rPr>
      </w:pPr>
      <w:r>
        <w:rPr>
          <w:rFonts w:ascii="Arial" w:cs="Arial" w:eastAsia="Arial" w:hAnsi="Arial"/>
          <w:sz w:val="18"/>
          <w:szCs w:val="18"/>
          <w:color w:val="auto"/>
        </w:rPr>
        <w:t>The following charts show the relationship of the compensation actually paid to our CEO and the average compensation actually paid to our other NEOs as compared to our GAAP reported net income and our FFO per diluted share.</w:t>
      </w:r>
    </w:p>
    <w:p>
      <w:pPr>
        <w:spacing w:after="0" w:line="19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2"/>
          <w:szCs w:val="22"/>
          <w:color w:val="auto"/>
        </w:rPr>
        <w:t xml:space="preserve">   </w:t>
      </w:r>
      <w:r>
        <w:rPr>
          <w:sz w:val="1"/>
          <w:szCs w:val="1"/>
          <w:color w:val="auto"/>
        </w:rPr>
        <w:drawing>
          <wp:inline distT="0" distB="0" distL="0" distR="0">
            <wp:extent cx="2588895" cy="1482725"/>
            <wp:effectExtent l="0" t="0" r="0" b="0"/>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2588895" cy="1482725"/>
                    </a:xfrm>
                    <a:prstGeom prst="rect">
                      <a:avLst/>
                    </a:prstGeom>
                    <a:noFill/>
                    <a:ln>
                      <a:noFill/>
                    </a:ln>
                  </pic:spPr>
                </pic:pic>
              </a:graphicData>
            </a:graphic>
          </wp:inline>
        </w:drawing>
      </w:r>
    </w:p>
    <w:p>
      <w:pPr>
        <w:spacing w:after="0" w:line="235" w:lineRule="exact"/>
        <w:rPr>
          <w:sz w:val="20"/>
          <w:szCs w:val="20"/>
          <w:color w:val="auto"/>
        </w:rPr>
      </w:pPr>
    </w:p>
    <w:p>
      <w:pPr>
        <w:ind w:left="660" w:hanging="436"/>
        <w:spacing w:after="0"/>
        <w:tabs>
          <w:tab w:leader="none" w:pos="660" w:val="left"/>
        </w:tabs>
        <w:numPr>
          <w:ilvl w:val="0"/>
          <w:numId w:val="80"/>
        </w:numPr>
        <w:rPr>
          <w:rFonts w:ascii="Arial" w:cs="Arial" w:eastAsia="Arial" w:hAnsi="Arial"/>
          <w:sz w:val="16"/>
          <w:szCs w:val="16"/>
          <w:color w:val="auto"/>
        </w:rPr>
      </w:pPr>
      <w:r>
        <w:rPr>
          <w:rFonts w:ascii="Arial" w:cs="Arial" w:eastAsia="Arial" w:hAnsi="Arial"/>
          <w:sz w:val="16"/>
          <w:szCs w:val="16"/>
          <w:color w:val="auto"/>
        </w:rPr>
        <w:t>Net income is shown in ten thousands.</w:t>
      </w:r>
    </w:p>
    <w:p>
      <w:pPr>
        <w:spacing w:after="0" w:line="216" w:lineRule="exact"/>
        <w:rPr>
          <w:sz w:val="20"/>
          <w:szCs w:val="20"/>
          <w:color w:val="auto"/>
        </w:rPr>
      </w:pPr>
    </w:p>
    <w:p>
      <w:pPr>
        <w:jc w:val="both"/>
        <w:ind w:left="120"/>
        <w:spacing w:after="0" w:line="247" w:lineRule="auto"/>
        <w:rPr>
          <w:sz w:val="20"/>
          <w:szCs w:val="20"/>
          <w:color w:val="auto"/>
        </w:rPr>
      </w:pPr>
      <w:r>
        <w:rPr>
          <w:rFonts w:ascii="Arial" w:cs="Arial" w:eastAsia="Arial" w:hAnsi="Arial"/>
          <w:sz w:val="18"/>
          <w:szCs w:val="18"/>
          <w:color w:val="auto"/>
        </w:rPr>
        <w:t>One of our primary compensation objectives is to align the financial interests of our NEOs with our shareholders. The high correlation shown above between the compensation actually paid to our CEO and other NEOs and the total shareholder return for us and the BBRESHOP Index reflect our success in achieving that objective. This is a direct result of the high percentage of our NEO’s compensation that is paid in the form of Company shares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79375</wp:posOffset>
            </wp:positionV>
            <wp:extent cx="7003415" cy="12001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003415" cy="120015"/>
                    </a:xfrm>
                    <a:prstGeom prst="rect">
                      <a:avLst/>
                    </a:prstGeom>
                    <a:noFill/>
                  </pic:spPr>
                </pic:pic>
              </a:graphicData>
            </a:graphic>
          </wp:anchor>
        </w:drawing>
      </w:r>
    </w:p>
    <w:p>
      <w:pPr>
        <w:spacing w:after="0" w:line="110" w:lineRule="exact"/>
        <w:rPr>
          <w:sz w:val="20"/>
          <w:szCs w:val="20"/>
          <w:color w:val="auto"/>
        </w:rPr>
      </w:pPr>
    </w:p>
    <w:p>
      <w:pPr>
        <w:ind w:left="340"/>
        <w:spacing w:after="0"/>
        <w:rPr>
          <w:sz w:val="20"/>
          <w:szCs w:val="20"/>
          <w:color w:val="auto"/>
        </w:rPr>
      </w:pPr>
      <w:r>
        <w:rPr>
          <w:rFonts w:ascii="Arial" w:cs="Arial" w:eastAsia="Arial" w:hAnsi="Arial"/>
          <w:sz w:val="14"/>
          <w:szCs w:val="14"/>
          <w:color w:val="FF160F"/>
        </w:rPr>
        <w:t>Federal Realty</w:t>
      </w:r>
      <w:r>
        <w:rPr>
          <w:rFonts w:ascii="Arial" w:cs="Arial" w:eastAsia="Arial" w:hAnsi="Arial"/>
          <w:sz w:val="14"/>
          <w:szCs w:val="14"/>
          <w:color w:val="000000"/>
        </w:rPr>
        <w:t xml:space="preserve">      2024 Proxy Statement   38</w:t>
      </w:r>
    </w:p>
    <w:p>
      <w:pPr>
        <w:sectPr>
          <w:pgSz w:w="11900" w:h="16838" w:orient="portrait"/>
          <w:cols w:equalWidth="0" w:num="1">
            <w:col w:w="11140"/>
          </w:cols>
          <w:pgMar w:left="320" w:top="482" w:right="4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jc w:val="both"/>
        <w:ind w:left="120"/>
        <w:spacing w:after="0" w:line="244" w:lineRule="auto"/>
        <w:rPr>
          <w:sz w:val="20"/>
          <w:szCs w:val="20"/>
          <w:color w:val="auto"/>
        </w:rPr>
      </w:pPr>
      <w:r>
        <w:rPr>
          <w:rFonts w:ascii="Arial" w:cs="Arial" w:eastAsia="Arial" w:hAnsi="Arial"/>
          <w:sz w:val="18"/>
          <w:szCs w:val="18"/>
          <w:color w:val="auto"/>
        </w:rPr>
        <w:t>our equity retention policies which directly align the interests of our NEOs with the interests of our shareholders. There is a less direct correlation between the compensation of our NEOs and our net income because no portion of our compensation program is linked directly to net income. There is also little correlation between the compensation of our NEOs and FFO per diluted share because FFO per diluted share metric is directly used only for our annual bonus plan which is a relatively modest portion of our NEO’s total compensation package and is only a component of the calculation that determines only a third of our NEO’s awards under our long-term incentive plan.</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Important Financial Performance Measures for Executive Compensation</w:t>
      </w:r>
    </w:p>
    <w:p>
      <w:pPr>
        <w:spacing w:after="0" w:line="104" w:lineRule="exact"/>
        <w:rPr>
          <w:sz w:val="20"/>
          <w:szCs w:val="20"/>
          <w:color w:val="auto"/>
        </w:rPr>
      </w:pPr>
    </w:p>
    <w:p>
      <w:pPr>
        <w:jc w:val="both"/>
        <w:ind w:left="120" w:right="20"/>
        <w:spacing w:after="0" w:line="271" w:lineRule="auto"/>
        <w:rPr>
          <w:sz w:val="20"/>
          <w:szCs w:val="20"/>
          <w:color w:val="auto"/>
        </w:rPr>
      </w:pPr>
      <w:r>
        <w:rPr>
          <w:rFonts w:ascii="Arial" w:cs="Arial" w:eastAsia="Arial" w:hAnsi="Arial"/>
          <w:sz w:val="18"/>
          <w:szCs w:val="18"/>
          <w:color w:val="auto"/>
        </w:rPr>
        <w:t>Following is a list of the most important financial and non-financial measures used to link executive compensation and company performance.</w:t>
      </w:r>
    </w:p>
    <w:p>
      <w:pPr>
        <w:spacing w:after="0" w:line="181" w:lineRule="exact"/>
        <w:rPr>
          <w:sz w:val="20"/>
          <w:szCs w:val="20"/>
          <w:color w:val="auto"/>
        </w:rPr>
      </w:pPr>
    </w:p>
    <w:p>
      <w:pPr>
        <w:ind w:left="1080" w:hanging="424"/>
        <w:spacing w:after="0"/>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Return on invested capital</w:t>
      </w:r>
    </w:p>
    <w:p>
      <w:pPr>
        <w:spacing w:after="0" w:line="13" w:lineRule="exact"/>
        <w:rPr>
          <w:rFonts w:ascii="Arial" w:cs="Arial" w:eastAsia="Arial" w:hAnsi="Arial"/>
          <w:sz w:val="18"/>
          <w:szCs w:val="18"/>
          <w:color w:val="auto"/>
        </w:rPr>
      </w:pPr>
    </w:p>
    <w:p>
      <w:pPr>
        <w:ind w:left="1080" w:hanging="424"/>
        <w:spacing w:after="0" w:line="234" w:lineRule="auto"/>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Relative total shareholder return compared to the BBRESHP Index</w:t>
      </w:r>
    </w:p>
    <w:p>
      <w:pPr>
        <w:ind w:left="1080" w:hanging="424"/>
        <w:spacing w:after="0" w:line="234" w:lineRule="auto"/>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Relative FFO per diluted share multiple premium</w:t>
      </w:r>
    </w:p>
    <w:p>
      <w:pPr>
        <w:ind w:left="1080" w:right="20" w:hanging="424"/>
        <w:spacing w:after="0" w:line="250" w:lineRule="auto"/>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Individual performance including consideration of things such as leasing and occupancy activity, investment activity and advancement of ESG objectives</w:t>
      </w:r>
    </w:p>
    <w:p>
      <w:pPr>
        <w:spacing w:after="0" w:line="172" w:lineRule="exact"/>
        <w:rPr>
          <w:sz w:val="20"/>
          <w:szCs w:val="20"/>
          <w:color w:val="auto"/>
        </w:rPr>
      </w:pPr>
    </w:p>
    <w:p>
      <w:pPr>
        <w:ind w:left="120" w:right="20"/>
        <w:spacing w:after="0" w:line="271" w:lineRule="auto"/>
        <w:rPr>
          <w:sz w:val="20"/>
          <w:szCs w:val="20"/>
          <w:color w:val="auto"/>
        </w:rPr>
      </w:pPr>
      <w:r>
        <w:rPr>
          <w:rFonts w:ascii="Arial" w:cs="Arial" w:eastAsia="Arial" w:hAnsi="Arial"/>
          <w:sz w:val="18"/>
          <w:szCs w:val="18"/>
          <w:color w:val="auto"/>
        </w:rPr>
        <w:t>Please see the Compensation Discussion and Analysis on pages 19 to 30 for more information on these measures and how they are taken into account in determining compensation for each of our NEOs.</w:t>
      </w:r>
    </w:p>
    <w:p>
      <w:pPr>
        <w:spacing w:after="0" w:line="113" w:lineRule="exact"/>
        <w:rPr>
          <w:sz w:val="20"/>
          <w:szCs w:val="20"/>
          <w:color w:val="auto"/>
        </w:rPr>
      </w:pPr>
    </w:p>
    <w:p>
      <w:pPr>
        <w:ind w:left="120"/>
        <w:spacing w:after="0" w:line="207" w:lineRule="exact"/>
        <w:rPr>
          <w:sz w:val="20"/>
          <w:szCs w:val="20"/>
          <w:color w:val="auto"/>
        </w:rPr>
      </w:pPr>
      <w:r>
        <w:rPr>
          <w:rFonts w:ascii="MS PGothic" w:cs="MS PGothic" w:eastAsia="MS PGothic" w:hAnsi="MS PGothic"/>
          <w:sz w:val="18"/>
          <w:szCs w:val="18"/>
          <w:color w:val="000000"/>
          <w:shd w:val="clear" w:color="auto" w:fill="FF160F"/>
        </w:rPr>
        <w:t>➣</w:t>
      </w:r>
      <w:r>
        <w:rPr>
          <w:rFonts w:ascii="Arial" w:cs="Arial" w:eastAsia="Arial" w:hAnsi="Arial"/>
          <w:sz w:val="18"/>
          <w:szCs w:val="18"/>
          <w:b w:val="1"/>
          <w:bCs w:val="1"/>
          <w:color w:val="FF160F"/>
        </w:rPr>
        <w:t xml:space="preserve">   EQUITY COMPENSATION PLAN INFORMATION</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sets forth certain information on the 2020 Plan, our only active equity compensation plan, as of December 31, 2023.</w:t>
      </w:r>
    </w:p>
    <w:p>
      <w:pPr>
        <w:spacing w:after="0" w:line="249" w:lineRule="exact"/>
        <w:rPr>
          <w:sz w:val="20"/>
          <w:szCs w:val="20"/>
          <w:color w:val="auto"/>
        </w:rPr>
      </w:pPr>
    </w:p>
    <w:tbl>
      <w:tblPr>
        <w:tblLayout w:type="fixed"/>
        <w:tblInd w:w="130" w:type="dxa"/>
        <w:tblCellMar>
          <w:top w:w="0" w:type="dxa"/>
          <w:left w:w="0" w:type="dxa"/>
          <w:bottom w:w="0" w:type="dxa"/>
          <w:right w:w="0" w:type="dxa"/>
        </w:tblCellMar>
      </w:tblPr>
      <w:tr>
        <w:trPr>
          <w:trHeight w:val="161"/>
        </w:trPr>
        <w:tc>
          <w:tcPr>
            <w:tcW w:w="4560" w:type="dxa"/>
            <w:vAlign w:val="bottom"/>
            <w:tcBorders>
              <w:left w:val="single" w:sz="8" w:color="FF160F"/>
            </w:tcBorders>
            <w:shd w:val="clear" w:color="auto" w:fill="FF160F"/>
          </w:tcPr>
          <w:p>
            <w:pPr>
              <w:spacing w:after="0"/>
              <w:rPr>
                <w:sz w:val="14"/>
                <w:szCs w:val="14"/>
                <w:color w:val="auto"/>
              </w:rPr>
            </w:pPr>
          </w:p>
        </w:tc>
        <w:tc>
          <w:tcPr>
            <w:tcW w:w="2500" w:type="dxa"/>
            <w:vAlign w:val="bottom"/>
            <w:shd w:val="clear" w:color="auto" w:fill="FF160F"/>
          </w:tcPr>
          <w:p>
            <w:pPr>
              <w:jc w:val="center"/>
              <w:ind w:left="245"/>
              <w:spacing w:after="0"/>
              <w:rPr>
                <w:sz w:val="20"/>
                <w:szCs w:val="20"/>
                <w:color w:val="auto"/>
              </w:rPr>
            </w:pPr>
            <w:r>
              <w:rPr>
                <w:rFonts w:ascii="Arial" w:cs="Arial" w:eastAsia="Arial" w:hAnsi="Arial"/>
                <w:sz w:val="14"/>
                <w:szCs w:val="14"/>
                <w:b w:val="1"/>
                <w:bCs w:val="1"/>
                <w:color w:val="FFFFFF"/>
              </w:rPr>
              <w:t>Number of securities</w:t>
            </w:r>
          </w:p>
        </w:tc>
        <w:tc>
          <w:tcPr>
            <w:tcW w:w="520" w:type="dxa"/>
            <w:vAlign w:val="bottom"/>
            <w:shd w:val="clear" w:color="auto" w:fill="FF160F"/>
          </w:tcPr>
          <w:p>
            <w:pPr>
              <w:spacing w:after="0"/>
              <w:rPr>
                <w:sz w:val="14"/>
                <w:szCs w:val="14"/>
                <w:color w:val="auto"/>
              </w:rPr>
            </w:pPr>
          </w:p>
        </w:tc>
        <w:tc>
          <w:tcPr>
            <w:tcW w:w="1540" w:type="dxa"/>
            <w:vAlign w:val="bottom"/>
            <w:shd w:val="clear" w:color="auto" w:fill="FF160F"/>
          </w:tcPr>
          <w:p>
            <w:pPr>
              <w:spacing w:after="0"/>
              <w:rPr>
                <w:sz w:val="14"/>
                <w:szCs w:val="14"/>
                <w:color w:val="auto"/>
              </w:rPr>
            </w:pPr>
          </w:p>
        </w:tc>
        <w:tc>
          <w:tcPr>
            <w:tcW w:w="1900" w:type="dxa"/>
            <w:vAlign w:val="bottom"/>
            <w:shd w:val="clear" w:color="auto" w:fill="FF160F"/>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4560" w:type="dxa"/>
            <w:vAlign w:val="bottom"/>
            <w:tcBorders>
              <w:left w:val="single" w:sz="8" w:color="FF160F"/>
            </w:tcBorders>
            <w:shd w:val="clear" w:color="auto" w:fill="FF160F"/>
          </w:tcPr>
          <w:p>
            <w:pPr>
              <w:spacing w:after="0"/>
              <w:rPr>
                <w:sz w:val="14"/>
                <w:szCs w:val="14"/>
                <w:color w:val="auto"/>
              </w:rPr>
            </w:pPr>
          </w:p>
        </w:tc>
        <w:tc>
          <w:tcPr>
            <w:tcW w:w="2500" w:type="dxa"/>
            <w:vAlign w:val="bottom"/>
            <w:shd w:val="clear" w:color="auto" w:fill="FF160F"/>
          </w:tcPr>
          <w:p>
            <w:pPr>
              <w:jc w:val="center"/>
              <w:ind w:left="245"/>
              <w:spacing w:after="0"/>
              <w:rPr>
                <w:sz w:val="20"/>
                <w:szCs w:val="20"/>
                <w:color w:val="auto"/>
              </w:rPr>
            </w:pPr>
            <w:r>
              <w:rPr>
                <w:rFonts w:ascii="Arial" w:cs="Arial" w:eastAsia="Arial" w:hAnsi="Arial"/>
                <w:sz w:val="14"/>
                <w:szCs w:val="14"/>
                <w:b w:val="1"/>
                <w:bCs w:val="1"/>
                <w:color w:val="FFFFFF"/>
              </w:rPr>
              <w:t>to be issued upon</w:t>
            </w:r>
          </w:p>
        </w:tc>
        <w:tc>
          <w:tcPr>
            <w:tcW w:w="2060" w:type="dxa"/>
            <w:vAlign w:val="bottom"/>
            <w:gridSpan w:val="2"/>
            <w:shd w:val="clear" w:color="auto" w:fill="FF160F"/>
          </w:tcPr>
          <w:p>
            <w:pPr>
              <w:jc w:val="center"/>
              <w:ind w:right="4"/>
              <w:spacing w:after="0"/>
              <w:rPr>
                <w:sz w:val="20"/>
                <w:szCs w:val="20"/>
                <w:color w:val="auto"/>
              </w:rPr>
            </w:pPr>
            <w:r>
              <w:rPr>
                <w:rFonts w:ascii="Arial" w:cs="Arial" w:eastAsia="Arial" w:hAnsi="Arial"/>
                <w:sz w:val="14"/>
                <w:szCs w:val="14"/>
                <w:b w:val="1"/>
                <w:bCs w:val="1"/>
                <w:color w:val="FFFFFF"/>
              </w:rPr>
              <w:t>Weighted average</w:t>
            </w:r>
          </w:p>
        </w:tc>
        <w:tc>
          <w:tcPr>
            <w:tcW w:w="1900" w:type="dxa"/>
            <w:vAlign w:val="bottom"/>
            <w:shd w:val="clear" w:color="auto" w:fill="FF160F"/>
          </w:tcPr>
          <w:p>
            <w:pPr>
              <w:jc w:val="center"/>
              <w:ind w:left="165"/>
              <w:spacing w:after="0"/>
              <w:rPr>
                <w:sz w:val="20"/>
                <w:szCs w:val="20"/>
                <w:color w:val="auto"/>
              </w:rPr>
            </w:pPr>
            <w:r>
              <w:rPr>
                <w:rFonts w:ascii="Arial" w:cs="Arial" w:eastAsia="Arial" w:hAnsi="Arial"/>
                <w:sz w:val="14"/>
                <w:szCs w:val="14"/>
                <w:b w:val="1"/>
                <w:bCs w:val="1"/>
                <w:color w:val="FFFFFF"/>
              </w:rPr>
              <w:t>Number of securities</w:t>
            </w:r>
          </w:p>
        </w:tc>
        <w:tc>
          <w:tcPr>
            <w:tcW w:w="20" w:type="dxa"/>
            <w:vAlign w:val="bottom"/>
          </w:tcPr>
          <w:p>
            <w:pPr>
              <w:spacing w:after="0"/>
              <w:rPr>
                <w:sz w:val="14"/>
                <w:szCs w:val="14"/>
                <w:color w:val="auto"/>
              </w:rPr>
            </w:pPr>
          </w:p>
        </w:tc>
      </w:tr>
      <w:tr>
        <w:trPr>
          <w:trHeight w:val="162"/>
        </w:trPr>
        <w:tc>
          <w:tcPr>
            <w:tcW w:w="4560" w:type="dxa"/>
            <w:vAlign w:val="bottom"/>
            <w:tcBorders>
              <w:left w:val="single" w:sz="8" w:color="FF160F"/>
            </w:tcBorders>
            <w:shd w:val="clear" w:color="auto" w:fill="FF160F"/>
          </w:tcPr>
          <w:p>
            <w:pPr>
              <w:spacing w:after="0"/>
              <w:rPr>
                <w:sz w:val="14"/>
                <w:szCs w:val="14"/>
                <w:color w:val="auto"/>
              </w:rPr>
            </w:pPr>
          </w:p>
        </w:tc>
        <w:tc>
          <w:tcPr>
            <w:tcW w:w="2500" w:type="dxa"/>
            <w:vAlign w:val="bottom"/>
            <w:shd w:val="clear" w:color="auto" w:fill="FF160F"/>
          </w:tcPr>
          <w:p>
            <w:pPr>
              <w:jc w:val="center"/>
              <w:ind w:left="245"/>
              <w:spacing w:after="0"/>
              <w:rPr>
                <w:sz w:val="20"/>
                <w:szCs w:val="20"/>
                <w:color w:val="auto"/>
              </w:rPr>
            </w:pPr>
            <w:r>
              <w:rPr>
                <w:rFonts w:ascii="Arial" w:cs="Arial" w:eastAsia="Arial" w:hAnsi="Arial"/>
                <w:sz w:val="14"/>
                <w:szCs w:val="14"/>
                <w:b w:val="1"/>
                <w:bCs w:val="1"/>
                <w:color w:val="FFFFFF"/>
              </w:rPr>
              <w:t>exercise of</w:t>
            </w:r>
          </w:p>
        </w:tc>
        <w:tc>
          <w:tcPr>
            <w:tcW w:w="2060" w:type="dxa"/>
            <w:vAlign w:val="bottom"/>
            <w:gridSpan w:val="2"/>
            <w:shd w:val="clear" w:color="auto" w:fill="FF160F"/>
          </w:tcPr>
          <w:p>
            <w:pPr>
              <w:jc w:val="center"/>
              <w:ind w:right="4"/>
              <w:spacing w:after="0"/>
              <w:rPr>
                <w:sz w:val="20"/>
                <w:szCs w:val="20"/>
                <w:color w:val="auto"/>
              </w:rPr>
            </w:pPr>
            <w:r>
              <w:rPr>
                <w:rFonts w:ascii="Arial" w:cs="Arial" w:eastAsia="Arial" w:hAnsi="Arial"/>
                <w:sz w:val="14"/>
                <w:szCs w:val="14"/>
                <w:b w:val="1"/>
                <w:bCs w:val="1"/>
                <w:color w:val="FFFFFF"/>
              </w:rPr>
              <w:t>exercise price of</w:t>
            </w:r>
          </w:p>
        </w:tc>
        <w:tc>
          <w:tcPr>
            <w:tcW w:w="1900" w:type="dxa"/>
            <w:vAlign w:val="bottom"/>
            <w:shd w:val="clear" w:color="auto" w:fill="FF160F"/>
          </w:tcPr>
          <w:p>
            <w:pPr>
              <w:jc w:val="center"/>
              <w:ind w:left="165"/>
              <w:spacing w:after="0"/>
              <w:rPr>
                <w:sz w:val="20"/>
                <w:szCs w:val="20"/>
                <w:color w:val="auto"/>
              </w:rPr>
            </w:pPr>
            <w:r>
              <w:rPr>
                <w:rFonts w:ascii="Arial" w:cs="Arial" w:eastAsia="Arial" w:hAnsi="Arial"/>
                <w:sz w:val="14"/>
                <w:szCs w:val="14"/>
                <w:b w:val="1"/>
                <w:bCs w:val="1"/>
                <w:color w:val="FFFFFF"/>
              </w:rPr>
              <w:t>remaining available</w:t>
            </w:r>
          </w:p>
        </w:tc>
        <w:tc>
          <w:tcPr>
            <w:tcW w:w="20" w:type="dxa"/>
            <w:vAlign w:val="bottom"/>
          </w:tcPr>
          <w:p>
            <w:pPr>
              <w:spacing w:after="0"/>
              <w:rPr>
                <w:sz w:val="14"/>
                <w:szCs w:val="14"/>
                <w:color w:val="auto"/>
              </w:rPr>
            </w:pPr>
          </w:p>
        </w:tc>
      </w:tr>
      <w:tr>
        <w:trPr>
          <w:trHeight w:val="162"/>
        </w:trPr>
        <w:tc>
          <w:tcPr>
            <w:tcW w:w="4560" w:type="dxa"/>
            <w:vAlign w:val="bottom"/>
            <w:tcBorders>
              <w:left w:val="single" w:sz="8" w:color="FF160F"/>
            </w:tcBorders>
            <w:shd w:val="clear" w:color="auto" w:fill="FF160F"/>
          </w:tcPr>
          <w:p>
            <w:pPr>
              <w:spacing w:after="0"/>
              <w:rPr>
                <w:sz w:val="14"/>
                <w:szCs w:val="14"/>
                <w:color w:val="auto"/>
              </w:rPr>
            </w:pPr>
          </w:p>
        </w:tc>
        <w:tc>
          <w:tcPr>
            <w:tcW w:w="2500" w:type="dxa"/>
            <w:vAlign w:val="bottom"/>
            <w:shd w:val="clear" w:color="auto" w:fill="FF160F"/>
          </w:tcPr>
          <w:p>
            <w:pPr>
              <w:jc w:val="center"/>
              <w:ind w:left="245"/>
              <w:spacing w:after="0"/>
              <w:rPr>
                <w:sz w:val="20"/>
                <w:szCs w:val="20"/>
                <w:color w:val="auto"/>
              </w:rPr>
            </w:pPr>
            <w:r>
              <w:rPr>
                <w:rFonts w:ascii="Arial" w:cs="Arial" w:eastAsia="Arial" w:hAnsi="Arial"/>
                <w:sz w:val="14"/>
                <w:szCs w:val="14"/>
                <w:b w:val="1"/>
                <w:bCs w:val="1"/>
                <w:color w:val="FFFFFF"/>
              </w:rPr>
              <w:t>outstanding options,</w:t>
            </w:r>
          </w:p>
        </w:tc>
        <w:tc>
          <w:tcPr>
            <w:tcW w:w="520" w:type="dxa"/>
            <w:vAlign w:val="bottom"/>
            <w:shd w:val="clear" w:color="auto" w:fill="FF160F"/>
          </w:tcPr>
          <w:p>
            <w:pPr>
              <w:spacing w:after="0"/>
              <w:rPr>
                <w:sz w:val="14"/>
                <w:szCs w:val="14"/>
                <w:color w:val="auto"/>
              </w:rPr>
            </w:pPr>
          </w:p>
        </w:tc>
        <w:tc>
          <w:tcPr>
            <w:tcW w:w="1540" w:type="dxa"/>
            <w:vAlign w:val="bottom"/>
            <w:shd w:val="clear" w:color="auto" w:fill="FF160F"/>
          </w:tcPr>
          <w:p>
            <w:pPr>
              <w:jc w:val="center"/>
              <w:ind w:right="524"/>
              <w:spacing w:after="0"/>
              <w:rPr>
                <w:sz w:val="20"/>
                <w:szCs w:val="20"/>
                <w:color w:val="auto"/>
              </w:rPr>
            </w:pPr>
            <w:r>
              <w:rPr>
                <w:rFonts w:ascii="Arial" w:cs="Arial" w:eastAsia="Arial" w:hAnsi="Arial"/>
                <w:sz w:val="14"/>
                <w:szCs w:val="14"/>
                <w:b w:val="1"/>
                <w:bCs w:val="1"/>
                <w:color w:val="FFFFFF"/>
              </w:rPr>
              <w:t>outstanding</w:t>
            </w:r>
          </w:p>
        </w:tc>
        <w:tc>
          <w:tcPr>
            <w:tcW w:w="1900" w:type="dxa"/>
            <w:vAlign w:val="bottom"/>
            <w:shd w:val="clear" w:color="auto" w:fill="FF160F"/>
          </w:tcPr>
          <w:p>
            <w:pPr>
              <w:jc w:val="center"/>
              <w:ind w:left="165"/>
              <w:spacing w:after="0"/>
              <w:rPr>
                <w:sz w:val="20"/>
                <w:szCs w:val="20"/>
                <w:color w:val="auto"/>
              </w:rPr>
            </w:pPr>
            <w:r>
              <w:rPr>
                <w:rFonts w:ascii="Arial" w:cs="Arial" w:eastAsia="Arial" w:hAnsi="Arial"/>
                <w:sz w:val="14"/>
                <w:szCs w:val="14"/>
                <w:b w:val="1"/>
                <w:bCs w:val="1"/>
                <w:color w:val="FFFFFF"/>
              </w:rPr>
              <w:t>for future issuance</w:t>
            </w:r>
          </w:p>
        </w:tc>
        <w:tc>
          <w:tcPr>
            <w:tcW w:w="20" w:type="dxa"/>
            <w:vAlign w:val="bottom"/>
          </w:tcPr>
          <w:p>
            <w:pPr>
              <w:spacing w:after="0"/>
              <w:rPr>
                <w:sz w:val="14"/>
                <w:szCs w:val="14"/>
                <w:color w:val="auto"/>
              </w:rPr>
            </w:pPr>
          </w:p>
        </w:tc>
      </w:tr>
      <w:tr>
        <w:trPr>
          <w:trHeight w:val="162"/>
        </w:trPr>
        <w:tc>
          <w:tcPr>
            <w:tcW w:w="4560" w:type="dxa"/>
            <w:vAlign w:val="bottom"/>
            <w:tcBorders>
              <w:left w:val="single" w:sz="8" w:color="FF160F"/>
            </w:tcBorders>
            <w:shd w:val="clear" w:color="auto" w:fill="FF160F"/>
          </w:tcPr>
          <w:p>
            <w:pPr>
              <w:spacing w:after="0"/>
              <w:rPr>
                <w:sz w:val="14"/>
                <w:szCs w:val="14"/>
                <w:color w:val="auto"/>
              </w:rPr>
            </w:pPr>
          </w:p>
        </w:tc>
        <w:tc>
          <w:tcPr>
            <w:tcW w:w="2500" w:type="dxa"/>
            <w:vAlign w:val="bottom"/>
            <w:shd w:val="clear" w:color="auto" w:fill="FF160F"/>
          </w:tcPr>
          <w:p>
            <w:pPr>
              <w:jc w:val="center"/>
              <w:ind w:left="245"/>
              <w:spacing w:after="0"/>
              <w:rPr>
                <w:sz w:val="20"/>
                <w:szCs w:val="20"/>
                <w:color w:val="auto"/>
              </w:rPr>
            </w:pPr>
            <w:r>
              <w:rPr>
                <w:rFonts w:ascii="Arial" w:cs="Arial" w:eastAsia="Arial" w:hAnsi="Arial"/>
                <w:sz w:val="14"/>
                <w:szCs w:val="14"/>
                <w:b w:val="1"/>
                <w:bCs w:val="1"/>
                <w:color w:val="FFFFFF"/>
              </w:rPr>
              <w:t>warrants and rights</w:t>
            </w:r>
          </w:p>
        </w:tc>
        <w:tc>
          <w:tcPr>
            <w:tcW w:w="2060" w:type="dxa"/>
            <w:vAlign w:val="bottom"/>
            <w:gridSpan w:val="2"/>
            <w:shd w:val="clear" w:color="auto" w:fill="FF160F"/>
          </w:tcPr>
          <w:p>
            <w:pPr>
              <w:jc w:val="center"/>
              <w:spacing w:after="0"/>
              <w:rPr>
                <w:sz w:val="20"/>
                <w:szCs w:val="20"/>
                <w:color w:val="auto"/>
              </w:rPr>
            </w:pPr>
            <w:r>
              <w:rPr>
                <w:rFonts w:ascii="Arial" w:cs="Arial" w:eastAsia="Arial" w:hAnsi="Arial"/>
                <w:sz w:val="14"/>
                <w:szCs w:val="14"/>
                <w:b w:val="1"/>
                <w:bCs w:val="1"/>
                <w:color w:val="FFFFFF"/>
              </w:rPr>
              <w:t>options, warrants</w:t>
            </w:r>
          </w:p>
        </w:tc>
        <w:tc>
          <w:tcPr>
            <w:tcW w:w="1900" w:type="dxa"/>
            <w:vAlign w:val="bottom"/>
            <w:shd w:val="clear" w:color="auto" w:fill="FF160F"/>
          </w:tcPr>
          <w:p>
            <w:pPr>
              <w:jc w:val="center"/>
              <w:ind w:left="165"/>
              <w:spacing w:after="0"/>
              <w:rPr>
                <w:sz w:val="20"/>
                <w:szCs w:val="20"/>
                <w:color w:val="auto"/>
              </w:rPr>
            </w:pPr>
            <w:r>
              <w:rPr>
                <w:rFonts w:ascii="Arial" w:cs="Arial" w:eastAsia="Arial" w:hAnsi="Arial"/>
                <w:sz w:val="14"/>
                <w:szCs w:val="14"/>
                <w:b w:val="1"/>
                <w:bCs w:val="1"/>
                <w:color w:val="FFFFFF"/>
              </w:rPr>
              <w:t>(excluding securities</w:t>
            </w:r>
          </w:p>
        </w:tc>
        <w:tc>
          <w:tcPr>
            <w:tcW w:w="20" w:type="dxa"/>
            <w:vAlign w:val="bottom"/>
          </w:tcPr>
          <w:p>
            <w:pPr>
              <w:spacing w:after="0"/>
              <w:rPr>
                <w:sz w:val="14"/>
                <w:szCs w:val="14"/>
                <w:color w:val="auto"/>
              </w:rPr>
            </w:pPr>
          </w:p>
        </w:tc>
      </w:tr>
      <w:tr>
        <w:trPr>
          <w:trHeight w:val="171"/>
        </w:trPr>
        <w:tc>
          <w:tcPr>
            <w:tcW w:w="4560" w:type="dxa"/>
            <w:vAlign w:val="bottom"/>
            <w:tcBorders>
              <w:left w:val="single" w:sz="8" w:color="FF160F"/>
            </w:tcBorders>
            <w:shd w:val="clear" w:color="auto" w:fill="FF160F"/>
          </w:tcPr>
          <w:p>
            <w:pPr>
              <w:spacing w:after="0"/>
              <w:rPr>
                <w:sz w:val="20"/>
                <w:szCs w:val="20"/>
                <w:color w:val="auto"/>
              </w:rPr>
            </w:pPr>
            <w:r>
              <w:rPr>
                <w:rFonts w:ascii="Arial" w:cs="Arial" w:eastAsia="Arial" w:hAnsi="Arial"/>
                <w:sz w:val="14"/>
                <w:szCs w:val="14"/>
                <w:b w:val="1"/>
                <w:bCs w:val="1"/>
                <w:color w:val="FFFFFF"/>
              </w:rPr>
              <w:t>Plan Category</w:t>
            </w:r>
          </w:p>
        </w:tc>
        <w:tc>
          <w:tcPr>
            <w:tcW w:w="2500" w:type="dxa"/>
            <w:vAlign w:val="bottom"/>
            <w:shd w:val="clear" w:color="auto" w:fill="FF160F"/>
          </w:tcPr>
          <w:p>
            <w:pPr>
              <w:jc w:val="center"/>
              <w:ind w:left="245"/>
              <w:spacing w:after="0"/>
              <w:rPr>
                <w:sz w:val="20"/>
                <w:szCs w:val="20"/>
                <w:color w:val="auto"/>
              </w:rPr>
            </w:pPr>
            <w:r>
              <w:rPr>
                <w:rFonts w:ascii="Arial" w:cs="Arial" w:eastAsia="Arial" w:hAnsi="Arial"/>
                <w:sz w:val="14"/>
                <w:szCs w:val="14"/>
                <w:b w:val="1"/>
                <w:bCs w:val="1"/>
                <w:color w:val="FFFFFF"/>
              </w:rPr>
              <w:t>(Column A)</w:t>
            </w:r>
          </w:p>
        </w:tc>
        <w:tc>
          <w:tcPr>
            <w:tcW w:w="520" w:type="dxa"/>
            <w:vAlign w:val="bottom"/>
            <w:shd w:val="clear" w:color="auto" w:fill="FF160F"/>
          </w:tcPr>
          <w:p>
            <w:pPr>
              <w:spacing w:after="0"/>
              <w:rPr>
                <w:sz w:val="14"/>
                <w:szCs w:val="14"/>
                <w:color w:val="auto"/>
              </w:rPr>
            </w:pPr>
          </w:p>
        </w:tc>
        <w:tc>
          <w:tcPr>
            <w:tcW w:w="1540" w:type="dxa"/>
            <w:vAlign w:val="bottom"/>
            <w:shd w:val="clear" w:color="auto" w:fill="FF160F"/>
          </w:tcPr>
          <w:p>
            <w:pPr>
              <w:jc w:val="center"/>
              <w:ind w:right="524"/>
              <w:spacing w:after="0"/>
              <w:rPr>
                <w:sz w:val="20"/>
                <w:szCs w:val="20"/>
                <w:color w:val="auto"/>
              </w:rPr>
            </w:pPr>
            <w:r>
              <w:rPr>
                <w:rFonts w:ascii="Arial" w:cs="Arial" w:eastAsia="Arial" w:hAnsi="Arial"/>
                <w:sz w:val="14"/>
                <w:szCs w:val="14"/>
                <w:b w:val="1"/>
                <w:bCs w:val="1"/>
                <w:color w:val="FFFFFF"/>
              </w:rPr>
              <w:t>and rights</w:t>
            </w:r>
          </w:p>
        </w:tc>
        <w:tc>
          <w:tcPr>
            <w:tcW w:w="1900" w:type="dxa"/>
            <w:vAlign w:val="bottom"/>
            <w:shd w:val="clear" w:color="auto" w:fill="FF160F"/>
          </w:tcPr>
          <w:p>
            <w:pPr>
              <w:jc w:val="center"/>
              <w:ind w:left="165"/>
              <w:spacing w:after="0"/>
              <w:rPr>
                <w:sz w:val="20"/>
                <w:szCs w:val="20"/>
                <w:color w:val="auto"/>
              </w:rPr>
            </w:pPr>
            <w:r>
              <w:rPr>
                <w:rFonts w:ascii="Arial" w:cs="Arial" w:eastAsia="Arial" w:hAnsi="Arial"/>
                <w:sz w:val="14"/>
                <w:szCs w:val="14"/>
                <w:b w:val="1"/>
                <w:bCs w:val="1"/>
                <w:color w:val="FFFFFF"/>
              </w:rPr>
              <w:t>reflected in Column A)</w:t>
            </w:r>
          </w:p>
        </w:tc>
        <w:tc>
          <w:tcPr>
            <w:tcW w:w="20" w:type="dxa"/>
            <w:vAlign w:val="bottom"/>
          </w:tcPr>
          <w:p>
            <w:pPr>
              <w:spacing w:after="0"/>
              <w:rPr>
                <w:sz w:val="14"/>
                <w:szCs w:val="14"/>
                <w:color w:val="auto"/>
              </w:rPr>
            </w:pPr>
          </w:p>
        </w:tc>
      </w:tr>
      <w:tr>
        <w:trPr>
          <w:trHeight w:val="175"/>
        </w:trPr>
        <w:tc>
          <w:tcPr>
            <w:tcW w:w="4560" w:type="dxa"/>
            <w:vAlign w:val="bottom"/>
            <w:tcBorders>
              <w:left w:val="single" w:sz="8" w:color="D8D8D8"/>
            </w:tcBorders>
            <w:shd w:val="clear" w:color="auto" w:fill="D8D8D8"/>
          </w:tcPr>
          <w:p>
            <w:pPr>
              <w:spacing w:after="0" w:line="175" w:lineRule="exact"/>
              <w:rPr>
                <w:sz w:val="20"/>
                <w:szCs w:val="20"/>
                <w:color w:val="auto"/>
              </w:rPr>
            </w:pPr>
            <w:r>
              <w:rPr>
                <w:rFonts w:ascii="Arial" w:cs="Arial" w:eastAsia="Arial" w:hAnsi="Arial"/>
                <w:sz w:val="16"/>
                <w:szCs w:val="16"/>
                <w:color w:val="auto"/>
              </w:rPr>
              <w:t>Equity compensation plans approved by security holders</w:t>
            </w:r>
          </w:p>
        </w:tc>
        <w:tc>
          <w:tcPr>
            <w:tcW w:w="2500" w:type="dxa"/>
            <w:vAlign w:val="bottom"/>
          </w:tcPr>
          <w:p>
            <w:pPr>
              <w:jc w:val="right"/>
              <w:ind w:right="285"/>
              <w:spacing w:after="0" w:line="175" w:lineRule="exact"/>
              <w:rPr>
                <w:sz w:val="20"/>
                <w:szCs w:val="20"/>
                <w:color w:val="auto"/>
              </w:rPr>
            </w:pPr>
            <w:r>
              <w:rPr>
                <w:rFonts w:ascii="Arial" w:cs="Arial" w:eastAsia="Arial" w:hAnsi="Arial"/>
                <w:sz w:val="16"/>
                <w:szCs w:val="16"/>
                <w:color w:val="auto"/>
              </w:rPr>
              <w:t>1,829</w:t>
            </w:r>
          </w:p>
        </w:tc>
        <w:tc>
          <w:tcPr>
            <w:tcW w:w="52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1540" w:type="dxa"/>
            <w:vAlign w:val="bottom"/>
          </w:tcPr>
          <w:p>
            <w:pPr>
              <w:jc w:val="right"/>
              <w:ind w:right="364"/>
              <w:spacing w:after="0" w:line="175" w:lineRule="exact"/>
              <w:rPr>
                <w:sz w:val="20"/>
                <w:szCs w:val="20"/>
                <w:color w:val="auto"/>
              </w:rPr>
            </w:pPr>
            <w:r>
              <w:rPr>
                <w:rFonts w:ascii="Arial" w:cs="Arial" w:eastAsia="Arial" w:hAnsi="Arial"/>
                <w:sz w:val="16"/>
                <w:szCs w:val="16"/>
                <w:color w:val="auto"/>
              </w:rPr>
              <w:t>95.77</w:t>
            </w:r>
          </w:p>
        </w:tc>
        <w:tc>
          <w:tcPr>
            <w:tcW w:w="1900" w:type="dxa"/>
            <w:vAlign w:val="bottom"/>
          </w:tcPr>
          <w:p>
            <w:pPr>
              <w:jc w:val="right"/>
              <w:spacing w:after="0" w:line="175" w:lineRule="exact"/>
              <w:rPr>
                <w:sz w:val="20"/>
                <w:szCs w:val="20"/>
                <w:color w:val="auto"/>
              </w:rPr>
            </w:pPr>
            <w:r>
              <w:rPr>
                <w:rFonts w:ascii="Arial" w:cs="Arial" w:eastAsia="Arial" w:hAnsi="Arial"/>
                <w:sz w:val="16"/>
                <w:szCs w:val="16"/>
                <w:color w:val="auto"/>
              </w:rPr>
              <w:t>1,309,851</w:t>
            </w:r>
          </w:p>
        </w:tc>
        <w:tc>
          <w:tcPr>
            <w:tcW w:w="20" w:type="dxa"/>
            <w:vAlign w:val="bottom"/>
          </w:tcPr>
          <w:p>
            <w:pPr>
              <w:spacing w:after="0"/>
              <w:rPr>
                <w:sz w:val="15"/>
                <w:szCs w:val="15"/>
                <w:color w:val="auto"/>
              </w:rPr>
            </w:pPr>
          </w:p>
        </w:tc>
      </w:tr>
      <w:tr>
        <w:trPr>
          <w:trHeight w:val="203"/>
        </w:trPr>
        <w:tc>
          <w:tcPr>
            <w:tcW w:w="4560" w:type="dxa"/>
            <w:vAlign w:val="bottom"/>
            <w:tcBorders>
              <w:left w:val="single" w:sz="8" w:color="D8D8D8"/>
              <w:bottom w:val="single" w:sz="8" w:color="auto"/>
            </w:tcBorders>
            <w:shd w:val="clear" w:color="auto" w:fill="D8D8D8"/>
          </w:tcPr>
          <w:p>
            <w:pPr>
              <w:spacing w:after="0"/>
              <w:rPr>
                <w:sz w:val="20"/>
                <w:szCs w:val="20"/>
                <w:color w:val="auto"/>
              </w:rPr>
            </w:pPr>
            <w:r>
              <w:rPr>
                <w:rFonts w:ascii="Arial" w:cs="Arial" w:eastAsia="Arial" w:hAnsi="Arial"/>
                <w:sz w:val="16"/>
                <w:szCs w:val="16"/>
                <w:color w:val="auto"/>
              </w:rPr>
              <w:t>Equity compensation plans not approved by security holders</w:t>
            </w:r>
          </w:p>
        </w:tc>
        <w:tc>
          <w:tcPr>
            <w:tcW w:w="2500" w:type="dxa"/>
            <w:vAlign w:val="bottom"/>
            <w:tcBorders>
              <w:bottom w:val="single" w:sz="8" w:color="auto"/>
            </w:tcBorders>
          </w:tcPr>
          <w:p>
            <w:pPr>
              <w:jc w:val="right"/>
              <w:ind w:right="285"/>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364"/>
              <w:spacing w:after="0"/>
              <w:rPr>
                <w:sz w:val="20"/>
                <w:szCs w:val="20"/>
                <w:color w:val="auto"/>
              </w:rPr>
            </w:pPr>
            <w:r>
              <w:rPr>
                <w:rFonts w:ascii="Arial" w:cs="Arial" w:eastAsia="Arial" w:hAnsi="Arial"/>
                <w:sz w:val="16"/>
                <w:szCs w:val="16"/>
                <w:color w:val="auto"/>
              </w:rPr>
              <w:t>-</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r>
      <w:tr>
        <w:trPr>
          <w:trHeight w:val="183"/>
        </w:trPr>
        <w:tc>
          <w:tcPr>
            <w:tcW w:w="4560" w:type="dxa"/>
            <w:vAlign w:val="bottom"/>
            <w:tcBorders>
              <w:left w:val="single" w:sz="8" w:color="D8D8D8"/>
            </w:tcBorders>
            <w:shd w:val="clear" w:color="auto" w:fill="D8D8D8"/>
          </w:tcPr>
          <w:p>
            <w:pPr>
              <w:spacing w:after="0" w:line="183" w:lineRule="exact"/>
              <w:rPr>
                <w:sz w:val="20"/>
                <w:szCs w:val="20"/>
                <w:color w:val="auto"/>
              </w:rPr>
            </w:pPr>
            <w:r>
              <w:rPr>
                <w:rFonts w:ascii="Arial" w:cs="Arial" w:eastAsia="Arial" w:hAnsi="Arial"/>
                <w:sz w:val="16"/>
                <w:szCs w:val="16"/>
                <w:b w:val="1"/>
                <w:bCs w:val="1"/>
                <w:color w:val="auto"/>
              </w:rPr>
              <w:t>Total</w:t>
            </w:r>
          </w:p>
        </w:tc>
        <w:tc>
          <w:tcPr>
            <w:tcW w:w="2500" w:type="dxa"/>
            <w:vAlign w:val="bottom"/>
          </w:tcPr>
          <w:p>
            <w:pPr>
              <w:jc w:val="right"/>
              <w:ind w:right="285"/>
              <w:spacing w:after="0" w:line="183" w:lineRule="exact"/>
              <w:rPr>
                <w:sz w:val="20"/>
                <w:szCs w:val="20"/>
                <w:color w:val="auto"/>
              </w:rPr>
            </w:pPr>
            <w:r>
              <w:rPr>
                <w:rFonts w:ascii="Arial" w:cs="Arial" w:eastAsia="Arial" w:hAnsi="Arial"/>
                <w:sz w:val="16"/>
                <w:szCs w:val="16"/>
                <w:b w:val="1"/>
                <w:bCs w:val="1"/>
                <w:color w:val="auto"/>
              </w:rPr>
              <w:t>1,829</w:t>
            </w:r>
          </w:p>
        </w:tc>
        <w:tc>
          <w:tcPr>
            <w:tcW w:w="520" w:type="dxa"/>
            <w:vAlign w:val="bottom"/>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1540" w:type="dxa"/>
            <w:vAlign w:val="bottom"/>
          </w:tcPr>
          <w:p>
            <w:pPr>
              <w:jc w:val="right"/>
              <w:ind w:right="364"/>
              <w:spacing w:after="0" w:line="183" w:lineRule="exact"/>
              <w:rPr>
                <w:sz w:val="20"/>
                <w:szCs w:val="20"/>
                <w:color w:val="auto"/>
              </w:rPr>
            </w:pPr>
            <w:r>
              <w:rPr>
                <w:rFonts w:ascii="Arial" w:cs="Arial" w:eastAsia="Arial" w:hAnsi="Arial"/>
                <w:sz w:val="16"/>
                <w:szCs w:val="16"/>
                <w:b w:val="1"/>
                <w:bCs w:val="1"/>
                <w:color w:val="auto"/>
              </w:rPr>
              <w:t>95.77</w:t>
            </w:r>
          </w:p>
        </w:tc>
        <w:tc>
          <w:tcPr>
            <w:tcW w:w="1900" w:type="dxa"/>
            <w:vAlign w:val="bottom"/>
          </w:tcPr>
          <w:p>
            <w:pPr>
              <w:jc w:val="right"/>
              <w:spacing w:after="0" w:line="183" w:lineRule="exact"/>
              <w:rPr>
                <w:sz w:val="20"/>
                <w:szCs w:val="20"/>
                <w:color w:val="auto"/>
              </w:rPr>
            </w:pPr>
            <w:r>
              <w:rPr>
                <w:rFonts w:ascii="Arial" w:cs="Arial" w:eastAsia="Arial" w:hAnsi="Arial"/>
                <w:sz w:val="16"/>
                <w:szCs w:val="16"/>
                <w:b w:val="1"/>
                <w:bCs w:val="1"/>
                <w:color w:val="auto"/>
              </w:rPr>
              <w:t>1,309,851</w:t>
            </w:r>
          </w:p>
        </w:tc>
        <w:tc>
          <w:tcPr>
            <w:tcW w:w="20" w:type="dxa"/>
            <w:vAlign w:val="bottom"/>
          </w:tcPr>
          <w:p>
            <w:pPr>
              <w:spacing w:after="0"/>
              <w:rPr>
                <w:sz w:val="15"/>
                <w:szCs w:val="15"/>
                <w:color w:val="auto"/>
              </w:rPr>
            </w:pPr>
          </w:p>
        </w:tc>
      </w:tr>
      <w:tr>
        <w:trPr>
          <w:trHeight w:val="149"/>
        </w:trPr>
        <w:tc>
          <w:tcPr>
            <w:tcW w:w="4560" w:type="dxa"/>
            <w:vAlign w:val="bottom"/>
            <w:tcBorders>
              <w:bottom w:val="single" w:sz="8" w:color="auto"/>
            </w:tcBorders>
          </w:tcPr>
          <w:p>
            <w:pPr>
              <w:spacing w:after="0"/>
              <w:rPr>
                <w:sz w:val="12"/>
                <w:szCs w:val="12"/>
                <w:color w:val="auto"/>
              </w:rPr>
            </w:pPr>
          </w:p>
        </w:tc>
        <w:tc>
          <w:tcPr>
            <w:tcW w:w="25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tcPr>
          <w:p>
            <w:pPr>
              <w:spacing w:after="0"/>
              <w:rPr>
                <w:sz w:val="12"/>
                <w:szCs w:val="12"/>
                <w:color w:val="auto"/>
              </w:rPr>
            </w:pPr>
          </w:p>
        </w:tc>
        <w:tc>
          <w:tcPr>
            <w:tcW w:w="19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r>
      <w:tr>
        <w:trPr>
          <w:trHeight w:val="155"/>
        </w:trPr>
        <w:tc>
          <w:tcPr>
            <w:tcW w:w="4560" w:type="dxa"/>
            <w:vAlign w:val="bottom"/>
            <w:tcBorders>
              <w:left w:val="single" w:sz="8" w:color="auto"/>
              <w:bottom w:val="single" w:sz="8" w:color="auto"/>
            </w:tcBorders>
            <w:shd w:val="clear" w:color="auto" w:fill="EAEFED"/>
          </w:tcPr>
          <w:p>
            <w:pPr>
              <w:spacing w:after="0"/>
              <w:rPr>
                <w:sz w:val="13"/>
                <w:szCs w:val="13"/>
                <w:color w:val="auto"/>
              </w:rPr>
            </w:pPr>
          </w:p>
        </w:tc>
        <w:tc>
          <w:tcPr>
            <w:tcW w:w="2500" w:type="dxa"/>
            <w:vAlign w:val="bottom"/>
            <w:tcBorders>
              <w:bottom w:val="single" w:sz="8" w:color="auto"/>
            </w:tcBorders>
            <w:shd w:val="clear" w:color="auto" w:fill="EAEFED"/>
          </w:tcPr>
          <w:p>
            <w:pPr>
              <w:spacing w:after="0"/>
              <w:rPr>
                <w:sz w:val="13"/>
                <w:szCs w:val="13"/>
                <w:color w:val="auto"/>
              </w:rPr>
            </w:pPr>
          </w:p>
        </w:tc>
        <w:tc>
          <w:tcPr>
            <w:tcW w:w="520" w:type="dxa"/>
            <w:vAlign w:val="bottom"/>
            <w:tcBorders>
              <w:bottom w:val="single" w:sz="8" w:color="auto"/>
            </w:tcBorders>
            <w:shd w:val="clear" w:color="auto" w:fill="EAEFED"/>
          </w:tcPr>
          <w:p>
            <w:pPr>
              <w:spacing w:after="0"/>
              <w:rPr>
                <w:sz w:val="13"/>
                <w:szCs w:val="13"/>
                <w:color w:val="auto"/>
              </w:rPr>
            </w:pPr>
          </w:p>
        </w:tc>
        <w:tc>
          <w:tcPr>
            <w:tcW w:w="1540" w:type="dxa"/>
            <w:vAlign w:val="bottom"/>
            <w:tcBorders>
              <w:bottom w:val="single" w:sz="8" w:color="auto"/>
            </w:tcBorders>
            <w:shd w:val="clear" w:color="auto" w:fill="EAEFED"/>
          </w:tcPr>
          <w:p>
            <w:pPr>
              <w:jc w:val="right"/>
              <w:spacing w:after="0" w:line="155" w:lineRule="exact"/>
              <w:rPr>
                <w:sz w:val="20"/>
                <w:szCs w:val="20"/>
                <w:color w:val="auto"/>
              </w:rPr>
            </w:pPr>
            <w:r>
              <w:rPr>
                <w:rFonts w:ascii="Arial" w:cs="Arial" w:eastAsia="Arial" w:hAnsi="Arial"/>
                <w:sz w:val="14"/>
                <w:szCs w:val="14"/>
                <w:color w:val="FF160F"/>
              </w:rPr>
              <w:t>Federal Realty</w:t>
            </w:r>
            <w:r>
              <w:rPr>
                <w:rFonts w:ascii="Arial" w:cs="Arial" w:eastAsia="Arial" w:hAnsi="Arial"/>
                <w:sz w:val="14"/>
                <w:szCs w:val="14"/>
                <w:color w:val="000000"/>
              </w:rPr>
              <w:t xml:space="preserve">    </w:t>
            </w:r>
          </w:p>
        </w:tc>
        <w:tc>
          <w:tcPr>
            <w:tcW w:w="1900" w:type="dxa"/>
            <w:vAlign w:val="bottom"/>
            <w:tcBorders>
              <w:bottom w:val="single" w:sz="8" w:color="auto"/>
            </w:tcBorders>
            <w:shd w:val="clear" w:color="auto" w:fill="EAEFED"/>
          </w:tcPr>
          <w:p>
            <w:pPr>
              <w:jc w:val="right"/>
              <w:ind w:right="45"/>
              <w:spacing w:after="0" w:line="155" w:lineRule="exact"/>
              <w:rPr>
                <w:sz w:val="20"/>
                <w:szCs w:val="20"/>
                <w:color w:val="auto"/>
              </w:rPr>
            </w:pPr>
            <w:r>
              <w:rPr>
                <w:rFonts w:ascii="Arial" w:cs="Arial" w:eastAsia="Arial" w:hAnsi="Arial"/>
                <w:sz w:val="14"/>
                <w:szCs w:val="14"/>
                <w:color w:val="auto"/>
              </w:rPr>
              <w:t>2024 Proxy Statement   39</w:t>
            </w:r>
          </w:p>
        </w:tc>
        <w:tc>
          <w:tcPr>
            <w:tcW w:w="20" w:type="dxa"/>
            <w:vAlign w:val="bottom"/>
            <w:tcBorders>
              <w:bottom w:val="single" w:sz="8" w:color="auto"/>
            </w:tcBorders>
            <w:shd w:val="clear" w:color="auto" w:fill="000000"/>
          </w:tcPr>
          <w:p>
            <w:pPr>
              <w:spacing w:after="0"/>
              <w:rPr>
                <w:sz w:val="13"/>
                <w:szCs w:val="13"/>
                <w:color w:val="auto"/>
              </w:rPr>
            </w:pPr>
          </w:p>
        </w:tc>
      </w:tr>
    </w:tbl>
    <w:p>
      <w:pPr>
        <w:sectPr>
          <w:pgSz w:w="11900" w:h="16838" w:orient="portrait"/>
          <w:cols w:equalWidth="0" w:num="1">
            <w:col w:w="11140"/>
          </w:cols>
          <w:pgMar w:left="320" w:top="482" w:right="4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259715</wp:posOffset>
            </wp:positionV>
            <wp:extent cx="6995160" cy="342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995160" cy="3429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left="220"/>
        <w:spacing w:after="0" w:line="298" w:lineRule="auto"/>
        <w:rPr>
          <w:sz w:val="20"/>
          <w:szCs w:val="20"/>
          <w:color w:val="auto"/>
        </w:rPr>
      </w:pPr>
      <w:r>
        <w:rPr>
          <w:rFonts w:ascii="Arial" w:cs="Arial" w:eastAsia="Arial" w:hAnsi="Arial"/>
          <w:sz w:val="32"/>
          <w:szCs w:val="32"/>
          <w:b w:val="1"/>
          <w:bCs w:val="1"/>
          <w:color w:val="auto"/>
        </w:rPr>
        <w:t>Proposal 3: Ratification of Independent Registered Public Accounting Firm</w:t>
      </w:r>
    </w:p>
    <w:p>
      <w:pPr>
        <w:spacing w:after="0" w:line="70" w:lineRule="exact"/>
        <w:rPr>
          <w:sz w:val="20"/>
          <w:szCs w:val="20"/>
          <w:color w:val="auto"/>
        </w:rPr>
      </w:pPr>
    </w:p>
    <w:p>
      <w:pPr>
        <w:jc w:val="both"/>
        <w:ind w:left="120"/>
        <w:spacing w:after="0"/>
        <w:rPr>
          <w:sz w:val="20"/>
          <w:szCs w:val="20"/>
          <w:color w:val="auto"/>
        </w:rPr>
      </w:pPr>
      <w:r>
        <w:rPr>
          <w:rFonts w:ascii="Arial" w:cs="Arial" w:eastAsia="Arial" w:hAnsi="Arial"/>
          <w:sz w:val="18"/>
          <w:szCs w:val="18"/>
          <w:color w:val="auto"/>
        </w:rPr>
        <w:t>Shareholders are being asked to ratify in a non-binding vote the selection of Grant Thornton, LLP (“GT”) as our independent registered public accounting firm for the fiscal year ending December 31, 2024. Shareholder ratification of GT is not required by our governance documents; however, the Board is soliciting shareholder views on this matter. GT has served in this role since 2002 and the Board believes it is in the best interests of the Company and our shareholders for GT to continue in this role. If the selection of GT is not ratified, the Audit Committee may (but will not be required to) reconsider whether to retain GT. Even if the selection of GT is ratified, the Audit Committee may change the appointment of GT at any time if it determines such a change would be in the best interests of the Company and our shareholders. A representative of GT will be present at the Annual Meeting and will have the opportunity to make a statement if they so desire and answer appropriate questions from shareholders.</w:t>
      </w:r>
    </w:p>
    <w:p>
      <w:pPr>
        <w:spacing w:after="0" w:line="180" w:lineRule="exact"/>
        <w:rPr>
          <w:sz w:val="20"/>
          <w:szCs w:val="20"/>
          <w:color w:val="auto"/>
        </w:rPr>
      </w:pPr>
    </w:p>
    <w:p>
      <w:pPr>
        <w:jc w:val="both"/>
        <w:ind w:left="120" w:right="20"/>
        <w:spacing w:after="0" w:line="271" w:lineRule="auto"/>
        <w:rPr>
          <w:sz w:val="20"/>
          <w:szCs w:val="20"/>
          <w:color w:val="auto"/>
        </w:rPr>
      </w:pPr>
      <w:r>
        <w:rPr>
          <w:rFonts w:ascii="Arial" w:cs="Arial" w:eastAsia="Arial" w:hAnsi="Arial"/>
          <w:sz w:val="18"/>
          <w:szCs w:val="18"/>
          <w:color w:val="auto"/>
        </w:rPr>
        <w:t>The Audit Committee reviews and approves in advance all audit and permissible non-audit services provided by GT to the Company as required by and in accordance with the rules and regulations of the SEC and the Sarbanes-Oxley Act of 2002.</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sets forth the fees for services rendered by GT for the years ended December 31, 2023 and 2022:</w:t>
      </w:r>
    </w:p>
    <w:p>
      <w:pPr>
        <w:spacing w:after="0" w:line="253"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6720" w:type="dxa"/>
            <w:vAlign w:val="bottom"/>
            <w:shd w:val="clear" w:color="auto" w:fill="FF160F"/>
          </w:tcPr>
          <w:p>
            <w:pPr>
              <w:spacing w:after="0"/>
              <w:rPr>
                <w:sz w:val="17"/>
                <w:szCs w:val="17"/>
                <w:color w:val="auto"/>
              </w:rPr>
            </w:pPr>
          </w:p>
        </w:tc>
        <w:tc>
          <w:tcPr>
            <w:tcW w:w="440" w:type="dxa"/>
            <w:vAlign w:val="bottom"/>
            <w:shd w:val="clear" w:color="auto" w:fill="FF160F"/>
          </w:tcPr>
          <w:p>
            <w:pPr>
              <w:spacing w:after="0"/>
              <w:rPr>
                <w:sz w:val="17"/>
                <w:szCs w:val="17"/>
                <w:color w:val="auto"/>
              </w:rPr>
            </w:pPr>
          </w:p>
        </w:tc>
        <w:tc>
          <w:tcPr>
            <w:tcW w:w="960" w:type="dxa"/>
            <w:vAlign w:val="bottom"/>
            <w:shd w:val="clear" w:color="auto" w:fill="FF160F"/>
          </w:tcPr>
          <w:p>
            <w:pPr>
              <w:jc w:val="right"/>
              <w:ind w:right="10"/>
              <w:spacing w:after="0"/>
              <w:rPr>
                <w:sz w:val="20"/>
                <w:szCs w:val="20"/>
                <w:color w:val="auto"/>
              </w:rPr>
            </w:pPr>
            <w:r>
              <w:rPr>
                <w:rFonts w:ascii="Arial" w:cs="Arial" w:eastAsia="Arial" w:hAnsi="Arial"/>
                <w:sz w:val="18"/>
                <w:szCs w:val="18"/>
                <w:b w:val="1"/>
                <w:bCs w:val="1"/>
                <w:color w:val="FFFFFF"/>
              </w:rPr>
              <w:t>2023</w:t>
            </w:r>
          </w:p>
        </w:tc>
        <w:tc>
          <w:tcPr>
            <w:tcW w:w="280" w:type="dxa"/>
            <w:vAlign w:val="bottom"/>
            <w:shd w:val="clear" w:color="auto" w:fill="FF160F"/>
          </w:tcPr>
          <w:p>
            <w:pPr>
              <w:spacing w:after="0"/>
              <w:rPr>
                <w:sz w:val="17"/>
                <w:szCs w:val="17"/>
                <w:color w:val="auto"/>
              </w:rPr>
            </w:pPr>
          </w:p>
        </w:tc>
        <w:tc>
          <w:tcPr>
            <w:tcW w:w="960" w:type="dxa"/>
            <w:vAlign w:val="bottom"/>
            <w:shd w:val="clear" w:color="auto" w:fill="FF160F"/>
          </w:tcPr>
          <w:p>
            <w:pPr>
              <w:jc w:val="right"/>
              <w:spacing w:after="0"/>
              <w:rPr>
                <w:sz w:val="20"/>
                <w:szCs w:val="20"/>
                <w:color w:val="auto"/>
              </w:rPr>
            </w:pPr>
            <w:r>
              <w:rPr>
                <w:rFonts w:ascii="Arial" w:cs="Arial" w:eastAsia="Arial" w:hAnsi="Arial"/>
                <w:sz w:val="18"/>
                <w:szCs w:val="18"/>
                <w:b w:val="1"/>
                <w:bCs w:val="1"/>
                <w:color w:val="FFFFFF"/>
              </w:rPr>
              <w:t>2022</w:t>
            </w:r>
          </w:p>
        </w:tc>
      </w:tr>
      <w:tr>
        <w:trPr>
          <w:trHeight w:val="184"/>
        </w:trPr>
        <w:tc>
          <w:tcPr>
            <w:tcW w:w="6720" w:type="dxa"/>
            <w:vAlign w:val="bottom"/>
            <w:shd w:val="clear" w:color="auto" w:fill="D8D8D8"/>
          </w:tcPr>
          <w:p>
            <w:pPr>
              <w:spacing w:after="0" w:line="184" w:lineRule="exact"/>
              <w:rPr>
                <w:sz w:val="20"/>
                <w:szCs w:val="20"/>
                <w:color w:val="auto"/>
              </w:rPr>
            </w:pPr>
            <w:r>
              <w:rPr>
                <w:rFonts w:ascii="Arial" w:cs="Arial" w:eastAsia="Arial" w:hAnsi="Arial"/>
                <w:sz w:val="15"/>
                <w:szCs w:val="15"/>
                <w:color w:val="auto"/>
              </w:rPr>
              <w:t>Audit Fees</w:t>
            </w:r>
            <w:r>
              <w:rPr>
                <w:rFonts w:ascii="Arial" w:cs="Arial" w:eastAsia="Arial" w:hAnsi="Arial"/>
                <w:sz w:val="21"/>
                <w:szCs w:val="21"/>
                <w:color w:val="auto"/>
                <w:vertAlign w:val="superscript"/>
              </w:rPr>
              <w:t>(1)</w:t>
            </w:r>
          </w:p>
        </w:tc>
        <w:tc>
          <w:tcPr>
            <w:tcW w:w="440" w:type="dxa"/>
            <w:vAlign w:val="bottom"/>
          </w:tcPr>
          <w:p>
            <w:pPr>
              <w:jc w:val="right"/>
              <w:spacing w:after="0" w:line="183"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line="183" w:lineRule="exact"/>
              <w:rPr>
                <w:sz w:val="20"/>
                <w:szCs w:val="20"/>
                <w:color w:val="auto"/>
              </w:rPr>
            </w:pPr>
            <w:r>
              <w:rPr>
                <w:rFonts w:ascii="Arial" w:cs="Arial" w:eastAsia="Arial" w:hAnsi="Arial"/>
                <w:sz w:val="18"/>
                <w:szCs w:val="18"/>
                <w:color w:val="auto"/>
              </w:rPr>
              <w:t>1,012,171</w:t>
            </w:r>
          </w:p>
        </w:tc>
        <w:tc>
          <w:tcPr>
            <w:tcW w:w="280" w:type="dxa"/>
            <w:vAlign w:val="bottom"/>
          </w:tcPr>
          <w:p>
            <w:pPr>
              <w:jc w:val="right"/>
              <w:spacing w:after="0" w:line="183"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183" w:lineRule="exact"/>
              <w:rPr>
                <w:sz w:val="20"/>
                <w:szCs w:val="20"/>
                <w:color w:val="auto"/>
              </w:rPr>
            </w:pPr>
            <w:r>
              <w:rPr>
                <w:rFonts w:ascii="Arial" w:cs="Arial" w:eastAsia="Arial" w:hAnsi="Arial"/>
                <w:sz w:val="18"/>
                <w:szCs w:val="18"/>
                <w:color w:val="auto"/>
              </w:rPr>
              <w:t>930,131</w:t>
            </w:r>
          </w:p>
        </w:tc>
      </w:tr>
      <w:tr>
        <w:trPr>
          <w:trHeight w:val="203"/>
        </w:trPr>
        <w:tc>
          <w:tcPr>
            <w:tcW w:w="6720" w:type="dxa"/>
            <w:vAlign w:val="bottom"/>
            <w:shd w:val="clear" w:color="auto" w:fill="D8D8D8"/>
          </w:tcPr>
          <w:p>
            <w:pPr>
              <w:spacing w:after="0" w:line="202" w:lineRule="exact"/>
              <w:rPr>
                <w:sz w:val="20"/>
                <w:szCs w:val="20"/>
                <w:color w:val="auto"/>
              </w:rPr>
            </w:pPr>
            <w:r>
              <w:rPr>
                <w:rFonts w:ascii="Arial" w:cs="Arial" w:eastAsia="Arial" w:hAnsi="Arial"/>
                <w:sz w:val="16"/>
                <w:szCs w:val="16"/>
                <w:color w:val="auto"/>
              </w:rPr>
              <w:t>Audit-Related Fees</w:t>
            </w:r>
            <w:r>
              <w:rPr>
                <w:rFonts w:ascii="Arial" w:cs="Arial" w:eastAsia="Arial" w:hAnsi="Arial"/>
                <w:sz w:val="23"/>
                <w:szCs w:val="23"/>
                <w:color w:val="auto"/>
                <w:vertAlign w:val="superscript"/>
              </w:rPr>
              <w:t>(2)</w:t>
            </w: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54,075</w:t>
            </w: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70,925</w:t>
            </w:r>
          </w:p>
        </w:tc>
      </w:tr>
      <w:tr>
        <w:trPr>
          <w:trHeight w:val="221"/>
        </w:trPr>
        <w:tc>
          <w:tcPr>
            <w:tcW w:w="6720" w:type="dxa"/>
            <w:vAlign w:val="bottom"/>
            <w:tcBorders>
              <w:bottom w:val="single" w:sz="8" w:color="auto"/>
            </w:tcBorders>
            <w:shd w:val="clear" w:color="auto" w:fill="D8D8D8"/>
          </w:tcPr>
          <w:p>
            <w:pPr>
              <w:spacing w:after="0"/>
              <w:rPr>
                <w:sz w:val="20"/>
                <w:szCs w:val="20"/>
                <w:color w:val="auto"/>
              </w:rPr>
            </w:pPr>
            <w:r>
              <w:rPr>
                <w:rFonts w:ascii="Arial" w:cs="Arial" w:eastAsia="Arial" w:hAnsi="Arial"/>
                <w:sz w:val="18"/>
                <w:szCs w:val="18"/>
                <w:color w:val="auto"/>
              </w:rPr>
              <w:t>All Other Fees</w:t>
            </w:r>
          </w:p>
        </w:tc>
        <w:tc>
          <w:tcPr>
            <w:tcW w:w="4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 xml:space="preserve">- </w:t>
            </w:r>
          </w:p>
        </w:tc>
      </w:tr>
      <w:tr>
        <w:trPr>
          <w:trHeight w:val="177"/>
        </w:trPr>
        <w:tc>
          <w:tcPr>
            <w:tcW w:w="6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60" w:type="dxa"/>
            <w:vAlign w:val="bottom"/>
          </w:tcPr>
          <w:p>
            <w:pPr>
              <w:jc w:val="right"/>
              <w:ind w:right="150"/>
              <w:spacing w:after="0" w:line="177" w:lineRule="exact"/>
              <w:rPr>
                <w:sz w:val="20"/>
                <w:szCs w:val="20"/>
                <w:color w:val="auto"/>
              </w:rPr>
            </w:pPr>
            <w:r>
              <w:rPr>
                <w:rFonts w:ascii="Arial" w:cs="Arial" w:eastAsia="Arial" w:hAnsi="Arial"/>
                <w:sz w:val="18"/>
                <w:szCs w:val="18"/>
                <w:b w:val="1"/>
                <w:bCs w:val="1"/>
                <w:color w:val="auto"/>
              </w:rPr>
              <w:t> </w:t>
            </w:r>
          </w:p>
        </w:tc>
        <w:tc>
          <w:tcPr>
            <w:tcW w:w="280" w:type="dxa"/>
            <w:vAlign w:val="bottom"/>
          </w:tcPr>
          <w:p>
            <w:pPr>
              <w:spacing w:after="0"/>
              <w:rPr>
                <w:sz w:val="15"/>
                <w:szCs w:val="15"/>
                <w:color w:val="auto"/>
              </w:rPr>
            </w:pPr>
          </w:p>
        </w:tc>
        <w:tc>
          <w:tcPr>
            <w:tcW w:w="960" w:type="dxa"/>
            <w:vAlign w:val="bottom"/>
          </w:tcPr>
          <w:p>
            <w:pPr>
              <w:jc w:val="right"/>
              <w:ind w:right="130"/>
              <w:spacing w:after="0" w:line="177" w:lineRule="exact"/>
              <w:rPr>
                <w:sz w:val="20"/>
                <w:szCs w:val="20"/>
                <w:color w:val="auto"/>
              </w:rPr>
            </w:pPr>
            <w:r>
              <w:rPr>
                <w:rFonts w:ascii="Arial" w:cs="Arial" w:eastAsia="Arial" w:hAnsi="Arial"/>
                <w:sz w:val="18"/>
                <w:szCs w:val="18"/>
                <w:b w:val="1"/>
                <w:bCs w:val="1"/>
                <w:color w:val="auto"/>
              </w:rPr>
              <w:t> </w:t>
            </w:r>
          </w:p>
        </w:tc>
      </w:tr>
      <w:tr>
        <w:trPr>
          <w:trHeight w:val="247"/>
        </w:trPr>
        <w:tc>
          <w:tcPr>
            <w:tcW w:w="6720" w:type="dxa"/>
            <w:vAlign w:val="bottom"/>
          </w:tcPr>
          <w:p>
            <w:pPr>
              <w:spacing w:after="0"/>
              <w:rPr>
                <w:sz w:val="20"/>
                <w:szCs w:val="20"/>
                <w:color w:val="auto"/>
              </w:rPr>
            </w:pPr>
            <w:r>
              <w:rPr>
                <w:rFonts w:ascii="Arial" w:cs="Arial" w:eastAsia="Arial" w:hAnsi="Arial"/>
                <w:sz w:val="18"/>
                <w:szCs w:val="18"/>
                <w:b w:val="1"/>
                <w:bCs w:val="1"/>
                <w:color w:val="auto"/>
              </w:rPr>
              <w:t>Total Fees</w:t>
            </w: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b w:val="1"/>
                <w:bCs w:val="1"/>
                <w:color w:val="auto"/>
              </w:rPr>
              <w:t>1,066,246</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1,001,056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95250</wp:posOffset>
            </wp:positionV>
            <wp:extent cx="11226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122680" cy="8255"/>
                    </a:xfrm>
                    <a:prstGeom prst="rect">
                      <a:avLst/>
                    </a:prstGeom>
                    <a:noFill/>
                  </pic:spPr>
                </pic:pic>
              </a:graphicData>
            </a:graphic>
          </wp:anchor>
        </w:drawing>
      </w:r>
    </w:p>
    <w:p>
      <w:pPr>
        <w:spacing w:after="0" w:line="170" w:lineRule="exact"/>
        <w:rPr>
          <w:sz w:val="20"/>
          <w:szCs w:val="20"/>
          <w:color w:val="auto"/>
        </w:rPr>
      </w:pPr>
    </w:p>
    <w:p>
      <w:pPr>
        <w:jc w:val="both"/>
        <w:ind w:left="660" w:right="20" w:hanging="436"/>
        <w:spacing w:after="0" w:line="217" w:lineRule="auto"/>
        <w:tabs>
          <w:tab w:leader="none" w:pos="660" w:val="left"/>
        </w:tabs>
        <w:numPr>
          <w:ilvl w:val="0"/>
          <w:numId w:val="82"/>
        </w:numPr>
        <w:rPr>
          <w:rFonts w:ascii="Arial" w:cs="Arial" w:eastAsia="Arial" w:hAnsi="Arial"/>
          <w:sz w:val="24"/>
          <w:szCs w:val="24"/>
          <w:color w:val="auto"/>
          <w:vertAlign w:val="superscript"/>
        </w:rPr>
      </w:pPr>
      <w:r>
        <w:rPr>
          <w:rFonts w:ascii="Arial" w:cs="Arial" w:eastAsia="Arial" w:hAnsi="Arial"/>
          <w:sz w:val="16"/>
          <w:szCs w:val="16"/>
          <w:color w:val="auto"/>
        </w:rPr>
        <w:t>Audit fees include all fees and expenses for services in connection with: (a) the audit of our financial statements included in our annual reports on Form 10-K; (b) Sarbanes-Oxley Section 404 relating to our annual audit; (c) the review of the financial statements included in our quarterly reports on Form 10-Q; and (d) consents and comfort letters issued in connection with debt offerings and common share offerings.</w:t>
      </w:r>
    </w:p>
    <w:p>
      <w:pPr>
        <w:ind w:left="660" w:hanging="436"/>
        <w:spacing w:after="0" w:line="202" w:lineRule="auto"/>
        <w:tabs>
          <w:tab w:leader="none" w:pos="660" w:val="left"/>
        </w:tabs>
        <w:numPr>
          <w:ilvl w:val="0"/>
          <w:numId w:val="82"/>
        </w:numPr>
        <w:rPr>
          <w:rFonts w:ascii="Arial" w:cs="Arial" w:eastAsia="Arial" w:hAnsi="Arial"/>
          <w:sz w:val="24"/>
          <w:szCs w:val="24"/>
          <w:color w:val="auto"/>
          <w:vertAlign w:val="superscript"/>
        </w:rPr>
      </w:pPr>
      <w:r>
        <w:rPr>
          <w:rFonts w:ascii="Arial" w:cs="Arial" w:eastAsia="Arial" w:hAnsi="Arial"/>
          <w:sz w:val="16"/>
          <w:szCs w:val="16"/>
          <w:color w:val="auto"/>
        </w:rPr>
        <w:t>Audit-related fees primarily include the audit of our employee benefit plan, which are paid by the plan and not the Company, and certain property level audits.</w:t>
      </w:r>
    </w:p>
    <w:p>
      <w:pPr>
        <w:spacing w:after="0" w:line="186" w:lineRule="exact"/>
        <w:rPr>
          <w:sz w:val="20"/>
          <w:szCs w:val="20"/>
          <w:color w:val="auto"/>
        </w:rPr>
      </w:pPr>
    </w:p>
    <w:p>
      <w:pPr>
        <w:ind w:left="120" w:right="20"/>
        <w:spacing w:after="0" w:line="271" w:lineRule="auto"/>
        <w:rPr>
          <w:sz w:val="20"/>
          <w:szCs w:val="20"/>
          <w:color w:val="auto"/>
        </w:rPr>
      </w:pPr>
      <w:r>
        <w:rPr>
          <w:rFonts w:ascii="Arial" w:cs="Arial" w:eastAsia="Arial" w:hAnsi="Arial"/>
          <w:sz w:val="18"/>
          <w:szCs w:val="18"/>
          <w:color w:val="auto"/>
        </w:rPr>
        <w:t>The affirmative vote of a majority of votes cast at the Annual Meeting, in person or by proxy, is required to approve this proposal. An “abstention” or “broker non-vote” will have no effect on the outcome of the vote for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126365</wp:posOffset>
            </wp:positionV>
            <wp:extent cx="7003415" cy="62547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003415" cy="625475"/>
                    </a:xfrm>
                    <a:prstGeom prst="rect">
                      <a:avLst/>
                    </a:prstGeom>
                    <a:noFill/>
                  </pic:spPr>
                </pic:pic>
              </a:graphicData>
            </a:graphic>
          </wp:anchor>
        </w:drawing>
      </w:r>
    </w:p>
    <w:p>
      <w:pPr>
        <w:spacing w:after="0" w:line="357" w:lineRule="exact"/>
        <w:rPr>
          <w:sz w:val="20"/>
          <w:szCs w:val="20"/>
          <w:color w:val="auto"/>
        </w:rPr>
      </w:pPr>
    </w:p>
    <w:p>
      <w:pPr>
        <w:ind w:left="1200" w:right="140" w:hanging="927"/>
        <w:spacing w:after="0" w:line="182" w:lineRule="auto"/>
        <w:tabs>
          <w:tab w:leader="none" w:pos="1200" w:val="left"/>
        </w:tabs>
        <w:numPr>
          <w:ilvl w:val="0"/>
          <w:numId w:val="83"/>
        </w:numPr>
        <w:rPr>
          <w:rFonts w:ascii="Arial" w:cs="Arial" w:eastAsia="Arial" w:hAnsi="Arial"/>
          <w:sz w:val="48"/>
          <w:szCs w:val="48"/>
          <w:color w:val="auto"/>
          <w:vertAlign w:val="superscript"/>
        </w:rPr>
      </w:pPr>
      <w:r>
        <w:rPr>
          <w:rFonts w:ascii="Arial" w:cs="Arial" w:eastAsia="Arial" w:hAnsi="Arial"/>
          <w:sz w:val="24"/>
          <w:szCs w:val="24"/>
          <w:color w:val="auto"/>
        </w:rPr>
        <w:t xml:space="preserve">Our Board recommends a vote </w:t>
      </w:r>
      <w:r>
        <w:rPr>
          <w:rFonts w:ascii="Arial" w:cs="Arial" w:eastAsia="Arial" w:hAnsi="Arial"/>
          <w:sz w:val="24"/>
          <w:szCs w:val="24"/>
          <w:b w:val="1"/>
          <w:bCs w:val="1"/>
          <w:color w:val="auto"/>
        </w:rPr>
        <w:t>FOR</w:t>
      </w:r>
      <w:r>
        <w:rPr>
          <w:rFonts w:ascii="Arial" w:cs="Arial" w:eastAsia="Arial" w:hAnsi="Arial"/>
          <w:sz w:val="24"/>
          <w:szCs w:val="24"/>
          <w:color w:val="auto"/>
        </w:rPr>
        <w:t xml:space="preserve"> the ratification of the appointment of GT as our independent registered public accounting firm for fiscal year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7003415" cy="12001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003415" cy="120015"/>
                    </a:xfrm>
                    <a:prstGeom prst="rect">
                      <a:avLst/>
                    </a:prstGeom>
                    <a:noFill/>
                  </pic:spPr>
                </pic:pic>
              </a:graphicData>
            </a:graphic>
          </wp:anchor>
        </w:drawing>
      </w:r>
    </w:p>
    <w:p>
      <w:pPr>
        <w:spacing w:after="0" w:line="312" w:lineRule="exact"/>
        <w:rPr>
          <w:sz w:val="20"/>
          <w:szCs w:val="20"/>
          <w:color w:val="auto"/>
        </w:rPr>
      </w:pPr>
    </w:p>
    <w:p>
      <w:pPr>
        <w:ind w:left="340"/>
        <w:spacing w:after="0"/>
        <w:rPr>
          <w:sz w:val="20"/>
          <w:szCs w:val="20"/>
          <w:color w:val="auto"/>
        </w:rPr>
      </w:pPr>
      <w:r>
        <w:rPr>
          <w:rFonts w:ascii="Arial" w:cs="Arial" w:eastAsia="Arial" w:hAnsi="Arial"/>
          <w:sz w:val="14"/>
          <w:szCs w:val="14"/>
          <w:color w:val="FF160F"/>
        </w:rPr>
        <w:t>Federal Realty</w:t>
      </w:r>
      <w:r>
        <w:rPr>
          <w:rFonts w:ascii="Arial" w:cs="Arial" w:eastAsia="Arial" w:hAnsi="Arial"/>
          <w:sz w:val="14"/>
          <w:szCs w:val="14"/>
          <w:color w:val="000000"/>
        </w:rPr>
        <w:t xml:space="preserve">      2024 Proxy Statement   40</w:t>
      </w:r>
    </w:p>
    <w:p>
      <w:pPr>
        <w:sectPr>
          <w:pgSz w:w="11900" w:h="16838" w:orient="portrait"/>
          <w:cols w:equalWidth="0" w:num="1">
            <w:col w:w="11140"/>
          </w:cols>
          <w:pgMar w:left="320" w:top="482" w:right="4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540" w:hanging="424"/>
        <w:spacing w:after="0"/>
        <w:tabs>
          <w:tab w:leader="none" w:pos="540" w:val="left"/>
        </w:tabs>
        <w:numPr>
          <w:ilvl w:val="0"/>
          <w:numId w:val="84"/>
        </w:numPr>
        <w:rPr>
          <w:rFonts w:ascii="MS PGothic" w:cs="MS PGothic" w:eastAsia="MS PGothic" w:hAnsi="MS PGothic"/>
          <w:sz w:val="18"/>
          <w:szCs w:val="18"/>
          <w:color w:val="FF160F"/>
        </w:rPr>
      </w:pPr>
      <w:r>
        <w:rPr>
          <w:rFonts w:ascii="Arial" w:cs="Arial" w:eastAsia="Arial" w:hAnsi="Arial"/>
          <w:sz w:val="18"/>
          <w:szCs w:val="18"/>
          <w:b w:val="1"/>
          <w:bCs w:val="1"/>
          <w:color w:val="auto"/>
        </w:rPr>
        <w:t>AUDIT COMMITTEE REPORT</w:t>
      </w:r>
    </w:p>
    <w:p>
      <w:pPr>
        <w:spacing w:after="0" w:line="119" w:lineRule="exact"/>
        <w:rPr>
          <w:sz w:val="20"/>
          <w:szCs w:val="20"/>
          <w:color w:val="auto"/>
        </w:rPr>
      </w:pPr>
    </w:p>
    <w:p>
      <w:pPr>
        <w:jc w:val="both"/>
        <w:ind w:left="120"/>
        <w:spacing w:after="0" w:line="252" w:lineRule="auto"/>
        <w:rPr>
          <w:sz w:val="20"/>
          <w:szCs w:val="20"/>
          <w:color w:val="auto"/>
        </w:rPr>
      </w:pPr>
      <w:r>
        <w:rPr>
          <w:rFonts w:ascii="Arial" w:cs="Arial" w:eastAsia="Arial" w:hAnsi="Arial"/>
          <w:sz w:val="18"/>
          <w:szCs w:val="18"/>
          <w:i w:val="1"/>
          <w:iCs w:val="1"/>
          <w:color w:val="auto"/>
        </w:rPr>
        <w:t>The following Report of the Audit Committee does not constitute soliciting material and should not be deemed filed or incorporated by reference into any other filing by us under the Securities Act of 1933 or the Securities Exchange Act of 1934, except to the extent the Company specifically incorporates this Report by reference therein.</w:t>
      </w:r>
    </w:p>
    <w:p>
      <w:pPr>
        <w:spacing w:after="0" w:line="169" w:lineRule="exact"/>
        <w:rPr>
          <w:sz w:val="20"/>
          <w:szCs w:val="20"/>
          <w:color w:val="auto"/>
        </w:rPr>
      </w:pPr>
    </w:p>
    <w:p>
      <w:pPr>
        <w:jc w:val="both"/>
        <w:ind w:left="120" w:right="20"/>
        <w:spacing w:after="0" w:line="244" w:lineRule="auto"/>
        <w:rPr>
          <w:sz w:val="20"/>
          <w:szCs w:val="20"/>
          <w:color w:val="auto"/>
        </w:rPr>
      </w:pPr>
      <w:r>
        <w:rPr>
          <w:rFonts w:ascii="Arial" w:cs="Arial" w:eastAsia="Arial" w:hAnsi="Arial"/>
          <w:sz w:val="18"/>
          <w:szCs w:val="18"/>
          <w:color w:val="auto"/>
        </w:rPr>
        <w:t xml:space="preserve">The Audit Committee is made up entirely of trustees who meet all independence requirements under the rules of the SEC and NYSE and have the requisite financial competence to serve on the Audit Committee. The Audit Committee meets at least quarterly and operates pursuant to a written charter that is reviewed at least every three years. That charter can be accessed under the Investors/Corporate Governance section of our website at </w:t>
      </w:r>
      <w:r>
        <w:rPr>
          <w:rFonts w:ascii="Arial" w:cs="Arial" w:eastAsia="Arial" w:hAnsi="Arial"/>
          <w:sz w:val="18"/>
          <w:szCs w:val="18"/>
          <w:i w:val="1"/>
          <w:iCs w:val="1"/>
          <w:u w:val="single" w:color="auto"/>
          <w:color w:val="auto"/>
        </w:rPr>
        <w:t>www.federalrealty.com</w:t>
      </w:r>
      <w:r>
        <w:rPr>
          <w:rFonts w:ascii="Arial" w:cs="Arial" w:eastAsia="Arial" w:hAnsi="Arial"/>
          <w:sz w:val="18"/>
          <w:szCs w:val="18"/>
          <w:color w:val="auto"/>
        </w:rPr>
        <w:t>. In 2023, the Audit Committee met four times and each meeting included an executive session with our independent registered public accounting firm and no members of management present.</w:t>
      </w:r>
    </w:p>
    <w:p>
      <w:pPr>
        <w:spacing w:after="0" w:line="176" w:lineRule="exact"/>
        <w:rPr>
          <w:sz w:val="20"/>
          <w:szCs w:val="20"/>
          <w:color w:val="auto"/>
        </w:rPr>
      </w:pPr>
    </w:p>
    <w:p>
      <w:pPr>
        <w:jc w:val="both"/>
        <w:ind w:left="120"/>
        <w:spacing w:after="0" w:line="239" w:lineRule="auto"/>
        <w:rPr>
          <w:sz w:val="20"/>
          <w:szCs w:val="20"/>
          <w:color w:val="auto"/>
        </w:rPr>
      </w:pPr>
      <w:r>
        <w:rPr>
          <w:rFonts w:ascii="Arial" w:cs="Arial" w:eastAsia="Arial" w:hAnsi="Arial"/>
          <w:sz w:val="18"/>
          <w:szCs w:val="18"/>
          <w:color w:val="auto"/>
        </w:rPr>
        <w:t>The Audit Committee is directly responsible for the appointment, retention and oversight of GT, the independent registered public accounting firm retained to audit our financial statements, and also oversees management of our internal audit firm in performance of their financial functions. Specifically, management is responsible for the financial reporting process, including the system of internal controls, for the preparation of consolidated financial statements in accordance with generally accepted accounting principles in the United States and for reporting on internal control over financial reporting. Management uses Pricewaterhouse Coopers, LLC (“PwC”) to provide its internal audit function, including oversight of the ongoing testing of the effectiveness of our internal controls. The Audit Committee met regularly with PwC in 2023 and one meeting included an executive session with PwC with no members of GT or management present. GT is responsible for auditing the consolidated financial statements of the Company and expressing an opinion on the financial statements and the effectiveness of internal control over financial reporting.</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 part of its oversight function, the Audit Committee:</w:t>
      </w:r>
    </w:p>
    <w:p>
      <w:pPr>
        <w:spacing w:after="0" w:line="239" w:lineRule="exact"/>
        <w:rPr>
          <w:sz w:val="20"/>
          <w:szCs w:val="20"/>
          <w:color w:val="auto"/>
        </w:rPr>
      </w:pPr>
    </w:p>
    <w:p>
      <w:pPr>
        <w:ind w:left="1420" w:hanging="427"/>
        <w:spacing w:after="0"/>
        <w:tabs>
          <w:tab w:leader="none" w:pos="14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Met with management and GT and discussed the Company’s December 31, 2023 audited financial statements;</w:t>
      </w:r>
    </w:p>
    <w:p>
      <w:pPr>
        <w:spacing w:after="0" w:line="238" w:lineRule="exact"/>
        <w:rPr>
          <w:rFonts w:ascii="Arial" w:cs="Arial" w:eastAsia="Arial" w:hAnsi="Arial"/>
          <w:sz w:val="18"/>
          <w:szCs w:val="18"/>
          <w:color w:val="auto"/>
        </w:rPr>
      </w:pPr>
    </w:p>
    <w:p>
      <w:pPr>
        <w:jc w:val="both"/>
        <w:ind w:left="1420" w:right="20" w:hanging="427"/>
        <w:spacing w:after="0" w:line="253" w:lineRule="auto"/>
        <w:tabs>
          <w:tab w:leader="none" w:pos="14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Worked with a new lead audit partner at GT to oversee the audit of the Company’s financial statements beginning with fiscal year 2023. The new GT audit partner has extensive experience auditing real estate investment trusts and has never been part of the GT team auditing the Company;</w:t>
      </w:r>
    </w:p>
    <w:p>
      <w:pPr>
        <w:spacing w:after="0" w:line="195" w:lineRule="exact"/>
        <w:rPr>
          <w:rFonts w:ascii="Arial" w:cs="Arial" w:eastAsia="Arial" w:hAnsi="Arial"/>
          <w:sz w:val="18"/>
          <w:szCs w:val="18"/>
          <w:color w:val="auto"/>
        </w:rPr>
      </w:pPr>
    </w:p>
    <w:p>
      <w:pPr>
        <w:ind w:left="1420" w:right="20" w:hanging="427"/>
        <w:spacing w:after="0" w:line="271" w:lineRule="auto"/>
        <w:tabs>
          <w:tab w:leader="none" w:pos="14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Discussed with GT the matters required to be discussed by the applicable requirements of the Public Company Accounting Oversight Board (“PCAOB”) and the SEC;</w:t>
      </w:r>
    </w:p>
    <w:p>
      <w:pPr>
        <w:spacing w:after="0" w:line="180" w:lineRule="exact"/>
        <w:rPr>
          <w:rFonts w:ascii="Arial" w:cs="Arial" w:eastAsia="Arial" w:hAnsi="Arial"/>
          <w:sz w:val="18"/>
          <w:szCs w:val="18"/>
          <w:color w:val="auto"/>
        </w:rPr>
      </w:pPr>
    </w:p>
    <w:p>
      <w:pPr>
        <w:ind w:left="1420" w:right="20" w:hanging="427"/>
        <w:spacing w:after="0" w:line="271" w:lineRule="auto"/>
        <w:tabs>
          <w:tab w:leader="none" w:pos="14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Reviewed and discussed with management and GT, individually and collectively, all annual and quarterly financial statements and operating results prior to their issuance;</w:t>
      </w:r>
    </w:p>
    <w:p>
      <w:pPr>
        <w:spacing w:after="0" w:line="180" w:lineRule="exact"/>
        <w:rPr>
          <w:rFonts w:ascii="Arial" w:cs="Arial" w:eastAsia="Arial" w:hAnsi="Arial"/>
          <w:sz w:val="18"/>
          <w:szCs w:val="18"/>
          <w:color w:val="auto"/>
        </w:rPr>
      </w:pPr>
    </w:p>
    <w:p>
      <w:pPr>
        <w:jc w:val="both"/>
        <w:ind w:left="1420" w:right="20" w:hanging="427"/>
        <w:spacing w:after="0" w:line="253" w:lineRule="auto"/>
        <w:tabs>
          <w:tab w:leader="none" w:pos="14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Received the written disclosures and the letter from GT required by applicable requirements of the PCAOB regarding GT’s communications with the audit committee concerning independence, and has discussed with GT regarding its independence;</w:t>
      </w:r>
    </w:p>
    <w:p>
      <w:pPr>
        <w:spacing w:after="0" w:line="195" w:lineRule="exact"/>
        <w:rPr>
          <w:rFonts w:ascii="Arial" w:cs="Arial" w:eastAsia="Arial" w:hAnsi="Arial"/>
          <w:sz w:val="18"/>
          <w:szCs w:val="18"/>
          <w:color w:val="auto"/>
        </w:rPr>
      </w:pPr>
    </w:p>
    <w:p>
      <w:pPr>
        <w:ind w:left="1420" w:right="20" w:hanging="427"/>
        <w:spacing w:after="0" w:line="271" w:lineRule="auto"/>
        <w:tabs>
          <w:tab w:leader="none" w:pos="14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Discussed with GT matters required to be discussed pursuant to applicable audit standards, including the reasonableness of judgments and the clarity and completeness of financial disclosures;</w:t>
      </w:r>
    </w:p>
    <w:p>
      <w:pPr>
        <w:spacing w:after="0" w:line="180" w:lineRule="exact"/>
        <w:rPr>
          <w:rFonts w:ascii="Arial" w:cs="Arial" w:eastAsia="Arial" w:hAnsi="Arial"/>
          <w:sz w:val="18"/>
          <w:szCs w:val="18"/>
          <w:color w:val="auto"/>
        </w:rPr>
      </w:pPr>
    </w:p>
    <w:p>
      <w:pPr>
        <w:ind w:left="1420" w:right="20" w:hanging="427"/>
        <w:spacing w:after="0" w:line="271" w:lineRule="auto"/>
        <w:tabs>
          <w:tab w:leader="none" w:pos="14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Monitored the non-audit services provided by GT to ensure that performance of such services did not adversely impact GT’s independence; and</w:t>
      </w:r>
    </w:p>
    <w:p>
      <w:pPr>
        <w:spacing w:after="0" w:line="180" w:lineRule="exact"/>
        <w:rPr>
          <w:rFonts w:ascii="Arial" w:cs="Arial" w:eastAsia="Arial" w:hAnsi="Arial"/>
          <w:sz w:val="18"/>
          <w:szCs w:val="18"/>
          <w:color w:val="auto"/>
        </w:rPr>
      </w:pPr>
    </w:p>
    <w:p>
      <w:pPr>
        <w:jc w:val="both"/>
        <w:ind w:left="1420" w:right="20" w:hanging="427"/>
        <w:spacing w:after="0" w:line="247" w:lineRule="auto"/>
        <w:tabs>
          <w:tab w:leader="none" w:pos="14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As part of the Committee’s quarterly review of internal controls, the Committee discussed with management cybersecurity threats, cybersecurity training and ongoing areas of focus of management in protecting against cyber breaches. During those quarterly reviews in 2023, the Committee was advised that there were no breaches and that cybersecurity insurance had been procured.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79375</wp:posOffset>
            </wp:positionV>
            <wp:extent cx="7003415" cy="12001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003415" cy="120015"/>
                    </a:xfrm>
                    <a:prstGeom prst="rect">
                      <a:avLst/>
                    </a:prstGeom>
                    <a:noFill/>
                  </pic:spPr>
                </pic:pic>
              </a:graphicData>
            </a:graphic>
          </wp:anchor>
        </w:drawing>
      </w:r>
    </w:p>
    <w:p>
      <w:pPr>
        <w:spacing w:after="0" w:line="110" w:lineRule="exact"/>
        <w:rPr>
          <w:sz w:val="20"/>
          <w:szCs w:val="20"/>
          <w:color w:val="auto"/>
        </w:rPr>
      </w:pPr>
    </w:p>
    <w:p>
      <w:pPr>
        <w:ind w:left="8080"/>
        <w:spacing w:after="0"/>
        <w:rPr>
          <w:sz w:val="20"/>
          <w:szCs w:val="20"/>
          <w:color w:val="auto"/>
        </w:rPr>
      </w:pPr>
      <w:r>
        <w:rPr>
          <w:rFonts w:ascii="Arial" w:cs="Arial" w:eastAsia="Arial" w:hAnsi="Arial"/>
          <w:sz w:val="14"/>
          <w:szCs w:val="14"/>
          <w:color w:val="FF160F"/>
        </w:rPr>
        <w:t>Federal Realty</w:t>
      </w:r>
      <w:r>
        <w:rPr>
          <w:rFonts w:ascii="Arial" w:cs="Arial" w:eastAsia="Arial" w:hAnsi="Arial"/>
          <w:sz w:val="14"/>
          <w:szCs w:val="14"/>
          <w:color w:val="000000"/>
        </w:rPr>
        <w:t xml:space="preserve">      2024 Proxy Statement   41</w:t>
      </w:r>
    </w:p>
    <w:p>
      <w:pPr>
        <w:sectPr>
          <w:pgSz w:w="11900" w:h="16838" w:orient="portrait"/>
          <w:cols w:equalWidth="0" w:num="1">
            <w:col w:w="11140"/>
          </w:cols>
          <w:pgMar w:left="320" w:top="482" w:right="4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jc w:val="both"/>
        <w:ind w:left="120"/>
        <w:spacing w:after="0" w:line="253" w:lineRule="auto"/>
        <w:rPr>
          <w:sz w:val="20"/>
          <w:szCs w:val="20"/>
          <w:color w:val="auto"/>
        </w:rPr>
      </w:pPr>
      <w:r>
        <w:rPr>
          <w:rFonts w:ascii="Arial" w:cs="Arial" w:eastAsia="Arial" w:hAnsi="Arial"/>
          <w:sz w:val="18"/>
          <w:szCs w:val="18"/>
          <w:color w:val="auto"/>
        </w:rPr>
        <w:t>Based on the Audit Committee’s reviews and discussions with GT, PwC and management, the Audit Committee recommended to the Board of Trustees that the Board approve the inclusion of our audited financial statements in our Annual Report on Form 10-K for the fiscal year ended December 31, 2023 for filing with the SEC.</w:t>
      </w:r>
    </w:p>
    <w:p>
      <w:pPr>
        <w:spacing w:after="0" w:line="16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Submitted by the Audit Committee:</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Gail P. Steinel, Chairperson</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David W. Faeder</w:t>
      </w:r>
    </w:p>
    <w:p>
      <w:pPr>
        <w:ind w:left="120"/>
        <w:spacing w:after="0" w:line="234" w:lineRule="auto"/>
        <w:rPr>
          <w:sz w:val="20"/>
          <w:szCs w:val="20"/>
          <w:color w:val="auto"/>
        </w:rPr>
      </w:pPr>
      <w:r>
        <w:rPr>
          <w:rFonts w:ascii="Arial" w:cs="Arial" w:eastAsia="Arial" w:hAnsi="Arial"/>
          <w:sz w:val="18"/>
          <w:szCs w:val="18"/>
          <w:color w:val="auto"/>
        </w:rPr>
        <w:t>Elizabeth I. Holland</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Anthony P. Nader,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203200</wp:posOffset>
            </wp:positionV>
            <wp:extent cx="6995160" cy="342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995160" cy="34290"/>
                    </a:xfrm>
                    <a:prstGeom prst="rect">
                      <a:avLst/>
                    </a:prstGeom>
                    <a:noFill/>
                  </pic:spPr>
                </pic:pic>
              </a:graphicData>
            </a:graphic>
          </wp:anchor>
        </w:drawing>
      </w:r>
    </w:p>
    <w:p>
      <w:pPr>
        <w:spacing w:after="0" w:line="365"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 Beneficial Ownership</w:t>
      </w:r>
    </w:p>
    <w:p>
      <w:pPr>
        <w:spacing w:after="0" w:line="264" w:lineRule="exact"/>
        <w:rPr>
          <w:sz w:val="20"/>
          <w:szCs w:val="20"/>
          <w:color w:val="auto"/>
        </w:rPr>
      </w:pPr>
    </w:p>
    <w:p>
      <w:pPr>
        <w:ind w:left="540" w:hanging="424"/>
        <w:spacing w:after="0"/>
        <w:tabs>
          <w:tab w:leader="none" w:pos="540" w:val="left"/>
        </w:tabs>
        <w:numPr>
          <w:ilvl w:val="0"/>
          <w:numId w:val="86"/>
        </w:numPr>
        <w:rPr>
          <w:rFonts w:ascii="MS PGothic" w:cs="MS PGothic" w:eastAsia="MS PGothic" w:hAnsi="MS PGothic"/>
          <w:sz w:val="18"/>
          <w:szCs w:val="18"/>
          <w:color w:val="auto"/>
          <w:shd w:val="clear" w:color="auto" w:fill="FF160F"/>
        </w:rPr>
      </w:pPr>
      <w:r>
        <w:rPr>
          <w:rFonts w:ascii="Arial" w:cs="Arial" w:eastAsia="Arial" w:hAnsi="Arial"/>
          <w:sz w:val="18"/>
          <w:szCs w:val="18"/>
          <w:b w:val="1"/>
          <w:bCs w:val="1"/>
          <w:color w:val="FF160F"/>
        </w:rPr>
        <w:t>OWNERSHIP OF PRINCIPAL SHAREHOLDERS</w:t>
      </w:r>
    </w:p>
    <w:p>
      <w:pPr>
        <w:spacing w:after="0" w:line="271" w:lineRule="exact"/>
        <w:rPr>
          <w:sz w:val="20"/>
          <w:szCs w:val="20"/>
          <w:color w:val="auto"/>
        </w:rPr>
      </w:pPr>
    </w:p>
    <w:tbl>
      <w:tblPr>
        <w:tblLayout w:type="fixed"/>
        <w:tblInd w:w="120" w:type="dxa"/>
        <w:tblCellMar>
          <w:top w:w="0" w:type="dxa"/>
          <w:left w:w="0" w:type="dxa"/>
          <w:bottom w:w="0" w:type="dxa"/>
          <w:right w:w="0" w:type="dxa"/>
        </w:tblCellMar>
      </w:tblPr>
      <w:tr>
        <w:trPr>
          <w:trHeight w:val="211"/>
        </w:trPr>
        <w:tc>
          <w:tcPr>
            <w:tcW w:w="4460" w:type="dxa"/>
            <w:vAlign w:val="bottom"/>
            <w:shd w:val="clear" w:color="auto" w:fill="FF160F"/>
          </w:tcPr>
          <w:p>
            <w:pPr>
              <w:spacing w:after="0"/>
              <w:rPr>
                <w:sz w:val="18"/>
                <w:szCs w:val="18"/>
                <w:color w:val="auto"/>
              </w:rPr>
            </w:pPr>
          </w:p>
        </w:tc>
        <w:tc>
          <w:tcPr>
            <w:tcW w:w="3560" w:type="dxa"/>
            <w:vAlign w:val="bottom"/>
            <w:shd w:val="clear" w:color="auto" w:fill="FF160F"/>
          </w:tcPr>
          <w:p>
            <w:pPr>
              <w:jc w:val="right"/>
              <w:ind w:right="250"/>
              <w:spacing w:after="0"/>
              <w:rPr>
                <w:sz w:val="20"/>
                <w:szCs w:val="20"/>
                <w:color w:val="auto"/>
              </w:rPr>
            </w:pPr>
            <w:r>
              <w:rPr>
                <w:rFonts w:ascii="Arial" w:cs="Arial" w:eastAsia="Arial" w:hAnsi="Arial"/>
                <w:sz w:val="18"/>
                <w:szCs w:val="18"/>
                <w:b w:val="1"/>
                <w:bCs w:val="1"/>
                <w:color w:val="FFFFFF"/>
              </w:rPr>
              <w:t>Amount and Nature of</w:t>
            </w:r>
          </w:p>
        </w:tc>
        <w:tc>
          <w:tcPr>
            <w:tcW w:w="3000" w:type="dxa"/>
            <w:vAlign w:val="bottom"/>
            <w:shd w:val="clear" w:color="auto" w:fill="FF160F"/>
          </w:tcPr>
          <w:p>
            <w:pPr>
              <w:jc w:val="right"/>
              <w:ind w:right="831"/>
              <w:spacing w:after="0"/>
              <w:rPr>
                <w:sz w:val="20"/>
                <w:szCs w:val="20"/>
                <w:color w:val="auto"/>
              </w:rPr>
            </w:pPr>
            <w:r>
              <w:rPr>
                <w:rFonts w:ascii="Arial" w:cs="Arial" w:eastAsia="Arial" w:hAnsi="Arial"/>
                <w:sz w:val="18"/>
                <w:szCs w:val="18"/>
                <w:b w:val="1"/>
                <w:bCs w:val="1"/>
                <w:color w:val="FFFFFF"/>
              </w:rPr>
              <w:t>Percentage of Our</w:t>
            </w:r>
          </w:p>
        </w:tc>
      </w:tr>
      <w:tr>
        <w:trPr>
          <w:trHeight w:val="221"/>
        </w:trPr>
        <w:tc>
          <w:tcPr>
            <w:tcW w:w="4460" w:type="dxa"/>
            <w:vAlign w:val="bottom"/>
            <w:shd w:val="clear" w:color="auto" w:fill="FF160F"/>
          </w:tcPr>
          <w:p>
            <w:pPr>
              <w:spacing w:after="0"/>
              <w:rPr>
                <w:sz w:val="20"/>
                <w:szCs w:val="20"/>
                <w:color w:val="auto"/>
              </w:rPr>
            </w:pPr>
            <w:r>
              <w:rPr>
                <w:rFonts w:ascii="Arial" w:cs="Arial" w:eastAsia="Arial" w:hAnsi="Arial"/>
                <w:sz w:val="18"/>
                <w:szCs w:val="18"/>
                <w:b w:val="1"/>
                <w:bCs w:val="1"/>
                <w:color w:val="FFFFFF"/>
              </w:rPr>
              <w:t>Name and Address of Beneficial Owner</w:t>
            </w:r>
          </w:p>
        </w:tc>
        <w:tc>
          <w:tcPr>
            <w:tcW w:w="3560" w:type="dxa"/>
            <w:vAlign w:val="bottom"/>
            <w:shd w:val="clear" w:color="auto" w:fill="FF160F"/>
          </w:tcPr>
          <w:p>
            <w:pPr>
              <w:jc w:val="right"/>
              <w:ind w:right="290"/>
              <w:spacing w:after="0"/>
              <w:rPr>
                <w:sz w:val="20"/>
                <w:szCs w:val="20"/>
                <w:color w:val="auto"/>
              </w:rPr>
            </w:pPr>
            <w:r>
              <w:rPr>
                <w:rFonts w:ascii="Arial" w:cs="Arial" w:eastAsia="Arial" w:hAnsi="Arial"/>
                <w:sz w:val="18"/>
                <w:szCs w:val="18"/>
                <w:b w:val="1"/>
                <w:bCs w:val="1"/>
                <w:color w:val="FFFFFF"/>
              </w:rPr>
              <w:t>Beneficial Ownership</w:t>
            </w:r>
          </w:p>
        </w:tc>
        <w:tc>
          <w:tcPr>
            <w:tcW w:w="3000" w:type="dxa"/>
            <w:vAlign w:val="bottom"/>
            <w:shd w:val="clear" w:color="auto" w:fill="FF160F"/>
          </w:tcPr>
          <w:p>
            <w:pPr>
              <w:jc w:val="right"/>
              <w:ind w:right="671"/>
              <w:spacing w:after="0" w:line="221" w:lineRule="exact"/>
              <w:rPr>
                <w:sz w:val="20"/>
                <w:szCs w:val="20"/>
                <w:color w:val="auto"/>
              </w:rPr>
            </w:pPr>
            <w:r>
              <w:rPr>
                <w:rFonts w:ascii="Arial" w:cs="Arial" w:eastAsia="Arial" w:hAnsi="Arial"/>
                <w:sz w:val="17"/>
                <w:szCs w:val="17"/>
                <w:b w:val="1"/>
                <w:bCs w:val="1"/>
                <w:color w:val="FFFFFF"/>
              </w:rPr>
              <w:t>Outstanding Shares</w:t>
            </w:r>
            <w:r>
              <w:rPr>
                <w:rFonts w:ascii="Arial" w:cs="Arial" w:eastAsia="Arial" w:hAnsi="Arial"/>
                <w:sz w:val="25"/>
                <w:szCs w:val="25"/>
                <w:b w:val="1"/>
                <w:bCs w:val="1"/>
                <w:color w:val="FFFFFF"/>
                <w:vertAlign w:val="superscript"/>
              </w:rPr>
              <w:t>(1)</w:t>
            </w:r>
          </w:p>
        </w:tc>
      </w:tr>
      <w:tr>
        <w:trPr>
          <w:trHeight w:val="184"/>
        </w:trPr>
        <w:tc>
          <w:tcPr>
            <w:tcW w:w="4460" w:type="dxa"/>
            <w:vAlign w:val="bottom"/>
            <w:shd w:val="clear" w:color="auto" w:fill="D8D8D8"/>
          </w:tcPr>
          <w:p>
            <w:pPr>
              <w:spacing w:after="0" w:line="184" w:lineRule="exact"/>
              <w:rPr>
                <w:sz w:val="20"/>
                <w:szCs w:val="20"/>
                <w:color w:val="auto"/>
              </w:rPr>
            </w:pPr>
            <w:r>
              <w:rPr>
                <w:rFonts w:ascii="Arial" w:cs="Arial" w:eastAsia="Arial" w:hAnsi="Arial"/>
                <w:sz w:val="15"/>
                <w:szCs w:val="15"/>
                <w:color w:val="auto"/>
              </w:rPr>
              <w:t>The Vanguard Group, Inc.</w:t>
            </w:r>
            <w:r>
              <w:rPr>
                <w:rFonts w:ascii="Arial" w:cs="Arial" w:eastAsia="Arial" w:hAnsi="Arial"/>
                <w:sz w:val="21"/>
                <w:szCs w:val="21"/>
                <w:color w:val="auto"/>
                <w:vertAlign w:val="superscript"/>
              </w:rPr>
              <w:t>(2)</w:t>
            </w:r>
          </w:p>
        </w:tc>
        <w:tc>
          <w:tcPr>
            <w:tcW w:w="3560" w:type="dxa"/>
            <w:vAlign w:val="bottom"/>
          </w:tcPr>
          <w:p>
            <w:pPr>
              <w:jc w:val="right"/>
              <w:ind w:right="250"/>
              <w:spacing w:after="0" w:line="183" w:lineRule="exact"/>
              <w:rPr>
                <w:sz w:val="20"/>
                <w:szCs w:val="20"/>
                <w:color w:val="auto"/>
              </w:rPr>
            </w:pPr>
            <w:r>
              <w:rPr>
                <w:rFonts w:ascii="Arial" w:cs="Arial" w:eastAsia="Arial" w:hAnsi="Arial"/>
                <w:sz w:val="18"/>
                <w:szCs w:val="18"/>
                <w:color w:val="auto"/>
              </w:rPr>
              <w:t>12,537,358</w:t>
            </w:r>
          </w:p>
        </w:tc>
        <w:tc>
          <w:tcPr>
            <w:tcW w:w="3000" w:type="dxa"/>
            <w:vAlign w:val="bottom"/>
          </w:tcPr>
          <w:p>
            <w:pPr>
              <w:jc w:val="right"/>
              <w:ind w:right="511"/>
              <w:spacing w:after="0" w:line="183" w:lineRule="exact"/>
              <w:rPr>
                <w:sz w:val="20"/>
                <w:szCs w:val="20"/>
                <w:color w:val="auto"/>
              </w:rPr>
            </w:pPr>
            <w:r>
              <w:rPr>
                <w:rFonts w:ascii="Arial" w:cs="Arial" w:eastAsia="Arial" w:hAnsi="Arial"/>
                <w:sz w:val="18"/>
                <w:szCs w:val="18"/>
                <w:color w:val="auto"/>
              </w:rPr>
              <w:t>15.1%</w:t>
            </w:r>
          </w:p>
        </w:tc>
      </w:tr>
      <w:tr>
        <w:trPr>
          <w:trHeight w:val="203"/>
        </w:trPr>
        <w:tc>
          <w:tcPr>
            <w:tcW w:w="4460" w:type="dxa"/>
            <w:vAlign w:val="bottom"/>
            <w:shd w:val="clear" w:color="auto" w:fill="D8D8D8"/>
          </w:tcPr>
          <w:p>
            <w:pPr>
              <w:spacing w:after="0" w:line="202" w:lineRule="exact"/>
              <w:rPr>
                <w:sz w:val="20"/>
                <w:szCs w:val="20"/>
                <w:color w:val="auto"/>
              </w:rPr>
            </w:pPr>
            <w:r>
              <w:rPr>
                <w:rFonts w:ascii="Arial" w:cs="Arial" w:eastAsia="Arial" w:hAnsi="Arial"/>
                <w:sz w:val="18"/>
                <w:szCs w:val="18"/>
                <w:color w:val="auto"/>
              </w:rPr>
              <w:t>100 Vanguard Blvd.</w:t>
            </w:r>
          </w:p>
        </w:tc>
        <w:tc>
          <w:tcPr>
            <w:tcW w:w="3560" w:type="dxa"/>
            <w:vAlign w:val="bottom"/>
          </w:tcPr>
          <w:p>
            <w:pPr>
              <w:spacing w:after="0"/>
              <w:rPr>
                <w:sz w:val="17"/>
                <w:szCs w:val="17"/>
                <w:color w:val="auto"/>
              </w:rPr>
            </w:pPr>
          </w:p>
        </w:tc>
        <w:tc>
          <w:tcPr>
            <w:tcW w:w="3000" w:type="dxa"/>
            <w:vAlign w:val="bottom"/>
          </w:tcPr>
          <w:p>
            <w:pPr>
              <w:spacing w:after="0"/>
              <w:rPr>
                <w:sz w:val="17"/>
                <w:szCs w:val="17"/>
                <w:color w:val="auto"/>
              </w:rPr>
            </w:pPr>
          </w:p>
        </w:tc>
      </w:tr>
      <w:tr>
        <w:trPr>
          <w:trHeight w:val="221"/>
        </w:trPr>
        <w:tc>
          <w:tcPr>
            <w:tcW w:w="4460" w:type="dxa"/>
            <w:vAlign w:val="bottom"/>
            <w:tcBorders>
              <w:bottom w:val="single" w:sz="8" w:color="auto"/>
            </w:tcBorders>
            <w:shd w:val="clear" w:color="auto" w:fill="D8D8D8"/>
          </w:tcPr>
          <w:p>
            <w:pPr>
              <w:spacing w:after="0"/>
              <w:rPr>
                <w:sz w:val="20"/>
                <w:szCs w:val="20"/>
                <w:color w:val="auto"/>
              </w:rPr>
            </w:pPr>
            <w:r>
              <w:rPr>
                <w:rFonts w:ascii="Arial" w:cs="Arial" w:eastAsia="Arial" w:hAnsi="Arial"/>
                <w:sz w:val="18"/>
                <w:szCs w:val="18"/>
                <w:color w:val="auto"/>
              </w:rPr>
              <w:t>Malvern, PA 19355</w:t>
            </w:r>
          </w:p>
        </w:tc>
        <w:tc>
          <w:tcPr>
            <w:tcW w:w="3560" w:type="dxa"/>
            <w:vAlign w:val="bottom"/>
            <w:tcBorders>
              <w:bottom w:val="single" w:sz="8" w:color="auto"/>
            </w:tcBorders>
          </w:tcPr>
          <w:p>
            <w:pPr>
              <w:spacing w:after="0"/>
              <w:rPr>
                <w:sz w:val="19"/>
                <w:szCs w:val="19"/>
                <w:color w:val="auto"/>
              </w:rPr>
            </w:pPr>
          </w:p>
        </w:tc>
        <w:tc>
          <w:tcPr>
            <w:tcW w:w="3000" w:type="dxa"/>
            <w:vAlign w:val="bottom"/>
            <w:tcBorders>
              <w:bottom w:val="single" w:sz="8" w:color="auto"/>
            </w:tcBorders>
          </w:tcPr>
          <w:p>
            <w:pPr>
              <w:spacing w:after="0"/>
              <w:rPr>
                <w:sz w:val="19"/>
                <w:szCs w:val="19"/>
                <w:color w:val="auto"/>
              </w:rPr>
            </w:pPr>
          </w:p>
        </w:tc>
      </w:tr>
      <w:tr>
        <w:trPr>
          <w:trHeight w:val="177"/>
        </w:trPr>
        <w:tc>
          <w:tcPr>
            <w:tcW w:w="4460" w:type="dxa"/>
            <w:vAlign w:val="bottom"/>
            <w:shd w:val="clear" w:color="auto" w:fill="D8D8D8"/>
          </w:tcPr>
          <w:p>
            <w:pPr>
              <w:spacing w:after="0" w:line="177" w:lineRule="exact"/>
              <w:rPr>
                <w:sz w:val="20"/>
                <w:szCs w:val="20"/>
                <w:color w:val="auto"/>
              </w:rPr>
            </w:pPr>
            <w:r>
              <w:rPr>
                <w:rFonts w:ascii="Arial" w:cs="Arial" w:eastAsia="Arial" w:hAnsi="Arial"/>
                <w:sz w:val="14"/>
                <w:szCs w:val="14"/>
                <w:color w:val="auto"/>
              </w:rPr>
              <w:t>BlackRock, Inc.</w:t>
            </w:r>
            <w:r>
              <w:rPr>
                <w:rFonts w:ascii="Arial" w:cs="Arial" w:eastAsia="Arial" w:hAnsi="Arial"/>
                <w:sz w:val="20"/>
                <w:szCs w:val="20"/>
                <w:color w:val="auto"/>
                <w:vertAlign w:val="superscript"/>
              </w:rPr>
              <w:t>(3)</w:t>
            </w:r>
          </w:p>
        </w:tc>
        <w:tc>
          <w:tcPr>
            <w:tcW w:w="3560" w:type="dxa"/>
            <w:vAlign w:val="bottom"/>
          </w:tcPr>
          <w:p>
            <w:pPr>
              <w:jc w:val="right"/>
              <w:ind w:right="250"/>
              <w:spacing w:after="0" w:line="177" w:lineRule="exact"/>
              <w:rPr>
                <w:sz w:val="20"/>
                <w:szCs w:val="20"/>
                <w:color w:val="auto"/>
              </w:rPr>
            </w:pPr>
            <w:r>
              <w:rPr>
                <w:rFonts w:ascii="Arial" w:cs="Arial" w:eastAsia="Arial" w:hAnsi="Arial"/>
                <w:sz w:val="18"/>
                <w:szCs w:val="18"/>
                <w:color w:val="auto"/>
              </w:rPr>
              <w:t>8,169,558</w:t>
            </w:r>
          </w:p>
        </w:tc>
        <w:tc>
          <w:tcPr>
            <w:tcW w:w="3000" w:type="dxa"/>
            <w:vAlign w:val="bottom"/>
          </w:tcPr>
          <w:p>
            <w:pPr>
              <w:jc w:val="right"/>
              <w:ind w:right="511"/>
              <w:spacing w:after="0" w:line="177" w:lineRule="exact"/>
              <w:rPr>
                <w:sz w:val="20"/>
                <w:szCs w:val="20"/>
                <w:color w:val="auto"/>
              </w:rPr>
            </w:pPr>
            <w:r>
              <w:rPr>
                <w:rFonts w:ascii="Arial" w:cs="Arial" w:eastAsia="Arial" w:hAnsi="Arial"/>
                <w:sz w:val="18"/>
                <w:szCs w:val="18"/>
                <w:color w:val="auto"/>
              </w:rPr>
              <w:t>9.8%</w:t>
            </w:r>
          </w:p>
        </w:tc>
      </w:tr>
      <w:tr>
        <w:trPr>
          <w:trHeight w:val="216"/>
        </w:trPr>
        <w:tc>
          <w:tcPr>
            <w:tcW w:w="4460" w:type="dxa"/>
            <w:vAlign w:val="bottom"/>
            <w:shd w:val="clear" w:color="auto" w:fill="D8D8D8"/>
          </w:tcPr>
          <w:p>
            <w:pPr>
              <w:spacing w:after="0"/>
              <w:rPr>
                <w:sz w:val="20"/>
                <w:szCs w:val="20"/>
                <w:color w:val="auto"/>
              </w:rPr>
            </w:pPr>
            <w:r>
              <w:rPr>
                <w:rFonts w:ascii="Arial" w:cs="Arial" w:eastAsia="Arial" w:hAnsi="Arial"/>
                <w:sz w:val="18"/>
                <w:szCs w:val="18"/>
                <w:color w:val="auto"/>
              </w:rPr>
              <w:t>50 Hudson Yards</w:t>
            </w:r>
          </w:p>
        </w:tc>
        <w:tc>
          <w:tcPr>
            <w:tcW w:w="3560" w:type="dxa"/>
            <w:vAlign w:val="bottom"/>
          </w:tcPr>
          <w:p>
            <w:pPr>
              <w:spacing w:after="0"/>
              <w:rPr>
                <w:sz w:val="18"/>
                <w:szCs w:val="18"/>
                <w:color w:val="auto"/>
              </w:rPr>
            </w:pPr>
          </w:p>
        </w:tc>
        <w:tc>
          <w:tcPr>
            <w:tcW w:w="3000" w:type="dxa"/>
            <w:vAlign w:val="bottom"/>
          </w:tcPr>
          <w:p>
            <w:pPr>
              <w:spacing w:after="0"/>
              <w:rPr>
                <w:sz w:val="18"/>
                <w:szCs w:val="18"/>
                <w:color w:val="auto"/>
              </w:rPr>
            </w:pPr>
          </w:p>
        </w:tc>
      </w:tr>
      <w:tr>
        <w:trPr>
          <w:trHeight w:val="221"/>
        </w:trPr>
        <w:tc>
          <w:tcPr>
            <w:tcW w:w="4460" w:type="dxa"/>
            <w:vAlign w:val="bottom"/>
            <w:tcBorders>
              <w:bottom w:val="single" w:sz="8" w:color="auto"/>
            </w:tcBorders>
            <w:shd w:val="clear" w:color="auto" w:fill="D8D8D8"/>
          </w:tcPr>
          <w:p>
            <w:pPr>
              <w:spacing w:after="0"/>
              <w:rPr>
                <w:sz w:val="20"/>
                <w:szCs w:val="20"/>
                <w:color w:val="auto"/>
              </w:rPr>
            </w:pPr>
            <w:r>
              <w:rPr>
                <w:rFonts w:ascii="Arial" w:cs="Arial" w:eastAsia="Arial" w:hAnsi="Arial"/>
                <w:sz w:val="18"/>
                <w:szCs w:val="18"/>
                <w:color w:val="auto"/>
              </w:rPr>
              <w:t>New York, NY 10001</w:t>
            </w:r>
          </w:p>
        </w:tc>
        <w:tc>
          <w:tcPr>
            <w:tcW w:w="3560" w:type="dxa"/>
            <w:vAlign w:val="bottom"/>
            <w:tcBorders>
              <w:bottom w:val="single" w:sz="8" w:color="auto"/>
            </w:tcBorders>
          </w:tcPr>
          <w:p>
            <w:pPr>
              <w:spacing w:after="0"/>
              <w:rPr>
                <w:sz w:val="19"/>
                <w:szCs w:val="19"/>
                <w:color w:val="auto"/>
              </w:rPr>
            </w:pPr>
          </w:p>
        </w:tc>
        <w:tc>
          <w:tcPr>
            <w:tcW w:w="3000" w:type="dxa"/>
            <w:vAlign w:val="bottom"/>
            <w:tcBorders>
              <w:bottom w:val="single" w:sz="8" w:color="auto"/>
            </w:tcBorders>
          </w:tcPr>
          <w:p>
            <w:pPr>
              <w:spacing w:after="0"/>
              <w:rPr>
                <w:sz w:val="19"/>
                <w:szCs w:val="19"/>
                <w:color w:val="auto"/>
              </w:rPr>
            </w:pPr>
          </w:p>
        </w:tc>
      </w:tr>
      <w:tr>
        <w:trPr>
          <w:trHeight w:val="177"/>
        </w:trPr>
        <w:tc>
          <w:tcPr>
            <w:tcW w:w="4460" w:type="dxa"/>
            <w:vAlign w:val="bottom"/>
            <w:shd w:val="clear" w:color="auto" w:fill="D8D8D8"/>
          </w:tcPr>
          <w:p>
            <w:pPr>
              <w:spacing w:after="0" w:line="177" w:lineRule="exact"/>
              <w:rPr>
                <w:sz w:val="20"/>
                <w:szCs w:val="20"/>
                <w:color w:val="auto"/>
              </w:rPr>
            </w:pPr>
            <w:r>
              <w:rPr>
                <w:rFonts w:ascii="Arial" w:cs="Arial" w:eastAsia="Arial" w:hAnsi="Arial"/>
                <w:sz w:val="14"/>
                <w:szCs w:val="14"/>
                <w:color w:val="auto"/>
              </w:rPr>
              <w:t>Norges Bank (The Central Bank of Norway)</w:t>
            </w:r>
            <w:r>
              <w:rPr>
                <w:rFonts w:ascii="Arial" w:cs="Arial" w:eastAsia="Arial" w:hAnsi="Arial"/>
                <w:sz w:val="20"/>
                <w:szCs w:val="20"/>
                <w:color w:val="auto"/>
                <w:vertAlign w:val="superscript"/>
              </w:rPr>
              <w:t>(4)</w:t>
            </w:r>
          </w:p>
        </w:tc>
        <w:tc>
          <w:tcPr>
            <w:tcW w:w="3560" w:type="dxa"/>
            <w:vAlign w:val="bottom"/>
          </w:tcPr>
          <w:p>
            <w:pPr>
              <w:jc w:val="right"/>
              <w:ind w:right="250"/>
              <w:spacing w:after="0" w:line="177" w:lineRule="exact"/>
              <w:rPr>
                <w:sz w:val="20"/>
                <w:szCs w:val="20"/>
                <w:color w:val="auto"/>
              </w:rPr>
            </w:pPr>
            <w:r>
              <w:rPr>
                <w:rFonts w:ascii="Arial" w:cs="Arial" w:eastAsia="Arial" w:hAnsi="Arial"/>
                <w:sz w:val="18"/>
                <w:szCs w:val="18"/>
                <w:color w:val="auto"/>
              </w:rPr>
              <w:t>7,213,760</w:t>
            </w:r>
          </w:p>
        </w:tc>
        <w:tc>
          <w:tcPr>
            <w:tcW w:w="3000" w:type="dxa"/>
            <w:vAlign w:val="bottom"/>
          </w:tcPr>
          <w:p>
            <w:pPr>
              <w:jc w:val="right"/>
              <w:ind w:right="511"/>
              <w:spacing w:after="0" w:line="177" w:lineRule="exact"/>
              <w:rPr>
                <w:sz w:val="20"/>
                <w:szCs w:val="20"/>
                <w:color w:val="auto"/>
              </w:rPr>
            </w:pPr>
            <w:r>
              <w:rPr>
                <w:rFonts w:ascii="Arial" w:cs="Arial" w:eastAsia="Arial" w:hAnsi="Arial"/>
                <w:sz w:val="18"/>
                <w:szCs w:val="18"/>
                <w:color w:val="auto"/>
              </w:rPr>
              <w:t>8.7%</w:t>
            </w:r>
          </w:p>
        </w:tc>
      </w:tr>
      <w:tr>
        <w:trPr>
          <w:trHeight w:val="203"/>
        </w:trPr>
        <w:tc>
          <w:tcPr>
            <w:tcW w:w="4460" w:type="dxa"/>
            <w:vAlign w:val="bottom"/>
            <w:shd w:val="clear" w:color="auto" w:fill="D8D8D8"/>
          </w:tcPr>
          <w:p>
            <w:pPr>
              <w:spacing w:after="0" w:line="202" w:lineRule="exact"/>
              <w:rPr>
                <w:sz w:val="20"/>
                <w:szCs w:val="20"/>
                <w:color w:val="auto"/>
              </w:rPr>
            </w:pPr>
            <w:r>
              <w:rPr>
                <w:rFonts w:ascii="Arial" w:cs="Arial" w:eastAsia="Arial" w:hAnsi="Arial"/>
                <w:sz w:val="18"/>
                <w:szCs w:val="18"/>
                <w:color w:val="auto"/>
              </w:rPr>
              <w:t>Bankplassen 2, PO Box 1179 Sentrum</w:t>
            </w:r>
          </w:p>
        </w:tc>
        <w:tc>
          <w:tcPr>
            <w:tcW w:w="3560" w:type="dxa"/>
            <w:vAlign w:val="bottom"/>
          </w:tcPr>
          <w:p>
            <w:pPr>
              <w:spacing w:after="0"/>
              <w:rPr>
                <w:sz w:val="17"/>
                <w:szCs w:val="17"/>
                <w:color w:val="auto"/>
              </w:rPr>
            </w:pPr>
          </w:p>
        </w:tc>
        <w:tc>
          <w:tcPr>
            <w:tcW w:w="3000" w:type="dxa"/>
            <w:vAlign w:val="bottom"/>
          </w:tcPr>
          <w:p>
            <w:pPr>
              <w:spacing w:after="0"/>
              <w:rPr>
                <w:sz w:val="17"/>
                <w:szCs w:val="17"/>
                <w:color w:val="auto"/>
              </w:rPr>
            </w:pPr>
          </w:p>
        </w:tc>
      </w:tr>
      <w:tr>
        <w:trPr>
          <w:trHeight w:val="221"/>
        </w:trPr>
        <w:tc>
          <w:tcPr>
            <w:tcW w:w="4460" w:type="dxa"/>
            <w:vAlign w:val="bottom"/>
            <w:tcBorders>
              <w:bottom w:val="single" w:sz="8" w:color="auto"/>
            </w:tcBorders>
            <w:shd w:val="clear" w:color="auto" w:fill="D8D8D8"/>
          </w:tcPr>
          <w:p>
            <w:pPr>
              <w:spacing w:after="0"/>
              <w:rPr>
                <w:sz w:val="20"/>
                <w:szCs w:val="20"/>
                <w:color w:val="auto"/>
              </w:rPr>
            </w:pPr>
            <w:r>
              <w:rPr>
                <w:rFonts w:ascii="Arial" w:cs="Arial" w:eastAsia="Arial" w:hAnsi="Arial"/>
                <w:sz w:val="18"/>
                <w:szCs w:val="18"/>
                <w:color w:val="auto"/>
              </w:rPr>
              <w:t>NO 0107 Oslo Norway</w:t>
            </w:r>
          </w:p>
        </w:tc>
        <w:tc>
          <w:tcPr>
            <w:tcW w:w="3560" w:type="dxa"/>
            <w:vAlign w:val="bottom"/>
            <w:tcBorders>
              <w:bottom w:val="single" w:sz="8" w:color="auto"/>
            </w:tcBorders>
          </w:tcPr>
          <w:p>
            <w:pPr>
              <w:spacing w:after="0"/>
              <w:rPr>
                <w:sz w:val="19"/>
                <w:szCs w:val="19"/>
                <w:color w:val="auto"/>
              </w:rPr>
            </w:pPr>
          </w:p>
        </w:tc>
        <w:tc>
          <w:tcPr>
            <w:tcW w:w="3000" w:type="dxa"/>
            <w:vAlign w:val="bottom"/>
            <w:tcBorders>
              <w:bottom w:val="single" w:sz="8" w:color="auto"/>
            </w:tcBorders>
          </w:tcPr>
          <w:p>
            <w:pPr>
              <w:spacing w:after="0"/>
              <w:rPr>
                <w:sz w:val="19"/>
                <w:szCs w:val="19"/>
                <w:color w:val="auto"/>
              </w:rPr>
            </w:pPr>
          </w:p>
        </w:tc>
      </w:tr>
      <w:tr>
        <w:trPr>
          <w:trHeight w:val="177"/>
        </w:trPr>
        <w:tc>
          <w:tcPr>
            <w:tcW w:w="4460" w:type="dxa"/>
            <w:vAlign w:val="bottom"/>
            <w:shd w:val="clear" w:color="auto" w:fill="D8D8D8"/>
          </w:tcPr>
          <w:p>
            <w:pPr>
              <w:spacing w:after="0" w:line="177" w:lineRule="exact"/>
              <w:rPr>
                <w:sz w:val="20"/>
                <w:szCs w:val="20"/>
                <w:color w:val="auto"/>
              </w:rPr>
            </w:pPr>
            <w:r>
              <w:rPr>
                <w:rFonts w:ascii="Arial" w:cs="Arial" w:eastAsia="Arial" w:hAnsi="Arial"/>
                <w:sz w:val="14"/>
                <w:szCs w:val="14"/>
                <w:color w:val="auto"/>
              </w:rPr>
              <w:t>State Street Corporation</w:t>
            </w:r>
            <w:r>
              <w:rPr>
                <w:rFonts w:ascii="Arial" w:cs="Arial" w:eastAsia="Arial" w:hAnsi="Arial"/>
                <w:sz w:val="20"/>
                <w:szCs w:val="20"/>
                <w:color w:val="auto"/>
                <w:vertAlign w:val="superscript"/>
              </w:rPr>
              <w:t>(5)</w:t>
            </w:r>
          </w:p>
        </w:tc>
        <w:tc>
          <w:tcPr>
            <w:tcW w:w="3560" w:type="dxa"/>
            <w:vAlign w:val="bottom"/>
          </w:tcPr>
          <w:p>
            <w:pPr>
              <w:jc w:val="right"/>
              <w:ind w:right="250"/>
              <w:spacing w:after="0" w:line="177" w:lineRule="exact"/>
              <w:rPr>
                <w:sz w:val="20"/>
                <w:szCs w:val="20"/>
                <w:color w:val="auto"/>
              </w:rPr>
            </w:pPr>
            <w:r>
              <w:rPr>
                <w:rFonts w:ascii="Arial" w:cs="Arial" w:eastAsia="Arial" w:hAnsi="Arial"/>
                <w:sz w:val="18"/>
                <w:szCs w:val="18"/>
                <w:color w:val="auto"/>
              </w:rPr>
              <w:t>6,880,692</w:t>
            </w:r>
          </w:p>
        </w:tc>
        <w:tc>
          <w:tcPr>
            <w:tcW w:w="3000" w:type="dxa"/>
            <w:vAlign w:val="bottom"/>
          </w:tcPr>
          <w:p>
            <w:pPr>
              <w:jc w:val="right"/>
              <w:ind w:right="511"/>
              <w:spacing w:after="0" w:line="177" w:lineRule="exact"/>
              <w:rPr>
                <w:sz w:val="20"/>
                <w:szCs w:val="20"/>
                <w:color w:val="auto"/>
              </w:rPr>
            </w:pPr>
            <w:r>
              <w:rPr>
                <w:rFonts w:ascii="Arial" w:cs="Arial" w:eastAsia="Arial" w:hAnsi="Arial"/>
                <w:sz w:val="18"/>
                <w:szCs w:val="18"/>
                <w:color w:val="auto"/>
              </w:rPr>
              <w:t>8.3%</w:t>
            </w:r>
          </w:p>
        </w:tc>
      </w:tr>
      <w:tr>
        <w:trPr>
          <w:trHeight w:val="203"/>
        </w:trPr>
        <w:tc>
          <w:tcPr>
            <w:tcW w:w="4460" w:type="dxa"/>
            <w:vAlign w:val="bottom"/>
            <w:shd w:val="clear" w:color="auto" w:fill="D8D8D8"/>
          </w:tcPr>
          <w:p>
            <w:pPr>
              <w:spacing w:after="0" w:line="202" w:lineRule="exact"/>
              <w:rPr>
                <w:sz w:val="20"/>
                <w:szCs w:val="20"/>
                <w:color w:val="auto"/>
              </w:rPr>
            </w:pPr>
            <w:r>
              <w:rPr>
                <w:rFonts w:ascii="Arial" w:cs="Arial" w:eastAsia="Arial" w:hAnsi="Arial"/>
                <w:sz w:val="18"/>
                <w:szCs w:val="18"/>
                <w:color w:val="auto"/>
              </w:rPr>
              <w:t>State Street Financial Center, One Congress Street,</w:t>
            </w:r>
          </w:p>
        </w:tc>
        <w:tc>
          <w:tcPr>
            <w:tcW w:w="3560" w:type="dxa"/>
            <w:vAlign w:val="bottom"/>
          </w:tcPr>
          <w:p>
            <w:pPr>
              <w:spacing w:after="0"/>
              <w:rPr>
                <w:sz w:val="17"/>
                <w:szCs w:val="17"/>
                <w:color w:val="auto"/>
              </w:rPr>
            </w:pPr>
          </w:p>
        </w:tc>
        <w:tc>
          <w:tcPr>
            <w:tcW w:w="3000" w:type="dxa"/>
            <w:vAlign w:val="bottom"/>
          </w:tcPr>
          <w:p>
            <w:pPr>
              <w:spacing w:after="0"/>
              <w:rPr>
                <w:sz w:val="17"/>
                <w:szCs w:val="17"/>
                <w:color w:val="auto"/>
              </w:rPr>
            </w:pPr>
          </w:p>
        </w:tc>
      </w:tr>
      <w:tr>
        <w:trPr>
          <w:trHeight w:val="203"/>
        </w:trPr>
        <w:tc>
          <w:tcPr>
            <w:tcW w:w="4460" w:type="dxa"/>
            <w:vAlign w:val="bottom"/>
            <w:shd w:val="clear" w:color="auto" w:fill="D8D8D8"/>
          </w:tcPr>
          <w:p>
            <w:pPr>
              <w:ind w:left="180"/>
              <w:spacing w:after="0" w:line="202" w:lineRule="exact"/>
              <w:rPr>
                <w:sz w:val="20"/>
                <w:szCs w:val="20"/>
                <w:color w:val="auto"/>
              </w:rPr>
            </w:pPr>
            <w:r>
              <w:rPr>
                <w:rFonts w:ascii="Arial" w:cs="Arial" w:eastAsia="Arial" w:hAnsi="Arial"/>
                <w:sz w:val="18"/>
                <w:szCs w:val="18"/>
                <w:color w:val="auto"/>
              </w:rPr>
              <w:t>Suite 1</w:t>
            </w:r>
          </w:p>
        </w:tc>
        <w:tc>
          <w:tcPr>
            <w:tcW w:w="3560" w:type="dxa"/>
            <w:vAlign w:val="bottom"/>
          </w:tcPr>
          <w:p>
            <w:pPr>
              <w:spacing w:after="0"/>
              <w:rPr>
                <w:sz w:val="17"/>
                <w:szCs w:val="17"/>
                <w:color w:val="auto"/>
              </w:rPr>
            </w:pPr>
          </w:p>
        </w:tc>
        <w:tc>
          <w:tcPr>
            <w:tcW w:w="3000" w:type="dxa"/>
            <w:vAlign w:val="bottom"/>
          </w:tcPr>
          <w:p>
            <w:pPr>
              <w:spacing w:after="0"/>
              <w:rPr>
                <w:sz w:val="17"/>
                <w:szCs w:val="17"/>
                <w:color w:val="auto"/>
              </w:rPr>
            </w:pPr>
          </w:p>
        </w:tc>
      </w:tr>
      <w:tr>
        <w:trPr>
          <w:trHeight w:val="221"/>
        </w:trPr>
        <w:tc>
          <w:tcPr>
            <w:tcW w:w="4460" w:type="dxa"/>
            <w:vAlign w:val="bottom"/>
            <w:tcBorders>
              <w:bottom w:val="single" w:sz="8" w:color="auto"/>
            </w:tcBorders>
            <w:shd w:val="clear" w:color="auto" w:fill="D8D8D8"/>
          </w:tcPr>
          <w:p>
            <w:pPr>
              <w:spacing w:after="0"/>
              <w:rPr>
                <w:sz w:val="20"/>
                <w:szCs w:val="20"/>
                <w:color w:val="auto"/>
              </w:rPr>
            </w:pPr>
            <w:r>
              <w:rPr>
                <w:rFonts w:ascii="Arial" w:cs="Arial" w:eastAsia="Arial" w:hAnsi="Arial"/>
                <w:sz w:val="18"/>
                <w:szCs w:val="18"/>
                <w:color w:val="auto"/>
              </w:rPr>
              <w:t>Boston, MA 02114</w:t>
            </w:r>
          </w:p>
        </w:tc>
        <w:tc>
          <w:tcPr>
            <w:tcW w:w="3560" w:type="dxa"/>
            <w:vAlign w:val="bottom"/>
            <w:tcBorders>
              <w:bottom w:val="single" w:sz="8" w:color="auto"/>
            </w:tcBorders>
          </w:tcPr>
          <w:p>
            <w:pPr>
              <w:spacing w:after="0"/>
              <w:rPr>
                <w:sz w:val="19"/>
                <w:szCs w:val="19"/>
                <w:color w:val="auto"/>
              </w:rPr>
            </w:pPr>
          </w:p>
        </w:tc>
        <w:tc>
          <w:tcPr>
            <w:tcW w:w="3000" w:type="dxa"/>
            <w:vAlign w:val="bottom"/>
            <w:tcBorders>
              <w:bottom w:val="single" w:sz="8" w:color="auto"/>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5" w:lineRule="exact"/>
        <w:rPr>
          <w:sz w:val="20"/>
          <w:szCs w:val="20"/>
          <w:color w:val="auto"/>
        </w:rPr>
      </w:pPr>
    </w:p>
    <w:p>
      <w:pPr>
        <w:ind w:left="660" w:right="20" w:hanging="436"/>
        <w:spacing w:after="0" w:line="205" w:lineRule="auto"/>
        <w:tabs>
          <w:tab w:leader="none" w:pos="660" w:val="left"/>
        </w:tabs>
        <w:numPr>
          <w:ilvl w:val="0"/>
          <w:numId w:val="87"/>
        </w:numPr>
        <w:rPr>
          <w:rFonts w:ascii="Arial" w:cs="Arial" w:eastAsia="Arial" w:hAnsi="Arial"/>
          <w:sz w:val="24"/>
          <w:szCs w:val="24"/>
          <w:color w:val="auto"/>
          <w:vertAlign w:val="superscript"/>
        </w:rPr>
      </w:pPr>
      <w:r>
        <w:rPr>
          <w:rFonts w:ascii="Arial" w:cs="Arial" w:eastAsia="Arial" w:hAnsi="Arial"/>
          <w:sz w:val="16"/>
          <w:szCs w:val="16"/>
          <w:color w:val="auto"/>
        </w:rPr>
        <w:t>The percentage of outstanding shares is calculated by taking the number of shares stated in the Schedule 13G or 13G/A, as applicable, filed with the SEC divided by 82,944,318, the total number of shares outstanding on March 13, 2024.</w:t>
      </w:r>
    </w:p>
    <w:p>
      <w:pPr>
        <w:spacing w:after="0" w:line="1" w:lineRule="exact"/>
        <w:rPr>
          <w:rFonts w:ascii="Arial" w:cs="Arial" w:eastAsia="Arial" w:hAnsi="Arial"/>
          <w:sz w:val="24"/>
          <w:szCs w:val="24"/>
          <w:color w:val="auto"/>
          <w:vertAlign w:val="superscript"/>
        </w:rPr>
      </w:pPr>
    </w:p>
    <w:p>
      <w:pPr>
        <w:jc w:val="both"/>
        <w:ind w:left="660" w:right="20" w:hanging="436"/>
        <w:spacing w:after="0" w:line="211" w:lineRule="auto"/>
        <w:tabs>
          <w:tab w:leader="none" w:pos="660" w:val="left"/>
        </w:tabs>
        <w:numPr>
          <w:ilvl w:val="0"/>
          <w:numId w:val="87"/>
        </w:numPr>
        <w:rPr>
          <w:rFonts w:ascii="Arial" w:cs="Arial" w:eastAsia="Arial" w:hAnsi="Arial"/>
          <w:sz w:val="24"/>
          <w:szCs w:val="24"/>
          <w:color w:val="auto"/>
          <w:vertAlign w:val="superscript"/>
        </w:rPr>
      </w:pPr>
      <w:r>
        <w:rPr>
          <w:rFonts w:ascii="Arial" w:cs="Arial" w:eastAsia="Arial" w:hAnsi="Arial"/>
          <w:sz w:val="16"/>
          <w:szCs w:val="16"/>
          <w:color w:val="auto"/>
        </w:rPr>
        <w:t>Information based on a Schedule 13G/A filed with the SEC on February 13, 2024 by The Vanguard Group which states that The Vanguard Group, an investment advisor, has shared voting power over 145,649 shares, sole dispositive power over 12,144,222 shares and shared dispositive power over 393,136 shares.</w:t>
      </w:r>
    </w:p>
    <w:p>
      <w:pPr>
        <w:ind w:left="660" w:right="20" w:hanging="436"/>
        <w:spacing w:after="0" w:line="197" w:lineRule="auto"/>
        <w:tabs>
          <w:tab w:leader="none" w:pos="660" w:val="left"/>
        </w:tabs>
        <w:numPr>
          <w:ilvl w:val="0"/>
          <w:numId w:val="87"/>
        </w:numPr>
        <w:rPr>
          <w:rFonts w:ascii="Arial" w:cs="Arial" w:eastAsia="Arial" w:hAnsi="Arial"/>
          <w:sz w:val="24"/>
          <w:szCs w:val="24"/>
          <w:color w:val="auto"/>
          <w:vertAlign w:val="superscript"/>
        </w:rPr>
      </w:pPr>
      <w:r>
        <w:rPr>
          <w:rFonts w:ascii="Arial" w:cs="Arial" w:eastAsia="Arial" w:hAnsi="Arial"/>
          <w:sz w:val="16"/>
          <w:szCs w:val="16"/>
          <w:color w:val="auto"/>
        </w:rPr>
        <w:t>Information based on a Schedule 13G/A filed with the SEC on January 24, 2024 by BlackRock, Inc., which states that BlackRock, Inc., a parent holding company, has sole voting power over 7,437,327 shares and sole dispositive power over 8,169,558 shares.</w:t>
      </w:r>
    </w:p>
    <w:p>
      <w:pPr>
        <w:ind w:left="660" w:right="20" w:hanging="436"/>
        <w:spacing w:after="0" w:line="197" w:lineRule="auto"/>
        <w:tabs>
          <w:tab w:leader="none" w:pos="660" w:val="left"/>
        </w:tabs>
        <w:numPr>
          <w:ilvl w:val="0"/>
          <w:numId w:val="87"/>
        </w:numPr>
        <w:rPr>
          <w:rFonts w:ascii="Arial" w:cs="Arial" w:eastAsia="Arial" w:hAnsi="Arial"/>
          <w:sz w:val="24"/>
          <w:szCs w:val="24"/>
          <w:color w:val="auto"/>
          <w:vertAlign w:val="superscript"/>
        </w:rPr>
      </w:pPr>
      <w:r>
        <w:rPr>
          <w:rFonts w:ascii="Arial" w:cs="Arial" w:eastAsia="Arial" w:hAnsi="Arial"/>
          <w:sz w:val="16"/>
          <w:szCs w:val="16"/>
          <w:color w:val="auto"/>
        </w:rPr>
        <w:t>Information based on a Schedule 13G/A filed with the SEC on February 13, 2024 by Norges Bank (The Central Bank of Norway) which states that Norges Bank (The Central Bank of Norway) has sole voting power and sole dispositive power over 7,213,760 shares.</w:t>
      </w:r>
    </w:p>
    <w:p>
      <w:pPr>
        <w:ind w:left="660" w:right="20" w:hanging="436"/>
        <w:spacing w:after="0" w:line="202" w:lineRule="auto"/>
        <w:tabs>
          <w:tab w:leader="none" w:pos="660" w:val="left"/>
        </w:tabs>
        <w:numPr>
          <w:ilvl w:val="0"/>
          <w:numId w:val="87"/>
        </w:numPr>
        <w:rPr>
          <w:rFonts w:ascii="Arial" w:cs="Arial" w:eastAsia="Arial" w:hAnsi="Arial"/>
          <w:sz w:val="24"/>
          <w:szCs w:val="24"/>
          <w:color w:val="auto"/>
          <w:vertAlign w:val="superscript"/>
        </w:rPr>
      </w:pPr>
      <w:r>
        <w:rPr>
          <w:rFonts w:ascii="Arial" w:cs="Arial" w:eastAsia="Arial" w:hAnsi="Arial"/>
          <w:sz w:val="16"/>
          <w:szCs w:val="16"/>
          <w:color w:val="auto"/>
        </w:rPr>
        <w:t>Information based on a Schedule 13G/A filed with the SEC on January 29, 2024 by State Street Corporation, which states that State Street Corporation, a parent holding company, has shared voting power over 4,901,817 shares and shared dispositive power over 6,867,903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86995</wp:posOffset>
            </wp:positionV>
            <wp:extent cx="7003415" cy="12001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003415" cy="120015"/>
                    </a:xfrm>
                    <a:prstGeom prst="rect">
                      <a:avLst/>
                    </a:prstGeom>
                    <a:noFill/>
                  </pic:spPr>
                </pic:pic>
              </a:graphicData>
            </a:graphic>
          </wp:anchor>
        </w:drawing>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4"/>
          <w:szCs w:val="14"/>
          <w:color w:val="FF160F"/>
        </w:rPr>
        <w:t>Federal Realty</w:t>
      </w:r>
      <w:r>
        <w:rPr>
          <w:rFonts w:ascii="Arial" w:cs="Arial" w:eastAsia="Arial" w:hAnsi="Arial"/>
          <w:sz w:val="14"/>
          <w:szCs w:val="14"/>
          <w:color w:val="000000"/>
        </w:rPr>
        <w:t xml:space="preserve">      2024 Proxy Statement   42</w:t>
      </w:r>
    </w:p>
    <w:p>
      <w:pPr>
        <w:sectPr>
          <w:pgSz w:w="11900" w:h="16838" w:orient="portrait"/>
          <w:cols w:equalWidth="0" w:num="1">
            <w:col w:w="11140"/>
          </w:cols>
          <w:pgMar w:left="320" w:top="482" w:right="4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540" w:hanging="424"/>
        <w:spacing w:after="0"/>
        <w:tabs>
          <w:tab w:leader="none" w:pos="540" w:val="left"/>
        </w:tabs>
        <w:numPr>
          <w:ilvl w:val="0"/>
          <w:numId w:val="88"/>
        </w:numPr>
        <w:rPr>
          <w:rFonts w:ascii="MS PGothic" w:cs="MS PGothic" w:eastAsia="MS PGothic" w:hAnsi="MS PGothic"/>
          <w:sz w:val="18"/>
          <w:szCs w:val="18"/>
          <w:color w:val="auto"/>
          <w:shd w:val="clear" w:color="auto" w:fill="FF160F"/>
        </w:rPr>
      </w:pPr>
      <w:r>
        <w:rPr>
          <w:rFonts w:ascii="Arial" w:cs="Arial" w:eastAsia="Arial" w:hAnsi="Arial"/>
          <w:sz w:val="18"/>
          <w:szCs w:val="18"/>
          <w:b w:val="1"/>
          <w:bCs w:val="1"/>
          <w:color w:val="FF160F"/>
        </w:rPr>
        <w:t>OWNERSHIP OF TRUSTEES AND EXECUTIVE OFFICERS</w:t>
      </w:r>
    </w:p>
    <w:p>
      <w:pPr>
        <w:spacing w:after="0" w:line="117" w:lineRule="exact"/>
        <w:rPr>
          <w:sz w:val="20"/>
          <w:szCs w:val="20"/>
          <w:color w:val="auto"/>
        </w:rPr>
      </w:pPr>
    </w:p>
    <w:p>
      <w:pPr>
        <w:jc w:val="both"/>
        <w:ind w:left="120" w:right="20"/>
        <w:spacing w:after="0" w:line="253" w:lineRule="auto"/>
        <w:rPr>
          <w:sz w:val="20"/>
          <w:szCs w:val="20"/>
          <w:color w:val="auto"/>
        </w:rPr>
      </w:pPr>
      <w:r>
        <w:rPr>
          <w:rFonts w:ascii="Arial" w:cs="Arial" w:eastAsia="Arial" w:hAnsi="Arial"/>
          <w:sz w:val="18"/>
          <w:szCs w:val="18"/>
          <w:color w:val="auto"/>
        </w:rPr>
        <w:t>The table below reflects beneficial ownership of our Trustees and NEOs as of March 13, 2024 determined in accordance with Rule 13d-3 of the Securities Exchange Act of 1934, as amended. Unless noted in the footnotes following the table, each Trustee and NEO has sole voting and investment power as to all shares listed.</w:t>
      </w:r>
    </w:p>
    <w:p>
      <w:pPr>
        <w:spacing w:after="0" w:line="164"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5060" w:type="dxa"/>
            <w:vAlign w:val="bottom"/>
            <w:shd w:val="clear" w:color="auto" w:fill="FF160F"/>
          </w:tcPr>
          <w:p>
            <w:pPr>
              <w:spacing w:after="0"/>
              <w:rPr>
                <w:sz w:val="17"/>
                <w:szCs w:val="17"/>
                <w:color w:val="auto"/>
              </w:rPr>
            </w:pPr>
          </w:p>
        </w:tc>
        <w:tc>
          <w:tcPr>
            <w:tcW w:w="460" w:type="dxa"/>
            <w:vAlign w:val="bottom"/>
            <w:shd w:val="clear" w:color="auto" w:fill="FF160F"/>
          </w:tcPr>
          <w:p>
            <w:pPr>
              <w:spacing w:after="0"/>
              <w:rPr>
                <w:sz w:val="17"/>
                <w:szCs w:val="17"/>
                <w:color w:val="auto"/>
              </w:rPr>
            </w:pPr>
          </w:p>
        </w:tc>
        <w:tc>
          <w:tcPr>
            <w:tcW w:w="1160" w:type="dxa"/>
            <w:vAlign w:val="bottom"/>
            <w:shd w:val="clear" w:color="auto" w:fill="FF160F"/>
          </w:tcPr>
          <w:p>
            <w:pPr>
              <w:spacing w:after="0"/>
              <w:rPr>
                <w:sz w:val="17"/>
                <w:szCs w:val="17"/>
                <w:color w:val="auto"/>
              </w:rPr>
            </w:pPr>
          </w:p>
        </w:tc>
        <w:tc>
          <w:tcPr>
            <w:tcW w:w="1280" w:type="dxa"/>
            <w:vAlign w:val="bottom"/>
            <w:shd w:val="clear" w:color="auto" w:fill="FF160F"/>
          </w:tcPr>
          <w:p>
            <w:pPr>
              <w:spacing w:after="0"/>
              <w:rPr>
                <w:sz w:val="17"/>
                <w:szCs w:val="17"/>
                <w:color w:val="auto"/>
              </w:rPr>
            </w:pPr>
          </w:p>
        </w:tc>
        <w:tc>
          <w:tcPr>
            <w:tcW w:w="1440" w:type="dxa"/>
            <w:vAlign w:val="bottom"/>
            <w:shd w:val="clear" w:color="auto" w:fill="FF160F"/>
          </w:tcPr>
          <w:p>
            <w:pPr>
              <w:spacing w:after="0"/>
              <w:rPr>
                <w:sz w:val="17"/>
                <w:szCs w:val="17"/>
                <w:color w:val="auto"/>
              </w:rPr>
            </w:pPr>
          </w:p>
        </w:tc>
        <w:tc>
          <w:tcPr>
            <w:tcW w:w="1620" w:type="dxa"/>
            <w:vAlign w:val="bottom"/>
            <w:shd w:val="clear" w:color="auto" w:fill="FF160F"/>
          </w:tcPr>
          <w:p>
            <w:pPr>
              <w:jc w:val="center"/>
              <w:spacing w:after="0"/>
              <w:rPr>
                <w:sz w:val="20"/>
                <w:szCs w:val="20"/>
                <w:color w:val="auto"/>
              </w:rPr>
            </w:pPr>
            <w:r>
              <w:rPr>
                <w:rFonts w:ascii="Arial" w:cs="Arial" w:eastAsia="Arial" w:hAnsi="Arial"/>
                <w:sz w:val="18"/>
                <w:szCs w:val="18"/>
                <w:b w:val="1"/>
                <w:bCs w:val="1"/>
                <w:color w:val="FFFFFF"/>
              </w:rPr>
              <w:t>Percentage of</w:t>
            </w:r>
          </w:p>
        </w:tc>
        <w:tc>
          <w:tcPr>
            <w:tcW w:w="0" w:type="dxa"/>
            <w:vAlign w:val="bottom"/>
          </w:tcPr>
          <w:p>
            <w:pPr>
              <w:spacing w:after="0"/>
              <w:rPr>
                <w:sz w:val="1"/>
                <w:szCs w:val="1"/>
                <w:color w:val="auto"/>
              </w:rPr>
            </w:pPr>
          </w:p>
        </w:tc>
      </w:tr>
      <w:tr>
        <w:trPr>
          <w:trHeight w:val="203"/>
        </w:trPr>
        <w:tc>
          <w:tcPr>
            <w:tcW w:w="5060" w:type="dxa"/>
            <w:vAlign w:val="bottom"/>
            <w:shd w:val="clear" w:color="auto" w:fill="FF160F"/>
          </w:tcPr>
          <w:p>
            <w:pPr>
              <w:spacing w:after="0"/>
              <w:rPr>
                <w:sz w:val="17"/>
                <w:szCs w:val="17"/>
                <w:color w:val="auto"/>
              </w:rPr>
            </w:pPr>
          </w:p>
        </w:tc>
        <w:tc>
          <w:tcPr>
            <w:tcW w:w="460" w:type="dxa"/>
            <w:vAlign w:val="bottom"/>
            <w:shd w:val="clear" w:color="auto" w:fill="FF160F"/>
          </w:tcPr>
          <w:p>
            <w:pPr>
              <w:spacing w:after="0"/>
              <w:rPr>
                <w:sz w:val="17"/>
                <w:szCs w:val="17"/>
                <w:color w:val="auto"/>
              </w:rPr>
            </w:pPr>
          </w:p>
        </w:tc>
        <w:tc>
          <w:tcPr>
            <w:tcW w:w="1160" w:type="dxa"/>
            <w:vAlign w:val="bottom"/>
            <w:shd w:val="clear" w:color="auto" w:fill="FF160F"/>
          </w:tcPr>
          <w:p>
            <w:pPr>
              <w:spacing w:after="0"/>
              <w:rPr>
                <w:sz w:val="17"/>
                <w:szCs w:val="17"/>
                <w:color w:val="auto"/>
              </w:rPr>
            </w:pPr>
          </w:p>
        </w:tc>
        <w:tc>
          <w:tcPr>
            <w:tcW w:w="1280" w:type="dxa"/>
            <w:vAlign w:val="bottom"/>
            <w:shd w:val="clear" w:color="auto" w:fill="FF160F"/>
          </w:tcPr>
          <w:p>
            <w:pPr>
              <w:jc w:val="right"/>
              <w:ind w:right="110"/>
              <w:spacing w:after="0" w:line="202" w:lineRule="exact"/>
              <w:rPr>
                <w:sz w:val="20"/>
                <w:szCs w:val="20"/>
                <w:color w:val="auto"/>
              </w:rPr>
            </w:pPr>
            <w:r>
              <w:rPr>
                <w:rFonts w:ascii="Arial" w:cs="Arial" w:eastAsia="Arial" w:hAnsi="Arial"/>
                <w:sz w:val="18"/>
                <w:szCs w:val="18"/>
                <w:b w:val="1"/>
                <w:bCs w:val="1"/>
                <w:color w:val="FFFFFF"/>
              </w:rPr>
              <w:t>Unvested</w:t>
            </w:r>
          </w:p>
        </w:tc>
        <w:tc>
          <w:tcPr>
            <w:tcW w:w="1440" w:type="dxa"/>
            <w:vAlign w:val="bottom"/>
            <w:shd w:val="clear" w:color="auto" w:fill="FF160F"/>
          </w:tcPr>
          <w:p>
            <w:pPr>
              <w:jc w:val="right"/>
              <w:ind w:right="90"/>
              <w:spacing w:after="0" w:line="202" w:lineRule="exact"/>
              <w:rPr>
                <w:sz w:val="20"/>
                <w:szCs w:val="20"/>
                <w:color w:val="auto"/>
              </w:rPr>
            </w:pPr>
            <w:r>
              <w:rPr>
                <w:rFonts w:ascii="Arial" w:cs="Arial" w:eastAsia="Arial" w:hAnsi="Arial"/>
                <w:sz w:val="18"/>
                <w:szCs w:val="18"/>
                <w:b w:val="1"/>
                <w:bCs w:val="1"/>
                <w:color w:val="FFFFFF"/>
              </w:rPr>
              <w:t>Total Shares</w:t>
            </w:r>
          </w:p>
        </w:tc>
        <w:tc>
          <w:tcPr>
            <w:tcW w:w="1620" w:type="dxa"/>
            <w:vAlign w:val="bottom"/>
            <w:shd w:val="clear" w:color="auto" w:fill="FF160F"/>
          </w:tcPr>
          <w:p>
            <w:pPr>
              <w:jc w:val="center"/>
              <w:spacing w:after="0" w:line="202" w:lineRule="exact"/>
              <w:rPr>
                <w:sz w:val="20"/>
                <w:szCs w:val="20"/>
                <w:color w:val="auto"/>
              </w:rPr>
            </w:pPr>
            <w:r>
              <w:rPr>
                <w:rFonts w:ascii="Arial" w:cs="Arial" w:eastAsia="Arial" w:hAnsi="Arial"/>
                <w:sz w:val="18"/>
                <w:szCs w:val="18"/>
                <w:b w:val="1"/>
                <w:bCs w:val="1"/>
                <w:color w:val="FFFFFF"/>
                <w:w w:val="99"/>
              </w:rPr>
              <w:t>Outstanding</w:t>
            </w:r>
          </w:p>
        </w:tc>
        <w:tc>
          <w:tcPr>
            <w:tcW w:w="0" w:type="dxa"/>
            <w:vAlign w:val="bottom"/>
          </w:tcPr>
          <w:p>
            <w:pPr>
              <w:spacing w:after="0"/>
              <w:rPr>
                <w:sz w:val="1"/>
                <w:szCs w:val="1"/>
                <w:color w:val="auto"/>
              </w:rPr>
            </w:pPr>
          </w:p>
        </w:tc>
      </w:tr>
      <w:tr>
        <w:trPr>
          <w:trHeight w:val="203"/>
        </w:trPr>
        <w:tc>
          <w:tcPr>
            <w:tcW w:w="5060" w:type="dxa"/>
            <w:vAlign w:val="bottom"/>
            <w:shd w:val="clear" w:color="auto" w:fill="FF160F"/>
          </w:tcPr>
          <w:p>
            <w:pPr>
              <w:spacing w:after="0"/>
              <w:rPr>
                <w:sz w:val="17"/>
                <w:szCs w:val="17"/>
                <w:color w:val="auto"/>
              </w:rPr>
            </w:pPr>
          </w:p>
        </w:tc>
        <w:tc>
          <w:tcPr>
            <w:tcW w:w="460" w:type="dxa"/>
            <w:vAlign w:val="bottom"/>
            <w:shd w:val="clear" w:color="auto" w:fill="FF160F"/>
          </w:tcPr>
          <w:p>
            <w:pPr>
              <w:spacing w:after="0"/>
              <w:rPr>
                <w:sz w:val="17"/>
                <w:szCs w:val="17"/>
                <w:color w:val="auto"/>
              </w:rPr>
            </w:pPr>
          </w:p>
        </w:tc>
        <w:tc>
          <w:tcPr>
            <w:tcW w:w="1160" w:type="dxa"/>
            <w:vAlign w:val="bottom"/>
            <w:shd w:val="clear" w:color="auto" w:fill="FF160F"/>
          </w:tcPr>
          <w:p>
            <w:pPr>
              <w:spacing w:after="0"/>
              <w:rPr>
                <w:sz w:val="17"/>
                <w:szCs w:val="17"/>
                <w:color w:val="auto"/>
              </w:rPr>
            </w:pPr>
          </w:p>
        </w:tc>
        <w:tc>
          <w:tcPr>
            <w:tcW w:w="1280" w:type="dxa"/>
            <w:vAlign w:val="bottom"/>
            <w:shd w:val="clear" w:color="auto" w:fill="FF160F"/>
          </w:tcPr>
          <w:p>
            <w:pPr>
              <w:jc w:val="right"/>
              <w:ind w:right="110"/>
              <w:spacing w:after="0" w:line="202" w:lineRule="exact"/>
              <w:rPr>
                <w:sz w:val="20"/>
                <w:szCs w:val="20"/>
                <w:color w:val="auto"/>
              </w:rPr>
            </w:pPr>
            <w:r>
              <w:rPr>
                <w:rFonts w:ascii="Arial" w:cs="Arial" w:eastAsia="Arial" w:hAnsi="Arial"/>
                <w:sz w:val="18"/>
                <w:szCs w:val="18"/>
                <w:b w:val="1"/>
                <w:bCs w:val="1"/>
                <w:color w:val="FFFFFF"/>
              </w:rPr>
              <w:t>Restricted</w:t>
            </w:r>
          </w:p>
        </w:tc>
        <w:tc>
          <w:tcPr>
            <w:tcW w:w="1440" w:type="dxa"/>
            <w:vAlign w:val="bottom"/>
            <w:shd w:val="clear" w:color="auto" w:fill="FF160F"/>
          </w:tcPr>
          <w:p>
            <w:pPr>
              <w:jc w:val="right"/>
              <w:ind w:right="90"/>
              <w:spacing w:after="0" w:line="202" w:lineRule="exact"/>
              <w:rPr>
                <w:sz w:val="20"/>
                <w:szCs w:val="20"/>
                <w:color w:val="auto"/>
              </w:rPr>
            </w:pPr>
            <w:r>
              <w:rPr>
                <w:rFonts w:ascii="Arial" w:cs="Arial" w:eastAsia="Arial" w:hAnsi="Arial"/>
                <w:sz w:val="18"/>
                <w:szCs w:val="18"/>
                <w:b w:val="1"/>
                <w:bCs w:val="1"/>
                <w:color w:val="FFFFFF"/>
              </w:rPr>
              <w:t>Beneficially</w:t>
            </w:r>
          </w:p>
        </w:tc>
        <w:tc>
          <w:tcPr>
            <w:tcW w:w="1620" w:type="dxa"/>
            <w:vAlign w:val="bottom"/>
            <w:shd w:val="clear" w:color="auto" w:fill="FF160F"/>
          </w:tcPr>
          <w:p>
            <w:pPr>
              <w:jc w:val="center"/>
              <w:spacing w:after="0" w:line="202" w:lineRule="exact"/>
              <w:rPr>
                <w:sz w:val="20"/>
                <w:szCs w:val="20"/>
                <w:color w:val="auto"/>
              </w:rPr>
            </w:pPr>
            <w:r>
              <w:rPr>
                <w:rFonts w:ascii="Arial" w:cs="Arial" w:eastAsia="Arial" w:hAnsi="Arial"/>
                <w:sz w:val="18"/>
                <w:szCs w:val="18"/>
                <w:b w:val="1"/>
                <w:bCs w:val="1"/>
                <w:color w:val="FFFFFF"/>
                <w:w w:val="99"/>
              </w:rPr>
              <w:t>Shares</w:t>
            </w:r>
          </w:p>
        </w:tc>
        <w:tc>
          <w:tcPr>
            <w:tcW w:w="0" w:type="dxa"/>
            <w:vAlign w:val="bottom"/>
          </w:tcPr>
          <w:p>
            <w:pPr>
              <w:spacing w:after="0"/>
              <w:rPr>
                <w:sz w:val="1"/>
                <w:szCs w:val="1"/>
                <w:color w:val="auto"/>
              </w:rPr>
            </w:pPr>
          </w:p>
        </w:tc>
      </w:tr>
      <w:tr>
        <w:trPr>
          <w:trHeight w:val="221"/>
        </w:trPr>
        <w:tc>
          <w:tcPr>
            <w:tcW w:w="5060" w:type="dxa"/>
            <w:vAlign w:val="bottom"/>
            <w:shd w:val="clear" w:color="auto" w:fill="FF160F"/>
          </w:tcPr>
          <w:p>
            <w:pPr>
              <w:spacing w:after="0" w:line="221" w:lineRule="exact"/>
              <w:rPr>
                <w:sz w:val="20"/>
                <w:szCs w:val="20"/>
                <w:color w:val="auto"/>
              </w:rPr>
            </w:pPr>
            <w:r>
              <w:rPr>
                <w:rFonts w:ascii="Arial" w:cs="Arial" w:eastAsia="Arial" w:hAnsi="Arial"/>
                <w:sz w:val="17"/>
                <w:szCs w:val="17"/>
                <w:b w:val="1"/>
                <w:bCs w:val="1"/>
                <w:color w:val="FFFFFF"/>
              </w:rPr>
              <w:t>Name and Address of Beneficial Owner</w:t>
            </w:r>
            <w:r>
              <w:rPr>
                <w:rFonts w:ascii="Arial" w:cs="Arial" w:eastAsia="Arial" w:hAnsi="Arial"/>
                <w:sz w:val="25"/>
                <w:szCs w:val="25"/>
                <w:b w:val="1"/>
                <w:bCs w:val="1"/>
                <w:color w:val="FFFFFF"/>
                <w:vertAlign w:val="superscript"/>
              </w:rPr>
              <w:t>(1)</w:t>
            </w:r>
          </w:p>
        </w:tc>
        <w:tc>
          <w:tcPr>
            <w:tcW w:w="460" w:type="dxa"/>
            <w:vAlign w:val="bottom"/>
            <w:shd w:val="clear" w:color="auto" w:fill="FF160F"/>
          </w:tcPr>
          <w:p>
            <w:pPr>
              <w:spacing w:after="0"/>
              <w:rPr>
                <w:sz w:val="19"/>
                <w:szCs w:val="19"/>
                <w:color w:val="auto"/>
              </w:rPr>
            </w:pPr>
          </w:p>
        </w:tc>
        <w:tc>
          <w:tcPr>
            <w:tcW w:w="1160" w:type="dxa"/>
            <w:vAlign w:val="bottom"/>
            <w:shd w:val="clear" w:color="auto" w:fill="FF160F"/>
          </w:tcPr>
          <w:p>
            <w:pPr>
              <w:jc w:val="right"/>
              <w:ind w:right="110"/>
              <w:spacing w:after="0"/>
              <w:rPr>
                <w:sz w:val="20"/>
                <w:szCs w:val="20"/>
                <w:color w:val="auto"/>
              </w:rPr>
            </w:pPr>
            <w:r>
              <w:rPr>
                <w:rFonts w:ascii="Arial" w:cs="Arial" w:eastAsia="Arial" w:hAnsi="Arial"/>
                <w:sz w:val="18"/>
                <w:szCs w:val="18"/>
                <w:b w:val="1"/>
                <w:bCs w:val="1"/>
                <w:color w:val="FFFFFF"/>
              </w:rPr>
              <w:t>Common</w:t>
            </w:r>
          </w:p>
        </w:tc>
        <w:tc>
          <w:tcPr>
            <w:tcW w:w="1280" w:type="dxa"/>
            <w:vAlign w:val="bottom"/>
            <w:shd w:val="clear" w:color="auto" w:fill="FF160F"/>
          </w:tcPr>
          <w:p>
            <w:pPr>
              <w:jc w:val="right"/>
              <w:ind w:right="110"/>
              <w:spacing w:after="0"/>
              <w:rPr>
                <w:sz w:val="20"/>
                <w:szCs w:val="20"/>
                <w:color w:val="auto"/>
              </w:rPr>
            </w:pPr>
            <w:r>
              <w:rPr>
                <w:rFonts w:ascii="Arial" w:cs="Arial" w:eastAsia="Arial" w:hAnsi="Arial"/>
                <w:sz w:val="18"/>
                <w:szCs w:val="18"/>
                <w:b w:val="1"/>
                <w:bCs w:val="1"/>
                <w:color w:val="FFFFFF"/>
              </w:rPr>
              <w:t>Shares</w:t>
            </w:r>
          </w:p>
        </w:tc>
        <w:tc>
          <w:tcPr>
            <w:tcW w:w="1440" w:type="dxa"/>
            <w:vAlign w:val="bottom"/>
            <w:shd w:val="clear" w:color="auto" w:fill="FF160F"/>
          </w:tcPr>
          <w:p>
            <w:pPr>
              <w:jc w:val="right"/>
              <w:ind w:right="90"/>
              <w:spacing w:after="0"/>
              <w:rPr>
                <w:sz w:val="20"/>
                <w:szCs w:val="20"/>
                <w:color w:val="auto"/>
              </w:rPr>
            </w:pPr>
            <w:r>
              <w:rPr>
                <w:rFonts w:ascii="Arial" w:cs="Arial" w:eastAsia="Arial" w:hAnsi="Arial"/>
                <w:sz w:val="18"/>
                <w:szCs w:val="18"/>
                <w:b w:val="1"/>
                <w:bCs w:val="1"/>
                <w:color w:val="FFFFFF"/>
              </w:rPr>
              <w:t>Owned</w:t>
            </w:r>
          </w:p>
        </w:tc>
        <w:tc>
          <w:tcPr>
            <w:tcW w:w="1620" w:type="dxa"/>
            <w:vAlign w:val="bottom"/>
            <w:shd w:val="clear" w:color="auto" w:fill="FF160F"/>
          </w:tcPr>
          <w:p>
            <w:pPr>
              <w:jc w:val="center"/>
              <w:spacing w:after="0" w:line="221" w:lineRule="exact"/>
              <w:rPr>
                <w:sz w:val="20"/>
                <w:szCs w:val="20"/>
                <w:color w:val="auto"/>
              </w:rPr>
            </w:pPr>
            <w:r>
              <w:rPr>
                <w:rFonts w:ascii="Arial" w:cs="Arial" w:eastAsia="Arial" w:hAnsi="Arial"/>
                <w:sz w:val="17"/>
                <w:szCs w:val="17"/>
                <w:b w:val="1"/>
                <w:bCs w:val="1"/>
                <w:color w:val="FFFFFF"/>
                <w:w w:val="98"/>
              </w:rPr>
              <w:t>Owned</w:t>
            </w:r>
            <w:r>
              <w:rPr>
                <w:rFonts w:ascii="Arial" w:cs="Arial" w:eastAsia="Arial" w:hAnsi="Arial"/>
                <w:sz w:val="25"/>
                <w:szCs w:val="25"/>
                <w:b w:val="1"/>
                <w:bCs w:val="1"/>
                <w:color w:val="FFFFFF"/>
                <w:w w:val="98"/>
                <w:vertAlign w:val="superscript"/>
              </w:rPr>
              <w:t>(2)</w:t>
            </w:r>
          </w:p>
        </w:tc>
        <w:tc>
          <w:tcPr>
            <w:tcW w:w="0" w:type="dxa"/>
            <w:vAlign w:val="bottom"/>
          </w:tcPr>
          <w:p>
            <w:pPr>
              <w:spacing w:after="0"/>
              <w:rPr>
                <w:sz w:val="1"/>
                <w:szCs w:val="1"/>
                <w:color w:val="auto"/>
              </w:rPr>
            </w:pPr>
          </w:p>
        </w:tc>
      </w:tr>
      <w:tr>
        <w:trPr>
          <w:trHeight w:val="184"/>
        </w:trPr>
        <w:tc>
          <w:tcPr>
            <w:tcW w:w="5060" w:type="dxa"/>
            <w:vAlign w:val="bottom"/>
            <w:shd w:val="clear" w:color="auto" w:fill="D8D8D8"/>
          </w:tcPr>
          <w:p>
            <w:pPr>
              <w:spacing w:after="0" w:line="183" w:lineRule="exact"/>
              <w:rPr>
                <w:sz w:val="20"/>
                <w:szCs w:val="20"/>
                <w:color w:val="auto"/>
              </w:rPr>
            </w:pPr>
            <w:r>
              <w:rPr>
                <w:rFonts w:ascii="Arial" w:cs="Arial" w:eastAsia="Arial" w:hAnsi="Arial"/>
                <w:sz w:val="18"/>
                <w:szCs w:val="18"/>
                <w:color w:val="auto"/>
              </w:rPr>
              <w:t>Dawn M. Becker</w:t>
            </w:r>
          </w:p>
        </w:tc>
        <w:tc>
          <w:tcPr>
            <w:tcW w:w="1620" w:type="dxa"/>
            <w:vAlign w:val="bottom"/>
            <w:gridSpan w:val="2"/>
          </w:tcPr>
          <w:p>
            <w:pPr>
              <w:jc w:val="right"/>
              <w:ind w:right="110"/>
              <w:spacing w:after="0" w:line="183" w:lineRule="exact"/>
              <w:rPr>
                <w:sz w:val="20"/>
                <w:szCs w:val="20"/>
                <w:color w:val="auto"/>
              </w:rPr>
            </w:pPr>
            <w:r>
              <w:rPr>
                <w:rFonts w:ascii="Arial" w:cs="Arial" w:eastAsia="Arial" w:hAnsi="Arial"/>
                <w:sz w:val="18"/>
                <w:szCs w:val="18"/>
                <w:color w:val="auto"/>
              </w:rPr>
              <w:t>150,718</w:t>
            </w:r>
          </w:p>
        </w:tc>
        <w:tc>
          <w:tcPr>
            <w:tcW w:w="1280" w:type="dxa"/>
            <w:vAlign w:val="bottom"/>
          </w:tcPr>
          <w:p>
            <w:pPr>
              <w:jc w:val="right"/>
              <w:ind w:right="110"/>
              <w:spacing w:after="0" w:line="183" w:lineRule="exact"/>
              <w:rPr>
                <w:sz w:val="20"/>
                <w:szCs w:val="20"/>
                <w:color w:val="auto"/>
              </w:rPr>
            </w:pPr>
            <w:r>
              <w:rPr>
                <w:rFonts w:ascii="Arial" w:cs="Arial" w:eastAsia="Arial" w:hAnsi="Arial"/>
                <w:sz w:val="18"/>
                <w:szCs w:val="18"/>
                <w:color w:val="auto"/>
              </w:rPr>
              <w:t>21,807</w:t>
            </w:r>
          </w:p>
        </w:tc>
        <w:tc>
          <w:tcPr>
            <w:tcW w:w="1440" w:type="dxa"/>
            <w:vAlign w:val="bottom"/>
          </w:tcPr>
          <w:p>
            <w:pPr>
              <w:jc w:val="right"/>
              <w:ind w:right="90"/>
              <w:spacing w:after="0" w:line="183" w:lineRule="exact"/>
              <w:rPr>
                <w:sz w:val="20"/>
                <w:szCs w:val="20"/>
                <w:color w:val="auto"/>
              </w:rPr>
            </w:pPr>
            <w:r>
              <w:rPr>
                <w:rFonts w:ascii="Arial" w:cs="Arial" w:eastAsia="Arial" w:hAnsi="Arial"/>
                <w:sz w:val="18"/>
                <w:szCs w:val="18"/>
                <w:color w:val="auto"/>
              </w:rPr>
              <w:t>172,525</w:t>
            </w:r>
          </w:p>
        </w:tc>
        <w:tc>
          <w:tcPr>
            <w:tcW w:w="1620" w:type="dxa"/>
            <w:vAlign w:val="bottom"/>
          </w:tcPr>
          <w:p>
            <w:pPr>
              <w:jc w:val="right"/>
              <w:ind w:right="130"/>
              <w:spacing w:after="0" w:line="18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060" w:type="dxa"/>
            <w:vAlign w:val="bottom"/>
            <w:shd w:val="clear" w:color="auto" w:fill="D8D8D8"/>
          </w:tcPr>
          <w:p>
            <w:pPr>
              <w:spacing w:after="0" w:line="202" w:lineRule="exact"/>
              <w:rPr>
                <w:sz w:val="20"/>
                <w:szCs w:val="20"/>
                <w:color w:val="auto"/>
              </w:rPr>
            </w:pPr>
            <w:r>
              <w:rPr>
                <w:rFonts w:ascii="Arial" w:cs="Arial" w:eastAsia="Arial" w:hAnsi="Arial"/>
                <w:sz w:val="18"/>
                <w:szCs w:val="18"/>
                <w:color w:val="auto"/>
              </w:rPr>
              <w:t>Jeffrey S. Berkes</w:t>
            </w:r>
          </w:p>
        </w:tc>
        <w:tc>
          <w:tcPr>
            <w:tcW w:w="162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43,130</w:t>
            </w:r>
          </w:p>
        </w:tc>
        <w:tc>
          <w:tcPr>
            <w:tcW w:w="128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28,291</w:t>
            </w:r>
          </w:p>
        </w:tc>
        <w:tc>
          <w:tcPr>
            <w:tcW w:w="1440" w:type="dxa"/>
            <w:vAlign w:val="bottom"/>
          </w:tcPr>
          <w:p>
            <w:pPr>
              <w:jc w:val="right"/>
              <w:ind w:right="90"/>
              <w:spacing w:after="0" w:line="202" w:lineRule="exact"/>
              <w:rPr>
                <w:sz w:val="20"/>
                <w:szCs w:val="20"/>
                <w:color w:val="auto"/>
              </w:rPr>
            </w:pPr>
            <w:r>
              <w:rPr>
                <w:rFonts w:ascii="Arial" w:cs="Arial" w:eastAsia="Arial" w:hAnsi="Arial"/>
                <w:sz w:val="18"/>
                <w:szCs w:val="18"/>
                <w:color w:val="auto"/>
              </w:rPr>
              <w:t>71,421</w:t>
            </w:r>
          </w:p>
        </w:tc>
        <w:tc>
          <w:tcPr>
            <w:tcW w:w="162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060" w:type="dxa"/>
            <w:vAlign w:val="bottom"/>
            <w:shd w:val="clear" w:color="auto" w:fill="D8D8D8"/>
          </w:tcPr>
          <w:p>
            <w:pPr>
              <w:spacing w:after="0" w:line="202" w:lineRule="exact"/>
              <w:rPr>
                <w:sz w:val="20"/>
                <w:szCs w:val="20"/>
                <w:color w:val="auto"/>
              </w:rPr>
            </w:pPr>
            <w:r>
              <w:rPr>
                <w:rFonts w:ascii="Arial" w:cs="Arial" w:eastAsia="Arial" w:hAnsi="Arial"/>
                <w:sz w:val="18"/>
                <w:szCs w:val="18"/>
                <w:color w:val="auto"/>
              </w:rPr>
              <w:t>David W. Faeder</w:t>
            </w:r>
          </w:p>
        </w:tc>
        <w:tc>
          <w:tcPr>
            <w:tcW w:w="162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25,642</w:t>
            </w:r>
          </w:p>
        </w:tc>
        <w:tc>
          <w:tcPr>
            <w:tcW w:w="128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0</w:t>
            </w:r>
          </w:p>
        </w:tc>
        <w:tc>
          <w:tcPr>
            <w:tcW w:w="1440" w:type="dxa"/>
            <w:vAlign w:val="bottom"/>
          </w:tcPr>
          <w:p>
            <w:pPr>
              <w:jc w:val="right"/>
              <w:ind w:right="90"/>
              <w:spacing w:after="0" w:line="202" w:lineRule="exact"/>
              <w:rPr>
                <w:sz w:val="20"/>
                <w:szCs w:val="20"/>
                <w:color w:val="auto"/>
              </w:rPr>
            </w:pPr>
            <w:r>
              <w:rPr>
                <w:rFonts w:ascii="Arial" w:cs="Arial" w:eastAsia="Arial" w:hAnsi="Arial"/>
                <w:sz w:val="18"/>
                <w:szCs w:val="18"/>
                <w:color w:val="auto"/>
              </w:rPr>
              <w:t>25,642</w:t>
            </w:r>
          </w:p>
        </w:tc>
        <w:tc>
          <w:tcPr>
            <w:tcW w:w="162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060" w:type="dxa"/>
            <w:vAlign w:val="bottom"/>
            <w:shd w:val="clear" w:color="auto" w:fill="D8D8D8"/>
          </w:tcPr>
          <w:p>
            <w:pPr>
              <w:spacing w:after="0" w:line="202" w:lineRule="exact"/>
              <w:rPr>
                <w:sz w:val="20"/>
                <w:szCs w:val="20"/>
                <w:color w:val="auto"/>
              </w:rPr>
            </w:pPr>
            <w:r>
              <w:rPr>
                <w:rFonts w:ascii="Arial" w:cs="Arial" w:eastAsia="Arial" w:hAnsi="Arial"/>
                <w:sz w:val="18"/>
                <w:szCs w:val="18"/>
                <w:color w:val="auto"/>
              </w:rPr>
              <w:t>Daniel Guglielmone</w:t>
            </w:r>
          </w:p>
        </w:tc>
        <w:tc>
          <w:tcPr>
            <w:tcW w:w="162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32,102</w:t>
            </w:r>
          </w:p>
        </w:tc>
        <w:tc>
          <w:tcPr>
            <w:tcW w:w="128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23,952</w:t>
            </w:r>
          </w:p>
        </w:tc>
        <w:tc>
          <w:tcPr>
            <w:tcW w:w="1440" w:type="dxa"/>
            <w:vAlign w:val="bottom"/>
          </w:tcPr>
          <w:p>
            <w:pPr>
              <w:jc w:val="right"/>
              <w:ind w:right="90"/>
              <w:spacing w:after="0" w:line="202" w:lineRule="exact"/>
              <w:rPr>
                <w:sz w:val="20"/>
                <w:szCs w:val="20"/>
                <w:color w:val="auto"/>
              </w:rPr>
            </w:pPr>
            <w:r>
              <w:rPr>
                <w:rFonts w:ascii="Arial" w:cs="Arial" w:eastAsia="Arial" w:hAnsi="Arial"/>
                <w:sz w:val="18"/>
                <w:szCs w:val="18"/>
                <w:color w:val="auto"/>
              </w:rPr>
              <w:t>56,054</w:t>
            </w:r>
          </w:p>
        </w:tc>
        <w:tc>
          <w:tcPr>
            <w:tcW w:w="162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060" w:type="dxa"/>
            <w:vAlign w:val="bottom"/>
            <w:shd w:val="clear" w:color="auto" w:fill="D8D8D8"/>
          </w:tcPr>
          <w:p>
            <w:pPr>
              <w:spacing w:after="0" w:line="202" w:lineRule="exact"/>
              <w:rPr>
                <w:sz w:val="20"/>
                <w:szCs w:val="20"/>
                <w:color w:val="auto"/>
              </w:rPr>
            </w:pPr>
            <w:r>
              <w:rPr>
                <w:rFonts w:ascii="Arial" w:cs="Arial" w:eastAsia="Arial" w:hAnsi="Arial"/>
                <w:sz w:val="18"/>
                <w:szCs w:val="18"/>
                <w:color w:val="auto"/>
              </w:rPr>
              <w:t>Elizabeth I. Holland</w:t>
            </w:r>
          </w:p>
        </w:tc>
        <w:tc>
          <w:tcPr>
            <w:tcW w:w="162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7,538</w:t>
            </w:r>
          </w:p>
        </w:tc>
        <w:tc>
          <w:tcPr>
            <w:tcW w:w="128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0</w:t>
            </w:r>
          </w:p>
        </w:tc>
        <w:tc>
          <w:tcPr>
            <w:tcW w:w="1440" w:type="dxa"/>
            <w:vAlign w:val="bottom"/>
          </w:tcPr>
          <w:p>
            <w:pPr>
              <w:jc w:val="right"/>
              <w:ind w:right="90"/>
              <w:spacing w:after="0" w:line="202" w:lineRule="exact"/>
              <w:rPr>
                <w:sz w:val="20"/>
                <w:szCs w:val="20"/>
                <w:color w:val="auto"/>
              </w:rPr>
            </w:pPr>
            <w:r>
              <w:rPr>
                <w:rFonts w:ascii="Arial" w:cs="Arial" w:eastAsia="Arial" w:hAnsi="Arial"/>
                <w:sz w:val="18"/>
                <w:szCs w:val="18"/>
                <w:color w:val="auto"/>
              </w:rPr>
              <w:t>7,538</w:t>
            </w:r>
          </w:p>
        </w:tc>
        <w:tc>
          <w:tcPr>
            <w:tcW w:w="162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060" w:type="dxa"/>
            <w:vAlign w:val="bottom"/>
            <w:shd w:val="clear" w:color="auto" w:fill="D8D8D8"/>
          </w:tcPr>
          <w:p>
            <w:pPr>
              <w:spacing w:after="0" w:line="202" w:lineRule="exact"/>
              <w:rPr>
                <w:sz w:val="20"/>
                <w:szCs w:val="20"/>
                <w:color w:val="auto"/>
              </w:rPr>
            </w:pPr>
            <w:r>
              <w:rPr>
                <w:rFonts w:ascii="Arial" w:cs="Arial" w:eastAsia="Arial" w:hAnsi="Arial"/>
                <w:sz w:val="18"/>
                <w:szCs w:val="18"/>
                <w:color w:val="auto"/>
              </w:rPr>
              <w:t>Nicole Y. Lamb-Hale</w:t>
            </w:r>
          </w:p>
        </w:tc>
        <w:tc>
          <w:tcPr>
            <w:tcW w:w="162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3,702</w:t>
            </w:r>
          </w:p>
        </w:tc>
        <w:tc>
          <w:tcPr>
            <w:tcW w:w="128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0</w:t>
            </w:r>
          </w:p>
        </w:tc>
        <w:tc>
          <w:tcPr>
            <w:tcW w:w="1440" w:type="dxa"/>
            <w:vAlign w:val="bottom"/>
          </w:tcPr>
          <w:p>
            <w:pPr>
              <w:jc w:val="right"/>
              <w:ind w:right="90"/>
              <w:spacing w:after="0" w:line="202" w:lineRule="exact"/>
              <w:rPr>
                <w:sz w:val="20"/>
                <w:szCs w:val="20"/>
                <w:color w:val="auto"/>
              </w:rPr>
            </w:pPr>
            <w:r>
              <w:rPr>
                <w:rFonts w:ascii="Arial" w:cs="Arial" w:eastAsia="Arial" w:hAnsi="Arial"/>
                <w:sz w:val="18"/>
                <w:szCs w:val="18"/>
                <w:color w:val="auto"/>
              </w:rPr>
              <w:t>3,702</w:t>
            </w:r>
          </w:p>
        </w:tc>
        <w:tc>
          <w:tcPr>
            <w:tcW w:w="162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060" w:type="dxa"/>
            <w:vAlign w:val="bottom"/>
            <w:shd w:val="clear" w:color="auto" w:fill="D8D8D8"/>
          </w:tcPr>
          <w:p>
            <w:pPr>
              <w:spacing w:after="0" w:line="202" w:lineRule="exact"/>
              <w:rPr>
                <w:sz w:val="20"/>
                <w:szCs w:val="20"/>
                <w:color w:val="auto"/>
              </w:rPr>
            </w:pPr>
            <w:r>
              <w:rPr>
                <w:rFonts w:ascii="Arial" w:cs="Arial" w:eastAsia="Arial" w:hAnsi="Arial"/>
                <w:sz w:val="18"/>
                <w:szCs w:val="18"/>
                <w:color w:val="auto"/>
              </w:rPr>
              <w:t>Thomas A. McEachin</w:t>
            </w:r>
          </w:p>
        </w:tc>
        <w:tc>
          <w:tcPr>
            <w:tcW w:w="162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1,463</w:t>
            </w:r>
          </w:p>
        </w:tc>
        <w:tc>
          <w:tcPr>
            <w:tcW w:w="128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0</w:t>
            </w:r>
          </w:p>
        </w:tc>
        <w:tc>
          <w:tcPr>
            <w:tcW w:w="1440" w:type="dxa"/>
            <w:vAlign w:val="bottom"/>
          </w:tcPr>
          <w:p>
            <w:pPr>
              <w:jc w:val="right"/>
              <w:ind w:right="90"/>
              <w:spacing w:after="0" w:line="202" w:lineRule="exact"/>
              <w:rPr>
                <w:sz w:val="20"/>
                <w:szCs w:val="20"/>
                <w:color w:val="auto"/>
              </w:rPr>
            </w:pPr>
            <w:r>
              <w:rPr>
                <w:rFonts w:ascii="Arial" w:cs="Arial" w:eastAsia="Arial" w:hAnsi="Arial"/>
                <w:sz w:val="18"/>
                <w:szCs w:val="18"/>
                <w:color w:val="auto"/>
              </w:rPr>
              <w:t>1,463</w:t>
            </w:r>
          </w:p>
        </w:tc>
        <w:tc>
          <w:tcPr>
            <w:tcW w:w="162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060" w:type="dxa"/>
            <w:vAlign w:val="bottom"/>
            <w:shd w:val="clear" w:color="auto" w:fill="D8D8D8"/>
          </w:tcPr>
          <w:p>
            <w:pPr>
              <w:spacing w:after="0" w:line="202" w:lineRule="exact"/>
              <w:rPr>
                <w:sz w:val="20"/>
                <w:szCs w:val="20"/>
                <w:color w:val="auto"/>
              </w:rPr>
            </w:pPr>
            <w:r>
              <w:rPr>
                <w:rFonts w:ascii="Arial" w:cs="Arial" w:eastAsia="Arial" w:hAnsi="Arial"/>
                <w:sz w:val="18"/>
                <w:szCs w:val="18"/>
                <w:color w:val="auto"/>
              </w:rPr>
              <w:t>Anthony P. Nader, III</w:t>
            </w:r>
          </w:p>
        </w:tc>
        <w:tc>
          <w:tcPr>
            <w:tcW w:w="162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3,702</w:t>
            </w:r>
          </w:p>
        </w:tc>
        <w:tc>
          <w:tcPr>
            <w:tcW w:w="128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0</w:t>
            </w:r>
          </w:p>
        </w:tc>
        <w:tc>
          <w:tcPr>
            <w:tcW w:w="1440" w:type="dxa"/>
            <w:vAlign w:val="bottom"/>
          </w:tcPr>
          <w:p>
            <w:pPr>
              <w:jc w:val="right"/>
              <w:ind w:right="90"/>
              <w:spacing w:after="0" w:line="202" w:lineRule="exact"/>
              <w:rPr>
                <w:sz w:val="20"/>
                <w:szCs w:val="20"/>
                <w:color w:val="auto"/>
              </w:rPr>
            </w:pPr>
            <w:r>
              <w:rPr>
                <w:rFonts w:ascii="Arial" w:cs="Arial" w:eastAsia="Arial" w:hAnsi="Arial"/>
                <w:sz w:val="18"/>
                <w:szCs w:val="18"/>
                <w:color w:val="auto"/>
              </w:rPr>
              <w:t>3,702</w:t>
            </w:r>
          </w:p>
        </w:tc>
        <w:tc>
          <w:tcPr>
            <w:tcW w:w="162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060" w:type="dxa"/>
            <w:vAlign w:val="bottom"/>
            <w:shd w:val="clear" w:color="auto" w:fill="D8D8D8"/>
          </w:tcPr>
          <w:p>
            <w:pPr>
              <w:spacing w:after="0" w:line="202" w:lineRule="exact"/>
              <w:rPr>
                <w:sz w:val="20"/>
                <w:szCs w:val="20"/>
                <w:color w:val="auto"/>
              </w:rPr>
            </w:pPr>
            <w:r>
              <w:rPr>
                <w:rFonts w:ascii="Arial" w:cs="Arial" w:eastAsia="Arial" w:hAnsi="Arial"/>
                <w:sz w:val="18"/>
                <w:szCs w:val="18"/>
                <w:color w:val="auto"/>
              </w:rPr>
              <w:t>Gail P. Steinel</w:t>
            </w:r>
          </w:p>
        </w:tc>
        <w:tc>
          <w:tcPr>
            <w:tcW w:w="162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15,606</w:t>
            </w:r>
          </w:p>
        </w:tc>
        <w:tc>
          <w:tcPr>
            <w:tcW w:w="128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0</w:t>
            </w:r>
          </w:p>
        </w:tc>
        <w:tc>
          <w:tcPr>
            <w:tcW w:w="1440" w:type="dxa"/>
            <w:vAlign w:val="bottom"/>
          </w:tcPr>
          <w:p>
            <w:pPr>
              <w:jc w:val="right"/>
              <w:ind w:right="90"/>
              <w:spacing w:after="0" w:line="202" w:lineRule="exact"/>
              <w:rPr>
                <w:sz w:val="20"/>
                <w:szCs w:val="20"/>
                <w:color w:val="auto"/>
              </w:rPr>
            </w:pPr>
            <w:r>
              <w:rPr>
                <w:rFonts w:ascii="Arial" w:cs="Arial" w:eastAsia="Arial" w:hAnsi="Arial"/>
                <w:sz w:val="18"/>
                <w:szCs w:val="18"/>
                <w:color w:val="auto"/>
              </w:rPr>
              <w:t>15,606</w:t>
            </w:r>
          </w:p>
        </w:tc>
        <w:tc>
          <w:tcPr>
            <w:tcW w:w="162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5060" w:type="dxa"/>
            <w:vAlign w:val="bottom"/>
            <w:tcBorders>
              <w:bottom w:val="single" w:sz="8" w:color="D8D8D8"/>
            </w:tcBorders>
            <w:shd w:val="clear" w:color="auto" w:fill="D8D8D8"/>
          </w:tcPr>
          <w:p>
            <w:pPr>
              <w:spacing w:after="0" w:line="202" w:lineRule="exact"/>
              <w:rPr>
                <w:sz w:val="20"/>
                <w:szCs w:val="20"/>
                <w:color w:val="auto"/>
              </w:rPr>
            </w:pPr>
            <w:r>
              <w:rPr>
                <w:rFonts w:ascii="Arial" w:cs="Arial" w:eastAsia="Arial" w:hAnsi="Arial"/>
                <w:sz w:val="16"/>
                <w:szCs w:val="16"/>
                <w:color w:val="auto"/>
              </w:rPr>
              <w:t>Donald C. Wood</w:t>
            </w:r>
            <w:r>
              <w:rPr>
                <w:rFonts w:ascii="Arial" w:cs="Arial" w:eastAsia="Arial" w:hAnsi="Arial"/>
                <w:sz w:val="23"/>
                <w:szCs w:val="23"/>
                <w:color w:val="auto"/>
                <w:vertAlign w:val="superscript"/>
              </w:rPr>
              <w:t>(3)</w:t>
            </w:r>
          </w:p>
        </w:tc>
        <w:tc>
          <w:tcPr>
            <w:tcW w:w="460" w:type="dxa"/>
            <w:vAlign w:val="bottom"/>
          </w:tcPr>
          <w:p>
            <w:pPr>
              <w:spacing w:after="0"/>
              <w:rPr>
                <w:sz w:val="18"/>
                <w:szCs w:val="18"/>
                <w:color w:val="auto"/>
              </w:rPr>
            </w:pPr>
          </w:p>
        </w:tc>
        <w:tc>
          <w:tcPr>
            <w:tcW w:w="1160" w:type="dxa"/>
            <w:vAlign w:val="bottom"/>
            <w:tcBorders>
              <w:bottom w:val="single" w:sz="8" w:color="auto"/>
            </w:tcBorders>
          </w:tcPr>
          <w:p>
            <w:pPr>
              <w:jc w:val="right"/>
              <w:ind w:right="110"/>
              <w:spacing w:after="0" w:line="202" w:lineRule="exact"/>
              <w:rPr>
                <w:sz w:val="20"/>
                <w:szCs w:val="20"/>
                <w:color w:val="auto"/>
              </w:rPr>
            </w:pPr>
            <w:r>
              <w:rPr>
                <w:rFonts w:ascii="Arial" w:cs="Arial" w:eastAsia="Arial" w:hAnsi="Arial"/>
                <w:sz w:val="18"/>
                <w:szCs w:val="18"/>
                <w:color w:val="auto"/>
              </w:rPr>
              <w:t>416,713</w:t>
            </w:r>
          </w:p>
        </w:tc>
        <w:tc>
          <w:tcPr>
            <w:tcW w:w="1280" w:type="dxa"/>
            <w:vAlign w:val="bottom"/>
            <w:tcBorders>
              <w:bottom w:val="single" w:sz="8" w:color="auto"/>
            </w:tcBorders>
          </w:tcPr>
          <w:p>
            <w:pPr>
              <w:jc w:val="right"/>
              <w:ind w:right="110"/>
              <w:spacing w:after="0" w:line="202" w:lineRule="exact"/>
              <w:rPr>
                <w:sz w:val="20"/>
                <w:szCs w:val="20"/>
                <w:color w:val="auto"/>
              </w:rPr>
            </w:pPr>
            <w:r>
              <w:rPr>
                <w:rFonts w:ascii="Arial" w:cs="Arial" w:eastAsia="Arial" w:hAnsi="Arial"/>
                <w:sz w:val="18"/>
                <w:szCs w:val="18"/>
                <w:color w:val="auto"/>
              </w:rPr>
              <w:t>124,780</w:t>
            </w:r>
          </w:p>
        </w:tc>
        <w:tc>
          <w:tcPr>
            <w:tcW w:w="1440" w:type="dxa"/>
            <w:vAlign w:val="bottom"/>
            <w:tcBorders>
              <w:bottom w:val="single" w:sz="8" w:color="auto"/>
            </w:tcBorders>
          </w:tcPr>
          <w:p>
            <w:pPr>
              <w:jc w:val="right"/>
              <w:ind w:right="90"/>
              <w:spacing w:after="0" w:line="202" w:lineRule="exact"/>
              <w:rPr>
                <w:sz w:val="20"/>
                <w:szCs w:val="20"/>
                <w:color w:val="auto"/>
              </w:rPr>
            </w:pPr>
            <w:r>
              <w:rPr>
                <w:rFonts w:ascii="Arial" w:cs="Arial" w:eastAsia="Arial" w:hAnsi="Arial"/>
                <w:sz w:val="18"/>
                <w:szCs w:val="18"/>
                <w:color w:val="auto"/>
              </w:rPr>
              <w:t>541,493</w:t>
            </w:r>
          </w:p>
        </w:tc>
        <w:tc>
          <w:tcPr>
            <w:tcW w:w="1620" w:type="dxa"/>
            <w:vAlign w:val="bottom"/>
            <w:tcBorders>
              <w:bottom w:val="single" w:sz="8" w:color="auto"/>
            </w:tcBorders>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0"/>
        </w:trPr>
        <w:tc>
          <w:tcPr>
            <w:tcW w:w="5060" w:type="dxa"/>
            <w:vAlign w:val="bottom"/>
            <w:shd w:val="clear" w:color="auto" w:fill="D8D8D8"/>
          </w:tcPr>
          <w:p>
            <w:pPr>
              <w:spacing w:after="0" w:line="170" w:lineRule="exact"/>
              <w:rPr>
                <w:sz w:val="20"/>
                <w:szCs w:val="20"/>
                <w:color w:val="auto"/>
              </w:rPr>
            </w:pPr>
            <w:r>
              <w:rPr>
                <w:rFonts w:ascii="Arial" w:cs="Arial" w:eastAsia="Arial" w:hAnsi="Arial"/>
                <w:sz w:val="18"/>
                <w:szCs w:val="18"/>
                <w:color w:val="auto"/>
              </w:rPr>
              <w:t>Trustees, trustee nominees and executive officers as a group</w:t>
            </w:r>
          </w:p>
        </w:tc>
        <w:tc>
          <w:tcPr>
            <w:tcW w:w="1620" w:type="dxa"/>
            <w:vAlign w:val="bottom"/>
            <w:gridSpan w:val="2"/>
            <w:vMerge w:val="restart"/>
          </w:tcPr>
          <w:p>
            <w:pPr>
              <w:jc w:val="right"/>
              <w:ind w:right="110"/>
              <w:spacing w:after="0"/>
              <w:rPr>
                <w:sz w:val="20"/>
                <w:szCs w:val="20"/>
                <w:color w:val="auto"/>
              </w:rPr>
            </w:pPr>
            <w:r>
              <w:rPr>
                <w:rFonts w:ascii="Arial" w:cs="Arial" w:eastAsia="Arial" w:hAnsi="Arial"/>
                <w:sz w:val="18"/>
                <w:szCs w:val="18"/>
                <w:b w:val="1"/>
                <w:bCs w:val="1"/>
                <w:color w:val="auto"/>
              </w:rPr>
              <w:t>700,316</w:t>
            </w:r>
          </w:p>
        </w:tc>
        <w:tc>
          <w:tcPr>
            <w:tcW w:w="128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rPr>
              <w:t>198,830</w:t>
            </w:r>
          </w:p>
        </w:tc>
        <w:tc>
          <w:tcPr>
            <w:tcW w:w="144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rPr>
              <w:t>899,146</w:t>
            </w:r>
          </w:p>
        </w:tc>
        <w:tc>
          <w:tcPr>
            <w:tcW w:w="16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1.1%</w:t>
            </w:r>
          </w:p>
        </w:tc>
        <w:tc>
          <w:tcPr>
            <w:tcW w:w="0" w:type="dxa"/>
            <w:vAlign w:val="bottom"/>
          </w:tcPr>
          <w:p>
            <w:pPr>
              <w:spacing w:after="0"/>
              <w:rPr>
                <w:sz w:val="1"/>
                <w:szCs w:val="1"/>
                <w:color w:val="auto"/>
              </w:rPr>
            </w:pPr>
          </w:p>
        </w:tc>
      </w:tr>
      <w:tr>
        <w:trPr>
          <w:trHeight w:val="152"/>
        </w:trPr>
        <w:tc>
          <w:tcPr>
            <w:tcW w:w="5060" w:type="dxa"/>
            <w:vAlign w:val="bottom"/>
            <w:vMerge w:val="restart"/>
            <w:shd w:val="clear" w:color="auto" w:fill="D8D8D8"/>
          </w:tcPr>
          <w:p>
            <w:pPr>
              <w:spacing w:after="0"/>
              <w:rPr>
                <w:sz w:val="20"/>
                <w:szCs w:val="20"/>
                <w:color w:val="auto"/>
              </w:rPr>
            </w:pPr>
            <w:r>
              <w:rPr>
                <w:rFonts w:ascii="Arial" w:cs="Arial" w:eastAsia="Arial" w:hAnsi="Arial"/>
                <w:sz w:val="18"/>
                <w:szCs w:val="18"/>
                <w:color w:val="auto"/>
              </w:rPr>
              <w:t>(10 individuals)</w:t>
            </w:r>
          </w:p>
        </w:tc>
        <w:tc>
          <w:tcPr>
            <w:tcW w:w="1620" w:type="dxa"/>
            <w:vAlign w:val="bottom"/>
            <w:gridSpan w:val="2"/>
            <w:vMerge w:val="continue"/>
          </w:tcPr>
          <w:p>
            <w:pPr>
              <w:spacing w:after="0"/>
              <w:rPr>
                <w:sz w:val="13"/>
                <w:szCs w:val="13"/>
                <w:color w:val="auto"/>
              </w:rPr>
            </w:pPr>
          </w:p>
        </w:tc>
        <w:tc>
          <w:tcPr>
            <w:tcW w:w="128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16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9"/>
        </w:trPr>
        <w:tc>
          <w:tcPr>
            <w:tcW w:w="5060" w:type="dxa"/>
            <w:vAlign w:val="bottom"/>
            <w:vMerge w:val="continue"/>
            <w:shd w:val="clear" w:color="auto" w:fill="D8D8D8"/>
          </w:tcPr>
          <w:p>
            <w:pPr>
              <w:spacing w:after="0"/>
              <w:rPr>
                <w:sz w:val="6"/>
                <w:szCs w:val="6"/>
                <w:color w:val="auto"/>
              </w:rPr>
            </w:pPr>
          </w:p>
        </w:tc>
        <w:tc>
          <w:tcPr>
            <w:tcW w:w="460" w:type="dxa"/>
            <w:vAlign w:val="bottom"/>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1440" w:type="dxa"/>
            <w:vAlign w:val="bottom"/>
            <w:tcBorders>
              <w:bottom w:val="single" w:sz="8" w:color="auto"/>
            </w:tcBorders>
          </w:tcPr>
          <w:p>
            <w:pPr>
              <w:spacing w:after="0"/>
              <w:rPr>
                <w:sz w:val="6"/>
                <w:szCs w:val="6"/>
                <w:color w:val="auto"/>
              </w:rPr>
            </w:pPr>
          </w:p>
        </w:tc>
        <w:tc>
          <w:tcPr>
            <w:tcW w:w="16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120015</wp:posOffset>
            </wp:positionV>
            <wp:extent cx="11226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122680" cy="8255"/>
                    </a:xfrm>
                    <a:prstGeom prst="rect">
                      <a:avLst/>
                    </a:prstGeom>
                    <a:noFill/>
                  </pic:spPr>
                </pic:pic>
              </a:graphicData>
            </a:graphic>
          </wp:anchor>
        </w:drawing>
      </w:r>
    </w:p>
    <w:p>
      <w:pPr>
        <w:spacing w:after="0" w:line="195" w:lineRule="exact"/>
        <w:rPr>
          <w:sz w:val="20"/>
          <w:szCs w:val="20"/>
          <w:color w:val="auto"/>
        </w:rPr>
      </w:pPr>
    </w:p>
    <w:p>
      <w:pPr>
        <w:ind w:left="660" w:hanging="436"/>
        <w:spacing w:after="0"/>
        <w:tabs>
          <w:tab w:leader="none" w:pos="660" w:val="left"/>
        </w:tabs>
        <w:numPr>
          <w:ilvl w:val="0"/>
          <w:numId w:val="89"/>
        </w:numPr>
        <w:rPr>
          <w:rFonts w:ascii="Arial" w:cs="Arial" w:eastAsia="Arial" w:hAnsi="Arial"/>
          <w:sz w:val="16"/>
          <w:szCs w:val="16"/>
          <w:color w:val="auto"/>
        </w:rPr>
      </w:pPr>
      <w:r>
        <w:rPr>
          <w:rFonts w:ascii="Arial" w:cs="Arial" w:eastAsia="Arial" w:hAnsi="Arial"/>
          <w:sz w:val="16"/>
          <w:szCs w:val="16"/>
          <w:color w:val="auto"/>
        </w:rPr>
        <w:t>Less than 1%</w:t>
      </w:r>
    </w:p>
    <w:p>
      <w:pPr>
        <w:ind w:left="660" w:hanging="436"/>
        <w:spacing w:after="0" w:line="182" w:lineRule="auto"/>
        <w:tabs>
          <w:tab w:leader="none" w:pos="660" w:val="left"/>
        </w:tabs>
        <w:numPr>
          <w:ilvl w:val="0"/>
          <w:numId w:val="90"/>
        </w:numPr>
        <w:rPr>
          <w:rFonts w:ascii="Arial" w:cs="Arial" w:eastAsia="Arial" w:hAnsi="Arial"/>
          <w:sz w:val="24"/>
          <w:szCs w:val="24"/>
          <w:color w:val="auto"/>
          <w:vertAlign w:val="superscript"/>
        </w:rPr>
      </w:pPr>
      <w:r>
        <w:rPr>
          <w:rFonts w:ascii="Arial" w:cs="Arial" w:eastAsia="Arial" w:hAnsi="Arial"/>
          <w:sz w:val="16"/>
          <w:szCs w:val="16"/>
          <w:color w:val="auto"/>
        </w:rPr>
        <w:t>The address for each of the named individuals is 909 Rose Avenue, Suite 200, North Bethesda, Maryland 20852.</w:t>
      </w:r>
    </w:p>
    <w:p>
      <w:pPr>
        <w:ind w:left="660" w:right="20" w:hanging="436"/>
        <w:spacing w:after="0" w:line="197" w:lineRule="auto"/>
        <w:tabs>
          <w:tab w:leader="none" w:pos="660" w:val="left"/>
        </w:tabs>
        <w:numPr>
          <w:ilvl w:val="0"/>
          <w:numId w:val="90"/>
        </w:numPr>
        <w:rPr>
          <w:rFonts w:ascii="Arial" w:cs="Arial" w:eastAsia="Arial" w:hAnsi="Arial"/>
          <w:sz w:val="24"/>
          <w:szCs w:val="24"/>
          <w:color w:val="auto"/>
          <w:vertAlign w:val="superscript"/>
        </w:rPr>
      </w:pPr>
      <w:r>
        <w:rPr>
          <w:rFonts w:ascii="Arial" w:cs="Arial" w:eastAsia="Arial" w:hAnsi="Arial"/>
          <w:sz w:val="16"/>
          <w:szCs w:val="16"/>
          <w:color w:val="auto"/>
        </w:rPr>
        <w:t>The percentage of outstanding shares owned is calculated by taking the number of shares reflected in the column titled “Total Shares Beneficially Owned” divided by 82,944,318, the total number of shares outstanding on March 13, 2024.</w:t>
      </w:r>
    </w:p>
    <w:p>
      <w:pPr>
        <w:ind w:left="660" w:right="20" w:hanging="436"/>
        <w:spacing w:after="0" w:line="202" w:lineRule="auto"/>
        <w:tabs>
          <w:tab w:leader="none" w:pos="660" w:val="left"/>
        </w:tabs>
        <w:numPr>
          <w:ilvl w:val="0"/>
          <w:numId w:val="90"/>
        </w:numPr>
        <w:rPr>
          <w:rFonts w:ascii="Arial" w:cs="Arial" w:eastAsia="Arial" w:hAnsi="Arial"/>
          <w:sz w:val="24"/>
          <w:szCs w:val="24"/>
          <w:color w:val="auto"/>
          <w:vertAlign w:val="superscript"/>
        </w:rPr>
      </w:pPr>
      <w:r>
        <w:rPr>
          <w:rFonts w:ascii="Arial" w:cs="Arial" w:eastAsia="Arial" w:hAnsi="Arial"/>
          <w:sz w:val="16"/>
          <w:szCs w:val="16"/>
          <w:color w:val="auto"/>
        </w:rPr>
        <w:t>Includes 53,879 shares owned by Stacey Wood Revocable Trust, 189,259 shares owned by Donald C. Wood Revocable Trust, 36,929 shares owned by Great Falls Trust, 46,500 shares owned by Wood Descendants Trust and 60,000 shares owned by IJKR II,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198755</wp:posOffset>
            </wp:positionV>
            <wp:extent cx="6995160" cy="342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995160" cy="34290"/>
                    </a:xfrm>
                    <a:prstGeom prst="rect">
                      <a:avLst/>
                    </a:prstGeom>
                    <a:noFill/>
                  </pic:spPr>
                </pic:pic>
              </a:graphicData>
            </a:graphic>
          </wp:anchor>
        </w:drawing>
      </w:r>
    </w:p>
    <w:p>
      <w:pPr>
        <w:spacing w:after="0" w:line="357"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 Information about the Annual Meeting</w:t>
      </w:r>
    </w:p>
    <w:p>
      <w:pPr>
        <w:spacing w:after="0" w:line="264" w:lineRule="exact"/>
        <w:rPr>
          <w:sz w:val="20"/>
          <w:szCs w:val="20"/>
          <w:color w:val="auto"/>
        </w:rPr>
      </w:pPr>
    </w:p>
    <w:p>
      <w:pPr>
        <w:ind w:left="540" w:hanging="424"/>
        <w:spacing w:after="0"/>
        <w:tabs>
          <w:tab w:leader="none" w:pos="540" w:val="left"/>
        </w:tabs>
        <w:numPr>
          <w:ilvl w:val="0"/>
          <w:numId w:val="91"/>
        </w:numPr>
        <w:rPr>
          <w:rFonts w:ascii="MS PGothic" w:cs="MS PGothic" w:eastAsia="MS PGothic" w:hAnsi="MS PGothic"/>
          <w:sz w:val="18"/>
          <w:szCs w:val="18"/>
          <w:color w:val="auto"/>
          <w:shd w:val="clear" w:color="auto" w:fill="FF160F"/>
        </w:rPr>
      </w:pPr>
      <w:r>
        <w:rPr>
          <w:rFonts w:ascii="Arial" w:cs="Arial" w:eastAsia="Arial" w:hAnsi="Arial"/>
          <w:sz w:val="18"/>
          <w:szCs w:val="18"/>
          <w:b w:val="1"/>
          <w:bCs w:val="1"/>
          <w:color w:val="FF160F"/>
        </w:rPr>
        <w:t>NOTICE OF ELECTRONIC AVAILABILITY OF PROXY MATERIALS</w:t>
      </w:r>
    </w:p>
    <w:p>
      <w:pPr>
        <w:spacing w:after="0" w:line="225" w:lineRule="exact"/>
        <w:rPr>
          <w:sz w:val="20"/>
          <w:szCs w:val="20"/>
          <w:color w:val="auto"/>
        </w:rPr>
      </w:pPr>
    </w:p>
    <w:p>
      <w:pPr>
        <w:jc w:val="both"/>
        <w:ind w:left="120"/>
        <w:spacing w:after="0" w:line="239" w:lineRule="auto"/>
        <w:rPr>
          <w:sz w:val="20"/>
          <w:szCs w:val="20"/>
          <w:color w:val="auto"/>
        </w:rPr>
      </w:pPr>
      <w:r>
        <w:rPr>
          <w:rFonts w:ascii="Arial" w:cs="Arial" w:eastAsia="Arial" w:hAnsi="Arial"/>
          <w:sz w:val="18"/>
          <w:szCs w:val="18"/>
          <w:color w:val="auto"/>
        </w:rPr>
        <w:t xml:space="preserve">We are furnishing proxy materials including this proxy statement and our 2023 Annual Report to Shareholders, including our Annual Report on Form 10-K for the year ended December 31, 2023 (“Annual Report”), to each shareholder by providing access to such documents on the Internet. On or about March 22, 2024, we mailed to our shareholders a “Notice of Internet Availability of Proxy Materials” (“Notice”) containing instructions on how to access and review this proxy statement and our Annual Report and how to submit your vote on the Internet or by telephone. You cannot vote by marking the Notice and returning it. If you received the Notice, you will not automatically receive a printed copy of our proxy materials or Annual Report unless you follow the instructions for requesting these materials included in the Notice. This section does not apply if you previously requested to receive these materials by mail. Questions regarding the Notice or voting should be directed to our Investor Relations Department at (800) 937-5449 or by email at </w:t>
      </w:r>
      <w:r>
        <w:rPr>
          <w:rFonts w:ascii="Arial" w:cs="Arial" w:eastAsia="Arial" w:hAnsi="Arial"/>
          <w:sz w:val="18"/>
          <w:szCs w:val="18"/>
          <w:i w:val="1"/>
          <w:iCs w:val="1"/>
          <w:u w:val="single" w:color="auto"/>
          <w:color w:val="auto"/>
        </w:rPr>
        <w:t>IR@federalrealty.com</w:t>
      </w:r>
      <w:r>
        <w:rPr>
          <w:rFonts w:ascii="Arial" w:cs="Arial" w:eastAsia="Arial" w:hAnsi="Arial"/>
          <w:sz w:val="18"/>
          <w:szCs w:val="18"/>
          <w:i w:val="1"/>
          <w:i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003415" cy="12001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003415" cy="120015"/>
                    </a:xfrm>
                    <a:prstGeom prst="rect">
                      <a:avLst/>
                    </a:prstGeom>
                    <a:noFill/>
                  </pic:spPr>
                </pic:pic>
              </a:graphicData>
            </a:graphic>
          </wp:anchor>
        </w:drawing>
      </w:r>
    </w:p>
    <w:p>
      <w:pPr>
        <w:spacing w:after="0" w:line="119" w:lineRule="exact"/>
        <w:rPr>
          <w:sz w:val="20"/>
          <w:szCs w:val="20"/>
          <w:color w:val="auto"/>
        </w:rPr>
      </w:pPr>
    </w:p>
    <w:p>
      <w:pPr>
        <w:ind w:left="8080"/>
        <w:spacing w:after="0"/>
        <w:rPr>
          <w:sz w:val="20"/>
          <w:szCs w:val="20"/>
          <w:color w:val="auto"/>
        </w:rPr>
      </w:pPr>
      <w:r>
        <w:rPr>
          <w:rFonts w:ascii="Arial" w:cs="Arial" w:eastAsia="Arial" w:hAnsi="Arial"/>
          <w:sz w:val="14"/>
          <w:szCs w:val="14"/>
          <w:color w:val="FF160F"/>
        </w:rPr>
        <w:t>Federal Realty</w:t>
      </w:r>
      <w:r>
        <w:rPr>
          <w:rFonts w:ascii="Arial" w:cs="Arial" w:eastAsia="Arial" w:hAnsi="Arial"/>
          <w:sz w:val="14"/>
          <w:szCs w:val="14"/>
          <w:color w:val="000000"/>
        </w:rPr>
        <w:t xml:space="preserve">      2024 Proxy Statement   43</w:t>
      </w:r>
    </w:p>
    <w:p>
      <w:pPr>
        <w:sectPr>
          <w:pgSz w:w="11900" w:h="16838" w:orient="portrait"/>
          <w:cols w:equalWidth="0" w:num="1">
            <w:col w:w="11140"/>
          </w:cols>
          <w:pgMar w:left="320" w:top="482" w:right="4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540" w:hanging="424"/>
        <w:spacing w:after="0"/>
        <w:tabs>
          <w:tab w:leader="none" w:pos="540" w:val="left"/>
        </w:tabs>
        <w:numPr>
          <w:ilvl w:val="0"/>
          <w:numId w:val="92"/>
        </w:numPr>
        <w:rPr>
          <w:rFonts w:ascii="MS PGothic" w:cs="MS PGothic" w:eastAsia="MS PGothic" w:hAnsi="MS PGothic"/>
          <w:sz w:val="18"/>
          <w:szCs w:val="18"/>
          <w:color w:val="auto"/>
          <w:shd w:val="clear" w:color="auto" w:fill="FF160F"/>
        </w:rPr>
      </w:pPr>
      <w:r>
        <w:rPr>
          <w:rFonts w:ascii="Arial" w:cs="Arial" w:eastAsia="Arial" w:hAnsi="Arial"/>
          <w:sz w:val="18"/>
          <w:szCs w:val="18"/>
          <w:b w:val="1"/>
          <w:bCs w:val="1"/>
          <w:color w:val="FF160F"/>
        </w:rPr>
        <w:t>WHY YOU ARE RECEIVING THESE MATERIALS</w:t>
      </w:r>
    </w:p>
    <w:p>
      <w:pPr>
        <w:spacing w:after="0" w:line="225" w:lineRule="exact"/>
        <w:rPr>
          <w:sz w:val="20"/>
          <w:szCs w:val="20"/>
          <w:color w:val="auto"/>
        </w:rPr>
      </w:pPr>
    </w:p>
    <w:p>
      <w:pPr>
        <w:jc w:val="both"/>
        <w:ind w:left="120" w:right="20"/>
        <w:spacing w:after="0" w:line="244" w:lineRule="auto"/>
        <w:rPr>
          <w:sz w:val="20"/>
          <w:szCs w:val="20"/>
          <w:color w:val="auto"/>
        </w:rPr>
      </w:pPr>
      <w:r>
        <w:rPr>
          <w:rFonts w:ascii="Arial" w:cs="Arial" w:eastAsia="Arial" w:hAnsi="Arial"/>
          <w:sz w:val="18"/>
          <w:szCs w:val="18"/>
          <w:color w:val="auto"/>
        </w:rPr>
        <w:t>You are receiving these materials because you owned our shares as of March 13, 2024, the record date established by our Board of Trustees for our Annual Meeting. Everyone who owned our shares as of this date, whether directly as a registered shareholder or indirectly through a bank, broker or other nominee, is entitled to vote at the Annual Meeting. We had 82,944,318 shares outstanding on March 13, 2024. Each share outstanding on the record date is entitled to one vote. A majority of the shares entitled to vote at the Annual Meeting must be present in person or by proxy for us to proceed with the Annual Meeting.</w:t>
      </w:r>
    </w:p>
    <w:p>
      <w:pPr>
        <w:spacing w:after="0" w:line="176" w:lineRule="exact"/>
        <w:rPr>
          <w:sz w:val="20"/>
          <w:szCs w:val="20"/>
          <w:color w:val="auto"/>
        </w:rPr>
      </w:pPr>
    </w:p>
    <w:p>
      <w:pPr>
        <w:ind w:left="540" w:hanging="424"/>
        <w:spacing w:after="0"/>
        <w:tabs>
          <w:tab w:leader="none" w:pos="540" w:val="left"/>
        </w:tabs>
        <w:numPr>
          <w:ilvl w:val="0"/>
          <w:numId w:val="93"/>
        </w:numPr>
        <w:rPr>
          <w:rFonts w:ascii="MS PGothic" w:cs="MS PGothic" w:eastAsia="MS PGothic" w:hAnsi="MS PGothic"/>
          <w:sz w:val="18"/>
          <w:szCs w:val="18"/>
          <w:color w:val="auto"/>
          <w:shd w:val="clear" w:color="auto" w:fill="FF160F"/>
        </w:rPr>
      </w:pPr>
      <w:r>
        <w:rPr>
          <w:rFonts w:ascii="Arial" w:cs="Arial" w:eastAsia="Arial" w:hAnsi="Arial"/>
          <w:sz w:val="18"/>
          <w:szCs w:val="18"/>
          <w:b w:val="1"/>
          <w:bCs w:val="1"/>
          <w:color w:val="FF160F"/>
        </w:rPr>
        <w:t>ACCESSING MATERIALS</w:t>
      </w:r>
    </w:p>
    <w:p>
      <w:pPr>
        <w:spacing w:after="0" w:line="198" w:lineRule="exact"/>
        <w:rPr>
          <w:sz w:val="20"/>
          <w:szCs w:val="20"/>
          <w:color w:val="auto"/>
        </w:rPr>
      </w:pPr>
    </w:p>
    <w:p>
      <w:pPr>
        <w:jc w:val="both"/>
        <w:ind w:left="120"/>
        <w:spacing w:after="0" w:line="244" w:lineRule="auto"/>
        <w:rPr>
          <w:sz w:val="20"/>
          <w:szCs w:val="20"/>
          <w:color w:val="auto"/>
        </w:rPr>
      </w:pPr>
      <w:r>
        <w:rPr>
          <w:rFonts w:ascii="Arial" w:cs="Arial" w:eastAsia="Arial" w:hAnsi="Arial"/>
          <w:sz w:val="18"/>
          <w:szCs w:val="18"/>
          <w:color w:val="auto"/>
        </w:rPr>
        <w:t xml:space="preserve">Shareholders can access this Proxy Statement, our Annual Report and our other filings with the SEC on the Investors page of our website at </w:t>
      </w:r>
      <w:r>
        <w:rPr>
          <w:rFonts w:ascii="Arial" w:cs="Arial" w:eastAsia="Arial" w:hAnsi="Arial"/>
          <w:sz w:val="18"/>
          <w:szCs w:val="18"/>
          <w:i w:val="1"/>
          <w:iCs w:val="1"/>
          <w:u w:val="single" w:color="auto"/>
          <w:color w:val="auto"/>
        </w:rPr>
        <w:t>www.federalrealty.com</w:t>
      </w:r>
      <w:r>
        <w:rPr>
          <w:rFonts w:ascii="Arial" w:cs="Arial" w:eastAsia="Arial" w:hAnsi="Arial"/>
          <w:sz w:val="18"/>
          <w:szCs w:val="18"/>
          <w:i w:val="1"/>
          <w:iCs w:val="1"/>
          <w:color w:val="auto"/>
        </w:rPr>
        <w:t>.</w:t>
      </w:r>
      <w:r>
        <w:rPr>
          <w:rFonts w:ascii="Arial" w:cs="Arial" w:eastAsia="Arial" w:hAnsi="Arial"/>
          <w:sz w:val="18"/>
          <w:szCs w:val="18"/>
          <w:color w:val="auto"/>
        </w:rPr>
        <w:t xml:space="preserve"> A copy of our Annual Report, including the financial statements and financial statement schedules (“Form 10-K”) is being provided to shareholders along with this Proxy Statement. The Form 10-K includes certain exhibits, which we will provide to you only upon request addressed to Investor Relations at 909 Rose Avenue, Suite 200, North Bethesda, Maryland 20852. The request must be accompanied by payment of a fee to cover our reasonable expenses for copying and mailing the Form 10-K.</w:t>
      </w:r>
    </w:p>
    <w:p>
      <w:pPr>
        <w:spacing w:after="0" w:line="136" w:lineRule="exact"/>
        <w:rPr>
          <w:sz w:val="20"/>
          <w:szCs w:val="20"/>
          <w:color w:val="auto"/>
        </w:rPr>
      </w:pPr>
    </w:p>
    <w:p>
      <w:pPr>
        <w:jc w:val="both"/>
        <w:ind w:left="120" w:right="20"/>
        <w:spacing w:after="0" w:line="247" w:lineRule="auto"/>
        <w:rPr>
          <w:sz w:val="20"/>
          <w:szCs w:val="20"/>
          <w:color w:val="auto"/>
        </w:rPr>
      </w:pPr>
      <w:r>
        <w:rPr>
          <w:rFonts w:ascii="Arial" w:cs="Arial" w:eastAsia="Arial" w:hAnsi="Arial"/>
          <w:sz w:val="18"/>
          <w:szCs w:val="18"/>
          <w:color w:val="auto"/>
        </w:rPr>
        <w:t>In the future, if you wish to receive paper copies of our proxy materials, without charge, and are a registered shareholder, you may do so by written request addressed to Equiniti Trust Company, LLC. For those of you holding shares indirectly in “street name”, you must write your bank, brokerage firm, broker-dealer or nominee, to obtain paper copies. Any election you make on how to receive your proxy materials will remain in effect for all future annual meetings until you revoke it.</w:t>
      </w:r>
    </w:p>
    <w:p>
      <w:pPr>
        <w:spacing w:after="0" w:line="174" w:lineRule="exact"/>
        <w:rPr>
          <w:sz w:val="20"/>
          <w:szCs w:val="20"/>
          <w:color w:val="auto"/>
        </w:rPr>
      </w:pPr>
    </w:p>
    <w:p>
      <w:pPr>
        <w:ind w:left="540" w:hanging="424"/>
        <w:spacing w:after="0"/>
        <w:tabs>
          <w:tab w:leader="none" w:pos="540" w:val="left"/>
        </w:tabs>
        <w:numPr>
          <w:ilvl w:val="0"/>
          <w:numId w:val="94"/>
        </w:numPr>
        <w:rPr>
          <w:rFonts w:ascii="MS PGothic" w:cs="MS PGothic" w:eastAsia="MS PGothic" w:hAnsi="MS PGothic"/>
          <w:sz w:val="18"/>
          <w:szCs w:val="18"/>
          <w:color w:val="auto"/>
          <w:shd w:val="clear" w:color="auto" w:fill="FF160F"/>
        </w:rPr>
      </w:pPr>
      <w:r>
        <w:rPr>
          <w:rFonts w:ascii="Arial" w:cs="Arial" w:eastAsia="Arial" w:hAnsi="Arial"/>
          <w:sz w:val="18"/>
          <w:szCs w:val="18"/>
          <w:b w:val="1"/>
          <w:bCs w:val="1"/>
          <w:color w:val="FF160F"/>
        </w:rPr>
        <w:t>HOW TO VOTE</w:t>
      </w:r>
    </w:p>
    <w:p>
      <w:pPr>
        <w:spacing w:after="0" w:line="185" w:lineRule="exact"/>
        <w:rPr>
          <w:sz w:val="20"/>
          <w:szCs w:val="20"/>
          <w:color w:val="auto"/>
        </w:rPr>
      </w:pPr>
    </w:p>
    <w:p>
      <w:pPr>
        <w:jc w:val="both"/>
        <w:ind w:left="120"/>
        <w:spacing w:after="0" w:line="244" w:lineRule="auto"/>
        <w:rPr>
          <w:sz w:val="20"/>
          <w:szCs w:val="20"/>
          <w:color w:val="auto"/>
        </w:rPr>
      </w:pPr>
      <w:r>
        <w:rPr>
          <w:rFonts w:ascii="Arial" w:cs="Arial" w:eastAsia="Arial" w:hAnsi="Arial"/>
          <w:sz w:val="18"/>
          <w:szCs w:val="18"/>
          <w:color w:val="auto"/>
        </w:rPr>
        <w:t>If you own your shares directly with our transfer agent, Equiniti Trust Company, LLC (successor to American Stock Transfer and Trust Company) (“Equiniti”), you are a registered shareholder. If you are a registered shareholder and fail to give any instructions on your proxy card on any proposal, the proxies identified on the proxy card will vote in the manner recommended by the Board of Trustees for each proposal. Registered shareholders can vote either in person at the Annual Meeting or by proxy without attending the Annual Meeting through one of the following methods: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123825</wp:posOffset>
            </wp:positionV>
            <wp:extent cx="4989195" cy="7372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4989195" cy="737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both"/>
        <w:ind w:left="120" w:right="20"/>
        <w:spacing w:after="0" w:line="247" w:lineRule="auto"/>
        <w:rPr>
          <w:sz w:val="20"/>
          <w:szCs w:val="20"/>
          <w:color w:val="auto"/>
        </w:rPr>
      </w:pPr>
      <w:r>
        <w:rPr>
          <w:rFonts w:ascii="Arial" w:cs="Arial" w:eastAsia="Arial" w:hAnsi="Arial"/>
          <w:sz w:val="18"/>
          <w:szCs w:val="18"/>
          <w:color w:val="auto"/>
        </w:rPr>
        <w:t>If you vote by internet or telephone, you will need the control number on your Notice, proxy card or voting instruction form. Votes must be submitted by the conclusion of the Annual Meeting to be counted for the meeting. You may revoke your proxy at any time before it is voted at the Annual Meeting by notifying the secretary in writing, submitting a proxy dated later than your original proxy, or attending and voting at the Annual Meeting.</w:t>
      </w:r>
    </w:p>
    <w:p>
      <w:pPr>
        <w:spacing w:after="0" w:line="133" w:lineRule="exact"/>
        <w:rPr>
          <w:sz w:val="20"/>
          <w:szCs w:val="20"/>
          <w:color w:val="auto"/>
        </w:rPr>
      </w:pPr>
    </w:p>
    <w:p>
      <w:pPr>
        <w:jc w:val="both"/>
        <w:ind w:left="120"/>
        <w:spacing w:after="0" w:line="242" w:lineRule="auto"/>
        <w:rPr>
          <w:sz w:val="20"/>
          <w:szCs w:val="20"/>
          <w:color w:val="auto"/>
        </w:rPr>
      </w:pPr>
      <w:r>
        <w:rPr>
          <w:rFonts w:ascii="Arial" w:cs="Arial" w:eastAsia="Arial" w:hAnsi="Arial"/>
          <w:sz w:val="18"/>
          <w:szCs w:val="18"/>
          <w:color w:val="auto"/>
        </w:rPr>
        <w:t>If you hold your shares indirectly in an account at a bank, brokerage firm, broker-dealer or nominee, you are a beneficial owner of shares held in “street name”. You will receive all proxy materials directly from your bank, brokerage firm, broker-dealer or nominee and you must either direct them as to how to vote your shares or obtain from them a proxy to vote at the Annual Meeting. Please refer to the notice of internet availability of proxy materials or the voter instruction form used by your bank, brokerage firm, broker-dealer or nominee for specific instructions on methods of voting. If you fail to give your bank, brokerage firm, broker-dealer or nominee specific instructions on how to vote your shares with respect to Proposals 1 or 2, that organization will inform the inspector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82550</wp:posOffset>
            </wp:positionV>
            <wp:extent cx="7003415" cy="12001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003415" cy="120015"/>
                    </a:xfrm>
                    <a:prstGeom prst="rect">
                      <a:avLst/>
                    </a:prstGeom>
                    <a:noFill/>
                  </pic:spPr>
                </pic:pic>
              </a:graphicData>
            </a:graphic>
          </wp:anchor>
        </w:drawing>
      </w:r>
    </w:p>
    <w:p>
      <w:pPr>
        <w:spacing w:after="0" w:line="114" w:lineRule="exact"/>
        <w:rPr>
          <w:sz w:val="20"/>
          <w:szCs w:val="20"/>
          <w:color w:val="auto"/>
        </w:rPr>
      </w:pPr>
    </w:p>
    <w:p>
      <w:pPr>
        <w:ind w:left="340"/>
        <w:spacing w:after="0"/>
        <w:rPr>
          <w:sz w:val="20"/>
          <w:szCs w:val="20"/>
          <w:color w:val="auto"/>
        </w:rPr>
      </w:pPr>
      <w:r>
        <w:rPr>
          <w:rFonts w:ascii="Arial" w:cs="Arial" w:eastAsia="Arial" w:hAnsi="Arial"/>
          <w:sz w:val="14"/>
          <w:szCs w:val="14"/>
          <w:color w:val="FF160F"/>
        </w:rPr>
        <w:t>Federal Realty</w:t>
      </w:r>
      <w:r>
        <w:rPr>
          <w:rFonts w:ascii="Arial" w:cs="Arial" w:eastAsia="Arial" w:hAnsi="Arial"/>
          <w:sz w:val="14"/>
          <w:szCs w:val="14"/>
          <w:color w:val="000000"/>
        </w:rPr>
        <w:t xml:space="preserve">      2024 Proxy Statement   44</w:t>
      </w:r>
    </w:p>
    <w:p>
      <w:pPr>
        <w:sectPr>
          <w:pgSz w:w="11900" w:h="16838" w:orient="portrait"/>
          <w:cols w:equalWidth="0" w:num="1">
            <w:col w:w="11140"/>
          </w:cols>
          <w:pgMar w:left="320" w:top="482" w:right="4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0"/>
        <w:spacing w:after="0" w:line="244" w:lineRule="auto"/>
        <w:rPr>
          <w:sz w:val="20"/>
          <w:szCs w:val="20"/>
          <w:color w:val="auto"/>
        </w:rPr>
      </w:pPr>
      <w:r>
        <w:rPr>
          <w:rFonts w:ascii="Arial" w:cs="Arial" w:eastAsia="Arial" w:hAnsi="Arial"/>
          <w:sz w:val="18"/>
          <w:szCs w:val="18"/>
          <w:color w:val="auto"/>
        </w:rPr>
        <w:t>of election that it does not have the authority to vote on the matter with respect to your shares. This is generally referred to as a “broker non-vote”. Broker non-votes will have no effect on the outcome of these matters. It is important for every shareholder’s vote to be counted on these matters so we encourage you to provide your bank, brokerage firm, broker-dealer or nominee with voting instructions. If you fail to give your bank, brokerage firm, broker-dealer or nominee specific instructions on how to vote your shares on Proposal 3, your bank, brokerage firm, broker-dealer or nominee will generally be able to vote on Proposal 3 as he, she or it determines.</w:t>
      </w:r>
    </w:p>
    <w:p>
      <w:pPr>
        <w:spacing w:after="0" w:line="149" w:lineRule="exact"/>
        <w:rPr>
          <w:sz w:val="20"/>
          <w:szCs w:val="20"/>
          <w:color w:val="auto"/>
        </w:rPr>
      </w:pPr>
    </w:p>
    <w:p>
      <w:pPr>
        <w:jc w:val="both"/>
        <w:ind w:left="120" w:right="20"/>
        <w:spacing w:after="0" w:line="253" w:lineRule="auto"/>
        <w:rPr>
          <w:sz w:val="20"/>
          <w:szCs w:val="20"/>
          <w:color w:val="auto"/>
        </w:rPr>
      </w:pPr>
      <w:r>
        <w:rPr>
          <w:rFonts w:ascii="Arial" w:cs="Arial" w:eastAsia="Arial" w:hAnsi="Arial"/>
          <w:sz w:val="18"/>
          <w:szCs w:val="18"/>
          <w:color w:val="auto"/>
        </w:rPr>
        <w:t>You are urged to vote either by telephone (1-800-PROXIES or 1-800-776-9437) or on the Internet (</w:t>
      </w:r>
      <w:r>
        <w:rPr>
          <w:rFonts w:ascii="Arial" w:cs="Arial" w:eastAsia="Arial" w:hAnsi="Arial"/>
          <w:sz w:val="18"/>
          <w:szCs w:val="18"/>
          <w:u w:val="single" w:color="auto"/>
          <w:color w:val="auto"/>
        </w:rPr>
        <w:t>www.voteproxy.com</w:t>
      </w:r>
      <w:r>
        <w:rPr>
          <w:rFonts w:ascii="Arial" w:cs="Arial" w:eastAsia="Arial" w:hAnsi="Arial"/>
          <w:sz w:val="18"/>
          <w:szCs w:val="18"/>
          <w:color w:val="auto"/>
        </w:rPr>
        <w:t>) by following the instructions on your Notice. If you elect to receive your proxy materials by mail, please make sure to complete, sign, date and return your proxy card promptly to make certain your shares will be voted at the Annual Meeting.</w:t>
      </w:r>
    </w:p>
    <w:p>
      <w:pPr>
        <w:spacing w:after="0" w:line="128" w:lineRule="exact"/>
        <w:rPr>
          <w:sz w:val="20"/>
          <w:szCs w:val="20"/>
          <w:color w:val="auto"/>
        </w:rPr>
      </w:pPr>
    </w:p>
    <w:p>
      <w:pPr>
        <w:jc w:val="both"/>
        <w:ind w:left="120"/>
        <w:spacing w:after="0" w:line="253" w:lineRule="auto"/>
        <w:rPr>
          <w:sz w:val="20"/>
          <w:szCs w:val="20"/>
          <w:color w:val="auto"/>
        </w:rPr>
      </w:pPr>
      <w:r>
        <w:rPr>
          <w:rFonts w:ascii="Arial" w:cs="Arial" w:eastAsia="Arial" w:hAnsi="Arial"/>
          <w:sz w:val="18"/>
          <w:szCs w:val="18"/>
          <w:color w:val="auto"/>
        </w:rPr>
        <w:t>If you do not vote your shares, your shares will not be counted and we may not be able to hold the Annual Meeting. We encourage you to vote by proxy using one of the methods described above even if you plan to attend the Annual Meeting so that we will know as soon as possible whether enough votes will be present.</w:t>
      </w:r>
    </w:p>
    <w:p>
      <w:pPr>
        <w:spacing w:after="0" w:line="169" w:lineRule="exact"/>
        <w:rPr>
          <w:sz w:val="20"/>
          <w:szCs w:val="20"/>
          <w:color w:val="auto"/>
        </w:rPr>
      </w:pPr>
    </w:p>
    <w:p>
      <w:pPr>
        <w:ind w:left="540" w:hanging="424"/>
        <w:spacing w:after="0"/>
        <w:tabs>
          <w:tab w:leader="none" w:pos="540" w:val="left"/>
        </w:tabs>
        <w:numPr>
          <w:ilvl w:val="0"/>
          <w:numId w:val="95"/>
        </w:numPr>
        <w:rPr>
          <w:rFonts w:ascii="MS PGothic" w:cs="MS PGothic" w:eastAsia="MS PGothic" w:hAnsi="MS PGothic"/>
          <w:sz w:val="18"/>
          <w:szCs w:val="18"/>
          <w:color w:val="auto"/>
          <w:shd w:val="clear" w:color="auto" w:fill="FF160F"/>
        </w:rPr>
      </w:pPr>
      <w:r>
        <w:rPr>
          <w:rFonts w:ascii="Arial" w:cs="Arial" w:eastAsia="Arial" w:hAnsi="Arial"/>
          <w:sz w:val="18"/>
          <w:szCs w:val="18"/>
          <w:b w:val="1"/>
          <w:bCs w:val="1"/>
          <w:color w:val="FF160F"/>
        </w:rPr>
        <w:t>HOW TO PARTICIPATE IN THE ANNUAL MEETING</w:t>
      </w:r>
    </w:p>
    <w:p>
      <w:pPr>
        <w:spacing w:after="0" w:line="185" w:lineRule="exact"/>
        <w:rPr>
          <w:sz w:val="20"/>
          <w:szCs w:val="20"/>
          <w:color w:val="auto"/>
        </w:rPr>
      </w:pPr>
    </w:p>
    <w:p>
      <w:pPr>
        <w:jc w:val="both"/>
        <w:ind w:left="120" w:right="20"/>
        <w:spacing w:after="0" w:line="253" w:lineRule="auto"/>
        <w:rPr>
          <w:sz w:val="20"/>
          <w:szCs w:val="20"/>
          <w:color w:val="auto"/>
        </w:rPr>
      </w:pPr>
      <w:r>
        <w:rPr>
          <w:rFonts w:ascii="Arial" w:cs="Arial" w:eastAsia="Arial" w:hAnsi="Arial"/>
          <w:sz w:val="18"/>
          <w:szCs w:val="18"/>
          <w:color w:val="auto"/>
        </w:rPr>
        <w:t>You will be able to join our Annual Meeting as either a shareholder or a guest. All registered shareholders and shareholders that own shares in “street name” will be able to ask questions and vote their shares at the meeting by following the instructions below. Guests will be permitted to join the meeting but will not be permitted to ask questions.</w:t>
      </w:r>
    </w:p>
    <w:p>
      <w:pPr>
        <w:spacing w:after="0" w:line="142" w:lineRule="exact"/>
        <w:rPr>
          <w:sz w:val="20"/>
          <w:szCs w:val="20"/>
          <w:color w:val="auto"/>
        </w:rPr>
      </w:pPr>
    </w:p>
    <w:p>
      <w:pPr>
        <w:jc w:val="both"/>
        <w:ind w:left="120"/>
        <w:spacing w:after="0" w:line="230" w:lineRule="auto"/>
        <w:rPr>
          <w:sz w:val="20"/>
          <w:szCs w:val="20"/>
          <w:color w:val="auto"/>
        </w:rPr>
      </w:pPr>
      <w:r>
        <w:rPr>
          <w:rFonts w:ascii="Arial" w:cs="Arial" w:eastAsia="Arial" w:hAnsi="Arial"/>
          <w:sz w:val="18"/>
          <w:szCs w:val="18"/>
          <w:color w:val="auto"/>
        </w:rPr>
        <w:t xml:space="preserve">You can access the Annual Meeting by joining through this link: </w:t>
      </w:r>
      <w:r>
        <w:rPr>
          <w:rFonts w:ascii="Arial" w:cs="Arial" w:eastAsia="Arial" w:hAnsi="Arial"/>
          <w:sz w:val="18"/>
          <w:szCs w:val="18"/>
          <w:i w:val="1"/>
          <w:iCs w:val="1"/>
          <w:u w:val="single" w:color="auto"/>
          <w:color w:val="auto"/>
        </w:rPr>
        <w:t>https://web.lumiagm.com/202329683</w:t>
      </w:r>
      <w:r>
        <w:rPr>
          <w:rFonts w:ascii="Arial" w:cs="Arial" w:eastAsia="Arial" w:hAnsi="Arial"/>
          <w:sz w:val="18"/>
          <w:szCs w:val="18"/>
          <w:i w:val="1"/>
          <w:iCs w:val="1"/>
          <w:color w:val="auto"/>
        </w:rPr>
        <w:t>.</w:t>
      </w:r>
      <w:r>
        <w:rPr>
          <w:rFonts w:ascii="Arial" w:cs="Arial" w:eastAsia="Arial" w:hAnsi="Arial"/>
          <w:sz w:val="18"/>
          <w:szCs w:val="18"/>
          <w:color w:val="auto"/>
        </w:rPr>
        <w:t xml:space="preserve"> If you are a registered shareholder owning shares directly in your name and you would like to be able to ask a question or vote at the Annual Meeting, you should click on “I have a control number”, enter the control number found on your proxy card or Notice you previously received, and enter the password “</w:t>
      </w:r>
      <w:r>
        <w:rPr>
          <w:rFonts w:ascii="Arial" w:cs="Arial" w:eastAsia="Arial" w:hAnsi="Arial"/>
          <w:sz w:val="18"/>
          <w:szCs w:val="18"/>
          <w:i w:val="1"/>
          <w:iCs w:val="1"/>
          <w:color w:val="auto"/>
        </w:rPr>
        <w:t>federal2024</w:t>
      </w:r>
      <w:r>
        <w:rPr>
          <w:rFonts w:ascii="Arial" w:cs="Arial" w:eastAsia="Arial" w:hAnsi="Arial"/>
          <w:sz w:val="18"/>
          <w:szCs w:val="18"/>
          <w:color w:val="auto"/>
        </w:rPr>
        <w:t>” to enter the meeting. The password is case sensitive. If you hold your shares in “street name” through a bank, brokerage firm, broker-dealer or nominee and you would like to be able to ask a question or vote at the Annual Meeting, you must first obtain a legal proxy from your bank, brokerage firm, broker-dealer or nominee and then submit a request for registration to Equiniti: (1) by email to proxy@equinity.com; (2) by facsimile to 718-765-8730; or (3) by mail to Equiniti, Attn: Proxy Tabulation Department, 55 Challenger Road, Suite 200B, 2</w:t>
      </w:r>
      <w:r>
        <w:rPr>
          <w:rFonts w:ascii="Arial" w:cs="Arial" w:eastAsia="Arial" w:hAnsi="Arial"/>
          <w:sz w:val="26"/>
          <w:szCs w:val="26"/>
          <w:color w:val="auto"/>
          <w:vertAlign w:val="superscript"/>
        </w:rPr>
        <w:t>nd</w:t>
      </w:r>
      <w:r>
        <w:rPr>
          <w:rFonts w:ascii="Arial" w:cs="Arial" w:eastAsia="Arial" w:hAnsi="Arial"/>
          <w:sz w:val="18"/>
          <w:szCs w:val="18"/>
          <w:color w:val="auto"/>
        </w:rPr>
        <w:t xml:space="preserve"> Floor, Ridgefield Park, New Jersey 07660. Requests for registration must be labeled as “Legal Proxy” and must be received by Equiniti no later than 5:00 p.m. local time on April 24, 2024. You will receive a confirmation of your registration by email from Equiniti after they receive your registration materials. The email will also include a control number so that you can ask a question or vote at the Annual Meeting by clicking on “I have a control number”. Shareholders who hold shares in “street name” will not be able to vote their shares or ask questions without first completing this registration process. Once you are in the meeting, you can vote your shares by clicking on the Proxy Voting Site link on the screen to submit your ballot. You may also continue to vote using the instructions provided in the Proxy Materials until the Annual Meeting concludes.</w:t>
      </w:r>
    </w:p>
    <w:p>
      <w:pPr>
        <w:spacing w:after="0" w:line="145" w:lineRule="exact"/>
        <w:rPr>
          <w:sz w:val="20"/>
          <w:szCs w:val="20"/>
          <w:color w:val="auto"/>
        </w:rPr>
      </w:pPr>
    </w:p>
    <w:p>
      <w:pPr>
        <w:jc w:val="both"/>
        <w:ind w:left="120" w:right="20"/>
        <w:spacing w:after="0" w:line="242" w:lineRule="auto"/>
        <w:rPr>
          <w:sz w:val="20"/>
          <w:szCs w:val="20"/>
          <w:color w:val="auto"/>
        </w:rPr>
      </w:pPr>
      <w:r>
        <w:rPr>
          <w:rFonts w:ascii="Arial" w:cs="Arial" w:eastAsia="Arial" w:hAnsi="Arial"/>
          <w:sz w:val="18"/>
          <w:szCs w:val="18"/>
          <w:color w:val="auto"/>
        </w:rPr>
        <w:t xml:space="preserve">If you do not want to vote your shares during the meeting or ask a question, you can join the meeting as a guest using the same link above. You will not need to have your control number or to complete a registration in order to participate as a guest. We will have technicians ready to assist you with any technical difficulties you may have accessing the Annual Meeting webcast. Electronic check in begins at 8:30 a.m. local time on May 1, 2024, the day of the Annual Meeting, so that we may address any technical difficulties before the Annual Meeting webcast begins. If you encounter any difficulties accessing the Annual Meeting webcast during the check-in or meeting time, please go to </w:t>
      </w:r>
      <w:r>
        <w:rPr>
          <w:rFonts w:ascii="Arial" w:cs="Arial" w:eastAsia="Arial" w:hAnsi="Arial"/>
          <w:sz w:val="18"/>
          <w:szCs w:val="18"/>
          <w:i w:val="1"/>
          <w:iCs w:val="1"/>
          <w:u w:val="single" w:color="auto"/>
          <w:color w:val="auto"/>
        </w:rPr>
        <w:t>https://go.lumiglobal.com/faq</w:t>
      </w:r>
      <w:r>
        <w:rPr>
          <w:rFonts w:ascii="Arial" w:cs="Arial" w:eastAsia="Arial" w:hAnsi="Arial"/>
          <w:sz w:val="18"/>
          <w:szCs w:val="18"/>
          <w:color w:val="auto"/>
        </w:rPr>
        <w:t xml:space="preserve"> or call 352-803-0587.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82550</wp:posOffset>
            </wp:positionV>
            <wp:extent cx="7003415" cy="12001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003415" cy="120015"/>
                    </a:xfrm>
                    <a:prstGeom prst="rect">
                      <a:avLst/>
                    </a:prstGeom>
                    <a:noFill/>
                  </pic:spPr>
                </pic:pic>
              </a:graphicData>
            </a:graphic>
          </wp:anchor>
        </w:drawing>
      </w:r>
    </w:p>
    <w:p>
      <w:pPr>
        <w:spacing w:after="0" w:line="114" w:lineRule="exact"/>
        <w:rPr>
          <w:sz w:val="20"/>
          <w:szCs w:val="20"/>
          <w:color w:val="auto"/>
        </w:rPr>
      </w:pPr>
    </w:p>
    <w:p>
      <w:pPr>
        <w:ind w:left="8080"/>
        <w:spacing w:after="0"/>
        <w:rPr>
          <w:sz w:val="20"/>
          <w:szCs w:val="20"/>
          <w:color w:val="auto"/>
        </w:rPr>
      </w:pPr>
      <w:r>
        <w:rPr>
          <w:rFonts w:ascii="Arial" w:cs="Arial" w:eastAsia="Arial" w:hAnsi="Arial"/>
          <w:sz w:val="14"/>
          <w:szCs w:val="14"/>
          <w:color w:val="FF160F"/>
        </w:rPr>
        <w:t>Federal Realty</w:t>
      </w:r>
      <w:r>
        <w:rPr>
          <w:rFonts w:ascii="Arial" w:cs="Arial" w:eastAsia="Arial" w:hAnsi="Arial"/>
          <w:sz w:val="14"/>
          <w:szCs w:val="14"/>
          <w:color w:val="000000"/>
        </w:rPr>
        <w:t xml:space="preserve">      2024 Proxy Statement   45</w:t>
      </w:r>
    </w:p>
    <w:p>
      <w:pPr>
        <w:sectPr>
          <w:pgSz w:w="11900" w:h="16838" w:orient="portrait"/>
          <w:cols w:equalWidth="0" w:num="1">
            <w:col w:w="11140"/>
          </w:cols>
          <w:pgMar w:left="320" w:top="482" w:right="4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540" w:hanging="424"/>
        <w:spacing w:after="0"/>
        <w:tabs>
          <w:tab w:leader="none" w:pos="540" w:val="left"/>
        </w:tabs>
        <w:numPr>
          <w:ilvl w:val="0"/>
          <w:numId w:val="96"/>
        </w:numPr>
        <w:rPr>
          <w:rFonts w:ascii="MS PGothic" w:cs="MS PGothic" w:eastAsia="MS PGothic" w:hAnsi="MS PGothic"/>
          <w:sz w:val="18"/>
          <w:szCs w:val="18"/>
          <w:color w:val="auto"/>
          <w:shd w:val="clear" w:color="auto" w:fill="FF160F"/>
        </w:rPr>
      </w:pPr>
      <w:r>
        <w:rPr>
          <w:rFonts w:ascii="Arial" w:cs="Arial" w:eastAsia="Arial" w:hAnsi="Arial"/>
          <w:sz w:val="18"/>
          <w:szCs w:val="18"/>
          <w:b w:val="1"/>
          <w:bCs w:val="1"/>
          <w:color w:val="FF160F"/>
        </w:rPr>
        <w:t>ELIMINATING DUPLICATIVE PROXY MATERIALS</w:t>
      </w:r>
    </w:p>
    <w:p>
      <w:pPr>
        <w:spacing w:after="0" w:line="198" w:lineRule="exact"/>
        <w:rPr>
          <w:sz w:val="20"/>
          <w:szCs w:val="20"/>
          <w:color w:val="auto"/>
        </w:rPr>
      </w:pPr>
    </w:p>
    <w:p>
      <w:pPr>
        <w:jc w:val="both"/>
        <w:ind w:left="120"/>
        <w:spacing w:after="0" w:line="242" w:lineRule="auto"/>
        <w:rPr>
          <w:sz w:val="20"/>
          <w:szCs w:val="20"/>
          <w:color w:val="auto"/>
        </w:rPr>
      </w:pPr>
      <w:r>
        <w:rPr>
          <w:rFonts w:ascii="Arial" w:cs="Arial" w:eastAsia="Arial" w:hAnsi="Arial"/>
          <w:sz w:val="18"/>
          <w:szCs w:val="18"/>
          <w:color w:val="auto"/>
        </w:rPr>
        <w:t xml:space="preserve">We have adopted a procedure approved by the SEC called “householding” under which multiple shareholders who share an address and do not participate in electronic delivery will receive only one copy of the annual proxy materials or Notice unless we receive contrary instructions from one or more of the shareholders. If you would like to opt out of householding and continue to receive multiple copies of the proxy materials or Notice at the same address, or if you have previously opted out of householding and would now like to participate, you can do so by notifying us in writing, by telephone or by email at: Investor Relations, 909 Rose Avenue, Suite 200, North Bethesda, Maryland 20852, (800) 937-5449, </w:t>
      </w:r>
      <w:r>
        <w:rPr>
          <w:rFonts w:ascii="Arial" w:cs="Arial" w:eastAsia="Arial" w:hAnsi="Arial"/>
          <w:sz w:val="18"/>
          <w:szCs w:val="18"/>
          <w:i w:val="1"/>
          <w:iCs w:val="1"/>
          <w:u w:val="single" w:color="auto"/>
          <w:color w:val="auto"/>
        </w:rPr>
        <w:t>IR@federalrealty.com</w:t>
      </w:r>
      <w:r>
        <w:rPr>
          <w:rFonts w:ascii="Arial" w:cs="Arial" w:eastAsia="Arial" w:hAnsi="Arial"/>
          <w:sz w:val="18"/>
          <w:szCs w:val="18"/>
          <w:i w:val="1"/>
          <w:iCs w:val="1"/>
          <w:color w:val="auto"/>
        </w:rPr>
        <w:t>.</w:t>
      </w:r>
    </w:p>
    <w:p>
      <w:pPr>
        <w:spacing w:after="0" w:line="179" w:lineRule="exact"/>
        <w:rPr>
          <w:sz w:val="20"/>
          <w:szCs w:val="20"/>
          <w:color w:val="auto"/>
        </w:rPr>
      </w:pPr>
    </w:p>
    <w:p>
      <w:pPr>
        <w:ind w:left="540" w:hanging="424"/>
        <w:spacing w:after="0"/>
        <w:tabs>
          <w:tab w:leader="none" w:pos="540" w:val="left"/>
        </w:tabs>
        <w:numPr>
          <w:ilvl w:val="0"/>
          <w:numId w:val="97"/>
        </w:numPr>
        <w:rPr>
          <w:rFonts w:ascii="MS PGothic" w:cs="MS PGothic" w:eastAsia="MS PGothic" w:hAnsi="MS PGothic"/>
          <w:sz w:val="18"/>
          <w:szCs w:val="18"/>
          <w:color w:val="auto"/>
          <w:shd w:val="clear" w:color="auto" w:fill="FF160F"/>
        </w:rPr>
      </w:pPr>
      <w:r>
        <w:rPr>
          <w:rFonts w:ascii="Arial" w:cs="Arial" w:eastAsia="Arial" w:hAnsi="Arial"/>
          <w:sz w:val="18"/>
          <w:szCs w:val="18"/>
          <w:b w:val="1"/>
          <w:bCs w:val="1"/>
          <w:color w:val="FF160F"/>
        </w:rPr>
        <w:t>SOLICITATION OF PROXIES</w:t>
      </w:r>
    </w:p>
    <w:p>
      <w:pPr>
        <w:spacing w:after="0" w:line="185" w:lineRule="exact"/>
        <w:rPr>
          <w:sz w:val="20"/>
          <w:szCs w:val="20"/>
          <w:color w:val="auto"/>
        </w:rPr>
      </w:pPr>
    </w:p>
    <w:p>
      <w:pPr>
        <w:jc w:val="both"/>
        <w:ind w:left="120" w:right="20"/>
        <w:spacing w:after="0"/>
        <w:rPr>
          <w:sz w:val="20"/>
          <w:szCs w:val="20"/>
          <w:color w:val="auto"/>
        </w:rPr>
      </w:pPr>
      <w:r>
        <w:rPr>
          <w:rFonts w:ascii="Arial" w:cs="Arial" w:eastAsia="Arial" w:hAnsi="Arial"/>
          <w:sz w:val="18"/>
          <w:szCs w:val="18"/>
          <w:color w:val="auto"/>
        </w:rPr>
        <w:t>We will bear the cost of soliciting proxies from beneficial owners of our shares. Our trustees, officers and employees, acting without special compensation, and other agents may solicit proxies by telephone, internet, or otherwise. Copies of solicitation materials will be furnished to brokerage firms, fiduciaries, and other custodians who hold our shares of record for beneficial owners for forwarding to such beneficial owners. We may also reimburse persons representing beneficial owners of our shares for their reasonable expenses incurred in forwarding such materials. Beneficial owners of our shares who authorize their proxies through the internet should be aware that they may incur costs to access the internet, such as usage charges from telephone companies or internet service providers and these costs must be borne by the shareholder.</w:t>
      </w:r>
    </w:p>
    <w:p>
      <w:pPr>
        <w:spacing w:after="0" w:line="185" w:lineRule="exact"/>
        <w:rPr>
          <w:sz w:val="20"/>
          <w:szCs w:val="20"/>
          <w:color w:val="auto"/>
        </w:rPr>
      </w:pPr>
    </w:p>
    <w:p>
      <w:pPr>
        <w:ind w:left="540" w:hanging="424"/>
        <w:spacing w:after="0"/>
        <w:tabs>
          <w:tab w:leader="none" w:pos="540" w:val="left"/>
        </w:tabs>
        <w:numPr>
          <w:ilvl w:val="0"/>
          <w:numId w:val="98"/>
        </w:numPr>
        <w:rPr>
          <w:rFonts w:ascii="MS PGothic" w:cs="MS PGothic" w:eastAsia="MS PGothic" w:hAnsi="MS PGothic"/>
          <w:sz w:val="18"/>
          <w:szCs w:val="18"/>
          <w:color w:val="auto"/>
          <w:shd w:val="clear" w:color="auto" w:fill="FF160F"/>
        </w:rPr>
      </w:pPr>
      <w:r>
        <w:rPr>
          <w:rFonts w:ascii="Arial" w:cs="Arial" w:eastAsia="Arial" w:hAnsi="Arial"/>
          <w:sz w:val="18"/>
          <w:szCs w:val="18"/>
          <w:b w:val="1"/>
          <w:bCs w:val="1"/>
          <w:color w:val="FF160F"/>
        </w:rPr>
        <w:t>SHAREHOLDER PROPOSALS FOR THE 2025 ANNUAL MEETING</w:t>
      </w:r>
    </w:p>
    <w:p>
      <w:pPr>
        <w:spacing w:after="0" w:line="185"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auto"/>
        </w:rPr>
        <w:t>This solicitation is made by the Company on behalf of the Board. Proposals of shareholders intended to be presented at the 2025 Annual Meeting of Shareholders or nominations for persons for election to the Board of Trustees, must be delivered to us at 909 Rose Avenue, Suite 200, North Bethesda, Maryland 20852, Attention: Corporate Secretary and received by us no later than November 22, 2024 and no earlier than October 23, 2024, unless the date of the 2025 Annual Meeting of Shareholders is changed by more than 30 days from the date of the 2024 Annual Meeting of Shareholders, in which case such proposal or nomination must be received within a reasonable time before we begin to print and mail our proxy materials. All shareholder proposals and nominations must comply with the requirements set forth in our Bylaws and applicable state and federal laws. Shareholder proposals must comply with Rule 14a-8 under the Exchange Act in order to be included in the Company’s proxy statement and proxy card for the 2025 Annual Meeting of Shareholders. Pursuant to our proxy access Bylaw provision, a shareholder, or a group of up to 20 shareholders, that has continuously owned for three years at least 3% of the Company’s outstanding common shares, may nominate and include in the Company’s annual meeting proxy materials up to the greater of two trustees or 20% of the number of trustees serving on the Board, if the shareholder(s) and the nominee(s) meet the requirements specified in Article II, Section 13 of our Bylaws. Our Bylaws are available by written request made to the General Counsel &amp; Secretary, 909 Rose Avenue, Suite 200, North Bethesda, Maryland 20852.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83185</wp:posOffset>
            </wp:positionV>
            <wp:extent cx="7003415" cy="12001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003415" cy="120015"/>
                    </a:xfrm>
                    <a:prstGeom prst="rect">
                      <a:avLst/>
                    </a:prstGeom>
                    <a:noFill/>
                  </pic:spPr>
                </pic:pic>
              </a:graphicData>
            </a:graphic>
          </wp:anchor>
        </w:drawing>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4"/>
          <w:szCs w:val="14"/>
          <w:color w:val="FF160F"/>
        </w:rPr>
        <w:t>Federal Realty</w:t>
      </w:r>
      <w:r>
        <w:rPr>
          <w:rFonts w:ascii="Arial" w:cs="Arial" w:eastAsia="Arial" w:hAnsi="Arial"/>
          <w:sz w:val="14"/>
          <w:szCs w:val="14"/>
          <w:color w:val="000000"/>
        </w:rPr>
        <w:t xml:space="preserve">      2024 Proxy Statement   46</w:t>
      </w:r>
    </w:p>
    <w:p>
      <w:pPr>
        <w:sectPr>
          <w:pgSz w:w="11900" w:h="16838" w:orient="portrait"/>
          <w:cols w:equalWidth="0" w:num="1">
            <w:col w:w="11140"/>
          </w:cols>
          <w:pgMar w:left="320" w:top="482" w:right="4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jc w:val="both"/>
        <w:ind w:left="120"/>
        <w:spacing w:after="0" w:line="242" w:lineRule="auto"/>
        <w:rPr>
          <w:sz w:val="20"/>
          <w:szCs w:val="20"/>
          <w:color w:val="auto"/>
        </w:rPr>
      </w:pPr>
      <w:r>
        <w:rPr>
          <w:rFonts w:ascii="Arial" w:cs="Arial" w:eastAsia="Arial" w:hAnsi="Arial"/>
          <w:sz w:val="18"/>
          <w:szCs w:val="18"/>
          <w:color w:val="auto"/>
        </w:rPr>
        <w:t>In addition to satisfying the foregoing requirements under our Bylaws, to comply with the universal proxy rules, shareholders who intend to solicit proxies in support of nominees other than the Company’s nominees to the Board of Trustees must satisfy the requirements of Rule 14a-19 under the Exchange Act, including by providing notice and the information required thereunder no later than March 2, 2025 (except that, if the date of the meeting has changed by more than 30 days from the previous year, then such notice must be provided by the later of 60 calendar days prior to the date of the annual meeting or the 10th day following the day on which we first publicly announce the date of the annual meeting).</w:t>
      </w:r>
    </w:p>
    <w:p>
      <w:pPr>
        <w:spacing w:after="0" w:line="20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For the Trustees,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52070</wp:posOffset>
            </wp:positionV>
            <wp:extent cx="968375" cy="28321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968375" cy="28321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Dawn M. Becker</w:t>
      </w:r>
    </w:p>
    <w:p>
      <w:pPr>
        <w:spacing w:after="0" w:line="9" w:lineRule="exact"/>
        <w:rPr>
          <w:sz w:val="20"/>
          <w:szCs w:val="20"/>
          <w:color w:val="auto"/>
        </w:rPr>
      </w:pPr>
    </w:p>
    <w:p>
      <w:pPr>
        <w:ind w:left="6740"/>
        <w:spacing w:after="0"/>
        <w:rPr>
          <w:sz w:val="20"/>
          <w:szCs w:val="20"/>
          <w:color w:val="auto"/>
        </w:rPr>
      </w:pPr>
      <w:r>
        <w:rPr>
          <w:rFonts w:ascii="Arial" w:cs="Arial" w:eastAsia="Arial" w:hAnsi="Arial"/>
          <w:sz w:val="18"/>
          <w:szCs w:val="18"/>
          <w:i w:val="1"/>
          <w:iCs w:val="1"/>
          <w:color w:val="auto"/>
        </w:rPr>
        <w:t>Executive Vice President—General</w:t>
      </w:r>
    </w:p>
    <w:p>
      <w:pPr>
        <w:ind w:left="6740"/>
        <w:spacing w:after="0"/>
        <w:rPr>
          <w:sz w:val="20"/>
          <w:szCs w:val="20"/>
          <w:color w:val="auto"/>
        </w:rPr>
      </w:pPr>
      <w:r>
        <w:rPr>
          <w:rFonts w:ascii="Arial" w:cs="Arial" w:eastAsia="Arial" w:hAnsi="Arial"/>
          <w:sz w:val="18"/>
          <w:szCs w:val="18"/>
          <w:i w:val="1"/>
          <w:iCs w:val="1"/>
          <w:color w:val="auto"/>
        </w:rPr>
        <w:t>Counsel and Secretary</w:t>
      </w:r>
    </w:p>
    <w:p>
      <w:pPr>
        <w:spacing w:after="0" w:line="207"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Federal Realty Investment Trust</w:t>
      </w:r>
    </w:p>
    <w:p>
      <w:pPr>
        <w:spacing w:after="0" w:line="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909 Rose Avenue, Suite 200</w:t>
      </w:r>
    </w:p>
    <w:p>
      <w:pPr>
        <w:ind w:left="6740"/>
        <w:spacing w:after="0"/>
        <w:rPr>
          <w:sz w:val="20"/>
          <w:szCs w:val="20"/>
          <w:color w:val="auto"/>
        </w:rPr>
      </w:pPr>
      <w:r>
        <w:rPr>
          <w:rFonts w:ascii="Arial" w:cs="Arial" w:eastAsia="Arial" w:hAnsi="Arial"/>
          <w:sz w:val="18"/>
          <w:szCs w:val="18"/>
          <w:color w:val="auto"/>
        </w:rPr>
        <w:t>North Bethesda, Maryland 20852</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YOUR PROXY IS IMPORTANT REGARDLESS OF THE NUMBER OF SHARES YOU OWN. PLEASE SUBMIT IT TODAY.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103505</wp:posOffset>
            </wp:positionV>
            <wp:extent cx="7003415" cy="12001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003415" cy="120015"/>
                    </a:xfrm>
                    <a:prstGeom prst="rect">
                      <a:avLst/>
                    </a:prstGeom>
                    <a:noFill/>
                  </pic:spPr>
                </pic:pic>
              </a:graphicData>
            </a:graphic>
          </wp:anchor>
        </w:drawing>
      </w:r>
    </w:p>
    <w:p>
      <w:pPr>
        <w:spacing w:after="0" w:line="147" w:lineRule="exact"/>
        <w:rPr>
          <w:sz w:val="20"/>
          <w:szCs w:val="20"/>
          <w:color w:val="auto"/>
        </w:rPr>
      </w:pPr>
    </w:p>
    <w:p>
      <w:pPr>
        <w:ind w:left="8080"/>
        <w:spacing w:after="0"/>
        <w:rPr>
          <w:sz w:val="20"/>
          <w:szCs w:val="20"/>
          <w:color w:val="auto"/>
        </w:rPr>
      </w:pPr>
      <w:r>
        <w:rPr>
          <w:rFonts w:ascii="Arial" w:cs="Arial" w:eastAsia="Arial" w:hAnsi="Arial"/>
          <w:sz w:val="14"/>
          <w:szCs w:val="14"/>
          <w:color w:val="FF160F"/>
        </w:rPr>
        <w:t>Federal Realty</w:t>
      </w:r>
      <w:r>
        <w:rPr>
          <w:rFonts w:ascii="Arial" w:cs="Arial" w:eastAsia="Arial" w:hAnsi="Arial"/>
          <w:sz w:val="14"/>
          <w:szCs w:val="14"/>
          <w:color w:val="000000"/>
        </w:rPr>
        <w:t xml:space="preserve">      2024 Proxy Statement   47</w:t>
      </w:r>
    </w:p>
    <w:p>
      <w:pPr>
        <w:sectPr>
          <w:pgSz w:w="11900" w:h="16838" w:orient="portrait"/>
          <w:cols w:equalWidth="0" w:num="1">
            <w:col w:w="11140"/>
          </w:cols>
          <w:pgMar w:left="320" w:top="482" w:right="4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Appendix A</w:t>
      </w:r>
    </w:p>
    <w:p>
      <w:pPr>
        <w:spacing w:after="0" w:line="1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Reconciliation of Non-GAAP Financial Measures</w:t>
      </w:r>
    </w:p>
    <w:p>
      <w:pPr>
        <w:spacing w:after="0" w:line="30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Funds from Operations:</w:t>
      </w:r>
    </w:p>
    <w:p>
      <w:pPr>
        <w:spacing w:after="0" w:line="144" w:lineRule="exact"/>
        <w:rPr>
          <w:sz w:val="20"/>
          <w:szCs w:val="20"/>
          <w:color w:val="auto"/>
        </w:rPr>
      </w:pPr>
    </w:p>
    <w:p>
      <w:pPr>
        <w:jc w:val="both"/>
        <w:ind w:left="120"/>
        <w:spacing w:after="0"/>
        <w:rPr>
          <w:sz w:val="20"/>
          <w:szCs w:val="20"/>
          <w:color w:val="auto"/>
        </w:rPr>
      </w:pPr>
      <w:r>
        <w:rPr>
          <w:rFonts w:ascii="Arial" w:cs="Arial" w:eastAsia="Arial" w:hAnsi="Arial"/>
          <w:sz w:val="18"/>
          <w:szCs w:val="18"/>
          <w:color w:val="auto"/>
        </w:rPr>
        <w:t>Funds from operations (“FFO”) is a supplemental non-GAAP financial measure of real estate companies’ operating performance. The National Association of Real Estate Investment Trusts (“NAREIT”) defines FFO as follows: net income, computed in accordance with U.S. GAAP, plus real estate related depreciation and amortization, and excluding gains and losses on the sale of real estate or changes in control, net of tax, and impairment write-downs of certain real estate assets and investments in entities when the impairment is directly attributable to decreases in the value of depreciable real estate held by the entity. We compute FFO in accordance with the NAREIT definition, and we have historically reported our FFO available for common shareholders in addition to our net income and net cash provided by operating activities. It should be noted that FFO:</w:t>
      </w:r>
    </w:p>
    <w:p>
      <w:pPr>
        <w:spacing w:after="0" w:line="90" w:lineRule="exact"/>
        <w:rPr>
          <w:sz w:val="20"/>
          <w:szCs w:val="20"/>
          <w:color w:val="auto"/>
        </w:rPr>
      </w:pPr>
    </w:p>
    <w:p>
      <w:pPr>
        <w:ind w:left="1080" w:right="20" w:hanging="424"/>
        <w:spacing w:after="0" w:line="271" w:lineRule="auto"/>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does not represent cash flows from operating activities in accordance with GAAP (which, unlike FFO, generally reflects all cash effects of transactions and other events in the determination of net income);</w:t>
      </w:r>
    </w:p>
    <w:p>
      <w:pPr>
        <w:spacing w:after="0" w:line="59" w:lineRule="exact"/>
        <w:rPr>
          <w:rFonts w:ascii="Arial" w:cs="Arial" w:eastAsia="Arial" w:hAnsi="Arial"/>
          <w:sz w:val="18"/>
          <w:szCs w:val="18"/>
          <w:color w:val="auto"/>
        </w:rPr>
      </w:pPr>
    </w:p>
    <w:p>
      <w:pPr>
        <w:ind w:left="1080" w:hanging="424"/>
        <w:spacing w:after="0"/>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should not be considered an alternative to net income as an indication of our performance; and</w:t>
      </w:r>
    </w:p>
    <w:p>
      <w:pPr>
        <w:spacing w:after="0" w:line="117" w:lineRule="exact"/>
        <w:rPr>
          <w:rFonts w:ascii="Arial" w:cs="Arial" w:eastAsia="Arial" w:hAnsi="Arial"/>
          <w:sz w:val="18"/>
          <w:szCs w:val="18"/>
          <w:color w:val="auto"/>
        </w:rPr>
      </w:pPr>
    </w:p>
    <w:p>
      <w:pPr>
        <w:ind w:left="1080" w:right="20" w:hanging="424"/>
        <w:spacing w:after="0" w:line="271" w:lineRule="auto"/>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is not necessarily indicative of cash flow as a measure of liquidity or ability to fund cash needs, including the payment of dividends.</w:t>
      </w:r>
    </w:p>
    <w:p>
      <w:pPr>
        <w:spacing w:after="0" w:line="154" w:lineRule="exact"/>
        <w:rPr>
          <w:sz w:val="20"/>
          <w:szCs w:val="20"/>
          <w:color w:val="auto"/>
        </w:rPr>
      </w:pPr>
    </w:p>
    <w:p>
      <w:pPr>
        <w:jc w:val="both"/>
        <w:ind w:left="120"/>
        <w:spacing w:after="0" w:line="244" w:lineRule="auto"/>
        <w:rPr>
          <w:sz w:val="20"/>
          <w:szCs w:val="20"/>
          <w:color w:val="auto"/>
        </w:rPr>
      </w:pPr>
      <w:r>
        <w:rPr>
          <w:rFonts w:ascii="Arial" w:cs="Arial" w:eastAsia="Arial" w:hAnsi="Arial"/>
          <w:sz w:val="18"/>
          <w:szCs w:val="18"/>
          <w:color w:val="auto"/>
        </w:rPr>
        <w:t>We consider FFO available for common shareholders a meaningful, additional measure of operating performance primarily because it excludes the assumption that the value of the real estate assets diminishes predictably over time, as implied by the historical cost convention of GAAP and the recording of depreciation. We use FFO primarily as one of several means of assessing our operating performance in comparison with other REITs. Comparison of our presentation of FFO to similarly titled measures for other REITs may not necessarily be meaningful due to possible differences in the application of the NAREIT definition used by such REITs.</w:t>
      </w:r>
    </w:p>
    <w:p>
      <w:pPr>
        <w:spacing w:after="0" w:line="176" w:lineRule="exact"/>
        <w:rPr>
          <w:sz w:val="20"/>
          <w:szCs w:val="20"/>
          <w:color w:val="auto"/>
        </w:rPr>
      </w:pPr>
    </w:p>
    <w:p>
      <w:pPr>
        <w:jc w:val="both"/>
        <w:ind w:left="120" w:right="20"/>
        <w:spacing w:after="0" w:line="244" w:lineRule="auto"/>
        <w:rPr>
          <w:sz w:val="20"/>
          <w:szCs w:val="20"/>
          <w:color w:val="auto"/>
        </w:rPr>
      </w:pPr>
      <w:r>
        <w:rPr>
          <w:rFonts w:ascii="Arial" w:cs="Arial" w:eastAsia="Arial" w:hAnsi="Arial"/>
          <w:sz w:val="18"/>
          <w:szCs w:val="18"/>
          <w:color w:val="auto"/>
        </w:rPr>
        <w:t>An increase or decrease in FFO available for common shareholders does not necessarily result in an increase or decrease in aggregate distributions because our Board of Trustees is not required to increase distributions on a quarterly basis. However, we must distribute at least 90% of our annual taxable income to remain qualified as a REIT. Therefore, a significant increase in FFO will generally require an increase in distributions to shareholders although not necessarily on a proportionate basis. The reconciliation of net income to FFO available for common shareholders is as follows:</w:t>
      </w:r>
    </w:p>
    <w:p>
      <w:pPr>
        <w:spacing w:after="0" w:line="208" w:lineRule="exact"/>
        <w:rPr>
          <w:sz w:val="20"/>
          <w:szCs w:val="20"/>
          <w:color w:val="auto"/>
        </w:rPr>
      </w:pPr>
    </w:p>
    <w:tbl>
      <w:tblPr>
        <w:tblLayout w:type="fixed"/>
        <w:tblInd w:w="120" w:type="dxa"/>
        <w:tblCellMar>
          <w:top w:w="0" w:type="dxa"/>
          <w:left w:w="0" w:type="dxa"/>
          <w:bottom w:w="0" w:type="dxa"/>
          <w:right w:w="0" w:type="dxa"/>
        </w:tblCellMar>
      </w:tblPr>
      <w:tr>
        <w:trPr>
          <w:trHeight w:val="210"/>
        </w:trPr>
        <w:tc>
          <w:tcPr>
            <w:tcW w:w="79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2023</w:t>
            </w:r>
          </w:p>
        </w:tc>
        <w:tc>
          <w:tcPr>
            <w:tcW w:w="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2022</w:t>
            </w: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2021</w:t>
            </w:r>
          </w:p>
        </w:tc>
        <w:tc>
          <w:tcPr>
            <w:tcW w:w="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7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740" w:type="dxa"/>
            <w:vAlign w:val="bottom"/>
            <w:gridSpan w:val="6"/>
          </w:tcPr>
          <w:p>
            <w:pPr>
              <w:spacing w:after="0" w:line="162" w:lineRule="exact"/>
              <w:rPr>
                <w:sz w:val="20"/>
                <w:szCs w:val="20"/>
                <w:color w:val="auto"/>
              </w:rPr>
            </w:pPr>
            <w:r>
              <w:rPr>
                <w:rFonts w:ascii="Arial" w:cs="Arial" w:eastAsia="Arial" w:hAnsi="Arial"/>
                <w:sz w:val="15"/>
                <w:szCs w:val="15"/>
                <w:color w:val="auto"/>
              </w:rPr>
              <w:t>(in thousands, except per share data)</w:t>
            </w:r>
          </w:p>
        </w:tc>
        <w:tc>
          <w:tcPr>
            <w:tcW w:w="0" w:type="dxa"/>
            <w:vAlign w:val="bottom"/>
          </w:tcPr>
          <w:p>
            <w:pPr>
              <w:spacing w:after="0"/>
              <w:rPr>
                <w:sz w:val="1"/>
                <w:szCs w:val="1"/>
                <w:color w:val="auto"/>
              </w:rPr>
            </w:pPr>
          </w:p>
        </w:tc>
      </w:tr>
      <w:tr>
        <w:trPr>
          <w:trHeight w:val="189"/>
        </w:trPr>
        <w:tc>
          <w:tcPr>
            <w:tcW w:w="8140" w:type="dxa"/>
            <w:vAlign w:val="bottom"/>
            <w:gridSpan w:val="2"/>
            <w:shd w:val="clear" w:color="auto" w:fill="EAEFED"/>
          </w:tcPr>
          <w:p>
            <w:pPr>
              <w:spacing w:after="0"/>
              <w:rPr>
                <w:sz w:val="20"/>
                <w:szCs w:val="20"/>
                <w:color w:val="auto"/>
              </w:rPr>
            </w:pPr>
            <w:r>
              <w:rPr>
                <w:rFonts w:ascii="Arial" w:cs="Arial" w:eastAsia="Arial" w:hAnsi="Arial"/>
                <w:sz w:val="16"/>
                <w:szCs w:val="16"/>
                <w:color w:val="auto"/>
              </w:rPr>
              <w:t>Net income</w:t>
            </w:r>
          </w:p>
        </w:tc>
        <w:tc>
          <w:tcPr>
            <w:tcW w:w="140" w:type="dxa"/>
            <w:vAlign w:val="bottom"/>
            <w:shd w:val="clear" w:color="auto" w:fill="EAEFED"/>
          </w:tcPr>
          <w:p>
            <w:pPr>
              <w:ind w:left="20"/>
              <w:spacing w:after="0"/>
              <w:rPr>
                <w:sz w:val="20"/>
                <w:szCs w:val="20"/>
                <w:color w:val="auto"/>
              </w:rPr>
            </w:pPr>
            <w:r>
              <w:rPr>
                <w:rFonts w:ascii="Arial" w:cs="Arial" w:eastAsia="Arial" w:hAnsi="Arial"/>
                <w:sz w:val="16"/>
                <w:szCs w:val="16"/>
                <w:color w:val="auto"/>
                <w:w w:val="82"/>
              </w:rPr>
              <w:t> $</w:t>
            </w:r>
          </w:p>
        </w:tc>
        <w:tc>
          <w:tcPr>
            <w:tcW w:w="740" w:type="dxa"/>
            <w:vAlign w:val="bottom"/>
            <w:shd w:val="clear" w:color="auto" w:fill="EAEFED"/>
          </w:tcPr>
          <w:p>
            <w:pPr>
              <w:jc w:val="right"/>
              <w:ind w:right="39"/>
              <w:spacing w:after="0"/>
              <w:rPr>
                <w:sz w:val="20"/>
                <w:szCs w:val="20"/>
                <w:color w:val="auto"/>
              </w:rPr>
            </w:pPr>
            <w:r>
              <w:rPr>
                <w:rFonts w:ascii="Arial" w:cs="Arial" w:eastAsia="Arial" w:hAnsi="Arial"/>
                <w:sz w:val="16"/>
                <w:szCs w:val="16"/>
                <w:color w:val="auto"/>
              </w:rPr>
              <w:t>247,217</w:t>
            </w:r>
          </w:p>
        </w:tc>
        <w:tc>
          <w:tcPr>
            <w:tcW w:w="280" w:type="dxa"/>
            <w:vAlign w:val="bottom"/>
            <w:shd w:val="clear" w:color="auto" w:fill="EAEFED"/>
          </w:tcPr>
          <w:p>
            <w:pPr>
              <w:ind w:left="140"/>
              <w:spacing w:after="0"/>
              <w:rPr>
                <w:sz w:val="20"/>
                <w:szCs w:val="20"/>
                <w:color w:val="auto"/>
              </w:rPr>
            </w:pPr>
            <w:r>
              <w:rPr>
                <w:rFonts w:ascii="Arial" w:cs="Arial" w:eastAsia="Arial" w:hAnsi="Arial"/>
                <w:sz w:val="16"/>
                <w:szCs w:val="16"/>
                <w:color w:val="auto"/>
                <w:w w:val="98"/>
              </w:rPr>
              <w:t> $</w:t>
            </w:r>
          </w:p>
        </w:tc>
        <w:tc>
          <w:tcPr>
            <w:tcW w:w="740" w:type="dxa"/>
            <w:vAlign w:val="bottom"/>
            <w:shd w:val="clear" w:color="auto" w:fill="EAEFED"/>
          </w:tcPr>
          <w:p>
            <w:pPr>
              <w:jc w:val="right"/>
              <w:ind w:right="59"/>
              <w:spacing w:after="0"/>
              <w:rPr>
                <w:sz w:val="20"/>
                <w:szCs w:val="20"/>
                <w:color w:val="auto"/>
              </w:rPr>
            </w:pPr>
            <w:r>
              <w:rPr>
                <w:rFonts w:ascii="Arial" w:cs="Arial" w:eastAsia="Arial" w:hAnsi="Arial"/>
                <w:sz w:val="16"/>
                <w:szCs w:val="16"/>
                <w:color w:val="auto"/>
              </w:rPr>
              <w:t>395,661</w:t>
            </w:r>
          </w:p>
        </w:tc>
        <w:tc>
          <w:tcPr>
            <w:tcW w:w="220" w:type="dxa"/>
            <w:vAlign w:val="bottom"/>
            <w:shd w:val="clear" w:color="auto" w:fill="EAEFED"/>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EAEFED"/>
          </w:tcPr>
          <w:p>
            <w:pPr>
              <w:jc w:val="right"/>
              <w:ind w:right="100"/>
              <w:spacing w:after="0"/>
              <w:rPr>
                <w:sz w:val="20"/>
                <w:szCs w:val="20"/>
                <w:color w:val="auto"/>
              </w:rPr>
            </w:pPr>
            <w:r>
              <w:rPr>
                <w:rFonts w:ascii="Arial" w:cs="Arial" w:eastAsia="Arial" w:hAnsi="Arial"/>
                <w:sz w:val="16"/>
                <w:szCs w:val="16"/>
                <w:color w:val="auto"/>
                <w:w w:val="97"/>
              </w:rPr>
              <w:t>269,081 </w:t>
            </w:r>
          </w:p>
        </w:tc>
        <w:tc>
          <w:tcPr>
            <w:tcW w:w="0" w:type="dxa"/>
            <w:vAlign w:val="bottom"/>
          </w:tcPr>
          <w:p>
            <w:pPr>
              <w:spacing w:after="0"/>
              <w:rPr>
                <w:sz w:val="1"/>
                <w:szCs w:val="1"/>
                <w:color w:val="auto"/>
              </w:rPr>
            </w:pPr>
          </w:p>
        </w:tc>
      </w:tr>
      <w:tr>
        <w:trPr>
          <w:trHeight w:val="189"/>
        </w:trPr>
        <w:tc>
          <w:tcPr>
            <w:tcW w:w="8140" w:type="dxa"/>
            <w:vAlign w:val="bottom"/>
            <w:gridSpan w:val="2"/>
          </w:tcPr>
          <w:p>
            <w:pPr>
              <w:spacing w:after="0"/>
              <w:rPr>
                <w:sz w:val="20"/>
                <w:szCs w:val="20"/>
                <w:color w:val="auto"/>
              </w:rPr>
            </w:pPr>
            <w:r>
              <w:rPr>
                <w:rFonts w:ascii="Arial" w:cs="Arial" w:eastAsia="Arial" w:hAnsi="Arial"/>
                <w:sz w:val="16"/>
                <w:szCs w:val="16"/>
                <w:color w:val="auto"/>
              </w:rPr>
              <w:t>Net income attributable to noncontrolling interests</w:t>
            </w:r>
          </w:p>
        </w:tc>
        <w:tc>
          <w:tcPr>
            <w:tcW w:w="140" w:type="dxa"/>
            <w:vAlign w:val="bottom"/>
          </w:tcPr>
          <w:p>
            <w:pPr>
              <w:ind w:left="20"/>
              <w:spacing w:after="0"/>
              <w:rPr>
                <w:sz w:val="20"/>
                <w:szCs w:val="20"/>
                <w:color w:val="auto"/>
              </w:rPr>
            </w:pPr>
            <w:r>
              <w:rPr>
                <w:rFonts w:ascii="Arial" w:cs="Arial" w:eastAsia="Arial" w:hAnsi="Arial"/>
                <w:sz w:val="16"/>
                <w:szCs w:val="16"/>
                <w:color w:val="auto"/>
                <w:w w:val="82"/>
              </w:rPr>
              <w:t> $</w:t>
            </w: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(10,232)</w:t>
            </w:r>
          </w:p>
        </w:tc>
        <w:tc>
          <w:tcPr>
            <w:tcW w:w="280" w:type="dxa"/>
            <w:vAlign w:val="bottom"/>
          </w:tcPr>
          <w:p>
            <w:pPr>
              <w:ind w:left="140"/>
              <w:spacing w:after="0"/>
              <w:rPr>
                <w:sz w:val="20"/>
                <w:szCs w:val="20"/>
                <w:color w:val="auto"/>
              </w:rPr>
            </w:pPr>
            <w:r>
              <w:rPr>
                <w:rFonts w:ascii="Arial" w:cs="Arial" w:eastAsia="Arial" w:hAnsi="Arial"/>
                <w:sz w:val="16"/>
                <w:szCs w:val="16"/>
                <w:color w:val="auto"/>
                <w:w w:val="98"/>
              </w:rPr>
              <w:t> $</w:t>
            </w:r>
          </w:p>
        </w:tc>
        <w:tc>
          <w:tcPr>
            <w:tcW w:w="740" w:type="dxa"/>
            <w:vAlign w:val="bottom"/>
          </w:tcPr>
          <w:p>
            <w:pPr>
              <w:jc w:val="right"/>
              <w:ind w:right="59"/>
              <w:spacing w:after="0"/>
              <w:rPr>
                <w:sz w:val="20"/>
                <w:szCs w:val="20"/>
                <w:color w:val="auto"/>
              </w:rPr>
            </w:pPr>
            <w:r>
              <w:rPr>
                <w:rFonts w:ascii="Arial" w:cs="Arial" w:eastAsia="Arial" w:hAnsi="Arial"/>
                <w:sz w:val="16"/>
                <w:szCs w:val="16"/>
                <w:color w:val="auto"/>
                <w:w w:val="97"/>
              </w:rPr>
              <w:t>(10,170)</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 xml:space="preserve">(7,583) </w:t>
            </w:r>
          </w:p>
        </w:tc>
        <w:tc>
          <w:tcPr>
            <w:tcW w:w="0" w:type="dxa"/>
            <w:vAlign w:val="bottom"/>
          </w:tcPr>
          <w:p>
            <w:pPr>
              <w:spacing w:after="0"/>
              <w:rPr>
                <w:sz w:val="1"/>
                <w:szCs w:val="1"/>
                <w:color w:val="auto"/>
              </w:rPr>
            </w:pPr>
          </w:p>
        </w:tc>
      </w:tr>
      <w:tr>
        <w:trPr>
          <w:trHeight w:val="189"/>
        </w:trPr>
        <w:tc>
          <w:tcPr>
            <w:tcW w:w="8140" w:type="dxa"/>
            <w:vAlign w:val="bottom"/>
            <w:gridSpan w:val="2"/>
            <w:shd w:val="clear" w:color="auto" w:fill="EAEFED"/>
          </w:tcPr>
          <w:p>
            <w:pPr>
              <w:spacing w:after="0"/>
              <w:rPr>
                <w:sz w:val="20"/>
                <w:szCs w:val="20"/>
                <w:color w:val="auto"/>
              </w:rPr>
            </w:pPr>
            <w:r>
              <w:rPr>
                <w:rFonts w:ascii="Arial" w:cs="Arial" w:eastAsia="Arial" w:hAnsi="Arial"/>
                <w:sz w:val="16"/>
                <w:szCs w:val="16"/>
                <w:color w:val="auto"/>
              </w:rPr>
              <w:t>Gain on deconsolidation of a VIE</w:t>
            </w:r>
          </w:p>
        </w:tc>
        <w:tc>
          <w:tcPr>
            <w:tcW w:w="140" w:type="dxa"/>
            <w:vAlign w:val="bottom"/>
            <w:shd w:val="clear" w:color="auto" w:fill="EAEFED"/>
          </w:tcPr>
          <w:p>
            <w:pPr>
              <w:ind w:left="20"/>
              <w:spacing w:after="0"/>
              <w:rPr>
                <w:sz w:val="20"/>
                <w:szCs w:val="20"/>
                <w:color w:val="auto"/>
              </w:rPr>
            </w:pPr>
            <w:r>
              <w:rPr>
                <w:rFonts w:ascii="Arial" w:cs="Arial" w:eastAsia="Arial" w:hAnsi="Arial"/>
                <w:sz w:val="16"/>
                <w:szCs w:val="16"/>
                <w:color w:val="auto"/>
                <w:w w:val="82"/>
              </w:rPr>
              <w:t> $</w:t>
            </w:r>
          </w:p>
        </w:tc>
        <w:tc>
          <w:tcPr>
            <w:tcW w:w="740" w:type="dxa"/>
            <w:vAlign w:val="bottom"/>
            <w:shd w:val="clear" w:color="auto" w:fill="EAEFED"/>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shd w:val="clear" w:color="auto" w:fill="EAEFED"/>
          </w:tcPr>
          <w:p>
            <w:pPr>
              <w:ind w:left="140"/>
              <w:spacing w:after="0"/>
              <w:rPr>
                <w:sz w:val="20"/>
                <w:szCs w:val="20"/>
                <w:color w:val="auto"/>
              </w:rPr>
            </w:pPr>
            <w:r>
              <w:rPr>
                <w:rFonts w:ascii="Arial" w:cs="Arial" w:eastAsia="Arial" w:hAnsi="Arial"/>
                <w:sz w:val="16"/>
                <w:szCs w:val="16"/>
                <w:color w:val="auto"/>
                <w:w w:val="98"/>
              </w:rPr>
              <w:t> $</w:t>
            </w:r>
          </w:p>
        </w:tc>
        <w:tc>
          <w:tcPr>
            <w:tcW w:w="740" w:type="dxa"/>
            <w:vAlign w:val="bottom"/>
            <w:shd w:val="clear" w:color="auto" w:fill="EAEFED"/>
          </w:tcPr>
          <w:p>
            <w:pPr>
              <w:jc w:val="right"/>
              <w:ind w:right="59"/>
              <w:spacing w:after="0"/>
              <w:rPr>
                <w:sz w:val="20"/>
                <w:szCs w:val="20"/>
                <w:color w:val="auto"/>
              </w:rPr>
            </w:pPr>
            <w:r>
              <w:rPr>
                <w:rFonts w:ascii="Arial" w:cs="Arial" w:eastAsia="Arial" w:hAnsi="Arial"/>
                <w:sz w:val="16"/>
                <w:szCs w:val="16"/>
                <w:color w:val="auto"/>
                <w:w w:val="97"/>
              </w:rPr>
              <w:t>(70,374)</w:t>
            </w:r>
          </w:p>
        </w:tc>
        <w:tc>
          <w:tcPr>
            <w:tcW w:w="220" w:type="dxa"/>
            <w:vAlign w:val="bottom"/>
            <w:shd w:val="clear" w:color="auto" w:fill="EAEFED"/>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EAEFED"/>
          </w:tcPr>
          <w:p>
            <w:pPr>
              <w:jc w:val="right"/>
              <w:ind w:right="100"/>
              <w:spacing w:after="0"/>
              <w:rPr>
                <w:sz w:val="20"/>
                <w:szCs w:val="20"/>
                <w:color w:val="auto"/>
              </w:rPr>
            </w:pPr>
            <w:r>
              <w:rPr>
                <w:rFonts w:ascii="Arial" w:cs="Arial" w:eastAsia="Arial" w:hAnsi="Arial"/>
                <w:sz w:val="16"/>
                <w:szCs w:val="16"/>
                <w:color w:val="auto"/>
              </w:rPr>
              <w:t xml:space="preserve">- </w:t>
            </w:r>
          </w:p>
        </w:tc>
        <w:tc>
          <w:tcPr>
            <w:tcW w:w="0" w:type="dxa"/>
            <w:vAlign w:val="bottom"/>
          </w:tcPr>
          <w:p>
            <w:pPr>
              <w:spacing w:after="0"/>
              <w:rPr>
                <w:sz w:val="1"/>
                <w:szCs w:val="1"/>
                <w:color w:val="auto"/>
              </w:rPr>
            </w:pPr>
          </w:p>
        </w:tc>
      </w:tr>
      <w:tr>
        <w:trPr>
          <w:trHeight w:val="189"/>
        </w:trPr>
        <w:tc>
          <w:tcPr>
            <w:tcW w:w="8140" w:type="dxa"/>
            <w:vAlign w:val="bottom"/>
            <w:gridSpan w:val="2"/>
          </w:tcPr>
          <w:p>
            <w:pPr>
              <w:spacing w:after="0"/>
              <w:rPr>
                <w:sz w:val="20"/>
                <w:szCs w:val="20"/>
                <w:color w:val="auto"/>
              </w:rPr>
            </w:pPr>
            <w:r>
              <w:rPr>
                <w:rFonts w:ascii="Arial" w:cs="Arial" w:eastAsia="Arial" w:hAnsi="Arial"/>
                <w:sz w:val="16"/>
                <w:szCs w:val="16"/>
                <w:color w:val="auto"/>
              </w:rPr>
              <w:t>Gain on sale of real estate and change in control of interests, net</w:t>
            </w:r>
          </w:p>
        </w:tc>
        <w:tc>
          <w:tcPr>
            <w:tcW w:w="140" w:type="dxa"/>
            <w:vAlign w:val="bottom"/>
          </w:tcPr>
          <w:p>
            <w:pPr>
              <w:ind w:left="20"/>
              <w:spacing w:after="0"/>
              <w:rPr>
                <w:sz w:val="20"/>
                <w:szCs w:val="20"/>
                <w:color w:val="auto"/>
              </w:rPr>
            </w:pPr>
            <w:r>
              <w:rPr>
                <w:rFonts w:ascii="Arial" w:cs="Arial" w:eastAsia="Arial" w:hAnsi="Arial"/>
                <w:sz w:val="16"/>
                <w:szCs w:val="16"/>
                <w:color w:val="auto"/>
                <w:w w:val="82"/>
              </w:rPr>
              <w:t> $</w:t>
            </w: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(9,881)</w:t>
            </w:r>
          </w:p>
        </w:tc>
        <w:tc>
          <w:tcPr>
            <w:tcW w:w="280" w:type="dxa"/>
            <w:vAlign w:val="bottom"/>
          </w:tcPr>
          <w:p>
            <w:pPr>
              <w:ind w:left="140"/>
              <w:spacing w:after="0"/>
              <w:rPr>
                <w:sz w:val="20"/>
                <w:szCs w:val="20"/>
                <w:color w:val="auto"/>
              </w:rPr>
            </w:pPr>
            <w:r>
              <w:rPr>
                <w:rFonts w:ascii="Arial" w:cs="Arial" w:eastAsia="Arial" w:hAnsi="Arial"/>
                <w:sz w:val="16"/>
                <w:szCs w:val="16"/>
                <w:color w:val="auto"/>
                <w:w w:val="98"/>
              </w:rPr>
              <w:t> $</w:t>
            </w:r>
          </w:p>
        </w:tc>
        <w:tc>
          <w:tcPr>
            <w:tcW w:w="740" w:type="dxa"/>
            <w:vAlign w:val="bottom"/>
          </w:tcPr>
          <w:p>
            <w:pPr>
              <w:jc w:val="right"/>
              <w:ind w:right="59"/>
              <w:spacing w:after="0"/>
              <w:rPr>
                <w:sz w:val="20"/>
                <w:szCs w:val="20"/>
                <w:color w:val="auto"/>
              </w:rPr>
            </w:pPr>
            <w:r>
              <w:rPr>
                <w:rFonts w:ascii="Arial" w:cs="Arial" w:eastAsia="Arial" w:hAnsi="Arial"/>
                <w:sz w:val="16"/>
                <w:szCs w:val="16"/>
                <w:color w:val="auto"/>
                <w:w w:val="97"/>
              </w:rPr>
              <w:t>(93,483)</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 xml:space="preserve">(89,892) </w:t>
            </w:r>
          </w:p>
        </w:tc>
        <w:tc>
          <w:tcPr>
            <w:tcW w:w="0" w:type="dxa"/>
            <w:vAlign w:val="bottom"/>
          </w:tcPr>
          <w:p>
            <w:pPr>
              <w:spacing w:after="0"/>
              <w:rPr>
                <w:sz w:val="1"/>
                <w:szCs w:val="1"/>
                <w:color w:val="auto"/>
              </w:rPr>
            </w:pPr>
          </w:p>
        </w:tc>
      </w:tr>
      <w:tr>
        <w:trPr>
          <w:trHeight w:val="189"/>
        </w:trPr>
        <w:tc>
          <w:tcPr>
            <w:tcW w:w="8140" w:type="dxa"/>
            <w:vAlign w:val="bottom"/>
            <w:gridSpan w:val="2"/>
            <w:shd w:val="clear" w:color="auto" w:fill="EAEFED"/>
          </w:tcPr>
          <w:p>
            <w:pPr>
              <w:spacing w:after="0"/>
              <w:rPr>
                <w:sz w:val="20"/>
                <w:szCs w:val="20"/>
                <w:color w:val="auto"/>
              </w:rPr>
            </w:pPr>
            <w:r>
              <w:rPr>
                <w:rFonts w:ascii="Arial" w:cs="Arial" w:eastAsia="Arial" w:hAnsi="Arial"/>
                <w:sz w:val="16"/>
                <w:szCs w:val="16"/>
                <w:color w:val="auto"/>
              </w:rPr>
              <w:t>Depreciation and amortization of real estate assets</w:t>
            </w:r>
          </w:p>
        </w:tc>
        <w:tc>
          <w:tcPr>
            <w:tcW w:w="140" w:type="dxa"/>
            <w:vAlign w:val="bottom"/>
            <w:shd w:val="clear" w:color="auto" w:fill="EAEFED"/>
          </w:tcPr>
          <w:p>
            <w:pPr>
              <w:ind w:left="20"/>
              <w:spacing w:after="0"/>
              <w:rPr>
                <w:sz w:val="20"/>
                <w:szCs w:val="20"/>
                <w:color w:val="auto"/>
              </w:rPr>
            </w:pPr>
            <w:r>
              <w:rPr>
                <w:rFonts w:ascii="Arial" w:cs="Arial" w:eastAsia="Arial" w:hAnsi="Arial"/>
                <w:sz w:val="16"/>
                <w:szCs w:val="16"/>
                <w:color w:val="auto"/>
                <w:w w:val="82"/>
              </w:rPr>
              <w:t> $</w:t>
            </w:r>
          </w:p>
        </w:tc>
        <w:tc>
          <w:tcPr>
            <w:tcW w:w="740" w:type="dxa"/>
            <w:vAlign w:val="bottom"/>
            <w:shd w:val="clear" w:color="auto" w:fill="EAEFED"/>
          </w:tcPr>
          <w:p>
            <w:pPr>
              <w:jc w:val="right"/>
              <w:ind w:right="39"/>
              <w:spacing w:after="0"/>
              <w:rPr>
                <w:sz w:val="20"/>
                <w:szCs w:val="20"/>
                <w:color w:val="auto"/>
              </w:rPr>
            </w:pPr>
            <w:r>
              <w:rPr>
                <w:rFonts w:ascii="Arial" w:cs="Arial" w:eastAsia="Arial" w:hAnsi="Arial"/>
                <w:sz w:val="16"/>
                <w:szCs w:val="16"/>
                <w:color w:val="auto"/>
              </w:rPr>
              <w:t>285,689</w:t>
            </w:r>
          </w:p>
        </w:tc>
        <w:tc>
          <w:tcPr>
            <w:tcW w:w="280" w:type="dxa"/>
            <w:vAlign w:val="bottom"/>
            <w:shd w:val="clear" w:color="auto" w:fill="EAEFED"/>
          </w:tcPr>
          <w:p>
            <w:pPr>
              <w:ind w:left="140"/>
              <w:spacing w:after="0"/>
              <w:rPr>
                <w:sz w:val="20"/>
                <w:szCs w:val="20"/>
                <w:color w:val="auto"/>
              </w:rPr>
            </w:pPr>
            <w:r>
              <w:rPr>
                <w:rFonts w:ascii="Arial" w:cs="Arial" w:eastAsia="Arial" w:hAnsi="Arial"/>
                <w:sz w:val="16"/>
                <w:szCs w:val="16"/>
                <w:color w:val="auto"/>
                <w:w w:val="98"/>
              </w:rPr>
              <w:t> $</w:t>
            </w:r>
          </w:p>
        </w:tc>
        <w:tc>
          <w:tcPr>
            <w:tcW w:w="740" w:type="dxa"/>
            <w:vAlign w:val="bottom"/>
            <w:shd w:val="clear" w:color="auto" w:fill="EAEFED"/>
          </w:tcPr>
          <w:p>
            <w:pPr>
              <w:jc w:val="right"/>
              <w:ind w:right="59"/>
              <w:spacing w:after="0"/>
              <w:rPr>
                <w:sz w:val="20"/>
                <w:szCs w:val="20"/>
                <w:color w:val="auto"/>
              </w:rPr>
            </w:pPr>
            <w:r>
              <w:rPr>
                <w:rFonts w:ascii="Arial" w:cs="Arial" w:eastAsia="Arial" w:hAnsi="Arial"/>
                <w:sz w:val="16"/>
                <w:szCs w:val="16"/>
                <w:color w:val="auto"/>
              </w:rPr>
              <w:t>266,741</w:t>
            </w:r>
          </w:p>
        </w:tc>
        <w:tc>
          <w:tcPr>
            <w:tcW w:w="220" w:type="dxa"/>
            <w:vAlign w:val="bottom"/>
            <w:shd w:val="clear" w:color="auto" w:fill="EAEFED"/>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EAEFED"/>
          </w:tcPr>
          <w:p>
            <w:pPr>
              <w:jc w:val="right"/>
              <w:ind w:right="100"/>
              <w:spacing w:after="0"/>
              <w:rPr>
                <w:sz w:val="20"/>
                <w:szCs w:val="20"/>
                <w:color w:val="auto"/>
              </w:rPr>
            </w:pPr>
            <w:r>
              <w:rPr>
                <w:rFonts w:ascii="Arial" w:cs="Arial" w:eastAsia="Arial" w:hAnsi="Arial"/>
                <w:sz w:val="16"/>
                <w:szCs w:val="16"/>
                <w:color w:val="auto"/>
                <w:w w:val="97"/>
              </w:rPr>
              <w:t>243,711 </w:t>
            </w:r>
          </w:p>
        </w:tc>
        <w:tc>
          <w:tcPr>
            <w:tcW w:w="0" w:type="dxa"/>
            <w:vAlign w:val="bottom"/>
          </w:tcPr>
          <w:p>
            <w:pPr>
              <w:spacing w:after="0"/>
              <w:rPr>
                <w:sz w:val="1"/>
                <w:szCs w:val="1"/>
                <w:color w:val="auto"/>
              </w:rPr>
            </w:pPr>
          </w:p>
        </w:tc>
      </w:tr>
      <w:tr>
        <w:trPr>
          <w:trHeight w:val="196"/>
        </w:trPr>
        <w:tc>
          <w:tcPr>
            <w:tcW w:w="8140" w:type="dxa"/>
            <w:vAlign w:val="bottom"/>
            <w:gridSpan w:val="2"/>
          </w:tcPr>
          <w:p>
            <w:pPr>
              <w:spacing w:after="0"/>
              <w:rPr>
                <w:sz w:val="20"/>
                <w:szCs w:val="20"/>
                <w:color w:val="auto"/>
              </w:rPr>
            </w:pPr>
            <w:r>
              <w:rPr>
                <w:rFonts w:ascii="Arial" w:cs="Arial" w:eastAsia="Arial" w:hAnsi="Arial"/>
                <w:sz w:val="16"/>
                <w:szCs w:val="16"/>
                <w:color w:val="auto"/>
              </w:rPr>
              <w:t>Amortization of initial direct costs of leases</w:t>
            </w: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w w:val="82"/>
              </w:rPr>
              <w:t> $</w:t>
            </w:r>
          </w:p>
        </w:tc>
        <w:tc>
          <w:tcPr>
            <w:tcW w:w="7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31,208</w:t>
            </w:r>
          </w:p>
        </w:tc>
        <w:tc>
          <w:tcPr>
            <w:tcW w:w="28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w w:val="98"/>
              </w:rPr>
              <w:t> $</w:t>
            </w:r>
          </w:p>
        </w:tc>
        <w:tc>
          <w:tcPr>
            <w:tcW w:w="7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27,268</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26,051 </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8140" w:type="dxa"/>
            <w:vAlign w:val="bottom"/>
            <w:gridSpan w:val="2"/>
            <w:shd w:val="clear" w:color="auto" w:fill="EAEFED"/>
          </w:tcPr>
          <w:p>
            <w:pPr>
              <w:ind w:left="160"/>
              <w:spacing w:after="0"/>
              <w:rPr>
                <w:sz w:val="20"/>
                <w:szCs w:val="20"/>
                <w:color w:val="auto"/>
              </w:rPr>
            </w:pPr>
            <w:r>
              <w:rPr>
                <w:rFonts w:ascii="Arial" w:cs="Arial" w:eastAsia="Arial" w:hAnsi="Arial"/>
                <w:sz w:val="16"/>
                <w:szCs w:val="16"/>
                <w:color w:val="auto"/>
              </w:rPr>
              <w:t>Funds from operations</w:t>
            </w:r>
          </w:p>
        </w:tc>
        <w:tc>
          <w:tcPr>
            <w:tcW w:w="140" w:type="dxa"/>
            <w:vAlign w:val="bottom"/>
            <w:shd w:val="clear" w:color="auto" w:fill="EAEFED"/>
          </w:tcPr>
          <w:p>
            <w:pPr>
              <w:ind w:left="20"/>
              <w:spacing w:after="0"/>
              <w:rPr>
                <w:sz w:val="20"/>
                <w:szCs w:val="20"/>
                <w:color w:val="auto"/>
              </w:rPr>
            </w:pPr>
            <w:r>
              <w:rPr>
                <w:rFonts w:ascii="Arial" w:cs="Arial" w:eastAsia="Arial" w:hAnsi="Arial"/>
                <w:sz w:val="16"/>
                <w:szCs w:val="16"/>
                <w:color w:val="auto"/>
                <w:w w:val="82"/>
              </w:rPr>
              <w:t> $</w:t>
            </w:r>
          </w:p>
        </w:tc>
        <w:tc>
          <w:tcPr>
            <w:tcW w:w="740" w:type="dxa"/>
            <w:vAlign w:val="bottom"/>
            <w:shd w:val="clear" w:color="auto" w:fill="EAEFED"/>
          </w:tcPr>
          <w:p>
            <w:pPr>
              <w:jc w:val="right"/>
              <w:ind w:right="39"/>
              <w:spacing w:after="0"/>
              <w:rPr>
                <w:sz w:val="20"/>
                <w:szCs w:val="20"/>
                <w:color w:val="auto"/>
              </w:rPr>
            </w:pPr>
            <w:r>
              <w:rPr>
                <w:rFonts w:ascii="Arial" w:cs="Arial" w:eastAsia="Arial" w:hAnsi="Arial"/>
                <w:sz w:val="16"/>
                <w:szCs w:val="16"/>
                <w:color w:val="auto"/>
              </w:rPr>
              <w:t>544,001</w:t>
            </w:r>
          </w:p>
        </w:tc>
        <w:tc>
          <w:tcPr>
            <w:tcW w:w="280" w:type="dxa"/>
            <w:vAlign w:val="bottom"/>
            <w:shd w:val="clear" w:color="auto" w:fill="EAEFED"/>
          </w:tcPr>
          <w:p>
            <w:pPr>
              <w:ind w:left="140"/>
              <w:spacing w:after="0"/>
              <w:rPr>
                <w:sz w:val="20"/>
                <w:szCs w:val="20"/>
                <w:color w:val="auto"/>
              </w:rPr>
            </w:pPr>
            <w:r>
              <w:rPr>
                <w:rFonts w:ascii="Arial" w:cs="Arial" w:eastAsia="Arial" w:hAnsi="Arial"/>
                <w:sz w:val="16"/>
                <w:szCs w:val="16"/>
                <w:color w:val="auto"/>
                <w:w w:val="98"/>
              </w:rPr>
              <w:t> $</w:t>
            </w:r>
          </w:p>
        </w:tc>
        <w:tc>
          <w:tcPr>
            <w:tcW w:w="740" w:type="dxa"/>
            <w:vAlign w:val="bottom"/>
            <w:shd w:val="clear" w:color="auto" w:fill="EAEFED"/>
          </w:tcPr>
          <w:p>
            <w:pPr>
              <w:jc w:val="right"/>
              <w:ind w:right="59"/>
              <w:spacing w:after="0"/>
              <w:rPr>
                <w:sz w:val="20"/>
                <w:szCs w:val="20"/>
                <w:color w:val="auto"/>
              </w:rPr>
            </w:pPr>
            <w:r>
              <w:rPr>
                <w:rFonts w:ascii="Arial" w:cs="Arial" w:eastAsia="Arial" w:hAnsi="Arial"/>
                <w:sz w:val="16"/>
                <w:szCs w:val="16"/>
                <w:color w:val="auto"/>
              </w:rPr>
              <w:t>515,643</w:t>
            </w:r>
          </w:p>
        </w:tc>
        <w:tc>
          <w:tcPr>
            <w:tcW w:w="220" w:type="dxa"/>
            <w:vAlign w:val="bottom"/>
            <w:shd w:val="clear" w:color="auto" w:fill="EAEFED"/>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EAEFED"/>
          </w:tcPr>
          <w:p>
            <w:pPr>
              <w:jc w:val="right"/>
              <w:ind w:right="100"/>
              <w:spacing w:after="0"/>
              <w:rPr>
                <w:sz w:val="20"/>
                <w:szCs w:val="20"/>
                <w:color w:val="auto"/>
              </w:rPr>
            </w:pPr>
            <w:r>
              <w:rPr>
                <w:rFonts w:ascii="Arial" w:cs="Arial" w:eastAsia="Arial" w:hAnsi="Arial"/>
                <w:sz w:val="16"/>
                <w:szCs w:val="16"/>
                <w:color w:val="auto"/>
                <w:w w:val="97"/>
              </w:rPr>
              <w:t>441,368 </w:t>
            </w:r>
          </w:p>
        </w:tc>
        <w:tc>
          <w:tcPr>
            <w:tcW w:w="0" w:type="dxa"/>
            <w:vAlign w:val="bottom"/>
          </w:tcPr>
          <w:p>
            <w:pPr>
              <w:spacing w:after="0"/>
              <w:rPr>
                <w:sz w:val="1"/>
                <w:szCs w:val="1"/>
                <w:color w:val="auto"/>
              </w:rPr>
            </w:pPr>
          </w:p>
        </w:tc>
      </w:tr>
      <w:tr>
        <w:trPr>
          <w:trHeight w:val="189"/>
        </w:trPr>
        <w:tc>
          <w:tcPr>
            <w:tcW w:w="8140" w:type="dxa"/>
            <w:vAlign w:val="bottom"/>
            <w:gridSpan w:val="2"/>
          </w:tcPr>
          <w:p>
            <w:pPr>
              <w:spacing w:after="0" w:line="189" w:lineRule="exact"/>
              <w:rPr>
                <w:sz w:val="20"/>
                <w:szCs w:val="20"/>
                <w:color w:val="auto"/>
              </w:rPr>
            </w:pPr>
            <w:r>
              <w:rPr>
                <w:rFonts w:ascii="Arial" w:cs="Arial" w:eastAsia="Arial" w:hAnsi="Arial"/>
                <w:sz w:val="14"/>
                <w:szCs w:val="14"/>
                <w:color w:val="auto"/>
              </w:rPr>
              <w:t>Dividends on preferred shares</w:t>
            </w:r>
            <w:r>
              <w:rPr>
                <w:rFonts w:ascii="Arial" w:cs="Arial" w:eastAsia="Arial" w:hAnsi="Arial"/>
                <w:sz w:val="21"/>
                <w:szCs w:val="21"/>
                <w:color w:val="auto"/>
                <w:vertAlign w:val="superscript"/>
              </w:rPr>
              <w:t>(1)</w:t>
            </w:r>
          </w:p>
        </w:tc>
        <w:tc>
          <w:tcPr>
            <w:tcW w:w="140" w:type="dxa"/>
            <w:vAlign w:val="bottom"/>
          </w:tcPr>
          <w:p>
            <w:pPr>
              <w:ind w:left="20"/>
              <w:spacing w:after="0"/>
              <w:rPr>
                <w:sz w:val="20"/>
                <w:szCs w:val="20"/>
                <w:color w:val="auto"/>
              </w:rPr>
            </w:pPr>
            <w:r>
              <w:rPr>
                <w:rFonts w:ascii="Arial" w:cs="Arial" w:eastAsia="Arial" w:hAnsi="Arial"/>
                <w:sz w:val="16"/>
                <w:szCs w:val="16"/>
                <w:color w:val="auto"/>
                <w:w w:val="82"/>
              </w:rPr>
              <w:t> $</w:t>
            </w: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(7,500)</w:t>
            </w:r>
          </w:p>
        </w:tc>
        <w:tc>
          <w:tcPr>
            <w:tcW w:w="280" w:type="dxa"/>
            <w:vAlign w:val="bottom"/>
          </w:tcPr>
          <w:p>
            <w:pPr>
              <w:ind w:left="140"/>
              <w:spacing w:after="0"/>
              <w:rPr>
                <w:sz w:val="20"/>
                <w:szCs w:val="20"/>
                <w:color w:val="auto"/>
              </w:rPr>
            </w:pPr>
            <w:r>
              <w:rPr>
                <w:rFonts w:ascii="Arial" w:cs="Arial" w:eastAsia="Arial" w:hAnsi="Arial"/>
                <w:sz w:val="16"/>
                <w:szCs w:val="16"/>
                <w:color w:val="auto"/>
                <w:w w:val="98"/>
              </w:rPr>
              <w:t> $</w:t>
            </w: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(7,500)</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 xml:space="preserve">(8,042) </w:t>
            </w:r>
          </w:p>
        </w:tc>
        <w:tc>
          <w:tcPr>
            <w:tcW w:w="0" w:type="dxa"/>
            <w:vAlign w:val="bottom"/>
          </w:tcPr>
          <w:p>
            <w:pPr>
              <w:spacing w:after="0"/>
              <w:rPr>
                <w:sz w:val="1"/>
                <w:szCs w:val="1"/>
                <w:color w:val="auto"/>
              </w:rPr>
            </w:pPr>
          </w:p>
        </w:tc>
      </w:tr>
      <w:tr>
        <w:trPr>
          <w:trHeight w:val="189"/>
        </w:trPr>
        <w:tc>
          <w:tcPr>
            <w:tcW w:w="8140" w:type="dxa"/>
            <w:vAlign w:val="bottom"/>
            <w:gridSpan w:val="2"/>
            <w:shd w:val="clear" w:color="auto" w:fill="EAEFED"/>
          </w:tcPr>
          <w:p>
            <w:pPr>
              <w:spacing w:after="0"/>
              <w:rPr>
                <w:sz w:val="20"/>
                <w:szCs w:val="20"/>
                <w:color w:val="auto"/>
              </w:rPr>
            </w:pPr>
            <w:r>
              <w:rPr>
                <w:rFonts w:ascii="Arial" w:cs="Arial" w:eastAsia="Arial" w:hAnsi="Arial"/>
                <w:sz w:val="16"/>
                <w:szCs w:val="16"/>
                <w:color w:val="auto"/>
              </w:rPr>
              <w:t>Income attributable to downREIT operating partnership units</w:t>
            </w:r>
          </w:p>
        </w:tc>
        <w:tc>
          <w:tcPr>
            <w:tcW w:w="140" w:type="dxa"/>
            <w:vAlign w:val="bottom"/>
            <w:shd w:val="clear" w:color="auto" w:fill="EAEFED"/>
          </w:tcPr>
          <w:p>
            <w:pPr>
              <w:ind w:left="20"/>
              <w:spacing w:after="0"/>
              <w:rPr>
                <w:sz w:val="20"/>
                <w:szCs w:val="20"/>
                <w:color w:val="auto"/>
              </w:rPr>
            </w:pPr>
            <w:r>
              <w:rPr>
                <w:rFonts w:ascii="Arial" w:cs="Arial" w:eastAsia="Arial" w:hAnsi="Arial"/>
                <w:sz w:val="16"/>
                <w:szCs w:val="16"/>
                <w:color w:val="auto"/>
                <w:w w:val="82"/>
              </w:rPr>
              <w:t> $</w:t>
            </w:r>
          </w:p>
        </w:tc>
        <w:tc>
          <w:tcPr>
            <w:tcW w:w="740" w:type="dxa"/>
            <w:vAlign w:val="bottom"/>
            <w:shd w:val="clear" w:color="auto" w:fill="EAEFED"/>
          </w:tcPr>
          <w:p>
            <w:pPr>
              <w:jc w:val="right"/>
              <w:ind w:right="39"/>
              <w:spacing w:after="0"/>
              <w:rPr>
                <w:sz w:val="20"/>
                <w:szCs w:val="20"/>
                <w:color w:val="auto"/>
              </w:rPr>
            </w:pPr>
            <w:r>
              <w:rPr>
                <w:rFonts w:ascii="Arial" w:cs="Arial" w:eastAsia="Arial" w:hAnsi="Arial"/>
                <w:sz w:val="16"/>
                <w:szCs w:val="16"/>
                <w:color w:val="auto"/>
              </w:rPr>
              <w:t>2,767</w:t>
            </w:r>
          </w:p>
        </w:tc>
        <w:tc>
          <w:tcPr>
            <w:tcW w:w="280" w:type="dxa"/>
            <w:vAlign w:val="bottom"/>
            <w:shd w:val="clear" w:color="auto" w:fill="EAEFED"/>
          </w:tcPr>
          <w:p>
            <w:pPr>
              <w:ind w:left="140"/>
              <w:spacing w:after="0"/>
              <w:rPr>
                <w:sz w:val="20"/>
                <w:szCs w:val="20"/>
                <w:color w:val="auto"/>
              </w:rPr>
            </w:pPr>
            <w:r>
              <w:rPr>
                <w:rFonts w:ascii="Arial" w:cs="Arial" w:eastAsia="Arial" w:hAnsi="Arial"/>
                <w:sz w:val="16"/>
                <w:szCs w:val="16"/>
                <w:color w:val="auto"/>
                <w:w w:val="98"/>
              </w:rPr>
              <w:t> $</w:t>
            </w:r>
          </w:p>
        </w:tc>
        <w:tc>
          <w:tcPr>
            <w:tcW w:w="740" w:type="dxa"/>
            <w:vAlign w:val="bottom"/>
            <w:shd w:val="clear" w:color="auto" w:fill="EAEFED"/>
          </w:tcPr>
          <w:p>
            <w:pPr>
              <w:jc w:val="right"/>
              <w:ind w:right="59"/>
              <w:spacing w:after="0"/>
              <w:rPr>
                <w:sz w:val="20"/>
                <w:szCs w:val="20"/>
                <w:color w:val="auto"/>
              </w:rPr>
            </w:pPr>
            <w:r>
              <w:rPr>
                <w:rFonts w:ascii="Arial" w:cs="Arial" w:eastAsia="Arial" w:hAnsi="Arial"/>
                <w:sz w:val="16"/>
                <w:szCs w:val="16"/>
                <w:color w:val="auto"/>
              </w:rPr>
              <w:t>2,810</w:t>
            </w:r>
          </w:p>
        </w:tc>
        <w:tc>
          <w:tcPr>
            <w:tcW w:w="220" w:type="dxa"/>
            <w:vAlign w:val="bottom"/>
            <w:shd w:val="clear" w:color="auto" w:fill="EAEFED"/>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EAEFED"/>
          </w:tcPr>
          <w:p>
            <w:pPr>
              <w:jc w:val="right"/>
              <w:ind w:right="100"/>
              <w:spacing w:after="0"/>
              <w:rPr>
                <w:sz w:val="20"/>
                <w:szCs w:val="20"/>
                <w:color w:val="auto"/>
              </w:rPr>
            </w:pPr>
            <w:r>
              <w:rPr>
                <w:rFonts w:ascii="Arial" w:cs="Arial" w:eastAsia="Arial" w:hAnsi="Arial"/>
                <w:sz w:val="16"/>
                <w:szCs w:val="16"/>
                <w:color w:val="auto"/>
              </w:rPr>
              <w:t>2,998 </w:t>
            </w:r>
          </w:p>
        </w:tc>
        <w:tc>
          <w:tcPr>
            <w:tcW w:w="0" w:type="dxa"/>
            <w:vAlign w:val="bottom"/>
          </w:tcPr>
          <w:p>
            <w:pPr>
              <w:spacing w:after="0"/>
              <w:rPr>
                <w:sz w:val="1"/>
                <w:szCs w:val="1"/>
                <w:color w:val="auto"/>
              </w:rPr>
            </w:pPr>
          </w:p>
        </w:tc>
      </w:tr>
      <w:tr>
        <w:trPr>
          <w:trHeight w:val="196"/>
        </w:trPr>
        <w:tc>
          <w:tcPr>
            <w:tcW w:w="8140" w:type="dxa"/>
            <w:vAlign w:val="bottom"/>
            <w:gridSpan w:val="2"/>
          </w:tcPr>
          <w:p>
            <w:pPr>
              <w:spacing w:after="0"/>
              <w:rPr>
                <w:sz w:val="20"/>
                <w:szCs w:val="20"/>
                <w:color w:val="auto"/>
              </w:rPr>
            </w:pPr>
            <w:r>
              <w:rPr>
                <w:rFonts w:ascii="Arial" w:cs="Arial" w:eastAsia="Arial" w:hAnsi="Arial"/>
                <w:sz w:val="16"/>
                <w:szCs w:val="16"/>
                <w:color w:val="auto"/>
              </w:rPr>
              <w:t>Income attributable to unvested shares</w:t>
            </w: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w w:val="82"/>
              </w:rPr>
              <w:t> $</w:t>
            </w:r>
          </w:p>
        </w:tc>
        <w:tc>
          <w:tcPr>
            <w:tcW w:w="7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(1,955)</w:t>
            </w:r>
          </w:p>
        </w:tc>
        <w:tc>
          <w:tcPr>
            <w:tcW w:w="28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w w:val="98"/>
              </w:rPr>
              <w:t> $</w:t>
            </w:r>
          </w:p>
        </w:tc>
        <w:tc>
          <w:tcPr>
            <w:tcW w:w="7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(1,797)</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xml:space="preserve">(1,581) </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8140" w:type="dxa"/>
            <w:vAlign w:val="bottom"/>
            <w:gridSpan w:val="2"/>
            <w:shd w:val="clear" w:color="auto" w:fill="EAEFED"/>
          </w:tcPr>
          <w:p>
            <w:pPr>
              <w:ind w:left="160"/>
              <w:spacing w:after="0"/>
              <w:rPr>
                <w:sz w:val="20"/>
                <w:szCs w:val="20"/>
                <w:color w:val="auto"/>
              </w:rPr>
            </w:pPr>
            <w:r>
              <w:rPr>
                <w:rFonts w:ascii="Arial" w:cs="Arial" w:eastAsia="Arial" w:hAnsi="Arial"/>
                <w:sz w:val="16"/>
                <w:szCs w:val="16"/>
                <w:color w:val="auto"/>
              </w:rPr>
              <w:t>Funds from operations available for common shareholders</w:t>
            </w:r>
          </w:p>
        </w:tc>
        <w:tc>
          <w:tcPr>
            <w:tcW w:w="140" w:type="dxa"/>
            <w:vAlign w:val="bottom"/>
            <w:tcBorders>
              <w:bottom w:val="single" w:sz="8" w:color="auto"/>
            </w:tcBorders>
            <w:shd w:val="clear" w:color="auto" w:fill="EAEFED"/>
          </w:tcPr>
          <w:p>
            <w:pPr>
              <w:ind w:left="20"/>
              <w:spacing w:after="0"/>
              <w:rPr>
                <w:sz w:val="20"/>
                <w:szCs w:val="20"/>
                <w:color w:val="auto"/>
              </w:rPr>
            </w:pPr>
            <w:r>
              <w:rPr>
                <w:rFonts w:ascii="Arial" w:cs="Arial" w:eastAsia="Arial" w:hAnsi="Arial"/>
                <w:sz w:val="16"/>
                <w:szCs w:val="16"/>
                <w:color w:val="auto"/>
                <w:w w:val="82"/>
              </w:rPr>
              <w:t> $</w:t>
            </w:r>
          </w:p>
        </w:tc>
        <w:tc>
          <w:tcPr>
            <w:tcW w:w="740" w:type="dxa"/>
            <w:vAlign w:val="bottom"/>
            <w:tcBorders>
              <w:bottom w:val="single" w:sz="8" w:color="auto"/>
            </w:tcBorders>
            <w:shd w:val="clear" w:color="auto" w:fill="EAEFED"/>
          </w:tcPr>
          <w:p>
            <w:pPr>
              <w:jc w:val="right"/>
              <w:ind w:right="39"/>
              <w:spacing w:after="0"/>
              <w:rPr>
                <w:sz w:val="20"/>
                <w:szCs w:val="20"/>
                <w:color w:val="auto"/>
              </w:rPr>
            </w:pPr>
            <w:r>
              <w:rPr>
                <w:rFonts w:ascii="Arial" w:cs="Arial" w:eastAsia="Arial" w:hAnsi="Arial"/>
                <w:sz w:val="16"/>
                <w:szCs w:val="16"/>
                <w:color w:val="auto"/>
              </w:rPr>
              <w:t>537,313</w:t>
            </w:r>
          </w:p>
        </w:tc>
        <w:tc>
          <w:tcPr>
            <w:tcW w:w="280" w:type="dxa"/>
            <w:vAlign w:val="bottom"/>
            <w:tcBorders>
              <w:bottom w:val="single" w:sz="8" w:color="auto"/>
            </w:tcBorders>
            <w:shd w:val="clear" w:color="auto" w:fill="EAEFED"/>
          </w:tcPr>
          <w:p>
            <w:pPr>
              <w:ind w:left="140"/>
              <w:spacing w:after="0"/>
              <w:rPr>
                <w:sz w:val="20"/>
                <w:szCs w:val="20"/>
                <w:color w:val="auto"/>
              </w:rPr>
            </w:pPr>
            <w:r>
              <w:rPr>
                <w:rFonts w:ascii="Arial" w:cs="Arial" w:eastAsia="Arial" w:hAnsi="Arial"/>
                <w:sz w:val="16"/>
                <w:szCs w:val="16"/>
                <w:color w:val="auto"/>
                <w:w w:val="98"/>
              </w:rPr>
              <w:t> $</w:t>
            </w:r>
          </w:p>
        </w:tc>
        <w:tc>
          <w:tcPr>
            <w:tcW w:w="740" w:type="dxa"/>
            <w:vAlign w:val="bottom"/>
            <w:tcBorders>
              <w:bottom w:val="single" w:sz="8" w:color="auto"/>
            </w:tcBorders>
            <w:shd w:val="clear" w:color="auto" w:fill="EAEFED"/>
          </w:tcPr>
          <w:p>
            <w:pPr>
              <w:jc w:val="right"/>
              <w:ind w:right="59"/>
              <w:spacing w:after="0"/>
              <w:rPr>
                <w:sz w:val="20"/>
                <w:szCs w:val="20"/>
                <w:color w:val="auto"/>
              </w:rPr>
            </w:pPr>
            <w:r>
              <w:rPr>
                <w:rFonts w:ascii="Arial" w:cs="Arial" w:eastAsia="Arial" w:hAnsi="Arial"/>
                <w:sz w:val="16"/>
                <w:szCs w:val="16"/>
                <w:color w:val="auto"/>
              </w:rPr>
              <w:t>509,156</w:t>
            </w:r>
          </w:p>
        </w:tc>
        <w:tc>
          <w:tcPr>
            <w:tcW w:w="220" w:type="dxa"/>
            <w:vAlign w:val="bottom"/>
            <w:tcBorders>
              <w:bottom w:val="single" w:sz="8" w:color="auto"/>
            </w:tcBorders>
            <w:shd w:val="clear" w:color="auto" w:fill="EAEFED"/>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EAEFED"/>
          </w:tcPr>
          <w:p>
            <w:pPr>
              <w:jc w:val="right"/>
              <w:spacing w:after="0"/>
              <w:rPr>
                <w:sz w:val="20"/>
                <w:szCs w:val="20"/>
                <w:color w:val="auto"/>
              </w:rPr>
            </w:pPr>
            <w:r>
              <w:rPr>
                <w:rFonts w:ascii="Arial" w:cs="Arial" w:eastAsia="Arial" w:hAnsi="Arial"/>
                <w:sz w:val="16"/>
                <w:szCs w:val="16"/>
                <w:color w:val="auto"/>
                <w:w w:val="97"/>
              </w:rPr>
              <w:t>434,743 </w:t>
            </w:r>
          </w:p>
        </w:tc>
        <w:tc>
          <w:tcPr>
            <w:tcW w:w="60" w:type="dxa"/>
            <w:vAlign w:val="bottom"/>
            <w:shd w:val="clear" w:color="auto" w:fill="EAEFED"/>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140" w:type="dxa"/>
            <w:vAlign w:val="bottom"/>
            <w:gridSpan w:val="2"/>
            <w:vMerge w:val="restart"/>
          </w:tcPr>
          <w:p>
            <w:pPr>
              <w:spacing w:after="0" w:line="222" w:lineRule="exact"/>
              <w:rPr>
                <w:sz w:val="20"/>
                <w:szCs w:val="20"/>
                <w:color w:val="auto"/>
              </w:rPr>
            </w:pPr>
            <w:r>
              <w:rPr>
                <w:rFonts w:ascii="Arial" w:cs="Arial" w:eastAsia="Arial" w:hAnsi="Arial"/>
                <w:sz w:val="16"/>
                <w:szCs w:val="16"/>
                <w:color w:val="auto"/>
              </w:rPr>
              <w:t>Weighted average number of common shares, diluted</w:t>
            </w:r>
            <w:r>
              <w:rPr>
                <w:rFonts w:ascii="Arial" w:cs="Arial" w:eastAsia="Arial" w:hAnsi="Arial"/>
                <w:sz w:val="24"/>
                <w:szCs w:val="24"/>
                <w:color w:val="auto"/>
                <w:vertAlign w:val="superscript"/>
              </w:rPr>
              <w:t>(1)(2)</w:t>
            </w: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140" w:type="dxa"/>
            <w:vAlign w:val="bottom"/>
            <w:gridSpan w:val="2"/>
            <w:vMerge w:val="continue"/>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82,044</w:t>
            </w:r>
          </w:p>
        </w:tc>
        <w:tc>
          <w:tcPr>
            <w:tcW w:w="28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80,603</w:t>
            </w:r>
          </w:p>
        </w:tc>
        <w:tc>
          <w:tcPr>
            <w:tcW w:w="22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78,072 </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140" w:type="dxa"/>
            <w:vAlign w:val="bottom"/>
            <w:gridSpan w:val="2"/>
            <w:shd w:val="clear" w:color="auto" w:fill="EAEFED"/>
          </w:tcPr>
          <w:p>
            <w:pPr>
              <w:spacing w:after="0"/>
              <w:rPr>
                <w:sz w:val="20"/>
                <w:szCs w:val="20"/>
                <w:color w:val="auto"/>
              </w:rPr>
            </w:pPr>
            <w:r>
              <w:rPr>
                <w:rFonts w:ascii="Arial" w:cs="Arial" w:eastAsia="Arial" w:hAnsi="Arial"/>
                <w:sz w:val="16"/>
                <w:szCs w:val="16"/>
                <w:color w:val="auto"/>
              </w:rPr>
              <w:t>Funds from operations available for common shareholders, per diluted share</w:t>
            </w:r>
          </w:p>
        </w:tc>
        <w:tc>
          <w:tcPr>
            <w:tcW w:w="140" w:type="dxa"/>
            <w:vAlign w:val="bottom"/>
            <w:shd w:val="clear" w:color="auto" w:fill="EAEFED"/>
          </w:tcPr>
          <w:p>
            <w:pPr>
              <w:ind w:left="20"/>
              <w:spacing w:after="0"/>
              <w:rPr>
                <w:sz w:val="20"/>
                <w:szCs w:val="20"/>
                <w:color w:val="auto"/>
              </w:rPr>
            </w:pPr>
            <w:r>
              <w:rPr>
                <w:rFonts w:ascii="Arial" w:cs="Arial" w:eastAsia="Arial" w:hAnsi="Arial"/>
                <w:sz w:val="16"/>
                <w:szCs w:val="16"/>
                <w:color w:val="auto"/>
                <w:w w:val="82"/>
              </w:rPr>
              <w:t> $</w:t>
            </w:r>
          </w:p>
        </w:tc>
        <w:tc>
          <w:tcPr>
            <w:tcW w:w="740" w:type="dxa"/>
            <w:vAlign w:val="bottom"/>
            <w:shd w:val="clear" w:color="auto" w:fill="EAEFED"/>
          </w:tcPr>
          <w:p>
            <w:pPr>
              <w:jc w:val="right"/>
              <w:ind w:right="39"/>
              <w:spacing w:after="0"/>
              <w:rPr>
                <w:sz w:val="20"/>
                <w:szCs w:val="20"/>
                <w:color w:val="auto"/>
              </w:rPr>
            </w:pPr>
            <w:r>
              <w:rPr>
                <w:rFonts w:ascii="Arial" w:cs="Arial" w:eastAsia="Arial" w:hAnsi="Arial"/>
                <w:sz w:val="16"/>
                <w:szCs w:val="16"/>
                <w:color w:val="auto"/>
              </w:rPr>
              <w:t>6.55</w:t>
            </w:r>
          </w:p>
        </w:tc>
        <w:tc>
          <w:tcPr>
            <w:tcW w:w="280" w:type="dxa"/>
            <w:vAlign w:val="bottom"/>
            <w:shd w:val="clear" w:color="auto" w:fill="EAEFED"/>
          </w:tcPr>
          <w:p>
            <w:pPr>
              <w:ind w:left="140"/>
              <w:spacing w:after="0"/>
              <w:rPr>
                <w:sz w:val="20"/>
                <w:szCs w:val="20"/>
                <w:color w:val="auto"/>
              </w:rPr>
            </w:pPr>
            <w:r>
              <w:rPr>
                <w:rFonts w:ascii="Arial" w:cs="Arial" w:eastAsia="Arial" w:hAnsi="Arial"/>
                <w:sz w:val="16"/>
                <w:szCs w:val="16"/>
                <w:color w:val="auto"/>
                <w:w w:val="98"/>
              </w:rPr>
              <w:t> $</w:t>
            </w:r>
          </w:p>
        </w:tc>
        <w:tc>
          <w:tcPr>
            <w:tcW w:w="740" w:type="dxa"/>
            <w:vAlign w:val="bottom"/>
            <w:shd w:val="clear" w:color="auto" w:fill="EAEFED"/>
          </w:tcPr>
          <w:p>
            <w:pPr>
              <w:jc w:val="right"/>
              <w:ind w:right="59"/>
              <w:spacing w:after="0"/>
              <w:rPr>
                <w:sz w:val="20"/>
                <w:szCs w:val="20"/>
                <w:color w:val="auto"/>
              </w:rPr>
            </w:pPr>
            <w:r>
              <w:rPr>
                <w:rFonts w:ascii="Arial" w:cs="Arial" w:eastAsia="Arial" w:hAnsi="Arial"/>
                <w:sz w:val="16"/>
                <w:szCs w:val="16"/>
                <w:color w:val="auto"/>
              </w:rPr>
              <w:t>6.32</w:t>
            </w:r>
          </w:p>
        </w:tc>
        <w:tc>
          <w:tcPr>
            <w:tcW w:w="220" w:type="dxa"/>
            <w:vAlign w:val="bottom"/>
            <w:shd w:val="clear" w:color="auto" w:fill="EAEFED"/>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EAEFED"/>
          </w:tcPr>
          <w:p>
            <w:pPr>
              <w:jc w:val="right"/>
              <w:ind w:right="100"/>
              <w:spacing w:after="0"/>
              <w:rPr>
                <w:sz w:val="20"/>
                <w:szCs w:val="20"/>
                <w:color w:val="auto"/>
              </w:rPr>
            </w:pPr>
            <w:r>
              <w:rPr>
                <w:rFonts w:ascii="Arial" w:cs="Arial" w:eastAsia="Arial" w:hAnsi="Arial"/>
                <w:sz w:val="16"/>
                <w:szCs w:val="16"/>
                <w:color w:val="auto"/>
              </w:rPr>
              <w:t>5.57 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5" w:lineRule="exact"/>
        <w:rPr>
          <w:sz w:val="20"/>
          <w:szCs w:val="20"/>
          <w:color w:val="auto"/>
        </w:rPr>
      </w:pPr>
    </w:p>
    <w:p>
      <w:pPr>
        <w:ind w:left="540" w:right="20" w:hanging="424"/>
        <w:spacing w:after="0" w:line="205" w:lineRule="auto"/>
        <w:tabs>
          <w:tab w:leader="none" w:pos="540" w:val="left"/>
        </w:tabs>
        <w:numPr>
          <w:ilvl w:val="0"/>
          <w:numId w:val="100"/>
        </w:numPr>
        <w:rPr>
          <w:rFonts w:ascii="Arial" w:cs="Arial" w:eastAsia="Arial" w:hAnsi="Arial"/>
          <w:sz w:val="24"/>
          <w:szCs w:val="24"/>
          <w:color w:val="auto"/>
          <w:vertAlign w:val="superscript"/>
        </w:rPr>
      </w:pPr>
      <w:r>
        <w:rPr>
          <w:rFonts w:ascii="Arial" w:cs="Arial" w:eastAsia="Arial" w:hAnsi="Arial"/>
          <w:sz w:val="16"/>
          <w:szCs w:val="16"/>
          <w:color w:val="auto"/>
        </w:rPr>
        <w:t>For the years ended December 31, 2023 and 2022, dividends on our Series 1 preferred stock were not deducted in the calculation of FFO available to common shareholders, as the related shares were dilutive and included in “weighted average number of common shares, diluted.”</w:t>
      </w:r>
    </w:p>
    <w:p>
      <w:pPr>
        <w:spacing w:after="0" w:line="1" w:lineRule="exact"/>
        <w:rPr>
          <w:rFonts w:ascii="Arial" w:cs="Arial" w:eastAsia="Arial" w:hAnsi="Arial"/>
          <w:sz w:val="24"/>
          <w:szCs w:val="24"/>
          <w:color w:val="auto"/>
          <w:vertAlign w:val="superscript"/>
        </w:rPr>
      </w:pPr>
    </w:p>
    <w:p>
      <w:pPr>
        <w:jc w:val="both"/>
        <w:ind w:left="540" w:right="20" w:hanging="424"/>
        <w:spacing w:after="0" w:line="214" w:lineRule="auto"/>
        <w:tabs>
          <w:tab w:leader="none" w:pos="540" w:val="left"/>
        </w:tabs>
        <w:numPr>
          <w:ilvl w:val="0"/>
          <w:numId w:val="100"/>
        </w:numPr>
        <w:rPr>
          <w:rFonts w:ascii="Arial" w:cs="Arial" w:eastAsia="Arial" w:hAnsi="Arial"/>
          <w:sz w:val="24"/>
          <w:szCs w:val="24"/>
          <w:color w:val="auto"/>
          <w:vertAlign w:val="superscript"/>
        </w:rPr>
      </w:pPr>
      <w:r>
        <w:rPr>
          <w:rFonts w:ascii="Arial" w:cs="Arial" w:eastAsia="Arial" w:hAnsi="Arial"/>
          <w:sz w:val="16"/>
          <w:szCs w:val="16"/>
          <w:color w:val="auto"/>
        </w:rPr>
        <w:t>The weighted average common shares used to compute FFO per diluted common share includes downREIT operating partnership units that were excluded from the computation of diluted EPS. Conversion of these operating partnership units is dilutive in the computation of FFO per diluted common share but is anti-dilutive for the computation of diluted EPS for 2023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88265</wp:posOffset>
            </wp:positionV>
            <wp:extent cx="7003415" cy="12001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003415" cy="120015"/>
                    </a:xfrm>
                    <a:prstGeom prst="rect">
                      <a:avLst/>
                    </a:prstGeom>
                    <a:noFill/>
                  </pic:spPr>
                </pic:pic>
              </a:graphicData>
            </a:graphic>
          </wp:anchor>
        </w:drawing>
      </w:r>
    </w:p>
    <w:p>
      <w:pPr>
        <w:spacing w:after="0" w:line="124" w:lineRule="exact"/>
        <w:rPr>
          <w:sz w:val="20"/>
          <w:szCs w:val="20"/>
          <w:color w:val="auto"/>
        </w:rPr>
      </w:pPr>
    </w:p>
    <w:p>
      <w:pPr>
        <w:ind w:left="8020"/>
        <w:spacing w:after="0"/>
        <w:rPr>
          <w:sz w:val="20"/>
          <w:szCs w:val="20"/>
          <w:color w:val="auto"/>
        </w:rPr>
      </w:pPr>
      <w:r>
        <w:rPr>
          <w:rFonts w:ascii="Arial" w:cs="Arial" w:eastAsia="Arial" w:hAnsi="Arial"/>
          <w:sz w:val="14"/>
          <w:szCs w:val="14"/>
          <w:color w:val="FF160F"/>
        </w:rPr>
        <w:t>Federal Realty</w:t>
      </w:r>
      <w:r>
        <w:rPr>
          <w:rFonts w:ascii="Arial" w:cs="Arial" w:eastAsia="Arial" w:hAnsi="Arial"/>
          <w:sz w:val="14"/>
          <w:szCs w:val="14"/>
          <w:color w:val="000000"/>
        </w:rPr>
        <w:t xml:space="preserve">      2024 Proxy Statement  A-1</w:t>
      </w:r>
    </w:p>
    <w:p>
      <w:pPr>
        <w:sectPr>
          <w:pgSz w:w="11900" w:h="16838" w:orient="portrait"/>
          <w:cols w:equalWidth="0" w:num="1">
            <w:col w:w="11140"/>
          </w:cols>
          <w:pgMar w:left="320" w:top="482" w:right="4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wp:posOffset>
            </wp:positionH>
            <wp:positionV relativeFrom="paragraph">
              <wp:posOffset>215265</wp:posOffset>
            </wp:positionV>
            <wp:extent cx="6360795" cy="82296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360795" cy="8229600"/>
                    </a:xfrm>
                    <a:prstGeom prst="rect">
                      <a:avLst/>
                    </a:prstGeom>
                    <a:noFill/>
                  </pic:spPr>
                </pic:pic>
              </a:graphicData>
            </a:graphic>
          </wp:anchor>
        </w:drawing>
      </w:r>
    </w:p>
    <w:p>
      <w:pPr>
        <w:sectPr>
          <w:pgSz w:w="11900" w:h="16838" w:orient="portrait"/>
          <w:cols w:equalWidth="0" w:num="1">
            <w:col w:w="10139"/>
          </w:cols>
          <w:pgMar w:left="320" w:top="482" w:right="1440"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wp:posOffset>
            </wp:positionH>
            <wp:positionV relativeFrom="paragraph">
              <wp:posOffset>215265</wp:posOffset>
            </wp:positionV>
            <wp:extent cx="6360795" cy="82296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360795" cy="8229600"/>
                    </a:xfrm>
                    <a:prstGeom prst="rect">
                      <a:avLst/>
                    </a:prstGeom>
                    <a:noFill/>
                  </pic:spPr>
                </pic:pic>
              </a:graphicData>
            </a:graphic>
          </wp:anchor>
        </w:drawing>
      </w:r>
    </w:p>
    <w:p>
      <w:pPr>
        <w:sectPr>
          <w:pgSz w:w="11900" w:h="16838" w:orient="portrait"/>
          <w:cols w:equalWidth="0" w:num="1">
            <w:col w:w="10139"/>
          </w:cols>
          <w:pgMar w:left="320" w:top="482" w:right="1440"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wp:posOffset>
            </wp:positionH>
            <wp:positionV relativeFrom="paragraph">
              <wp:posOffset>215265</wp:posOffset>
            </wp:positionV>
            <wp:extent cx="6360795" cy="82296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360795" cy="8229600"/>
                    </a:xfrm>
                    <a:prstGeom prst="rect">
                      <a:avLst/>
                    </a:prstGeom>
                    <a:noFill/>
                  </pic:spPr>
                </pic:pic>
              </a:graphicData>
            </a:graphic>
          </wp:anchor>
        </w:drawing>
      </w:r>
    </w:p>
    <w:p>
      <w:pPr>
        <w:sectPr>
          <w:pgSz w:w="11900" w:h="16838" w:orient="portrait"/>
          <w:cols w:equalWidth="0" w:num="1">
            <w:col w:w="10139"/>
          </w:cols>
          <w:pgMar w:left="320" w:top="482" w:right="1440"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wp:posOffset>
            </wp:positionH>
            <wp:positionV relativeFrom="paragraph">
              <wp:posOffset>215265</wp:posOffset>
            </wp:positionV>
            <wp:extent cx="6360795" cy="82296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360795" cy="8229600"/>
                    </a:xfrm>
                    <a:prstGeom prst="rect">
                      <a:avLst/>
                    </a:prstGeom>
                    <a:noFill/>
                  </pic:spPr>
                </pic:pic>
              </a:graphicData>
            </a:graphic>
          </wp:anchor>
        </w:drawing>
      </w:r>
    </w:p>
    <w:sectPr>
      <w:pgSz w:w="11900" w:h="16838" w:orient="portrait"/>
      <w:cols w:equalWidth="0" w:num="1">
        <w:col w:w="10139"/>
      </w:cols>
      <w:pgMar w:left="320" w:top="48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DC240FB"/>
    <w:multiLevelType w:val="hybridMultilevel"/>
    <w:lvl w:ilvl="0">
      <w:lvlJc w:val="left"/>
      <w:lvlText w:val="☐"/>
      <w:numFmt w:val="bullet"/>
      <w:start w:val="1"/>
    </w:lvl>
  </w:abstractNum>
  <w:abstractNum w:abstractNumId="1">
    <w:nsid w:val="1BA026FA"/>
    <w:multiLevelType w:val="hybridMultilevel"/>
    <w:lvl w:ilvl="0">
      <w:lvlJc w:val="left"/>
      <w:lvlText w:val="☒"/>
      <w:numFmt w:val="bullet"/>
      <w:start w:val="1"/>
    </w:lvl>
  </w:abstractNum>
  <w:abstractNum w:abstractNumId="2">
    <w:nsid w:val="79A1DEAA"/>
    <w:multiLevelType w:val="hybridMultilevel"/>
    <w:lvl w:ilvl="0">
      <w:lvlJc w:val="left"/>
      <w:lvlText w:val="☐"/>
      <w:numFmt w:val="bullet"/>
      <w:start w:val="1"/>
    </w:lvl>
  </w:abstractNum>
  <w:abstractNum w:abstractNumId="3">
    <w:nsid w:val="75C6C33A"/>
    <w:multiLevelType w:val="hybridMultilevel"/>
    <w:lvl w:ilvl="0">
      <w:lvlJc w:val="left"/>
      <w:lvlText w:val="☒"/>
      <w:numFmt w:val="bullet"/>
      <w:start w:val="1"/>
    </w:lvl>
  </w:abstractNum>
  <w:abstractNum w:abstractNumId="4">
    <w:nsid w:val="12E685FB"/>
    <w:multiLevelType w:val="hybridMultilevel"/>
    <w:lvl w:ilvl="0">
      <w:lvlJc w:val="left"/>
      <w:lvlText w:val="☐"/>
      <w:numFmt w:val="bullet"/>
      <w:start w:val="1"/>
    </w:lvl>
  </w:abstractNum>
  <w:abstractNum w:abstractNumId="5">
    <w:nsid w:val="70C6A529"/>
    <w:multiLevelType w:val="hybridMultilevel"/>
    <w:lvl w:ilvl="0">
      <w:lvlJc w:val="left"/>
      <w:lvlText w:val="➣"/>
      <w:numFmt w:val="bullet"/>
      <w:start w:val="1"/>
    </w:lvl>
  </w:abstractNum>
  <w:abstractNum w:abstractNumId="6">
    <w:nsid w:val="520EEDD1"/>
    <w:multiLevelType w:val="hybridMultilevel"/>
    <w:lvl w:ilvl="0">
      <w:lvlJc w:val="left"/>
      <w:lvlText w:val="*"/>
      <w:numFmt w:val="bullet"/>
      <w:start w:val="1"/>
    </w:lvl>
  </w:abstractNum>
  <w:abstractNum w:abstractNumId="7">
    <w:nsid w:val="374A3FE6"/>
    <w:multiLevelType w:val="hybridMultilevel"/>
    <w:lvl w:ilvl="0">
      <w:lvlJc w:val="left"/>
      <w:lvlText w:val="➣"/>
      <w:numFmt w:val="bullet"/>
      <w:start w:val="1"/>
    </w:lvl>
  </w:abstractNum>
  <w:abstractNum w:abstractNumId="8">
    <w:nsid w:val="4F4EF005"/>
    <w:multiLevelType w:val="hybridMultilevel"/>
    <w:lvl w:ilvl="0">
      <w:lvlJc w:val="left"/>
      <w:lvlText w:val="➣"/>
      <w:numFmt w:val="bullet"/>
      <w:start w:val="1"/>
    </w:lvl>
  </w:abstractNum>
  <w:abstractNum w:abstractNumId="9">
    <w:nsid w:val="23F9C13C"/>
    <w:multiLevelType w:val="hybridMultilevel"/>
    <w:lvl w:ilvl="0">
      <w:lvlJc w:val="left"/>
      <w:lvlText w:val="±"/>
      <w:numFmt w:val="bullet"/>
      <w:start w:val="1"/>
    </w:lvl>
  </w:abstractNum>
  <w:abstractNum w:abstractNumId="10">
    <w:nsid w:val="649BB77C"/>
    <w:multiLevelType w:val="hybridMultilevel"/>
    <w:lvl w:ilvl="0">
      <w:lvlJc w:val="left"/>
      <w:lvlText w:val="➣"/>
      <w:numFmt w:val="bullet"/>
      <w:start w:val="1"/>
    </w:lvl>
  </w:abstractNum>
  <w:abstractNum w:abstractNumId="11">
    <w:nsid w:val="275AC794"/>
    <w:multiLevelType w:val="hybridMultilevel"/>
    <w:lvl w:ilvl="0">
      <w:lvlJc w:val="left"/>
      <w:lvlText w:val="✓"/>
      <w:numFmt w:val="bullet"/>
      <w:start w:val="1"/>
    </w:lvl>
  </w:abstractNum>
  <w:abstractNum w:abstractNumId="12">
    <w:nsid w:val="39386575"/>
    <w:multiLevelType w:val="hybridMultilevel"/>
    <w:lvl w:ilvl="0">
      <w:lvlJc w:val="left"/>
      <w:lvlText w:val="✓"/>
      <w:numFmt w:val="bullet"/>
      <w:start w:val="1"/>
    </w:lvl>
  </w:abstractNum>
  <w:abstractNum w:abstractNumId="13">
    <w:nsid w:val="1CF10FD8"/>
    <w:multiLevelType w:val="hybridMultilevel"/>
    <w:lvl w:ilvl="0">
      <w:lvlJc w:val="left"/>
      <w:lvlText w:val="➣"/>
      <w:numFmt w:val="bullet"/>
      <w:start w:val="1"/>
    </w:lvl>
  </w:abstractNum>
  <w:abstractNum w:abstractNumId="14">
    <w:nsid w:val="180115BE"/>
    <w:multiLevelType w:val="hybridMultilevel"/>
    <w:lvl w:ilvl="0">
      <w:lvlJc w:val="left"/>
      <w:lvlText w:val=" "/>
      <w:numFmt w:val="bullet"/>
      <w:start w:val="1"/>
    </w:lvl>
  </w:abstractNum>
  <w:abstractNum w:abstractNumId="15">
    <w:nsid w:val="235BA861"/>
    <w:multiLevelType w:val="hybridMultilevel"/>
    <w:lvl w:ilvl="0">
      <w:lvlJc w:val="left"/>
      <w:lvlText w:val="➣"/>
      <w:numFmt w:val="bullet"/>
      <w:start w:val="1"/>
    </w:lvl>
  </w:abstractNum>
  <w:abstractNum w:abstractNumId="16">
    <w:nsid w:val="47398C89"/>
    <w:multiLevelType w:val="hybridMultilevel"/>
    <w:lvl w:ilvl="0">
      <w:lvlJc w:val="left"/>
      <w:lvlText w:val="Ø"/>
      <w:numFmt w:val="bullet"/>
      <w:start w:val="1"/>
    </w:lvl>
  </w:abstractNum>
  <w:abstractNum w:abstractNumId="17">
    <w:nsid w:val="354FE9F9"/>
    <w:multiLevelType w:val="hybridMultilevel"/>
    <w:lvl w:ilvl="0">
      <w:lvlJc w:val="left"/>
      <w:lvlText w:val="➣"/>
      <w:numFmt w:val="bullet"/>
      <w:start w:val="1"/>
    </w:lvl>
  </w:abstractNum>
  <w:abstractNum w:abstractNumId="18">
    <w:nsid w:val="15B5AF5C"/>
    <w:multiLevelType w:val="hybridMultilevel"/>
    <w:lvl w:ilvl="0">
      <w:lvlJc w:val="left"/>
      <w:lvlText w:val="*"/>
      <w:numFmt w:val="bullet"/>
      <w:start w:val="1"/>
    </w:lvl>
  </w:abstractNum>
  <w:abstractNum w:abstractNumId="19">
    <w:nsid w:val="741226BB"/>
    <w:multiLevelType w:val="hybridMultilevel"/>
    <w:lvl w:ilvl="0">
      <w:lvlJc w:val="left"/>
      <w:lvlText w:val="✓"/>
      <w:numFmt w:val="bullet"/>
      <w:start w:val="1"/>
    </w:lvl>
  </w:abstractNum>
  <w:abstractNum w:abstractNumId="20">
    <w:nsid w:val="D34B6A8"/>
    <w:multiLevelType w:val="hybridMultilevel"/>
    <w:lvl w:ilvl="0">
      <w:lvlJc w:val="left"/>
      <w:lvlText w:val="✓"/>
      <w:numFmt w:val="bullet"/>
      <w:start w:val="1"/>
    </w:lvl>
  </w:abstractNum>
  <w:abstractNum w:abstractNumId="21">
    <w:nsid w:val="10233C99"/>
    <w:multiLevelType w:val="hybridMultilevel"/>
    <w:lvl w:ilvl="0">
      <w:lvlJc w:val="left"/>
      <w:lvlText w:val="✓"/>
      <w:numFmt w:val="bullet"/>
      <w:start w:val="1"/>
    </w:lvl>
  </w:abstractNum>
  <w:abstractNum w:abstractNumId="22">
    <w:nsid w:val="3F6AB60F"/>
    <w:multiLevelType w:val="hybridMultilevel"/>
    <w:lvl w:ilvl="0">
      <w:lvlJc w:val="left"/>
      <w:lvlText w:val="Ø"/>
      <w:numFmt w:val="bullet"/>
      <w:start w:val="1"/>
    </w:lvl>
  </w:abstractNum>
  <w:abstractNum w:abstractNumId="23">
    <w:nsid w:val="61574095"/>
    <w:multiLevelType w:val="hybridMultilevel"/>
    <w:lvl w:ilvl="0">
      <w:lvlJc w:val="left"/>
      <w:lvlText w:val="✓"/>
      <w:numFmt w:val="bullet"/>
      <w:start w:val="1"/>
    </w:lvl>
  </w:abstractNum>
  <w:abstractNum w:abstractNumId="24">
    <w:nsid w:val="7E0C57B1"/>
    <w:multiLevelType w:val="hybridMultilevel"/>
    <w:lvl w:ilvl="0">
      <w:lvlJc w:val="left"/>
      <w:lvlText w:val="Ø"/>
      <w:numFmt w:val="bullet"/>
      <w:start w:val="1"/>
    </w:lvl>
  </w:abstractNum>
  <w:abstractNum w:abstractNumId="25">
    <w:nsid w:val="77AE35EB"/>
    <w:multiLevelType w:val="hybridMultilevel"/>
    <w:lvl w:ilvl="0">
      <w:lvlJc w:val="left"/>
      <w:lvlText w:val="∎"/>
      <w:numFmt w:val="bullet"/>
      <w:start w:val="1"/>
    </w:lvl>
  </w:abstractNum>
  <w:abstractNum w:abstractNumId="26">
    <w:nsid w:val="579BE4F1"/>
    <w:multiLevelType w:val="hybridMultilevel"/>
    <w:lvl w:ilvl="0">
      <w:lvlJc w:val="left"/>
      <w:lvlText w:val="∎"/>
      <w:numFmt w:val="bullet"/>
      <w:start w:val="1"/>
    </w:lvl>
  </w:abstractNum>
  <w:abstractNum w:abstractNumId="27">
    <w:nsid w:val="310C50B3"/>
    <w:multiLevelType w:val="hybridMultilevel"/>
    <w:lvl w:ilvl="0">
      <w:lvlJc w:val="left"/>
      <w:lvlText w:val="Ø"/>
      <w:numFmt w:val="bullet"/>
      <w:start w:val="1"/>
    </w:lvl>
  </w:abstractNum>
  <w:abstractNum w:abstractNumId="28">
    <w:nsid w:val="5FF87E05"/>
    <w:multiLevelType w:val="hybridMultilevel"/>
    <w:lvl w:ilvl="0">
      <w:lvlJc w:val="left"/>
      <w:lvlText w:val="Ø"/>
      <w:numFmt w:val="bullet"/>
      <w:start w:val="1"/>
    </w:lvl>
  </w:abstractNum>
  <w:abstractNum w:abstractNumId="29">
    <w:nsid w:val="2F305DEF"/>
    <w:multiLevelType w:val="hybridMultilevel"/>
    <w:lvl w:ilvl="0">
      <w:lvlJc w:val="left"/>
      <w:lvlText w:val="Ø"/>
      <w:numFmt w:val="bullet"/>
      <w:start w:val="1"/>
    </w:lvl>
  </w:abstractNum>
  <w:abstractNum w:abstractNumId="30">
    <w:nsid w:val="25A70BF7"/>
    <w:multiLevelType w:val="hybridMultilevel"/>
    <w:lvl w:ilvl="0">
      <w:lvlJc w:val="left"/>
      <w:lvlText w:val="Ø"/>
      <w:numFmt w:val="bullet"/>
      <w:start w:val="1"/>
    </w:lvl>
  </w:abstractNum>
  <w:abstractNum w:abstractNumId="31">
    <w:nsid w:val="1DBABF00"/>
    <w:multiLevelType w:val="hybridMultilevel"/>
    <w:lvl w:ilvl="0">
      <w:lvlJc w:val="left"/>
      <w:lvlText w:val="Ø"/>
      <w:numFmt w:val="bullet"/>
      <w:start w:val="1"/>
    </w:lvl>
  </w:abstractNum>
  <w:abstractNum w:abstractNumId="32">
    <w:nsid w:val="4AD084E9"/>
    <w:multiLevelType w:val="hybridMultilevel"/>
    <w:lvl w:ilvl="0">
      <w:lvlJc w:val="left"/>
      <w:lvlText w:val="Ø"/>
      <w:numFmt w:val="bullet"/>
      <w:start w:val="1"/>
    </w:lvl>
  </w:abstractNum>
  <w:abstractNum w:abstractNumId="33">
    <w:nsid w:val="1F48EAA1"/>
    <w:multiLevelType w:val="hybridMultilevel"/>
    <w:lvl w:ilvl="0">
      <w:lvlJc w:val="left"/>
      <w:lvlText w:val="➣"/>
      <w:numFmt w:val="bullet"/>
      <w:start w:val="1"/>
    </w:lvl>
  </w:abstractNum>
  <w:abstractNum w:abstractNumId="34">
    <w:nsid w:val="1381823A"/>
    <w:multiLevelType w:val="hybridMultilevel"/>
    <w:lvl w:ilvl="0">
      <w:lvlJc w:val="left"/>
      <w:lvlText w:val="➣"/>
      <w:numFmt w:val="bullet"/>
      <w:start w:val="1"/>
    </w:lvl>
  </w:abstractNum>
  <w:abstractNum w:abstractNumId="35">
    <w:nsid w:val="5DB70AE5"/>
    <w:multiLevelType w:val="hybridMultilevel"/>
    <w:lvl w:ilvl="0">
      <w:lvlJc w:val="left"/>
      <w:lvlText w:val="➣"/>
      <w:numFmt w:val="bullet"/>
      <w:start w:val="1"/>
    </w:lvl>
  </w:abstractNum>
  <w:abstractNum w:abstractNumId="36">
    <w:nsid w:val="100F8FCA"/>
    <w:multiLevelType w:val="hybridMultilevel"/>
    <w:lvl w:ilvl="0">
      <w:lvlJc w:val="left"/>
      <w:lvlText w:val="Ø"/>
      <w:numFmt w:val="bullet"/>
      <w:start w:val="1"/>
    </w:lvl>
  </w:abstractNum>
  <w:abstractNum w:abstractNumId="37">
    <w:nsid w:val="6590700B"/>
    <w:multiLevelType w:val="hybridMultilevel"/>
    <w:lvl w:ilvl="0">
      <w:lvlJc w:val="left"/>
      <w:lvlText w:val="(%1)"/>
      <w:numFmt w:val="decimal"/>
      <w:start w:val="1"/>
    </w:lvl>
  </w:abstractNum>
  <w:abstractNum w:abstractNumId="38">
    <w:nsid w:val="15014ACB"/>
    <w:multiLevelType w:val="hybridMultilevel"/>
    <w:lvl w:ilvl="0">
      <w:lvlJc w:val="left"/>
      <w:lvlText w:val=" "/>
      <w:numFmt w:val="bullet"/>
      <w:start w:val="1"/>
    </w:lvl>
  </w:abstractNum>
  <w:abstractNum w:abstractNumId="39">
    <w:nsid w:val="5F5E7FD0"/>
    <w:multiLevelType w:val="hybridMultilevel"/>
    <w:lvl w:ilvl="0">
      <w:lvlJc w:val="left"/>
      <w:lvlText w:val="➣"/>
      <w:numFmt w:val="bullet"/>
      <w:start w:val="1"/>
    </w:lvl>
  </w:abstractNum>
  <w:abstractNum w:abstractNumId="40">
    <w:nsid w:val="98A3148"/>
    <w:multiLevelType w:val="hybridMultilevel"/>
    <w:lvl w:ilvl="0">
      <w:lvlJc w:val="left"/>
      <w:lvlText w:val="*"/>
      <w:numFmt w:val="bullet"/>
      <w:start w:val="1"/>
    </w:lvl>
  </w:abstractNum>
  <w:abstractNum w:abstractNumId="41">
    <w:nsid w:val="799D0247"/>
    <w:multiLevelType w:val="hybridMultilevel"/>
    <w:lvl w:ilvl="0">
      <w:lvlJc w:val="left"/>
      <w:lvlText w:val="➣"/>
      <w:numFmt w:val="bullet"/>
      <w:start w:val="1"/>
    </w:lvl>
  </w:abstractNum>
  <w:abstractNum w:abstractNumId="42">
    <w:nsid w:val="6B94764"/>
    <w:multiLevelType w:val="hybridMultilevel"/>
    <w:lvl w:ilvl="0">
      <w:lvlJc w:val="left"/>
      <w:lvlText w:val="•"/>
      <w:numFmt w:val="bullet"/>
      <w:start w:val="1"/>
    </w:lvl>
  </w:abstractNum>
  <w:abstractNum w:abstractNumId="43">
    <w:nsid w:val="42C296BD"/>
    <w:multiLevelType w:val="hybridMultilevel"/>
    <w:lvl w:ilvl="0">
      <w:lvlJc w:val="left"/>
      <w:lvlText w:val="Ø"/>
      <w:numFmt w:val="bullet"/>
      <w:start w:val="1"/>
    </w:lvl>
  </w:abstractNum>
  <w:abstractNum w:abstractNumId="44">
    <w:nsid w:val="168E121F"/>
    <w:multiLevelType w:val="hybridMultilevel"/>
    <w:lvl w:ilvl="0">
      <w:lvlJc w:val="left"/>
      <w:lvlText w:val="Ø"/>
      <w:numFmt w:val="bullet"/>
      <w:start w:val="1"/>
    </w:lvl>
  </w:abstractNum>
  <w:abstractNum w:abstractNumId="45">
    <w:nsid w:val="1EBA5D23"/>
    <w:multiLevelType w:val="hybridMultilevel"/>
    <w:lvl w:ilvl="0">
      <w:lvlJc w:val="left"/>
      <w:lvlText w:val=" "/>
      <w:numFmt w:val="bullet"/>
      <w:start w:val="1"/>
    </w:lvl>
  </w:abstractNum>
  <w:abstractNum w:abstractNumId="46">
    <w:nsid w:val="661E3F1E"/>
    <w:multiLevelType w:val="hybridMultilevel"/>
    <w:lvl w:ilvl="0">
      <w:lvlJc w:val="left"/>
      <w:lvlText w:val="Ø"/>
      <w:numFmt w:val="bullet"/>
      <w:start w:val="1"/>
    </w:lvl>
  </w:abstractNum>
  <w:abstractNum w:abstractNumId="47">
    <w:nsid w:val="5DC79EA8"/>
    <w:multiLevelType w:val="hybridMultilevel"/>
    <w:lvl w:ilvl="0">
      <w:lvlJc w:val="left"/>
      <w:lvlText w:val="Ø"/>
      <w:numFmt w:val="bullet"/>
      <w:start w:val="1"/>
    </w:lvl>
  </w:abstractNum>
  <w:abstractNum w:abstractNumId="48">
    <w:nsid w:val="540A471C"/>
    <w:multiLevelType w:val="hybridMultilevel"/>
    <w:lvl w:ilvl="0">
      <w:lvlJc w:val="left"/>
      <w:lvlText w:val="Ø"/>
      <w:numFmt w:val="bullet"/>
      <w:start w:val="1"/>
    </w:lvl>
  </w:abstractNum>
  <w:abstractNum w:abstractNumId="49">
    <w:nsid w:val="7BD3EE7B"/>
    <w:multiLevelType w:val="hybridMultilevel"/>
    <w:lvl w:ilvl="0">
      <w:lvlJc w:val="left"/>
      <w:lvlText w:val="Ø"/>
      <w:numFmt w:val="bullet"/>
      <w:start w:val="1"/>
    </w:lvl>
  </w:abstractNum>
  <w:abstractNum w:abstractNumId="50">
    <w:nsid w:val="51D9C564"/>
    <w:multiLevelType w:val="hybridMultilevel"/>
    <w:lvl w:ilvl="0">
      <w:lvlJc w:val="left"/>
      <w:lvlText w:val=" "/>
      <w:numFmt w:val="bullet"/>
      <w:start w:val="1"/>
    </w:lvl>
  </w:abstractNum>
  <w:abstractNum w:abstractNumId="51">
    <w:nsid w:val="613EFDC5"/>
    <w:multiLevelType w:val="hybridMultilevel"/>
    <w:lvl w:ilvl="0">
      <w:lvlJc w:val="left"/>
      <w:lvlText w:val="Ø"/>
      <w:numFmt w:val="bullet"/>
      <w:start w:val="1"/>
    </w:lvl>
  </w:abstractNum>
  <w:abstractNum w:abstractNumId="52">
    <w:nsid w:val="BF72B14"/>
    <w:multiLevelType w:val="hybridMultilevel"/>
    <w:lvl w:ilvl="0">
      <w:lvlJc w:val="left"/>
      <w:lvlText w:val="Ø"/>
      <w:numFmt w:val="bullet"/>
      <w:start w:val="1"/>
    </w:lvl>
  </w:abstractNum>
  <w:abstractNum w:abstractNumId="53">
    <w:nsid w:val="11447B73"/>
    <w:multiLevelType w:val="hybridMultilevel"/>
    <w:lvl w:ilvl="0">
      <w:lvlJc w:val="left"/>
      <w:lvlText w:val=" "/>
      <w:numFmt w:val="bullet"/>
      <w:start w:val="1"/>
    </w:lvl>
  </w:abstractNum>
  <w:abstractNum w:abstractNumId="54">
    <w:nsid w:val="42963E5A"/>
    <w:multiLevelType w:val="hybridMultilevel"/>
    <w:lvl w:ilvl="0">
      <w:lvlJc w:val="left"/>
      <w:lvlText w:val=" "/>
      <w:numFmt w:val="bullet"/>
      <w:start w:val="1"/>
    </w:lvl>
  </w:abstractNum>
  <w:abstractNum w:abstractNumId="55">
    <w:nsid w:val="A0382C5"/>
    <w:multiLevelType w:val="hybridMultilevel"/>
    <w:lvl w:ilvl="0">
      <w:lvlJc w:val="left"/>
      <w:lvlText w:val=" "/>
      <w:numFmt w:val="bullet"/>
      <w:start w:val="1"/>
    </w:lvl>
  </w:abstractNum>
  <w:abstractNum w:abstractNumId="56">
    <w:nsid w:val="8F2B15E"/>
    <w:multiLevelType w:val="hybridMultilevel"/>
    <w:lvl w:ilvl="0">
      <w:lvlJc w:val="left"/>
      <w:lvlText w:val="≈"/>
      <w:numFmt w:val="bullet"/>
      <w:start w:val="1"/>
    </w:lvl>
  </w:abstractNum>
  <w:abstractNum w:abstractNumId="57">
    <w:nsid w:val="1A32234B"/>
    <w:multiLevelType w:val="hybridMultilevel"/>
    <w:lvl w:ilvl="0">
      <w:lvlJc w:val="left"/>
      <w:lvlText w:val=" "/>
      <w:numFmt w:val="bullet"/>
      <w:start w:val="1"/>
    </w:lvl>
  </w:abstractNum>
  <w:abstractNum w:abstractNumId="58">
    <w:nsid w:val="3B0FD379"/>
    <w:multiLevelType w:val="hybridMultilevel"/>
    <w:lvl w:ilvl="0">
      <w:lvlJc w:val="left"/>
      <w:lvlText w:val="➣"/>
      <w:numFmt w:val="bullet"/>
      <w:start w:val="1"/>
    </w:lvl>
  </w:abstractNum>
  <w:abstractNum w:abstractNumId="59">
    <w:nsid w:val="68EB2F63"/>
    <w:multiLevelType w:val="hybridMultilevel"/>
    <w:lvl w:ilvl="0">
      <w:lvlJc w:val="left"/>
      <w:lvlText w:val="➣"/>
      <w:numFmt w:val="bullet"/>
      <w:start w:val="1"/>
    </w:lvl>
  </w:abstractNum>
  <w:abstractNum w:abstractNumId="60">
    <w:nsid w:val="4962813B"/>
    <w:multiLevelType w:val="hybridMultilevel"/>
    <w:lvl w:ilvl="0">
      <w:lvlJc w:val="left"/>
      <w:lvlText w:val="➣"/>
      <w:numFmt w:val="bullet"/>
      <w:start w:val="1"/>
    </w:lvl>
  </w:abstractNum>
  <w:abstractNum w:abstractNumId="61">
    <w:nsid w:val="60B6DF70"/>
    <w:multiLevelType w:val="hybridMultilevel"/>
    <w:lvl w:ilvl="0">
      <w:lvlJc w:val="left"/>
      <w:lvlText w:val="➣"/>
      <w:numFmt w:val="bullet"/>
      <w:start w:val="1"/>
    </w:lvl>
  </w:abstractNum>
  <w:abstractNum w:abstractNumId="62">
    <w:nsid w:val="6A5EE64"/>
    <w:multiLevelType w:val="hybridMultilevel"/>
    <w:lvl w:ilvl="0">
      <w:lvlJc w:val="left"/>
      <w:lvlText w:val="➣"/>
      <w:numFmt w:val="bullet"/>
      <w:start w:val="1"/>
    </w:lvl>
  </w:abstractNum>
  <w:abstractNum w:abstractNumId="63">
    <w:nsid w:val="14330624"/>
    <w:multiLevelType w:val="hybridMultilevel"/>
    <w:lvl w:ilvl="0">
      <w:lvlJc w:val="left"/>
      <w:lvlText w:val="➣"/>
      <w:numFmt w:val="bullet"/>
      <w:start w:val="1"/>
    </w:lvl>
  </w:abstractNum>
  <w:abstractNum w:abstractNumId="64">
    <w:nsid w:val="7FFFCA11"/>
    <w:multiLevelType w:val="hybridMultilevel"/>
    <w:lvl w:ilvl="0">
      <w:lvlJc w:val="left"/>
      <w:lvlText w:val="➣"/>
      <w:numFmt w:val="bullet"/>
      <w:start w:val="1"/>
    </w:lvl>
  </w:abstractNum>
  <w:abstractNum w:abstractNumId="65">
    <w:nsid w:val="1A27709E"/>
    <w:multiLevelType w:val="hybridMultilevel"/>
    <w:lvl w:ilvl="0">
      <w:lvlJc w:val="left"/>
      <w:lvlText w:val="➣"/>
      <w:numFmt w:val="bullet"/>
      <w:start w:val="1"/>
    </w:lvl>
  </w:abstractNum>
  <w:abstractNum w:abstractNumId="66">
    <w:nsid w:val="71EA1109"/>
    <w:multiLevelType w:val="hybridMultilevel"/>
    <w:lvl w:ilvl="0">
      <w:lvlJc w:val="left"/>
      <w:lvlText w:val="➣"/>
      <w:numFmt w:val="bullet"/>
      <w:start w:val="1"/>
    </w:lvl>
  </w:abstractNum>
  <w:abstractNum w:abstractNumId="67">
    <w:nsid w:val="100F59DC"/>
    <w:multiLevelType w:val="hybridMultilevel"/>
    <w:lvl w:ilvl="0">
      <w:lvlJc w:val="left"/>
      <w:lvlText w:val=" "/>
      <w:numFmt w:val="bullet"/>
      <w:start w:val="1"/>
    </w:lvl>
  </w:abstractNum>
  <w:abstractNum w:abstractNumId="68">
    <w:nsid w:val="7FB7E0AA"/>
    <w:multiLevelType w:val="hybridMultilevel"/>
    <w:lvl w:ilvl="0">
      <w:lvlJc w:val="left"/>
      <w:lvlText w:val="(%1)"/>
      <w:numFmt w:val="decimal"/>
      <w:start w:val="1"/>
    </w:lvl>
  </w:abstractNum>
  <w:abstractNum w:abstractNumId="69">
    <w:nsid w:val="6EB5BD4"/>
    <w:multiLevelType w:val="hybridMultilevel"/>
    <w:lvl w:ilvl="0">
      <w:lvlJc w:val="left"/>
      <w:lvlText w:val="(%1)"/>
      <w:numFmt w:val="decimal"/>
      <w:start w:val="1"/>
    </w:lvl>
  </w:abstractNum>
  <w:abstractNum w:abstractNumId="70">
    <w:nsid w:val="6F6DD9AC"/>
    <w:multiLevelType w:val="hybridMultilevel"/>
    <w:lvl w:ilvl="0">
      <w:lvlJc w:val="left"/>
      <w:lvlText w:val="(%1)"/>
      <w:numFmt w:val="decimal"/>
      <w:start w:val="1"/>
    </w:lvl>
  </w:abstractNum>
  <w:abstractNum w:abstractNumId="71">
    <w:nsid w:val="94211F2"/>
    <w:multiLevelType w:val="hybridMultilevel"/>
    <w:lvl w:ilvl="0">
      <w:lvlJc w:val="left"/>
      <w:lvlText w:val="(%1)"/>
      <w:numFmt w:val="decimal"/>
      <w:start w:val="1"/>
    </w:lvl>
  </w:abstractNum>
  <w:abstractNum w:abstractNumId="72">
    <w:nsid w:val="885E1B"/>
    <w:multiLevelType w:val="hybridMultilevel"/>
    <w:lvl w:ilvl="0">
      <w:lvlJc w:val="left"/>
      <w:lvlText w:val="(%1)"/>
      <w:numFmt w:val="decimal"/>
      <w:start w:val="1"/>
    </w:lvl>
  </w:abstractNum>
  <w:abstractNum w:abstractNumId="73">
    <w:nsid w:val="76272110"/>
    <w:multiLevelType w:val="hybridMultilevel"/>
    <w:lvl w:ilvl="0">
      <w:lvlJc w:val="left"/>
      <w:lvlText w:val="(%1)"/>
      <w:numFmt w:val="decimal"/>
      <w:start w:val="1"/>
    </w:lvl>
  </w:abstractNum>
  <w:abstractNum w:abstractNumId="74">
    <w:nsid w:val="4C04A8AF"/>
    <w:multiLevelType w:val="hybridMultilevel"/>
    <w:lvl w:ilvl="0">
      <w:lvlJc w:val="left"/>
      <w:lvlText w:val="(%1)"/>
      <w:numFmt w:val="decimal"/>
      <w:start w:val="2"/>
    </w:lvl>
    <w:lvl w:ilvl="1">
      <w:lvlJc w:val="left"/>
      <w:lvlText w:val="(%2)"/>
      <w:numFmt w:val="lowerLetter"/>
      <w:start w:val="1"/>
    </w:lvl>
  </w:abstractNum>
  <w:abstractNum w:abstractNumId="75">
    <w:nsid w:val="1716703B"/>
    <w:multiLevelType w:val="hybridMultilevel"/>
    <w:lvl w:ilvl="0">
      <w:lvlJc w:val="left"/>
      <w:lvlText w:val="(%1)"/>
      <w:numFmt w:val="decimal"/>
      <w:start w:val="1"/>
    </w:lvl>
  </w:abstractNum>
  <w:abstractNum w:abstractNumId="76">
    <w:nsid w:val="14E17E33"/>
    <w:multiLevelType w:val="hybridMultilevel"/>
    <w:lvl w:ilvl="0">
      <w:lvlJc w:val="left"/>
      <w:lvlText w:val="(%1)"/>
      <w:numFmt w:val="decimal"/>
      <w:start w:val="2"/>
    </w:lvl>
  </w:abstractNum>
  <w:abstractNum w:abstractNumId="77">
    <w:nsid w:val="3222E7CD"/>
    <w:multiLevelType w:val="hybridMultilevel"/>
    <w:lvl w:ilvl="0">
      <w:lvlJc w:val="left"/>
      <w:lvlText w:val="(%1)"/>
      <w:numFmt w:val="decimal"/>
      <w:start w:val="3"/>
    </w:lvl>
  </w:abstractNum>
  <w:abstractNum w:abstractNumId="78">
    <w:nsid w:val="74DE0EE3"/>
    <w:multiLevelType w:val="hybridMultilevel"/>
    <w:lvl w:ilvl="0">
      <w:lvlJc w:val="left"/>
      <w:lvlText w:val="*"/>
      <w:numFmt w:val="bullet"/>
      <w:start w:val="1"/>
    </w:lvl>
  </w:abstractNum>
  <w:abstractNum w:abstractNumId="79">
    <w:nsid w:val="68EBC550"/>
    <w:multiLevelType w:val="hybridMultilevel"/>
    <w:lvl w:ilvl="0">
      <w:lvlJc w:val="left"/>
      <w:lvlText w:val="*"/>
      <w:numFmt w:val="bullet"/>
      <w:start w:val="1"/>
    </w:lvl>
  </w:abstractNum>
  <w:abstractNum w:abstractNumId="80">
    <w:nsid w:val="2DF6D648"/>
    <w:multiLevelType w:val="hybridMultilevel"/>
    <w:lvl w:ilvl="0">
      <w:lvlJc w:val="left"/>
      <w:lvlText w:val="•"/>
      <w:numFmt w:val="bullet"/>
      <w:start w:val="1"/>
    </w:lvl>
  </w:abstractNum>
  <w:abstractNum w:abstractNumId="81">
    <w:nsid w:val="46B7D447"/>
    <w:multiLevelType w:val="hybridMultilevel"/>
    <w:lvl w:ilvl="0">
      <w:lvlJc w:val="left"/>
      <w:lvlText w:val="(%1)"/>
      <w:numFmt w:val="decimal"/>
      <w:start w:val="1"/>
    </w:lvl>
  </w:abstractNum>
  <w:abstractNum w:abstractNumId="82">
    <w:nsid w:val="4A2AC315"/>
    <w:multiLevelType w:val="hybridMultilevel"/>
    <w:lvl w:ilvl="0">
      <w:lvlJc w:val="left"/>
      <w:lvlText w:val=" "/>
      <w:numFmt w:val="bullet"/>
      <w:start w:val="1"/>
    </w:lvl>
  </w:abstractNum>
  <w:abstractNum w:abstractNumId="83">
    <w:nsid w:val="39EE015C"/>
    <w:multiLevelType w:val="hybridMultilevel"/>
    <w:lvl w:ilvl="0">
      <w:lvlJc w:val="left"/>
      <w:lvlText w:val="➣"/>
      <w:numFmt w:val="bullet"/>
      <w:start w:val="1"/>
    </w:lvl>
  </w:abstractNum>
  <w:abstractNum w:abstractNumId="84">
    <w:nsid w:val="57FC4FBB"/>
    <w:multiLevelType w:val="hybridMultilevel"/>
    <w:lvl w:ilvl="0">
      <w:lvlJc w:val="left"/>
      <w:lvlText w:val="•"/>
      <w:numFmt w:val="bullet"/>
      <w:start w:val="1"/>
    </w:lvl>
  </w:abstractNum>
  <w:abstractNum w:abstractNumId="85">
    <w:nsid w:val="CC1016F"/>
    <w:multiLevelType w:val="hybridMultilevel"/>
    <w:lvl w:ilvl="0">
      <w:lvlJc w:val="left"/>
      <w:lvlText w:val="➣"/>
      <w:numFmt w:val="bullet"/>
      <w:start w:val="1"/>
    </w:lvl>
  </w:abstractNum>
  <w:abstractNum w:abstractNumId="86">
    <w:nsid w:val="43F18422"/>
    <w:multiLevelType w:val="hybridMultilevel"/>
    <w:lvl w:ilvl="0">
      <w:lvlJc w:val="left"/>
      <w:lvlText w:val="(%1)"/>
      <w:numFmt w:val="decimal"/>
      <w:start w:val="1"/>
    </w:lvl>
  </w:abstractNum>
  <w:abstractNum w:abstractNumId="87">
    <w:nsid w:val="60EF0119"/>
    <w:multiLevelType w:val="hybridMultilevel"/>
    <w:lvl w:ilvl="0">
      <w:lvlJc w:val="left"/>
      <w:lvlText w:val="➣"/>
      <w:numFmt w:val="bullet"/>
      <w:start w:val="1"/>
    </w:lvl>
  </w:abstractNum>
  <w:abstractNum w:abstractNumId="88">
    <w:nsid w:val="26F324BA"/>
    <w:multiLevelType w:val="hybridMultilevel"/>
    <w:lvl w:ilvl="0">
      <w:lvlJc w:val="left"/>
      <w:lvlText w:val="*"/>
      <w:numFmt w:val="bullet"/>
      <w:start w:val="1"/>
    </w:lvl>
  </w:abstractNum>
  <w:abstractNum w:abstractNumId="89">
    <w:nsid w:val="7F01579B"/>
    <w:multiLevelType w:val="hybridMultilevel"/>
    <w:lvl w:ilvl="0">
      <w:lvlJc w:val="left"/>
      <w:lvlText w:val="(%1)"/>
      <w:numFmt w:val="decimal"/>
      <w:start w:val="1"/>
    </w:lvl>
  </w:abstractNum>
  <w:abstractNum w:abstractNumId="90">
    <w:nsid w:val="49DA307D"/>
    <w:multiLevelType w:val="hybridMultilevel"/>
    <w:lvl w:ilvl="0">
      <w:lvlJc w:val="left"/>
      <w:lvlText w:val="➣"/>
      <w:numFmt w:val="bullet"/>
      <w:start w:val="1"/>
    </w:lvl>
  </w:abstractNum>
  <w:abstractNum w:abstractNumId="91">
    <w:nsid w:val="7055A5F5"/>
    <w:multiLevelType w:val="hybridMultilevel"/>
    <w:lvl w:ilvl="0">
      <w:lvlJc w:val="left"/>
      <w:lvlText w:val="➣"/>
      <w:numFmt w:val="bullet"/>
      <w:start w:val="1"/>
    </w:lvl>
  </w:abstractNum>
  <w:abstractNum w:abstractNumId="92">
    <w:nsid w:val="5FB8370B"/>
    <w:multiLevelType w:val="hybridMultilevel"/>
    <w:lvl w:ilvl="0">
      <w:lvlJc w:val="left"/>
      <w:lvlText w:val="➣"/>
      <w:numFmt w:val="bullet"/>
      <w:start w:val="1"/>
    </w:lvl>
  </w:abstractNum>
  <w:abstractNum w:abstractNumId="93">
    <w:nsid w:val="50801EE1"/>
    <w:multiLevelType w:val="hybridMultilevel"/>
    <w:lvl w:ilvl="0">
      <w:lvlJc w:val="left"/>
      <w:lvlText w:val="➣"/>
      <w:numFmt w:val="bullet"/>
      <w:start w:val="1"/>
    </w:lvl>
  </w:abstractNum>
  <w:abstractNum w:abstractNumId="94">
    <w:nsid w:val="488AC1A"/>
    <w:multiLevelType w:val="hybridMultilevel"/>
    <w:lvl w:ilvl="0">
      <w:lvlJc w:val="left"/>
      <w:lvlText w:val="➣"/>
      <w:numFmt w:val="bullet"/>
      <w:start w:val="1"/>
    </w:lvl>
  </w:abstractNum>
  <w:abstractNum w:abstractNumId="95">
    <w:nsid w:val="5FB8011C"/>
    <w:multiLevelType w:val="hybridMultilevel"/>
    <w:lvl w:ilvl="0">
      <w:lvlJc w:val="left"/>
      <w:lvlText w:val="➣"/>
      <w:numFmt w:val="bullet"/>
      <w:start w:val="1"/>
    </w:lvl>
  </w:abstractNum>
  <w:abstractNum w:abstractNumId="96">
    <w:nsid w:val="6AA78F7F"/>
    <w:multiLevelType w:val="hybridMultilevel"/>
    <w:lvl w:ilvl="0">
      <w:lvlJc w:val="left"/>
      <w:lvlText w:val="➣"/>
      <w:numFmt w:val="bullet"/>
      <w:start w:val="1"/>
    </w:lvl>
  </w:abstractNum>
  <w:abstractNum w:abstractNumId="97">
    <w:nsid w:val="7672BD23"/>
    <w:multiLevelType w:val="hybridMultilevel"/>
    <w:lvl w:ilvl="0">
      <w:lvlJc w:val="left"/>
      <w:lvlText w:val="➣"/>
      <w:numFmt w:val="bullet"/>
      <w:start w:val="1"/>
    </w:lvl>
  </w:abstractNum>
  <w:abstractNum w:abstractNumId="98">
    <w:nsid w:val="6FC75AF8"/>
    <w:multiLevelType w:val="hybridMultilevel"/>
    <w:lvl w:ilvl="0">
      <w:lvlJc w:val="left"/>
      <w:lvlText w:val="•"/>
      <w:numFmt w:val="bullet"/>
      <w:start w:val="1"/>
    </w:lvl>
  </w:abstractNum>
  <w:abstractNum w:abstractNumId="99">
    <w:nsid w:val="6A5F702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jpeg"/><Relationship Id="rId88" Type="http://schemas.openxmlformats.org/officeDocument/2006/relationships/image" Target="media/image81.jpeg"/><Relationship Id="rId89" Type="http://schemas.openxmlformats.org/officeDocument/2006/relationships/image" Target="media/image82.jpeg"/><Relationship Id="rId90" Type="http://schemas.openxmlformats.org/officeDocument/2006/relationships/image" Target="media/image83.jpeg"/><Relationship Id="rId91" Type="http://schemas.openxmlformats.org/officeDocument/2006/relationships/image" Target="media/image84.jpeg"/><Relationship Id="rId92" Type="http://schemas.openxmlformats.org/officeDocument/2006/relationships/image" Target="media/image85.jpeg"/><Relationship Id="rId93" Type="http://schemas.openxmlformats.org/officeDocument/2006/relationships/image" Target="media/image86.jpeg"/><Relationship Id="rId94" Type="http://schemas.openxmlformats.org/officeDocument/2006/relationships/image" Target="media/image87.jpeg"/><Relationship Id="rId95" Type="http://schemas.openxmlformats.org/officeDocument/2006/relationships/image" Target="media/image88.jpe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jpe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jpeg"/><Relationship Id="rId134" Type="http://schemas.openxmlformats.org/officeDocument/2006/relationships/image" Target="media/image127.jpeg"/><Relationship Id="rId135" Type="http://schemas.openxmlformats.org/officeDocument/2006/relationships/image" Target="media/image128.jpeg"/><Relationship Id="rId136" Type="http://schemas.openxmlformats.org/officeDocument/2006/relationships/image" Target="media/image129.jpeg"/><Relationship Id="rId137" Type="http://schemas.openxmlformats.org/officeDocument/2006/relationships/image" Target="media/image130.jpeg"/><Relationship Id="rId138" Type="http://schemas.openxmlformats.org/officeDocument/2006/relationships/image" Target="media/image131.jpeg"/><Relationship Id="rId139" Type="http://schemas.openxmlformats.org/officeDocument/2006/relationships/image" Target="media/image132.jpeg"/><Relationship Id="rId140" Type="http://schemas.openxmlformats.org/officeDocument/2006/relationships/image" Target="media/image133.jpeg"/><Relationship Id="rId141" Type="http://schemas.openxmlformats.org/officeDocument/2006/relationships/image" Target="media/image134.jpe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jpe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jpeg"/><Relationship Id="rId222" Type="http://schemas.openxmlformats.org/officeDocument/2006/relationships/image" Target="media/image215.jpeg"/><Relationship Id="rId223" Type="http://schemas.openxmlformats.org/officeDocument/2006/relationships/image" Target="media/image216.jpe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jpe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jpe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jpeg"/><Relationship Id="rId256" Type="http://schemas.openxmlformats.org/officeDocument/2006/relationships/image" Target="media/image249.png"/><Relationship Id="rId257" Type="http://schemas.openxmlformats.org/officeDocument/2006/relationships/image" Target="media/image250.jpeg"/><Relationship Id="rId258" Type="http://schemas.openxmlformats.org/officeDocument/2006/relationships/image" Target="media/image251.png"/><Relationship Id="rId259" Type="http://schemas.openxmlformats.org/officeDocument/2006/relationships/image" Target="media/image252.jpeg"/><Relationship Id="rId260" Type="http://schemas.openxmlformats.org/officeDocument/2006/relationships/image" Target="media/image253.png"/><Relationship Id="rId261" Type="http://schemas.openxmlformats.org/officeDocument/2006/relationships/image" Target="media/image25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2024-03-22T07:24:55Z</dcterms:created>
  <dcterms:modified xsi:type="dcterms:W3CDTF">2024-03-22T07:24:55Z</dcterms:modified>
</cp:coreProperties>
</file>