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2018</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5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6" w:lineRule="exact"/>
        <w:rPr>
          <w:sz w:val="24"/>
          <w:szCs w:val="24"/>
          <w:color w:val="auto"/>
        </w:rPr>
      </w:pPr>
    </w:p>
    <w:p>
      <w:pPr>
        <w:sectPr>
          <w:pgSz w:w="11900" w:h="16838" w:orient="portrait"/>
          <w:cols w:equalWidth="0" w:num="2">
            <w:col w:w="6240" w:space="700"/>
            <w:col w:w="4480"/>
          </w:cols>
          <w:pgMar w:left="240" w:top="234" w:right="239" w:bottom="1440" w:gutter="0" w:footer="0" w:header="0"/>
          <w:type w:val="continuous"/>
        </w:sect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ectPr>
          <w:pgSz w:w="11900" w:h="16838" w:orient="portrait"/>
          <w:cols w:equalWidth="0" w:num="1">
            <w:col w:w="11420"/>
          </w:cols>
          <w:pgMar w:left="240" w:top="234" w:right="239" w:bottom="1440" w:gutter="0" w:footer="0" w:header="0"/>
          <w:type w:val="continuous"/>
        </w:sectPr>
      </w:pPr>
    </w:p>
    <w:p>
      <w:pPr>
        <w:spacing w:after="0" w:line="248" w:lineRule="exact"/>
        <w:rPr>
          <w:sz w:val="24"/>
          <w:szCs w:val="24"/>
          <w:color w:val="auto"/>
        </w:rPr>
      </w:pPr>
    </w:p>
    <w:p>
      <w:pPr>
        <w:ind w:left="2220"/>
        <w:spacing w:after="0"/>
        <w:rPr>
          <w:sz w:val="20"/>
          <w:szCs w:val="20"/>
          <w:color w:val="auto"/>
        </w:rPr>
      </w:pPr>
      <w:r>
        <w:rPr>
          <w:rFonts w:ascii="Arial" w:cs="Arial" w:eastAsia="Arial" w:hAnsi="Arial"/>
          <w:sz w:val="19"/>
          <w:szCs w:val="19"/>
          <w:b w:val="1"/>
          <w:bCs w:val="1"/>
          <w:color w:val="auto"/>
        </w:rPr>
        <w:t>Maryland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108" w:lineRule="exact"/>
        <w:rPr>
          <w:sz w:val="24"/>
          <w:szCs w:val="24"/>
          <w:color w:val="auto"/>
        </w:rPr>
      </w:pPr>
    </w:p>
    <w:p>
      <w:pPr>
        <w:sectPr>
          <w:pgSz w:w="11900" w:h="16838" w:orient="portrait"/>
          <w:cols w:equalWidth="0" w:num="2">
            <w:col w:w="7380" w:space="720"/>
            <w:col w:w="3320"/>
          </w:cols>
          <w:pgMar w:left="240" w:top="234" w:right="23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4" w:right="239" w:bottom="1440" w:gutter="0" w:footer="0" w:header="0"/>
          <w:type w:val="continuous"/>
        </w:sectPr>
      </w:pPr>
    </w:p>
    <w:p>
      <w:pPr>
        <w:spacing w:after="0" w:line="105"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w:t>
      </w:r>
    </w:p>
    <w:p>
      <w:pPr>
        <w:spacing w:after="0" w:line="108" w:lineRule="exact"/>
        <w:rPr>
          <w:sz w:val="24"/>
          <w:szCs w:val="24"/>
          <w:color w:val="auto"/>
        </w:rPr>
      </w:pPr>
    </w:p>
    <w:p>
      <w:pPr>
        <w:sectPr>
          <w:pgSz w:w="11900" w:h="16838" w:orient="portrait"/>
          <w:cols w:equalWidth="0" w:num="2">
            <w:col w:w="7600" w:space="720"/>
            <w:col w:w="3100"/>
          </w:cols>
          <w:pgMar w:left="240" w:top="234" w:right="239" w:bottom="1440" w:gutter="0" w:footer="0" w:header="0"/>
          <w:type w:val="continuous"/>
        </w:sectPr>
      </w:pPr>
    </w:p>
    <w:p>
      <w:pPr>
        <w:ind w:left="12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480" w:space="720"/>
            <w:col w:w="322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234" w:right="239" w:bottom="1440" w:gutter="0" w:footer="0" w:header="0"/>
          <w:type w:val="continuous"/>
        </w:sectPr>
      </w:pPr>
    </w:p>
    <w:p>
      <w:pPr>
        <w:spacing w:after="0" w:line="103"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w w:val="94"/>
              </w:rPr>
              <w:t>submit and post such files).</w:t>
            </w:r>
          </w:p>
        </w:tc>
        <w:tc>
          <w:tcPr>
            <w:tcW w:w="502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5"/>
        </w:trPr>
        <w:tc>
          <w:tcPr>
            <w:tcW w:w="11080" w:type="dxa"/>
            <w:vAlign w:val="bottom"/>
            <w:gridSpan w:val="3"/>
          </w:tcPr>
          <w:p>
            <w:pPr>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or a smaller reporting company. See</w:t>
            </w:r>
          </w:p>
        </w:tc>
        <w:tc>
          <w:tcPr>
            <w:tcW w:w="200" w:type="dxa"/>
            <w:vAlign w:val="bottom"/>
          </w:tcPr>
          <w:p>
            <w:pPr>
              <w:spacing w:after="0"/>
              <w:rPr>
                <w:sz w:val="23"/>
                <w:szCs w:val="23"/>
                <w:color w:val="auto"/>
              </w:rPr>
            </w:pPr>
          </w:p>
        </w:tc>
      </w:tr>
      <w:tr>
        <w:trPr>
          <w:trHeight w:val="230"/>
        </w:trPr>
        <w:tc>
          <w:tcPr>
            <w:tcW w:w="11080" w:type="dxa"/>
            <w:vAlign w:val="bottom"/>
            <w:gridSpan w:val="3"/>
          </w:tcPr>
          <w:p>
            <w:pPr>
              <w:spacing w:after="0"/>
              <w:rPr>
                <w:sz w:val="20"/>
                <w:szCs w:val="20"/>
                <w:color w:val="auto"/>
              </w:rPr>
            </w:pPr>
            <w:r>
              <w:rPr>
                <w:rFonts w:ascii="Arial" w:cs="Arial" w:eastAsia="Arial" w:hAnsi="Arial"/>
                <w:sz w:val="18"/>
                <w:szCs w:val="18"/>
                <w:color w:val="auto"/>
              </w:rPr>
              <w:t>definitions of “large accelerated filer,” “accelerated filer” and “smaller reporting company” in Rule 12b-2 of the Exchange Act. (Check one):</w:t>
            </w:r>
          </w:p>
        </w:tc>
        <w:tc>
          <w:tcPr>
            <w:tcW w:w="200" w:type="dxa"/>
            <w:vAlign w:val="bottom"/>
          </w:tcPr>
          <w:p>
            <w:pPr>
              <w:spacing w:after="0"/>
              <w:rPr>
                <w:sz w:val="20"/>
                <w:szCs w:val="20"/>
                <w:color w:val="auto"/>
              </w:rPr>
            </w:pPr>
          </w:p>
        </w:tc>
      </w:tr>
      <w:tr>
        <w:trPr>
          <w:trHeight w:val="398"/>
        </w:trPr>
        <w:tc>
          <w:tcPr>
            <w:tcW w:w="208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3980" w:type="dxa"/>
            <w:vAlign w:val="bottom"/>
          </w:tcPr>
          <w:p>
            <w:pPr>
              <w:ind w:left="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7"/>
        </w:trPr>
        <w:tc>
          <w:tcPr>
            <w:tcW w:w="11080" w:type="dxa"/>
            <w:vAlign w:val="bottom"/>
            <w:gridSpan w:val="3"/>
          </w:tcPr>
          <w:p>
            <w:pPr>
              <w:ind w:left="40"/>
              <w:spacing w:after="0"/>
              <w:rPr>
                <w:sz w:val="20"/>
                <w:szCs w:val="20"/>
                <w:color w:val="auto"/>
              </w:rPr>
            </w:pPr>
            <w:r>
              <w:rPr>
                <w:rFonts w:ascii="Arial" w:cs="Arial" w:eastAsia="Arial" w:hAnsi="Arial"/>
                <w:sz w:val="18"/>
                <w:szCs w:val="18"/>
                <w:color w:val="auto"/>
                <w:w w:val="92"/>
              </w:rPr>
              <w:t>If an emerging growth company, indicate by checkmark if the registrant has elected not use the extended transition period for complying with any new</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7100" w:type="dxa"/>
            <w:vAlign w:val="bottom"/>
            <w:gridSpan w:val="2"/>
          </w:tcPr>
          <w:p>
            <w:pPr>
              <w:ind w:left="40"/>
              <w:spacing w:after="0"/>
              <w:rPr>
                <w:sz w:val="20"/>
                <w:szCs w:val="20"/>
                <w:color w:val="auto"/>
              </w:rPr>
            </w:pPr>
            <w:r>
              <w:rPr>
                <w:rFonts w:ascii="Arial" w:cs="Arial" w:eastAsia="Arial" w:hAnsi="Arial"/>
                <w:sz w:val="18"/>
                <w:szCs w:val="18"/>
                <w:color w:val="auto"/>
                <w:w w:val="90"/>
              </w:rPr>
              <w:t>or revised financial accounting standards provided pursuant to Section 13(a) of the Exchange Act.</w:t>
            </w: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15" w:lineRule="exact"/>
        <w:rPr>
          <w:sz w:val="24"/>
          <w:szCs w:val="24"/>
          <w:color w:val="auto"/>
        </w:rPr>
      </w:pPr>
    </w:p>
    <w:p>
      <w:pPr>
        <w:ind w:right="180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April 27, 2018 was 73,221,384.</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7"/>
              </w:rPr>
              <w:t>QUARTER ENDED MARCH 31,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Balance Sheets as of March 31, 2018 (unaudited) and December 31,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months ended March 31, 2018 and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 of Shareholders' Equity (unaudited) for the three months ended March 31,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three months ended March 31, 2018 and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74"/>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7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right"/>
              <w:ind w:right="111"/>
              <w:spacing w:after="0" w:line="153" w:lineRule="exact"/>
              <w:rPr>
                <w:sz w:val="20"/>
                <w:szCs w:val="20"/>
                <w:color w:val="auto"/>
              </w:rPr>
            </w:pPr>
            <w:r>
              <w:rPr>
                <w:rFonts w:ascii="Arial" w:cs="Arial" w:eastAsia="Arial" w:hAnsi="Arial"/>
                <w:sz w:val="14"/>
                <w:szCs w:val="14"/>
                <w:b w:val="1"/>
                <w:bCs w:val="1"/>
                <w:color w:val="auto"/>
                <w:w w:val="92"/>
              </w:rPr>
              <w:t>(In thousands, except share and per</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8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8"/>
              </w:rPr>
              <w:t>Operating (including $1,656,951 and $1,639,486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7,051,962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 (including $39,171 and $43,393 of consolidated variable interest entities,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633,090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7,721,957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Less accumulated depreciation and amortization (including $257,604 and $247,410 of consolidated variable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entities, respectively)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(1,922,110)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5,799,847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64,407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232,281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Mortgages payable, net (including $448,641 and $460,372 of consolidated variable interest entities,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479,333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Notes payable,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382,396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notes and debentures,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181,361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17,072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169,460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3,778,974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141,541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Preferred shares, authorized 15,000,000 shares, $.01 par:</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6,000 shares issued and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080" w:type="dxa"/>
            <w:vAlign w:val="bottom"/>
          </w:tcPr>
          <w:p>
            <w:pPr>
              <w:ind w:left="10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8080" w:type="dxa"/>
            <w:vAlign w:val="bottom"/>
          </w:tcPr>
          <w:p>
            <w:pPr>
              <w:ind w:left="100"/>
              <w:spacing w:after="0"/>
              <w:rPr>
                <w:sz w:val="20"/>
                <w:szCs w:val="20"/>
                <w:color w:val="auto"/>
              </w:rPr>
            </w:pPr>
            <w:r>
              <w:rPr>
                <w:rFonts w:ascii="Arial" w:cs="Arial" w:eastAsia="Arial" w:hAnsi="Arial"/>
                <w:sz w:val="18"/>
                <w:szCs w:val="18"/>
                <w:color w:val="auto"/>
              </w:rPr>
              <w:t>399,896 shares issued and outstanding</w:t>
            </w: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73,216,520 and 73,090,877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2,859,717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2,251,627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6,293,625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8080" w:type="dxa"/>
            <w:vAlign w:val="bottom"/>
            <w:vMerge w:val="restart"/>
          </w:tcPr>
          <w:p>
            <w:pPr>
              <w:ind w:left="2180"/>
              <w:spacing w:after="0"/>
              <w:rPr>
                <w:sz w:val="20"/>
                <w:szCs w:val="20"/>
                <w:color w:val="auto"/>
              </w:rPr>
            </w:pPr>
            <w:r>
              <w:rPr>
                <w:rFonts w:ascii="Arial" w:cs="Arial" w:eastAsia="Arial" w:hAnsi="Arial"/>
                <w:sz w:val="18"/>
                <w:szCs w:val="18"/>
                <w:color w:val="auto"/>
                <w:w w:val="93"/>
              </w:rPr>
              <w:t>The accompanying notes are an integral part of these consolidated statements.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20" w:type="dxa"/>
            <w:vAlign w:val="bottom"/>
          </w:tcPr>
          <w:p>
            <w:pPr>
              <w:spacing w:after="0"/>
              <w:rPr>
                <w:sz w:val="21"/>
                <w:szCs w:val="21"/>
                <w:color w:val="auto"/>
              </w:rPr>
            </w:pPr>
          </w:p>
        </w:tc>
        <w:tc>
          <w:tcPr>
            <w:tcW w:w="8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82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827"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204,447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207,389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51,379</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125,845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81,544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Loss from real estate partnerships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sale of real estate, net</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58,070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56,190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56,055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72,905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71,862</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3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72,005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59,154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3020" w:type="dxa"/>
            <w:vAlign w:val="bottom"/>
          </w:tcPr>
          <w:p>
            <w:pPr>
              <w:jc w:val="right"/>
              <w:ind w:right="249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286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7"/>
          </w:tcPr>
          <w:p>
            <w:pPr>
              <w:ind w:left="360"/>
              <w:spacing w:after="0"/>
              <w:rPr>
                <w:sz w:val="20"/>
                <w:szCs w:val="20"/>
                <w:color w:val="auto"/>
              </w:rPr>
            </w:pPr>
            <w:r>
              <w:rPr>
                <w:rFonts w:ascii="Arial" w:cs="Arial" w:eastAsia="Arial" w:hAnsi="Arial"/>
                <w:sz w:val="14"/>
                <w:szCs w:val="14"/>
                <w:b w:val="1"/>
                <w:bCs w:val="1"/>
                <w:color w:val="auto"/>
                <w:w w:val="97"/>
              </w:rPr>
              <w:t>(In thousands, except share data)</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$159,997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73,090,877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$2,855,321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(749,367)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124,808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$ 2,391,514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January 1, 2018 adoption of new</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accounting standard - See Note 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income, excluding $1,015 attributable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61,916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Other comprehensive income - change in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fair value of interest rate swaps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(73,153)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(73,153)</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Common shares issued,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plan</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4,440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97,968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0" w:type="dxa"/>
            <w:vAlign w:val="bottom"/>
          </w:tcPr>
          <w:p>
            <w:pPr>
              <w:spacing w:after="0"/>
              <w:rPr>
                <w:sz w:val="1"/>
                <w:szCs w:val="1"/>
                <w:color w:val="auto"/>
              </w:rPr>
            </w:pPr>
          </w:p>
        </w:tc>
      </w:tr>
      <w:tr>
        <w:trPr>
          <w:trHeight w:val="217"/>
        </w:trPr>
        <w:tc>
          <w:tcPr>
            <w:tcW w:w="286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2"/>
              </w:rPr>
              <w:t>$159,997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73,216,520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$2,859,717</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(769,311)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121,483</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$ 2,373,110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0"/>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58,070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51,379</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Gain on sale of real estate,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real estate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Decrease in accounts receivable,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4,390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3,602</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(Decrease) increase in accounts payable and accrued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4,136</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security deposits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4,273</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124,180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123,933</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(141,222)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(16,366)</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(3,113)</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(279,276)</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217,000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and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17,359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(70,117)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(4,795)</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153,954</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48,500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34,849</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73,700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33,460</w:t>
            </w:r>
          </w:p>
        </w:tc>
      </w:tr>
      <w:tr>
        <w:trPr>
          <w:trHeight w:val="27"/>
        </w:trPr>
        <w:tc>
          <w:tcPr>
            <w:tcW w:w="8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6"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March 31, 2018,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2017,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months ended March 31, 2018 are not necessarily indicative of the results that may be expected for the full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2017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ectPr>
          <w:pgSz w:w="11900" w:h="16838" w:orient="portrait"/>
          <w:cols w:equalWidth="0" w:num="1">
            <w:col w:w="11360"/>
          </w:cols>
          <w:pgMar w:left="240" w:top="126" w:right="2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2" w:lineRule="exact"/>
        <w:rPr>
          <w:sz w:val="20"/>
          <w:szCs w:val="20"/>
          <w:color w:val="auto"/>
        </w:rPr>
      </w:pPr>
    </w:p>
    <w:p>
      <w:pPr>
        <w:ind w:left="40"/>
        <w:spacing w:after="0" w:line="286" w:lineRule="auto"/>
        <w:rPr>
          <w:sz w:val="20"/>
          <w:szCs w:val="20"/>
          <w:color w:val="auto"/>
        </w:rPr>
      </w:pPr>
      <w:r>
        <w:rPr>
          <w:rFonts w:ascii="Arial" w:cs="Arial" w:eastAsia="Arial" w:hAnsi="Arial"/>
          <w:sz w:val="17"/>
          <w:szCs w:val="17"/>
          <w:color w:val="auto"/>
        </w:rPr>
        <w:t>Revenue from Contracts with Customers (Topic 606) and related updates:</w:t>
      </w:r>
    </w:p>
    <w:p>
      <w:pPr>
        <w:spacing w:after="0" w:line="166" w:lineRule="exact"/>
        <w:rPr>
          <w:sz w:val="20"/>
          <w:szCs w:val="20"/>
          <w:color w:val="auto"/>
        </w:rPr>
      </w:pPr>
    </w:p>
    <w:p>
      <w:pPr>
        <w:ind w:left="40" w:right="560"/>
        <w:spacing w:after="0" w:line="279" w:lineRule="auto"/>
        <w:rPr>
          <w:sz w:val="20"/>
          <w:szCs w:val="20"/>
          <w:color w:val="auto"/>
        </w:rPr>
      </w:pPr>
      <w:r>
        <w:rPr>
          <w:rFonts w:ascii="Arial" w:cs="Arial" w:eastAsia="Arial" w:hAnsi="Arial"/>
          <w:sz w:val="17"/>
          <w:szCs w:val="17"/>
          <w:color w:val="auto"/>
        </w:rPr>
        <w:t>ASU 2014-09, May 2014, Revenue from Contracts with Customers</w:t>
      </w:r>
    </w:p>
    <w:p>
      <w:pPr>
        <w:spacing w:after="0" w:line="171" w:lineRule="exact"/>
        <w:rPr>
          <w:sz w:val="20"/>
          <w:szCs w:val="20"/>
          <w:color w:val="auto"/>
        </w:rPr>
      </w:pPr>
    </w:p>
    <w:p>
      <w:pPr>
        <w:ind w:left="40" w:right="520"/>
        <w:spacing w:after="0" w:line="293" w:lineRule="auto"/>
        <w:rPr>
          <w:sz w:val="20"/>
          <w:szCs w:val="20"/>
          <w:color w:val="auto"/>
        </w:rPr>
      </w:pPr>
      <w:r>
        <w:rPr>
          <w:rFonts w:ascii="Arial" w:cs="Arial" w:eastAsia="Arial" w:hAnsi="Arial"/>
          <w:sz w:val="16"/>
          <w:szCs w:val="16"/>
          <w:color w:val="auto"/>
        </w:rPr>
        <w:t>ASU 2015-14, August 2015, Revenue from Contracts with Customers: Deferral of the Effective Date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2016-08,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2016,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from</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Contracts 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versus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Considerations</w:t>
      </w:r>
    </w:p>
    <w:p>
      <w:pPr>
        <w:spacing w:after="0" w:line="211" w:lineRule="exact"/>
        <w:rPr>
          <w:sz w:val="20"/>
          <w:szCs w:val="20"/>
          <w:color w:val="auto"/>
        </w:rPr>
      </w:pPr>
    </w:p>
    <w:p>
      <w:pPr>
        <w:ind w:left="40" w:right="540"/>
        <w:spacing w:after="0" w:line="271" w:lineRule="auto"/>
        <w:rPr>
          <w:sz w:val="20"/>
          <w:szCs w:val="20"/>
          <w:color w:val="auto"/>
        </w:rPr>
      </w:pPr>
      <w:r>
        <w:rPr>
          <w:rFonts w:ascii="Arial" w:cs="Arial" w:eastAsia="Arial" w:hAnsi="Arial"/>
          <w:sz w:val="17"/>
          <w:szCs w:val="17"/>
          <w:color w:val="auto"/>
        </w:rPr>
        <w:t>ASU 2016-10, April 2016, Revenue from Contracts with Customers: Identifying Performance Obligations and Licensing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2016-12, May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2016, Revenue from</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Contracts 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Narrow-Scope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Improvements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Practical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Expedients</w:t>
      </w:r>
    </w:p>
    <w:p>
      <w:pPr>
        <w:spacing w:after="0" w:line="211" w:lineRule="exact"/>
        <w:rPr>
          <w:sz w:val="20"/>
          <w:szCs w:val="20"/>
          <w:color w:val="auto"/>
        </w:rPr>
      </w:pPr>
    </w:p>
    <w:p>
      <w:pPr>
        <w:ind w:left="40" w:right="840"/>
        <w:spacing w:after="0" w:line="284" w:lineRule="auto"/>
        <w:rPr>
          <w:sz w:val="20"/>
          <w:szCs w:val="20"/>
          <w:color w:val="auto"/>
        </w:rPr>
      </w:pPr>
      <w:r>
        <w:rPr>
          <w:rFonts w:ascii="Arial" w:cs="Arial" w:eastAsia="Arial" w:hAnsi="Arial"/>
          <w:sz w:val="16"/>
          <w:szCs w:val="16"/>
          <w:color w:val="auto"/>
        </w:rPr>
        <w:t>ASU 2016-20, December 2016, Revenue from Contracts with Customers: Technical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Corrections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Improvements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May 2014, the the FASB issued ASU 2014-09, "Revenue from Contracts with Customers." ASU 2014-09 as amended and interpreted by ASU 2015-14, ASU 2016-08, ASU 2016-10, ASU 2016-12, and ASU 2016-20,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w:t>
      </w:r>
    </w:p>
    <w:p>
      <w:pPr>
        <w:spacing w:after="0" w:line="193"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ASU 2016-08 clarifies how to identify the unit of accounting for the principal versus agent evaluation, how to apply the control principle to certain types of arrangements, such as service transactions, and reframed the indicators in the guidance to focus on evidence that an entity is acting as a principal rather than as an agent.</w:t>
      </w:r>
    </w:p>
    <w:p>
      <w:pPr>
        <w:spacing w:after="0" w:line="15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ASU 2016-10 clarifies the existing guidance on identifying performance obligations and licensing implementation.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ASU 2016-12 adds practical expedients related to the transition for contract modifications and further defines a completed contract, clarifies the objective of the collectability assessment and how revenue is recognized if collectability is not probable,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and when non-cash considerations should be measured.</w:t>
      </w:r>
    </w:p>
    <w:p>
      <w:pPr>
        <w:spacing w:after="0" w:line="23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ASU 2016-20 corrects or improves guidance in thirteen narrowly focused aspects of the guidance.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standard allows for either "full retrospective" adoption, meaning the standard is applied to all of the periods presented, or "modified retrospective" adoption, meaning the cumulative impact of applying the standard is recognized in accumulated dividends in excess of net income on the date of application.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344"/>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w w:val="91"/>
              </w:rPr>
              <w:t>We implemented the new revenue recognition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5"/>
              </w:rPr>
              <w:t>guidance retrospectively with the cumulative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effect recognized in accumulated dividends in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excess of net income at the date of initial</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application. The primary impact relates to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8"/>
              </w:rPr>
              <w:t>condominium sales. Most of our revenue is</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1"/>
              </w:rPr>
              <w:t>accounted for under the leasing standard, and</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therefore is not subject to this standard.</w:t>
            </w:r>
          </w:p>
        </w:tc>
      </w:tr>
      <w:tr>
        <w:trPr>
          <w:trHeight w:val="41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9"/>
              </w:rPr>
              <w:t>In 2017, gains on contracted condominium</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3"/>
              </w:rPr>
              <w:t>sales were recognized using the percentage-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of-completion method, with the gain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6"/>
              </w:rPr>
              <w:t>recognized once certain criteria were met in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advance of legal closing. Under the new</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guidance, condominium sale gains are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recognized as the condominium units are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7"/>
              </w:rPr>
              <w:t>legally sold, which is typically upon closing.</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$5.4 million of condominium gains (net of</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4"/>
              </w:rPr>
              <w:t>$1.4 million of income taxes) recorded under</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the percentage-of-completion method in 2017</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4"/>
              </w:rPr>
              <w:t>were reversed through opening accumulated</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dividends in excess of net income.</w:t>
            </w:r>
          </w:p>
        </w:tc>
      </w:tr>
      <w:tr>
        <w:trPr>
          <w:trHeight w:val="41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With the exception of condominium sales, the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adoption of the standard did not have a</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significant impact on our consolidated</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financial statements, with an additional</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7"/>
              </w:rPr>
              <w:t>cumulative effect of $0.6 million reflected in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5"/>
              </w:rPr>
              <w:t>opening accumulated dividends in excess of</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net income.</w:t>
            </w:r>
          </w:p>
        </w:tc>
      </w:tr>
    </w:tbl>
    <w:p>
      <w:pPr>
        <w:spacing w:after="0" w:line="4728" w:lineRule="exact"/>
        <w:rPr>
          <w:sz w:val="20"/>
          <w:szCs w:val="20"/>
          <w:color w:val="auto"/>
        </w:rPr>
      </w:pPr>
    </w:p>
    <w:p>
      <w:pPr>
        <w:sectPr>
          <w:pgSz w:w="11900" w:h="16838" w:orient="portrait"/>
          <w:cols w:equalWidth="0" w:num="3">
            <w:col w:w="2060" w:space="260"/>
            <w:col w:w="4120" w:space="180"/>
            <w:col w:w="4740"/>
          </w:cols>
          <w:pgMar w:left="240" w:top="126" w:right="299" w:bottom="1440" w:gutter="0" w:footer="0" w:header="0"/>
          <w:type w:val="continuous"/>
        </w:sect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126" w:right="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2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8"/>
                <w:szCs w:val="18"/>
                <w:color w:val="auto"/>
                <w:w w:val="99"/>
              </w:rPr>
              <w:t>ASU 2016-15, August 2016,</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This ASU provides classification guidance for eight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w w:val="95"/>
              </w:rPr>
              <w:t>This standard did not have an impact on our</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Statement of Cash Flows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specific topics including debt extinguishment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(Topic 230): Classification</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2"/>
              </w:rPr>
              <w:t>contingent consideration payments made after a business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of Certain Cash Receipts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combination, and distributions received from equity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and Cash Payments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method investees.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7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ASU 2016-18, November</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This ASU requires that the statement of cash flows</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rPr>
              <w:t>Prior to the adoption of this standard, "net</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Statement of Cash</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5"/>
              </w:rPr>
              <w:t>explain the change during the period in the total of cash,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cash provided by operating activities" was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Flows (Topic 203) -</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cash equivalents, and amounts generally described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$121.1 million and "net cash used in investing</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Restricted Cash</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restricted cash or cash equivalents. Amounts generally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activities" was $278.3 million, for the three</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7"/>
              </w:rPr>
              <w:t>described as restricted cash and equivalents should be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months ended March 31, 2017. After the</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included with cash and cash equivalents when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adoption, "net cash provided by operating</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reconciling the beginning and end of period total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7"/>
              </w:rPr>
              <w:t>activities" was $123.9 million and "net cash</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amounts on the statement of cash flows.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used in investing activities" was $279.3</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million, for the three months ended March 31,</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2017. The reclassification is reflected in</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89"/>
              </w:rPr>
              <w:t>"increase (decrease) in cash, cash equivalents,</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and restricted cash" in the Consolidated</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Statements of Cash Flows. See additional</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disclosures in "Consolidated Statement of</w:t>
            </w:r>
          </w:p>
        </w:tc>
      </w:t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Cash Flows - Supplemental Disclosures."</w:t>
            </w:r>
          </w:p>
        </w:tc>
      </w:tr>
    </w:tbl>
    <w:p>
      <w:pPr>
        <w:spacing w:after="0" w:line="200" w:lineRule="exact"/>
        <w:rPr>
          <w:sz w:val="20"/>
          <w:szCs w:val="20"/>
          <w:color w:val="auto"/>
        </w:rPr>
      </w:pPr>
    </w:p>
    <w:p>
      <w:pPr>
        <w:sectPr>
          <w:pgSz w:w="11900" w:h="16838" w:orient="portrait"/>
          <w:cols w:equalWidth="0" w:num="1">
            <w:col w:w="11360"/>
          </w:cols>
          <w:pgMar w:left="240" w:top="126" w:right="299" w:bottom="1440" w:gutter="0" w:footer="0" w:header="0"/>
        </w:sectPr>
      </w:pPr>
    </w:p>
    <w:p>
      <w:pPr>
        <w:spacing w:after="0" w:line="2"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 xml:space="preserve">ASU 2017-05, February 2017, </w:t>
      </w:r>
      <w:r>
        <w:rPr>
          <w:rFonts w:ascii="Arial" w:cs="Arial" w:eastAsia="Arial" w:hAnsi="Arial"/>
          <w:sz w:val="16"/>
          <w:szCs w:val="16"/>
          <w:i w:val="1"/>
          <w:iCs w:val="1"/>
          <w:color w:val="auto"/>
        </w:rPr>
        <w:t>Other Income - Gains</w:t>
      </w:r>
      <w:r>
        <w:rPr>
          <w:rFonts w:ascii="Arial" w:cs="Arial" w:eastAsia="Arial" w:hAnsi="Arial"/>
          <w:sz w:val="16"/>
          <w:szCs w:val="16"/>
          <w:color w:val="auto"/>
        </w:rPr>
        <w:t xml:space="preserve"> </w:t>
      </w:r>
      <w:r>
        <w:rPr>
          <w:rFonts w:ascii="Arial" w:cs="Arial" w:eastAsia="Arial" w:hAnsi="Arial"/>
          <w:sz w:val="16"/>
          <w:szCs w:val="16"/>
          <w:i w:val="1"/>
          <w:iCs w:val="1"/>
          <w:color w:val="auto"/>
        </w:rPr>
        <w:t>and Losses from the Recognition of Nonfinancial Assets (Subtopic 610-20): Clarifying the Scope of Asset Derecognition Guidance and Accounting for Partial Sales of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right="120"/>
        <w:spacing w:after="0" w:line="288" w:lineRule="auto"/>
        <w:rPr>
          <w:sz w:val="20"/>
          <w:szCs w:val="20"/>
          <w:color w:val="auto"/>
        </w:rPr>
      </w:pPr>
      <w:r>
        <w:rPr>
          <w:rFonts w:ascii="Arial" w:cs="Arial" w:eastAsia="Arial" w:hAnsi="Arial"/>
          <w:sz w:val="16"/>
          <w:szCs w:val="16"/>
          <w:color w:val="auto"/>
        </w:rPr>
        <w:t xml:space="preserve">ASU 2017-09, May 2017, </w:t>
      </w:r>
      <w:r>
        <w:rPr>
          <w:rFonts w:ascii="Arial" w:cs="Arial" w:eastAsia="Arial" w:hAnsi="Arial"/>
          <w:sz w:val="16"/>
          <w:szCs w:val="16"/>
          <w:i w:val="1"/>
          <w:iCs w:val="1"/>
          <w:color w:val="auto"/>
        </w:rPr>
        <w:t>Compensation-Stock Compensation (Topic 718):</w:t>
      </w:r>
    </w:p>
    <w:p>
      <w:pPr>
        <w:ind w:left="40" w:right="500"/>
        <w:spacing w:after="0" w:line="323" w:lineRule="auto"/>
        <w:rPr>
          <w:sz w:val="20"/>
          <w:szCs w:val="20"/>
          <w:color w:val="auto"/>
        </w:rPr>
      </w:pPr>
      <w:r>
        <w:rPr>
          <w:rFonts w:ascii="Arial" w:cs="Arial" w:eastAsia="Arial" w:hAnsi="Arial"/>
          <w:sz w:val="16"/>
          <w:szCs w:val="16"/>
          <w:i w:val="1"/>
          <w:iCs w:val="1"/>
          <w:color w:val="auto"/>
        </w:rPr>
        <w:t>Scope of Modification Accounting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This ASU clarifies that ASC 610-20 applies to all</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2018</w:t>
            </w:r>
          </w:p>
        </w:tc>
        <w:tc>
          <w:tcPr>
            <w:tcW w:w="3520" w:type="dxa"/>
            <w:vAlign w:val="bottom"/>
          </w:tcPr>
          <w:p>
            <w:pPr>
              <w:ind w:left="180"/>
              <w:spacing w:after="0"/>
              <w:rPr>
                <w:sz w:val="20"/>
                <w:szCs w:val="20"/>
                <w:color w:val="auto"/>
              </w:rPr>
            </w:pPr>
            <w:r>
              <w:rPr>
                <w:rFonts w:ascii="Arial" w:cs="Arial" w:eastAsia="Arial" w:hAnsi="Arial"/>
                <w:sz w:val="18"/>
                <w:szCs w:val="18"/>
                <w:color w:val="auto"/>
              </w:rPr>
              <w:t>The new guidance impacts the gain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nonfinancial assets (including real estate) for which the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87"/>
              </w:rPr>
              <w:t>recognized when a real estate asset is sold to 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counterparty is not a customer and also clarifies that all</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2"/>
              </w:rPr>
              <w:t>non-customer and a noncontrolling interest is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4"/>
              </w:rPr>
              <w:t>businesses are derecognized using the deconsolidation</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retained.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guidance. Additionally, it defines an insubstance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4"/>
              </w:rPr>
              <w:t>The adoption of this standard did not have 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nonfinancial asset as a financial asset that is promised to</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significant impact on our consolidated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a counterparty in a contract in which substantially all of</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financial statements.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8"/>
              </w:rPr>
              <w:t>the fair value of the assets promised in the contract is</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concentrated in nonfinancial assets, which excludes cash</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or cash equivalents and liabilities.</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w w:val="95"/>
              </w:rPr>
              <w:t>Under the current guidance, a partial sale is recognized</w:t>
            </w: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and carryover basis is used for the retained interest,</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however, the new guidance eliminates the use of</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7"/>
              </w:rPr>
              <w:t>carryover basis and generally requires a full gain to be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recognized for prospective disposals of nonfinancial</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The ASU clarifies when changes to the terms or</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2018</w:t>
            </w:r>
          </w:p>
        </w:tc>
        <w:tc>
          <w:tcPr>
            <w:tcW w:w="3520" w:type="dxa"/>
            <w:vAlign w:val="bottom"/>
          </w:tcPr>
          <w:p>
            <w:pPr>
              <w:ind w:left="180"/>
              <w:spacing w:after="0"/>
              <w:rPr>
                <w:sz w:val="20"/>
                <w:szCs w:val="20"/>
                <w:color w:val="auto"/>
              </w:rPr>
            </w:pPr>
            <w:r>
              <w:rPr>
                <w:rFonts w:ascii="Arial" w:cs="Arial" w:eastAsia="Arial" w:hAnsi="Arial"/>
                <w:sz w:val="18"/>
                <w:szCs w:val="18"/>
                <w:color w:val="auto"/>
                <w:w w:val="91"/>
              </w:rPr>
              <w:t>The adoption of this standard did not have an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conditions of a share-based payment award must be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6"/>
              </w:rPr>
              <w:t>impact to our financial statements, as there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accounted for as modifications. Under the new guidance,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2"/>
              </w:rPr>
              <w:t>have been no modifications to awards for the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an entity will not apply modification accounting if the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three months ended March 31, 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awards' fair value, vesting conditions, and the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classification of the award as equity or a liability are the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3"/>
              </w:rPr>
              <w:t>same immediately before and after the change. The new</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guidance is applied prospectively to awards granted or</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modified after the adoption date.</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702"/>
        </w:trPr>
        <w:tc>
          <w:tcPr>
            <w:tcW w:w="4220" w:type="dxa"/>
            <w:vAlign w:val="bottom"/>
          </w:tcPr>
          <w:p>
            <w:pPr>
              <w:ind w:left="3340"/>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2">
            <w:col w:w="2120" w:space="200"/>
            <w:col w:w="9040"/>
          </w:cols>
          <w:pgMar w:left="240" w:top="126"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29,209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23,758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31,832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25,089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 of noncontrolling interest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393"/>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64,407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73,700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March 31, 2018, we closed on the sale of 73 condominium units at our Assembly Row and Pike &amp; Rose properties and received proceeds net of closing costs of $51.5 million, resulting in a $3.3 million gain, net of $1.0 million of income taxes. The cost basis for remaining condominium units that are ready for their intended use as of March 31, 2018 is $36.9 million, and is included in "assets held for sale" on our consolidated balance sheets. The cost basis of condominium units not yet ready for their intended use is included in "construction-in-progress" on our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2018, the maximum amount of borrowings outstanding under our $800.0 million revolving credit facility was</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$133.0 million, the weighted average borrowings outstanding was $99.8 million, and the weighted average interest rate, before amortization of debt fees, was 2.4%. At March 31, 2018, the outstanding balance was $103.0 million. Our revolving credit facility, term loan and certain notes require us to comply with various financial covenants, including the maintenance of minimum shareholders’ equity and debt coverage ratios and a maximum ratio of debt to net worth. As of March 31, 2018, we were in compliance with all default related debt covenants.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1080" w:type="dxa"/>
            <w:vAlign w:val="bottom"/>
          </w:tcPr>
          <w:p>
            <w:pPr>
              <w:jc w:val="right"/>
              <w:ind w:right="441"/>
              <w:spacing w:after="0" w:line="153"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861,729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863,535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811,770</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824,419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2,402,138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2,421,557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1"/>
              <w:spacing w:after="0"/>
              <w:rPr>
                <w:sz w:val="20"/>
                <w:szCs w:val="20"/>
                <w:color w:val="auto"/>
              </w:rPr>
            </w:pPr>
            <w:r>
              <w:rPr>
                <w:rFonts w:ascii="Arial" w:cs="Arial" w:eastAsia="Arial" w:hAnsi="Arial"/>
                <w:sz w:val="18"/>
                <w:szCs w:val="18"/>
                <w:color w:val="auto"/>
              </w:rPr>
              <w:t>2,401,440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2,498,445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March 31, 2018,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$0.5 million as a decrease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March 31, 2018, and we do not anticipate it will have a significant effect in the future.</w:t>
      </w:r>
    </w:p>
    <w:p>
      <w:pPr>
        <w:spacing w:after="0" w:line="2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2018 was an asset of $0.5 million and is included in "prepaid expenses and other assets" on our consolidated balance sheets. For the three months ended March 31, 2018, the change in valuation on our interest rate swaps resulted in a $0.5 million increase in our derivative asset, (including $0.1 million reclassified from other comprehensive income to interest expense). The change in valuation on our interest rate swaps is included in "accumulated other comprehensive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assets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762,487 downREIT operating partnership units are outstanding which have a total fair value of $88.5 million, based on our closing stock price on March 31,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0.980</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0.339</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(1) Amount represents dividends per depository share, each representing 1/1000th of a share.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35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rents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Retail and commercial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Residential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 rents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rental income</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Minimum rents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Straight-line rents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above market leases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below market leases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0"/>
        </w:trPr>
        <w:tc>
          <w:tcPr>
            <w:tcW w:w="320" w:type="dxa"/>
            <w:vAlign w:val="bottom"/>
          </w:tcPr>
          <w:p>
            <w:pPr>
              <w:spacing w:after="0"/>
              <w:rPr>
                <w:sz w:val="16"/>
                <w:szCs w:val="16"/>
                <w:color w:val="auto"/>
              </w:rPr>
            </w:pPr>
          </w:p>
        </w:tc>
        <w:tc>
          <w:tcPr>
            <w:tcW w:w="16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6"/>
                <w:szCs w:val="16"/>
                <w:color w:val="auto"/>
              </w:rPr>
            </w:pPr>
          </w:p>
        </w:tc>
      </w:tr>
      <w:tr>
        <w:trPr>
          <w:trHeight w:val="52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152,150</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142,143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16,015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13,503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45,204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41,518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2,823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4,460</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220,581</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204,447</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738"/>
        </w:trPr>
        <w:tc>
          <w:tcPr>
            <w:tcW w:w="320" w:type="dxa"/>
            <w:vAlign w:val="bottom"/>
          </w:tcPr>
          <w:p>
            <w:pPr>
              <w:spacing w:after="0"/>
              <w:rPr>
                <w:sz w:val="24"/>
                <w:szCs w:val="24"/>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0"/>
        </w:trPr>
        <w:tc>
          <w:tcPr>
            <w:tcW w:w="320" w:type="dxa"/>
            <w:vAlign w:val="bottom"/>
          </w:tcPr>
          <w:p>
            <w:pPr>
              <w:spacing w:after="0"/>
              <w:rPr>
                <w:sz w:val="16"/>
                <w:szCs w:val="16"/>
                <w:color w:val="auto"/>
              </w:rPr>
            </w:pPr>
          </w:p>
        </w:tc>
        <w:tc>
          <w:tcPr>
            <w:tcW w:w="16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5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-2709545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-2366010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-2023110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-1680210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-496570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126"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3,870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3,432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2018 and 2017, we had 0.3 million and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the dilutive EPS calculation, dilutive stock options were calculated using the treasury stock method consistent with prior periods. There were 682 anti-dilutive stock options for the three months ended March 31, 2018, and no anti-dilutive stock options for the three months ended March 31, 2017.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59,615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55,668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55,750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90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58,984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55,820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72,905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71,862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72,968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72,005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57,931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56,120</w:t>
            </w:r>
          </w:p>
        </w:tc>
        <w:tc>
          <w:tcPr>
            <w:tcW w:w="0" w:type="dxa"/>
            <w:vAlign w:val="bottom"/>
          </w:tcPr>
          <w:p>
            <w:pPr>
              <w:spacing w:after="0"/>
              <w:rPr>
                <w:sz w:val="1"/>
                <w:szCs w:val="1"/>
                <w:color w:val="auto"/>
              </w:rPr>
            </w:pPr>
          </w:p>
        </w:tc>
      </w:tr>
      <w:tr>
        <w:trPr>
          <w:trHeight w:val="702"/>
        </w:trPr>
        <w:tc>
          <w:tcPr>
            <w:tcW w:w="8340" w:type="dxa"/>
            <w:vAlign w:val="bottom"/>
          </w:tcPr>
          <w:p>
            <w:pPr>
              <w:ind w:left="562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2017 filed with the Securities and Exchange Commission (the “SEC”) on February 13, 2018.</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2017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three months ended March 31, 2018, we closed on the sale of 73 condominium units at our Assembly Row and Pike &amp; Rose properties and received gross proceeds of $51.5 million, resulting in a $3.3 million gain, net of $1.0 million of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$64 million and $2 million, respectively, for the three months ended March 31, 2018, and $104 million and $2 million, respectively, for the three months ended March 31, 2017. We capitalized external and internal costs related to other property improvements of $14 million and $1 million, respectively, for the three months ended March 31, 2018, and $12 million and $1 million for the three months ended March 31, 2017. We capitalized external and internal costs related to leasing activities of $7 million and $1 million, respectively, for the three months ended March 31, 2018, and $2 million and $2 million, respectively, for the three months ended March 31, 2017. The amount of capitalized internal costs for salaries and related benefits for development and redevelopment activities, other property improvements, and leasing activities were $2 million, $1 million, and $1 million, for the both the three months ended March 31, 2018 and 2017. Total capitalized costs were $90 million and $122 million for the three months ended March 31, 2018 and 2017,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closing early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March 31, 2018, no single tenant accounted for more than 2.9% of annualized base rent.</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$155 million that we expect to stabilize in the next several years.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continue our ongoing redevelopment efforts at Santana Row and are under construction on an eight story 284,000 square foot office building which will include an additional 29,000 square feet of retail space and 1,300 parking spaces. The building is expected to cost between $205 million and $215 million and to be delivered in 2019. After current phases, we have approximately 4 acres remaining for further redevelopment and entitlements in place for an additional 395 residential units and 321,000 square feet of commercial space. Additionally, we control 12 acres of land across from Santana Row, which has approximately 1 million square feet of commercial space entitlements.</w:t>
      </w:r>
    </w:p>
    <w:p>
      <w:pPr>
        <w:spacing w:after="0" w:line="1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1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Construction continues on Phase II of Assembly Row which will include approximately 161,000 square feet of retail space, 447 residential units, and a 158 room boutique hotel (which will be owned and operated by a joint venture in which we are a partner). Total expected costs range from $280 million to $295 million and delivery is expected through 2018. As of March 31, 2018, approximately 64,000 square feet of retail space has opened and 258 residential units have been completed. Phase II also includes 122 for-sale condominium units of which 43 units have closed as of March 31, 2018. The condominium units have an expected total cost of $74 million to $79 million. Additionally, Partners HealthCare built a 741,500 square foot office building as a part of Phase II.</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Construction also continues on Phase II of Pike &amp; Rose which will include approximately 216,000 square feet of retail space, 272 residential units, and a 177 room boutique hotel (owned and operated by a joint venture in which we are a partner). As of March 31, 2018, approximately 154,000 square feet of retail space and the 177 room hotel have opened, and 247 residential units have been completed. Total expected costs range from $200 million to $207 million and remaining delivery is expected through 2018. In March 2018, we closed on the sale of 30 of the 99 for-sale condominium units in Phase II. The condominium units have an expected cost of $60 million to $62 million.</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Including costs incurred in the first three months of 2018, we expect to invest between $75 million and $100 million at Assembly Row and Pike &amp; Rose in 2018.</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continue to review acquisition opportunities in our primary markets that complement our portfolio and provide long-term growth opportunities. Initially, some of our acquisitions do not contribute significantly to earnings growth; however, we believe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6"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March 31, 2018, the leasable square feet in our properties was 94.8% leased and 93.3%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first quarter of 2018, we signed leases for a total of 406,000 square feet of retail space including 403,000 square feet of comparable space leases (leases for which there was a prior tenant) at an average rental increase of 22% on a cash basis and 31% on a straight-line basis. New leases for comparable spaces were signed for 203,000 square feet at an average rental increase of 45% on a cash basis and 53% on a straight-line basis. Renewals for comparable spaces were signed for 200,000 square feet at an average rental increase of 7% on a cash basis and 17% on a straight-line basis. Tenant improvements and incentives for comparable spaces were $18.41 per square foot, of which, $35.11 per square foot was for new leases and $1.47 per square foot was for renewals for the three months ended March 31, 2018.</w:t>
      </w:r>
    </w:p>
    <w:p>
      <w:pPr>
        <w:spacing w:after="0" w:line="13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2018 generally become effective over the following two years though some may not become effective until 2021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Historically, we have executed comparable space leases for 1.2 to 1.6 million square feet of retail space each year, and expect that volume for 2018 will be in line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2018, all or a portion of 91 properties, were considered comparable properties and seven properties were considered non-comparable properties. For the three months ended March 31, 2018, six properties were moved from acquisitions to comparable properties and one portion of a property was moved from non-comparable to comparable properties, compared to the designations for the year ended December 31, 2017, which were 85 properties or portions of properties considered comparable and seven considered non-comparable. While there is judgment surrounding changes in designations, we typically move non-comparable properties to comparable properties once they have stabilized, which is typically considered 95% physical occupancy or when the growth expected from the redevelopment has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MARCH 31, 2018 AND 2017</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16,134</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225,405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207,389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18,016</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3,358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141,190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10,994</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57,892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58,070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61,247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56,190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5,057</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property revenue increased $18.0 million, or 8.7%, to $225.4 million in the three months ended March 31, 2018 compared to $207.4 million in the three months ended March 31, 2017. The percentage occupied at our shopping centers was 93.3% at March 31, 2018 compared to 93.1% at March 31, 2017.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$16.1 million, or 7.9%, to $220.6 million in the three months ended March 31, 2018 compared to $204.4 million in the three months ended March 31, 2017 due primarily to the following:</w:t>
      </w:r>
    </w:p>
    <w:p>
      <w:pPr>
        <w:spacing w:after="0" w:line="19" w:lineRule="exact"/>
        <w:rPr>
          <w:sz w:val="20"/>
          <w:szCs w:val="20"/>
          <w:color w:val="auto"/>
        </w:rPr>
      </w:pPr>
    </w:p>
    <w:p>
      <w:pPr>
        <w:ind w:left="1140" w:right="560" w:hanging="241"/>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$9.5 million from acquisitions, primarily related to the six shopping centers acquired in Los Angeles County, California, Riverpoint Center, and Hastings Ranch Plaza,</w:t>
      </w:r>
    </w:p>
    <w:p>
      <w:pPr>
        <w:spacing w:after="0" w:line="8" w:lineRule="exact"/>
        <w:rPr>
          <w:rFonts w:ascii="Arial" w:cs="Arial" w:eastAsia="Arial" w:hAnsi="Arial"/>
          <w:sz w:val="18"/>
          <w:szCs w:val="18"/>
          <w:color w:val="auto"/>
        </w:rPr>
      </w:pPr>
    </w:p>
    <w:p>
      <w:pPr>
        <w:ind w:left="1140" w:right="120" w:hanging="241"/>
        <w:spacing w:after="0" w:line="34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increase of $5.3 million at comparable properties due primarily to higher rental rates of approximately $3.1 million, higher average occupancy of approximately $1.3 million, and higher recoveries of $1.0 million primarily the result of higher real estate tax assessments,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140" w:right="160" w:hanging="241"/>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$3.4 million at non-comparable properties due primarily to the opening of Phase II at Assembly Row and Pike &amp; Rose during the second half of 2017 into 2018 partially offset by lower occupancy at two of our retail properties in Florida in the beginning stages of redevelopment,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$2.0 million from 2017 property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Other property income increased $1.9 million or 85.7% to $4.1 million in the three months ended March 31, 2018 compared to $2.2 million in the three months ended March 31, 2017.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property expenses increased $7.0 million, or 10.6%, to $73.2 million in the three months ended March 31, 2018 compared to $66.2 million in the three months ended March 31, 2017.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Rental expenses increased $3.7 million, or 8.9%, to $44.8 million in the three months ended March 31, 2018 compared to $41.1 million in the three months ended March 31, 2017. This increase is primarily due to the following:</w:t>
      </w:r>
    </w:p>
    <w:p>
      <w:pPr>
        <w:spacing w:after="0" w:line="8" w:lineRule="exact"/>
        <w:rPr>
          <w:sz w:val="20"/>
          <w:szCs w:val="20"/>
          <w:color w:val="auto"/>
        </w:rPr>
      </w:pPr>
    </w:p>
    <w:p>
      <w:pPr>
        <w:ind w:left="1140" w:hanging="241"/>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$2.3 million from acquisitions, primarily related to six shopping centers acquired in Los Angeles County, California, Riverpoint Center, and Hastings Ranch Plaza,</w:t>
      </w:r>
    </w:p>
    <w:p>
      <w:pPr>
        <w:spacing w:after="0" w:line="8" w:lineRule="exact"/>
        <w:rPr>
          <w:rFonts w:ascii="Arial" w:cs="Arial" w:eastAsia="Arial" w:hAnsi="Arial"/>
          <w:sz w:val="18"/>
          <w:szCs w:val="18"/>
          <w:color w:val="auto"/>
        </w:rPr>
      </w:pPr>
    </w:p>
    <w:p>
      <w:pPr>
        <w:ind w:left="1140" w:right="400" w:hanging="241"/>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$1.1 million from non-comparable properties, due primarily to the opening of Phase II at Assembly Row and Pike &amp; Rose during the second half of 2017 into 2018,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$0.6 million from comparable properties, primarily due to higher bad debt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$0.4 million from 2017 property sales.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plus other property income was 19.9% for both the three months ended March 31, 2018 and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Real estate tax expense increased $3.4 million, or 13.4%, to $28.4 million in the three months ended March 31, 2018 compared to $25.1 million in the three months ended March 31, 2017 due primarily to the following:</w:t>
      </w:r>
    </w:p>
    <w:p>
      <w:pPr>
        <w:spacing w:after="0" w:line="8" w:lineRule="exact"/>
        <w:rPr>
          <w:sz w:val="20"/>
          <w:szCs w:val="20"/>
          <w:color w:val="auto"/>
        </w:rPr>
      </w:pPr>
    </w:p>
    <w:p>
      <w:pPr>
        <w:ind w:left="1140" w:right="200" w:hanging="241"/>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$2.0 million from acquisitions, primarily related to our acquisition of six shopping centers in Los Angeles County, California and Riverpoint Center,</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$1.3 million at comparable properties primarily due to higher assessments,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at non-comparable properties due primarily to Phase II of Assembly Row and Pike &amp; Rose,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$0.5 million from 2017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operating income increased $11.0 million, or 7.8%, to $152.2 million in the three months ended March 31, 2018 compared to $141.2 million in the three months ended March 31, 2017. This increase is primarily due to our acquisition of six shopping centers in Los Angeles County, California in August 2017 and Riverpoint Center in March 2017, growth in earnings at comparable properties, and the opening of Phase II at Assembly Row and Pike &amp; Rose, partially offset by 2017 property sales.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$6.7 million, or 13.1%, to $58.1 million in the three months ended March 31, 2018 from $51.4 million in the three months ended March 31, 2017. This increase is primarily due to 2017 acquisitions (primarily the acquisition of six shopping centers in Los Angeles County, California and Riverpoint Center), Phase II of Assembly Row and Pike &amp; Rose being placed in service, and comparable properties, partially offset by 2017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increased $4.6 million, or 5.6%, to $86.1 million in the three months ended March 31, 2018 compared to $81.5 million in the three months ended March 31, 2017. This increase is primarily due to growth in earnings at our comparable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increased $2.4 million, or 10.2%, to $26.2 million in the three months ended March 31, 2018 compared to $23.8 million in the three months ended March 31, 2017. This increase is due primarily to the following:</w:t>
      </w:r>
    </w:p>
    <w:p>
      <w:pPr>
        <w:spacing w:after="0" w:line="8" w:lineRule="exact"/>
        <w:rPr>
          <w:sz w:val="20"/>
          <w:szCs w:val="20"/>
          <w:color w:val="auto"/>
        </w:rPr>
      </w:pPr>
    </w:p>
    <w:p>
      <w:pPr>
        <w:ind w:left="1140" w:right="180" w:hanging="241"/>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$4.5 million due to higher borrowings primarily attributable to the $475 million issuance of 3.25% senior notes ($300 million issued in June 2017 and $175 million issued in December 2017) and the $100 million reopening in June 2017 of the 4.50% senior notes, partially offset by the early redemption of our $150 million 5.90% senior notes in December 2017,</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$1.5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$0.6 million in capitalized interest.</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interest costs were $32.3 million and $29.2 million in the three months ended March 31, 2018 and 2017, respectively. Capitalized interest was $6.1 million and $5.5 million in the three months ended March 31,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Real Estate Partnerships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$0.5 million loss from real estate partnerships for the three months ended March 31, 2018 is due primarily to our share of losses related to the hotel joint venture at our Pike &amp; Rose property (hotel opened in March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$3.3 million net gain for the three months ended March 31, 2018 is related to condominium unit sales that have closed at our Assembly Row and Pike and Rose properties. The $0.2 million gain for the three months ended March 31, 2017 is the result of the sale of a building in Coconut Grove, Florida.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At March 31, 2018, we had cash and cash equivalents of $64.4 million and $103.0 million outstanding on our $800.0 million unsecured revolving credit facility which matures on April 20, 2020, subject to two six-month extensions at our option. In addition, we have an option (subject to bank approval) to increase the credit facility through an accordion feature to $1.5 billion. For the three months ended March 31, 2018, the maximum amount of borrowings outstanding under our revolving credit facility was $133.0 million, the weighted average amount of borrowings outstanding was $99.8 million and the weighted average interest rate, before amortization of debt fees, was 2.4%. Our only remaining debt maturing in 2018 is our $275.0 million unsecured term loan which matures on November 21, 2018, subject to a one-year extension at our option. As of March 31, 2018, we had the capacity to issue up to $261.3 million in common shares under our ATM equity program.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2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overall capital requirements for the remainder of 2018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to see a reduced level of capital investments in our properties under development and redevelopment compared to recent years, which is the result of completing construction on Phase II at both Assembly Row and Pike &amp; Rose in 2018.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124,180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(279,276)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153,954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48,500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73,700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33,460</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cash provided by operating activities increased $0.2 million to $124.2 million during the three months ended March 31, 2018 from $123.9 million during the three months ended March 31, 2017. The increase was primarily attributable to higher net income before certain non-cash items partially offset by timing of interest payments on our senior notes and timing of operating expense payments.</w:t>
      </w:r>
    </w:p>
    <w:p>
      <w:pPr>
        <w:spacing w:after="0" w:line="12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cash used in investing activities decreased $233.1 million to $46.2 million during the three months ended March 31, 2018 from $279.3 million during the three months ended March 31, 2017. The decrease was primarily attributable to:</w:t>
      </w:r>
    </w:p>
    <w:p>
      <w:pPr>
        <w:spacing w:after="0" w:line="8" w:lineRule="exact"/>
        <w:rPr>
          <w:sz w:val="20"/>
          <w:szCs w:val="20"/>
          <w:color w:val="auto"/>
        </w:rPr>
      </w:pPr>
    </w:p>
    <w:p>
      <w:pPr>
        <w:ind w:left="1140" w:right="240" w:hanging="241"/>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$141.2 million decrease in acquisitions of real estate, primarily due to the 2017 acquisitions of our Riverpoint Center and Hastings Ranch properties,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$51.5 million of proceeds from the sale of condominiums at our Assembly Row and Pike &amp; Rose properties in March 2018,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$46.1 million decrease in capital expenditures as we complete portions of Phase II of both our Assembly Row and Pike &amp; Rose projects.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financing activities increased $183.5 million to $29.5 million during the three months ended March 31, 2018 from $154.0 million provided during the three months ended March 31, 2017. The increase was primarily attributable to:</w:t>
      </w:r>
    </w:p>
    <w:p>
      <w:pPr>
        <w:spacing w:after="0" w:line="8" w:lineRule="exact"/>
        <w:rPr>
          <w:sz w:val="20"/>
          <w:szCs w:val="20"/>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$155.0 million decrease in net borrowings on our revolving credit facility,</w:t>
      </w:r>
    </w:p>
    <w:p>
      <w:pPr>
        <w:spacing w:after="0" w:line="63" w:lineRule="exact"/>
        <w:rPr>
          <w:rFonts w:ascii="Arial" w:cs="Arial" w:eastAsia="Arial" w:hAnsi="Arial"/>
          <w:sz w:val="18"/>
          <w:szCs w:val="18"/>
          <w:color w:val="auto"/>
        </w:rPr>
      </w:pPr>
    </w:p>
    <w:p>
      <w:pPr>
        <w:ind w:left="114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$16.0 million decrease in net proceeds from the issuance of common shares due primarily to not issuing any common shares under our ATM equity program in the three months ended March 31, 2018,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$10.5 million payoff of the mortgage loan on the Grove at Shrewsbury (West) on March 1, 2018.</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6"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80" w:type="dxa"/>
            <w:vAlign w:val="bottom"/>
          </w:tcPr>
          <w:p>
            <w:pPr>
              <w:spacing w:after="0"/>
              <w:rPr>
                <w:sz w:val="12"/>
                <w:szCs w:val="12"/>
                <w:color w:val="auto"/>
              </w:rPr>
            </w:pPr>
          </w:p>
        </w:tc>
        <w:tc>
          <w:tcPr>
            <w:tcW w:w="96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of March 31, 2018</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March 31, 2018</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Shops at Sunset Place</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66,064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Sylmar Towne Center</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17,271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70,625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Azalea</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43,600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Brook 35</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479,596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479,333</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(1)</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+ 0.90%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Various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4,815</w:t>
            </w:r>
          </w:p>
        </w:tc>
        <w:tc>
          <w:tcPr>
            <w:tcW w:w="1740" w:type="dxa"/>
            <w:vAlign w:val="bottom"/>
            <w:gridSpan w:val="2"/>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Revolving credit facility (2)</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382,815</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382,396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(17,062)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2,402,138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600"/>
              <w:spacing w:after="0"/>
              <w:rPr>
                <w:sz w:val="20"/>
                <w:szCs w:val="20"/>
                <w:color w:val="auto"/>
              </w:rPr>
            </w:pPr>
            <w:r>
              <w:rPr>
                <w:rFonts w:ascii="Arial" w:cs="Arial" w:eastAsia="Arial" w:hAnsi="Arial"/>
                <w:sz w:val="16"/>
                <w:szCs w:val="16"/>
                <w:color w:val="auto"/>
              </w:rPr>
              <w:t>Various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71,547</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3,335,414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6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three months ended March 31, 2018 was $133.0 million, and the weighted average interest rate on borrowings under our revolving credit facility, before amortization of debt fees, was 2.4%.</w:t>
      </w:r>
    </w:p>
    <w:p>
      <w:pPr>
        <w:spacing w:after="0" w:line="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revolving credit facility, term loan and other debt agreements include financial and other covenants that may limit our operating activities in the future. As of March 31, 2018, we were in compliance with all financial and other covenants related to our revolving credit facility, term loan and senior notes. Additionally, as of March 31, 2018, we were in compliance with all of</w:t>
      </w:r>
    </w:p>
    <w:p>
      <w:pPr>
        <w:sectPr>
          <w:pgSz w:w="11900" w:h="16838" w:orient="portrait"/>
          <w:cols w:equalWidth="0" w:num="1">
            <w:col w:w="11420"/>
          </w:cols>
          <w:pgMar w:left="240" w:top="126"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6" w:right="23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4,263</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279,797</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25,820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26,425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103,624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65,539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169,209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250,694</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30,541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281,286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250,771</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117,018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367,845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1,920,861</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236,415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71,320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2,228,596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2,802,015</w:t>
            </w:r>
          </w:p>
        </w:tc>
        <w:tc>
          <w:tcPr>
            <w:tcW w:w="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479,596</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71,547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3,353,158</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63"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March 31, 2018, there was $103.0 million outstanding under this credit facility.</w:t>
      </w:r>
    </w:p>
    <w:p>
      <w:pPr>
        <w:spacing w:after="0" w:line="8"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March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2018, we are party to two interest rate swap agreements that effectively fixed the rate on the term loan at 2.62%. Both swaps were designated and qualified as cash flow hedges and were recorded at fair value. Hedge ineffectiveness has not impacted earnings as of March 31, 2018,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7"/>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113,882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105,486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112,394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105,795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72,805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months ended March 31, 2018, dividends on our Series 1 preferred shares are not deducted in the calculation of FFO available to common shareholders, as the related shares are dilutive and included in "weighted average common shares, diluted." The weighted average common shares used to compute FFO per diluted common share also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2018,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March 31, 2018, we had $3.2 billion of fixed-rate debt outstanding, including our $275.0 million term loan as the rate is effectively fixed by two interest rate swap agreements; we also had $71.5 million of capital lease obligations. If market interest rates used to calculate the fair value on our fixed-rate debt instruments at March 31, 2018 had been 1.0% higher, the fair value of those debt instruments on that date would have decreased by approximately $224.8 million. If market interest rates used to calculate the fair value on our fixed-rate debt instruments at March 31, 2018 had been 1.0% lower, the fair value of those debt instruments on that date would have increased by approximately $258.9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March 31, 2018, we had $103.0 million of variable rate debt outstanding on our revolving credit facility. Based upon this amount of variable rate debt and the specific terms, if market interest rates increased 1.0%, our annual interest expense would increase by approximately $1.0 million with a corresponding decrease in our net income and cash flows for the year. Conversely, if market interest rates decreased 1.0%, our annual interest expense would decrease by approximately $1.0 million with a corresponding increase in our net income and cash flows for the year.</w:t>
      </w:r>
    </w:p>
    <w:p>
      <w:pPr>
        <w:spacing w:after="0" w:line="1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2018. Based on this evaluation, our management, including our Chief Executive Officer and Chief Financial Officer, concluded that our disclosure controls and procedures were effective as of March 31, 2018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2017.</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2017 filed with the SEC on February 13, 2018.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4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March 31, 2018, we redeemed 25,475 downREIT operating partnership units for cash.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6" w:right="27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126"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126"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24"/>
        </w:trPr>
        <w:tc>
          <w:tcPr>
            <w:tcW w:w="3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right="340" w:hanging="1165"/>
        <w:spacing w:after="0" w:line="259" w:lineRule="auto"/>
        <w:tabs>
          <w:tab w:leader="none" w:pos="1200" w:val="left"/>
        </w:tabs>
        <w:numPr>
          <w:ilvl w:val="0"/>
          <w:numId w:val="19"/>
        </w:numPr>
        <w:rPr>
          <w:rFonts w:ascii="Arial" w:cs="Arial" w:eastAsia="Arial" w:hAnsi="Arial"/>
          <w:sz w:val="18"/>
          <w:szCs w:val="18"/>
          <w:u w:val="single" w:color="auto"/>
          <w:color w:val="0000FF"/>
        </w:rPr>
      </w:pPr>
      <w:r>
        <w:rPr>
          <w:rFonts w:ascii="Arial" w:cs="Arial" w:eastAsia="Arial" w:hAnsi="Arial"/>
          <w:sz w:val="18"/>
          <w:szCs w:val="18"/>
          <w:color w:val="auto"/>
        </w:rPr>
        <w:t>The following materials from Federal Realty Investment Trust’s Quarterly Report on Form 10-Q for the quarter ended March 31, 2018,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2018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2018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lvl w:ilvl="1">
      <w:lvlJc w:val="left"/>
      <w:lvlText w:val="•"/>
      <w:numFmt w:val="bullet"/>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2019-12-05T05:36:58Z</dcterms:created>
  <dcterms:modified xsi:type="dcterms:W3CDTF">2019-12-05T05:36:58Z</dcterms:modified>
</cp:coreProperties>
</file>