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2013</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1, 2013, Federal Realty Investment Trust issued supplemental data pertaining to its operations, as well as a press release, to report its financial results for the quarter ended March 31, 2013.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2013 (including press release dated May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1, 2013</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2013</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2013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6</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6">
              <w:r>
                <w:rPr>
                  <w:rFonts w:ascii="Arial" w:cs="Arial" w:eastAsia="Arial" w:hAnsi="Arial"/>
                  <w:sz w:val="18"/>
                  <w:szCs w:val="18"/>
                  <w:color w:val="0000FF"/>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12</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49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2420" w:type="dxa"/>
            <w:vAlign w:val="bottom"/>
            <w:gridSpan w:val="2"/>
          </w:tcPr>
          <w:p>
            <w:pPr>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2420" w:type="dxa"/>
            <w:vAlign w:val="bottom"/>
            <w:gridSpan w:val="2"/>
          </w:tcPr>
          <w:p>
            <w:pPr>
              <w:spacing w:after="0"/>
              <w:rPr>
                <w:sz w:val="20"/>
                <w:szCs w:val="20"/>
                <w:color w:val="auto"/>
              </w:rPr>
            </w:pPr>
            <w:r>
              <w:rPr>
                <w:rFonts w:ascii="Arial" w:cs="Arial" w:eastAsia="Arial" w:hAnsi="Arial"/>
                <w:sz w:val="18"/>
                <w:szCs w:val="18"/>
                <w:color w:val="auto"/>
                <w:w w:val="98"/>
              </w:rPr>
              <w:t>Investor Relations Coordinator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4900" w:type="dxa"/>
            <w:vAlign w:val="bottom"/>
          </w:tcPr>
          <w:p>
            <w:pPr>
              <w:spacing w:after="0"/>
              <w:rPr>
                <w:sz w:val="22"/>
                <w:szCs w:val="22"/>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301/998-8265</w:t>
            </w:r>
          </w:p>
        </w:tc>
        <w:tc>
          <w:tcPr>
            <w:tcW w:w="106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2420" w:type="dxa"/>
            <w:vAlign w:val="bottom"/>
            <w:gridSpan w:val="2"/>
          </w:tcPr>
          <w:p>
            <w:pPr>
              <w:spacing w:after="0"/>
              <w:rPr>
                <w:sz w:val="20"/>
                <w:szCs w:val="20"/>
                <w:color w:val="auto"/>
              </w:rPr>
            </w:pPr>
            <w:r>
              <w:rPr>
                <w:rFonts w:ascii="Arial" w:cs="Arial" w:eastAsia="Arial" w:hAnsi="Arial"/>
                <w:sz w:val="18"/>
                <w:szCs w:val="18"/>
                <w:i w:val="1"/>
                <w:iCs w:val="1"/>
                <w:color w:val="auto"/>
              </w:rPr>
              <w:t>klennox@federalrealty.com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2013 OPERATING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earnings release follows a Standard &amp; Poors credit rating upgrade to A-</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(May 1, 2013)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first quarter ended March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For first quarter 2013, Federal Realty generated funds from operations available for common shareholders (FFO) of $74.1 million, or $1.14 per diluted share compared to $66.7 million, or $1.04 per diluted share, in first quarter 2012. Net income available for common shareholders was $34.5 million and earnings per diluted share was $0.53 for first quarter 2013 versus $42.9 million and $0.67, respectively, for first quarter 2012.</w:t>
      </w:r>
    </w:p>
    <w:p>
      <w:pPr>
        <w:spacing w:after="0" w:line="29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defined by the National Association of Real Estate Investment Trusts which the Trust considers meaningful in measuring its operating performance. A reconciliation of net income to FFO is attached to this press release.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first quarter 2013, same-center property operating income increased 4.4% including redevelopment and expansion properties, and increased 3.2% excluding redevelopment and expansion properties, compared to first quarter 2012.</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95.1% leased as of March 31, 2013, compared to 95.3% on December 31, 2012 and 93.8% on March 31, 2012. Federal Realty's same-center portfolio was 95.1% leased on March 31, 2013, compared to 95.0% on December 31, 2012 and 94.5% on March 31, 2012.</w:t>
      </w:r>
    </w:p>
    <w:p>
      <w:pPr>
        <w:spacing w:after="0" w:line="186" w:lineRule="exact"/>
        <w:rPr>
          <w:sz w:val="20"/>
          <w:szCs w:val="20"/>
          <w:color w:val="auto"/>
        </w:rPr>
      </w:pPr>
    </w:p>
    <w:p>
      <w:pPr>
        <w:ind w:right="20"/>
        <w:spacing w:after="0" w:line="370" w:lineRule="auto"/>
        <w:rPr>
          <w:sz w:val="20"/>
          <w:szCs w:val="20"/>
          <w:color w:val="auto"/>
        </w:rPr>
      </w:pPr>
      <w:r>
        <w:rPr>
          <w:rFonts w:ascii="Arial" w:cs="Arial" w:eastAsia="Arial" w:hAnsi="Arial"/>
          <w:sz w:val="18"/>
          <w:szCs w:val="18"/>
          <w:color w:val="auto"/>
        </w:rPr>
        <w:t>During first quarter 2013, the Trust signed 80 leases for 266,451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254,282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12%. The average contractual rent on this comparable space for the first year of the new lease is $35.78 per square foot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ind w:right="60"/>
        <w:spacing w:after="0" w:line="364" w:lineRule="auto"/>
        <w:rPr>
          <w:sz w:val="20"/>
          <w:szCs w:val="20"/>
          <w:color w:val="auto"/>
        </w:rPr>
      </w:pPr>
      <w:r>
        <w:rPr>
          <w:rFonts w:ascii="Arial" w:cs="Arial" w:eastAsia="Arial" w:hAnsi="Arial"/>
          <w:sz w:val="18"/>
          <w:szCs w:val="18"/>
          <w:color w:val="auto"/>
        </w:rPr>
        <w:t>compared to the average contractual rent of $31.89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22% for first quarter 2013.</w:t>
      </w:r>
    </w:p>
    <w:p>
      <w:pPr>
        <w:spacing w:after="0" w:line="203" w:lineRule="exact"/>
        <w:rPr>
          <w:sz w:val="20"/>
          <w:szCs w:val="20"/>
          <w:color w:val="auto"/>
        </w:rPr>
      </w:pPr>
    </w:p>
    <w:p>
      <w:pPr>
        <w:ind w:right="20"/>
        <w:spacing w:after="0" w:line="364" w:lineRule="auto"/>
        <w:rPr>
          <w:sz w:val="20"/>
          <w:szCs w:val="20"/>
          <w:color w:val="auto"/>
        </w:rPr>
      </w:pPr>
      <w:r>
        <w:rPr>
          <w:rFonts w:ascii="Arial" w:cs="Arial" w:eastAsia="Arial" w:hAnsi="Arial"/>
          <w:sz w:val="18"/>
          <w:szCs w:val="18"/>
          <w:color w:val="auto"/>
        </w:rPr>
        <w:t>“Results for the first quarter were quite strong with all components of our business firing on all cylinders,” commented Donald C. Wood, president and chief executive officer of Federal Realty. “It's the balance in our business plan that I am so encouraged about. Strong leasing and operations of our core portfolio, key acquisitions providing new redevelopment raw material like Darien Connecticut, and great momentum and progress on the build out of our development pipeline. Taken all together, it's a formidable balance.”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3, 2013 - Acquired a shopping center on 9 acres directly across from the Noroton Heights train station in affluent Darien, Ct. for $47.3 million. The property is anchored by an Equinox health club, a Stop &amp; Shop grocer and a Walgreens drug store and serves one of the most affluent commuter towns in the nation.</w:t>
      </w: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19, 2013 - Standard &amp; Poor's Rating Services upgraded the Corporate Credit and Senior Unsecured ratings for Federal Realty from BBB+, Positive Outlook, to A-, Stable.</w:t>
      </w:r>
    </w:p>
    <w:p>
      <w:pPr>
        <w:spacing w:after="0" w:line="14" w:lineRule="exact"/>
        <w:rPr>
          <w:rFonts w:ascii="Arial" w:cs="Arial" w:eastAsia="Arial" w:hAnsi="Arial"/>
          <w:sz w:val="18"/>
          <w:szCs w:val="18"/>
          <w:color w:val="auto"/>
        </w:rPr>
      </w:pPr>
    </w:p>
    <w:p>
      <w:pPr>
        <w:jc w:val="both"/>
        <w:ind w:left="660" w:hanging="328"/>
        <w:spacing w:after="0" w:line="36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22, 2013 - Federal Realty completed an upsize of its unsecured revolving credit facility to $600 million and extended the maturity date to April 21, 2017, with a one year extension option. The pricing was also lowered to LIBOR plus 90 basis points at the Trust's current rating.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80"/>
        <w:spacing w:after="0" w:line="365" w:lineRule="auto"/>
        <w:rPr>
          <w:sz w:val="20"/>
          <w:szCs w:val="20"/>
          <w:color w:val="auto"/>
        </w:rPr>
      </w:pPr>
      <w:r>
        <w:rPr>
          <w:rFonts w:ascii="Arial" w:cs="Arial" w:eastAsia="Arial" w:hAnsi="Arial"/>
          <w:sz w:val="18"/>
          <w:szCs w:val="18"/>
          <w:color w:val="auto"/>
        </w:rPr>
        <w:t>We have increased our 2013 guidance for FFO per diluted share to a range of $4.55 to $4.59 to reflect the impact of our acquisition of Darien and the benefit to our cost of borrowing from our recent upgrade from Standard &amp; Poor's. Our updated earnings per share guidance is $2.23 to $2.27.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$0.73 per share on its common shares, resulting in an indicated annual rate of $2.92 per share. The regular common dividend will be payable on July 15, 2013 to common shareholders of record on June 21,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ind w:right="200"/>
        <w:spacing w:after="0" w:line="364"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2013 earnings conference call, which is scheduled for May 2, 2013, at 11 a.m. Eastern Daylight Time. To participate, please call (800) 447-0521 five to ten minutes prior to the call start time and use the passcode 34581678 required). Federal Realty will also provide an online webcast on the Company's web site,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2013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74" w:lineRule="exact"/>
        <w:rPr>
          <w:sz w:val="20"/>
          <w:szCs w:val="20"/>
          <w:color w:val="auto"/>
        </w:rPr>
      </w:pPr>
    </w:p>
    <w:p>
      <w:pPr>
        <w:jc w:val="both"/>
        <w:spacing w:after="0" w:line="371" w:lineRule="auto"/>
        <w:rPr>
          <w:sz w:val="20"/>
          <w:szCs w:val="20"/>
          <w:color w:val="auto"/>
        </w:rPr>
      </w:pPr>
      <w:r>
        <w:rPr>
          <w:rFonts w:ascii="Arial" w:cs="Arial" w:eastAsia="Arial" w:hAnsi="Arial"/>
          <w:sz w:val="18"/>
          <w:szCs w:val="18"/>
          <w:u w:val="single" w:color="auto"/>
          <w:color w:val="0000FF"/>
        </w:rPr>
        <w:t>www.federalrealty.com</w:t>
      </w:r>
      <w:r>
        <w:rPr>
          <w:rFonts w:ascii="Arial" w:cs="Arial" w:eastAsia="Arial" w:hAnsi="Arial"/>
          <w:sz w:val="18"/>
          <w:szCs w:val="18"/>
          <w:color w:val="000000"/>
        </w:rPr>
        <w:t>, which will remain available for 30 days following the call. A telephone recording of the call will also be available through</w:t>
      </w:r>
      <w:r>
        <w:rPr>
          <w:rFonts w:ascii="Arial" w:cs="Arial" w:eastAsia="Arial" w:hAnsi="Arial"/>
          <w:sz w:val="18"/>
          <w:szCs w:val="18"/>
          <w:color w:val="0000FF"/>
        </w:rPr>
        <w:t xml:space="preserve"> </w:t>
      </w:r>
      <w:r>
        <w:rPr>
          <w:rFonts w:ascii="Arial" w:cs="Arial" w:eastAsia="Arial" w:hAnsi="Arial"/>
          <w:sz w:val="18"/>
          <w:szCs w:val="18"/>
          <w:color w:val="000000"/>
        </w:rPr>
        <w:t>June 2, 2013, by dialing (630) 652-3000 and using the passcode 34581678.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95.1% leased to national, regional, and local retailers as of March 31, 2013, with no single tenant accounting for more than approximately 3.2% of annualized base rent. Federal Realty has paid quarterly dividends to its shareholders continuously since its founding in 1962, and has increased its dividend rate for 45 consecutive years, the longest record in the REIT industry. Federal Realty is an S&amp;P MidCap 400 company and its shares are traded on the NYSE under the symbol FRT.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2013,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8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24"/>
                <w:szCs w:val="24"/>
                <w:color w:val="auto"/>
              </w:rPr>
            </w:pPr>
          </w:p>
        </w:tc>
      </w:tr>
      <w:tr>
        <w:trPr>
          <w:trHeight w:val="250"/>
        </w:trPr>
        <w:tc>
          <w:tcPr>
            <w:tcW w:w="84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244"/>
        </w:trPr>
        <w:tc>
          <w:tcPr>
            <w:tcW w:w="8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20" w:type="dxa"/>
            <w:vAlign w:val="bottom"/>
            <w:gridSpan w:val="4"/>
          </w:tcPr>
          <w:p>
            <w:pPr>
              <w:jc w:val="center"/>
              <w:ind w:right="9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76"/>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left="673"/>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24"/>
                <w:szCs w:val="24"/>
                <w:color w:val="auto"/>
              </w:rPr>
            </w:pPr>
          </w:p>
        </w:tc>
      </w:tr>
      <w:tr>
        <w:trPr>
          <w:trHeight w:val="25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153,219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140,661</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4,362</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1,266</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157,752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146,289</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26,110</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16,057</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40,624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36,571</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94,847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85,742</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62,905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60,547</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(28,793)</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real estate partnerships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32,262</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 in real estate partnership</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11,860</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44,122</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42,986</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9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34,453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42,851</w:t>
            </w:r>
          </w:p>
        </w:tc>
      </w:tr>
      <w:tr>
        <w:trPr>
          <w:trHeight w:val="271"/>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EARNINGS PER COMMON SHARE, BASIC</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8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64"/>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64,692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63,411</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DILUTED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4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37"/>
        </w:trPr>
        <w:tc>
          <w:tcPr>
            <w:tcW w:w="84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r>
      <w:tr>
        <w:trPr>
          <w:trHeight w:val="67"/>
        </w:trPr>
        <w:tc>
          <w:tcPr>
            <w:tcW w:w="84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43"/>
        </w:trPr>
        <w:tc>
          <w:tcPr>
            <w:tcW w:w="8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64"/>
        </w:trPr>
        <w:tc>
          <w:tcPr>
            <w:tcW w:w="842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64,847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63,585</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958" w:right="25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958" w:right="25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$278,885 and $278,826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4,497,312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4,490,960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327,840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288,714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4,825,152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$13,801 and $12,024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(1,257,767)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(1,224,295)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3,567,385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3,555,379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77,154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73,861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55,648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143,520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3,905,932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$204,681 and $205,299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819,665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832,482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1,076,635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1,076,545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282,258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284,950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2,478,153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2,493,552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1,300,056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1,276,815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1,286,812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1,333,530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1,310,593</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3,905,932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3,898,565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573"/>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09"/>
        </w:trPr>
        <w:tc>
          <w:tcPr>
            <w:tcW w:w="82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44,122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0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(11,860)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36,562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32,415</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2,936</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381</w:t>
            </w:r>
          </w:p>
        </w:tc>
      </w:tr>
      <w:tr>
        <w:trPr>
          <w:trHeight w:val="237"/>
        </w:trPr>
        <w:tc>
          <w:tcPr>
            <w:tcW w:w="40" w:type="dxa"/>
            <w:vAlign w:val="bottom"/>
          </w:tcPr>
          <w:p>
            <w:pPr>
              <w:spacing w:after="0"/>
              <w:rPr>
                <w:sz w:val="20"/>
                <w:szCs w:val="20"/>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74,294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66,858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r>
      <w:tr>
        <w:trPr>
          <w:trHeight w:val="243"/>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247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r>
      <w:tr>
        <w:trPr>
          <w:trHeight w:val="297"/>
        </w:trPr>
        <w:tc>
          <w:tcPr>
            <w:tcW w:w="4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74,050</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66,654</w:t>
            </w:r>
          </w:p>
        </w:tc>
      </w:tr>
      <w:tr>
        <w:trPr>
          <w:trHeight w:val="251"/>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Borders>
              <w:bottom w:val="single" w:sz="8" w:color="CCEEFF"/>
            </w:tcBorders>
          </w:tcPr>
          <w:p>
            <w:pPr>
              <w:spacing w:after="0"/>
              <w:rPr>
                <w:sz w:val="24"/>
                <w:szCs w:val="24"/>
                <w:color w:val="auto"/>
              </w:rPr>
            </w:pPr>
          </w:p>
        </w:tc>
        <w:tc>
          <w:tcPr>
            <w:tcW w:w="816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65,158</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63,943</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3"/>
        </w:trPr>
        <w:tc>
          <w:tcPr>
            <w:tcW w:w="82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5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60" w:type="dxa"/>
            <w:vAlign w:val="bottom"/>
            <w:gridSpan w:val="4"/>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44,416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18,039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Tenant improvements and incentives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6,588</w:t>
            </w:r>
          </w:p>
        </w:tc>
      </w:tr>
      <w:tr>
        <w:trPr>
          <w:trHeight w:val="237"/>
        </w:trPr>
        <w:tc>
          <w:tcPr>
            <w:tcW w:w="8200" w:type="dxa"/>
            <w:vAlign w:val="bottom"/>
            <w:gridSpan w:val="5"/>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49,499</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24,627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1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Maintenance 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3,956</w:t>
            </w:r>
          </w:p>
        </w:tc>
      </w:tr>
      <w:tr>
        <w:trPr>
          <w:trHeight w:val="297"/>
        </w:trPr>
        <w:tc>
          <w:tcPr>
            <w:tcW w:w="82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50,334</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28,583</w:t>
            </w:r>
          </w:p>
        </w:tc>
      </w:tr>
      <w:tr>
        <w:trPr>
          <w:trHeight w:val="271"/>
        </w:trPr>
        <w:tc>
          <w:tcPr>
            <w:tcW w:w="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3"/>
        </w:trPr>
        <w:tc>
          <w:tcPr>
            <w:tcW w:w="82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82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Regular common dividends declared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47,507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44,093</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82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50"/>
        </w:trPr>
        <w:tc>
          <w:tcPr>
            <w:tcW w:w="8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65,239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63,909</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96.79</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7,048,422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6,185,752</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58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7,058,422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6,195,752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2,195,895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2,115,274</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9,254,317</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8,311,026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Total debt to market capitalization at constant common share price of $96.79</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20" w:type="dxa"/>
            <w:vAlign w:val="bottom"/>
          </w:tcPr>
          <w:p>
            <w:pPr>
              <w:ind w:left="24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58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do not include 298,170 and 326,140 Operating Partnership Units outstanding at March 31, 2013 and 2012,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30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$17.1 million and $17.2 million at March 31, 2013 and 2012, which is the Trust's 30% share of the total mortgages payable of $57.1 million and $57.3 million at March 31, 2013 and 2012,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110,548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103,135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30,914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26,957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2,202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153,219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140,661</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6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$0.6 million for each of the three months ended March 31, 2013 and 2012 to recognize minimum rents on a straight-line basis. In addition, minimum rents include $0.8 million and $0.2 million for the three months ended March 31, 2013 and 2012, respectively, to recognize income from the amortization of in-place leases.</w:t>
      </w:r>
    </w:p>
    <w:p>
      <w:pPr>
        <w:spacing w:after="0" w:line="20"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As of March 31, 2013</w:t>
            </w:r>
          </w:p>
        </w:tc>
        <w:tc>
          <w:tcPr>
            <w:tcW w:w="1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Stated interest rate</w:t>
            </w:r>
          </w:p>
        </w:tc>
        <w:tc>
          <w:tcPr>
            <w:tcW w:w="12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Balance</w:t>
            </w:r>
          </w:p>
        </w:tc>
        <w:tc>
          <w:tcPr>
            <w:tcW w:w="1280" w:type="dxa"/>
            <w:vAlign w:val="bottom"/>
          </w:tcPr>
          <w:p>
            <w:pPr>
              <w:spacing w:after="0"/>
              <w:rPr>
                <w:sz w:val="13"/>
                <w:szCs w:val="13"/>
                <w:color w:val="auto"/>
              </w:rPr>
            </w:pPr>
          </w:p>
        </w:tc>
        <w:tc>
          <w:tcPr>
            <w:tcW w:w="13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rate (7)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8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Crow Canyon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8/11/2013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Idylwood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15,912</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Leesburg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27,687</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Loehmann's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6/5/2014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35,802</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Pentagon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6/5/2014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51,395</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Melville Mall (2)</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9/1/2014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21,333</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55,008</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37,827</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26,812</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23,567</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27,325</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27,844</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East Bay Bridge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62,698</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22,795</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29th Place (Shoppers' World)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5,245</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78,407</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7,408</w:t>
            </w:r>
          </w:p>
        </w:tc>
        <w:tc>
          <w:tcPr>
            <w:tcW w:w="1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735,685</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12,293</w:t>
            </w:r>
          </w:p>
        </w:tc>
        <w:tc>
          <w:tcPr>
            <w:tcW w:w="1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747,978</w:t>
            </w:r>
          </w:p>
        </w:tc>
        <w:tc>
          <w:tcPr>
            <w:tcW w:w="1280" w:type="dxa"/>
            <w:vAlign w:val="bottom"/>
          </w:tcPr>
          <w:p>
            <w:pPr>
              <w:spacing w:after="0"/>
              <w:rPr>
                <w:sz w:val="18"/>
                <w:szCs w:val="18"/>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5.95%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Notes payable</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Term loan (3)</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November 21, 2018</w:t>
            </w:r>
          </w:p>
        </w:tc>
        <w:tc>
          <w:tcPr>
            <w:tcW w:w="1900" w:type="dxa"/>
            <w:vAlign w:val="bottom"/>
            <w:gridSpan w:val="3"/>
          </w:tcPr>
          <w:p>
            <w:pPr>
              <w:jc w:val="center"/>
              <w:ind w:right="300"/>
              <w:spacing w:after="0"/>
              <w:rPr>
                <w:sz w:val="20"/>
                <w:szCs w:val="20"/>
                <w:color w:val="auto"/>
              </w:rPr>
            </w:pPr>
            <w:r>
              <w:rPr>
                <w:rFonts w:ascii="Arial" w:cs="Arial" w:eastAsia="Arial" w:hAnsi="Arial"/>
                <w:sz w:val="16"/>
                <w:szCs w:val="16"/>
                <w:color w:val="auto"/>
                <w:w w:val="96"/>
              </w:rPr>
              <w:t>LIBOR + 1.45%</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 (4)</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2027</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15,195</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7/6/2015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6"/>
                <w:szCs w:val="16"/>
                <w:color w:val="auto"/>
                <w:w w:val="96"/>
              </w:rPr>
              <w:t>LIBOR + 1.15%</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(6)</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299,595</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3.38%</w:t>
            </w:r>
          </w:p>
        </w:tc>
        <w:tc>
          <w:tcPr>
            <w:tcW w:w="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Senior notes and debentures</w:t>
            </w: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182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1280" w:type="dxa"/>
            <w:vAlign w:val="bottom"/>
            <w:tcBorders>
              <w:top w:val="single" w:sz="8" w:color="CCEEFF"/>
            </w:tcBorders>
          </w:tcPr>
          <w:p>
            <w:pPr>
              <w:spacing w:after="0"/>
              <w:rPr>
                <w:sz w:val="20"/>
                <w:szCs w:val="20"/>
                <w:color w:val="auto"/>
              </w:rPr>
            </w:pPr>
          </w:p>
        </w:tc>
        <w:tc>
          <w:tcPr>
            <w:tcW w:w="80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5.40%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8/15/2014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5.65%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6.20%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1,079,200</w:t>
            </w:r>
          </w:p>
        </w:tc>
        <w:tc>
          <w:tcPr>
            <w:tcW w:w="1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discount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(2,565)</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1,076,635</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900" w:type="dxa"/>
            <w:vAlign w:val="bottom"/>
            <w:gridSpan w:val="3"/>
          </w:tcPr>
          <w:p>
            <w:pPr>
              <w:jc w:val="center"/>
              <w:ind w:right="320"/>
              <w:spacing w:after="0"/>
              <w:rPr>
                <w:sz w:val="20"/>
                <w:szCs w:val="20"/>
                <w:color w:val="auto"/>
              </w:rPr>
            </w:pPr>
            <w:r>
              <w:rPr>
                <w:rFonts w:ascii="Arial" w:cs="Arial" w:eastAsia="Arial" w:hAnsi="Arial"/>
                <w:sz w:val="16"/>
                <w:szCs w:val="16"/>
                <w:color w:val="auto"/>
                <w:w w:val="92"/>
              </w:rPr>
              <w:t>Various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71,687</w:t>
            </w:r>
          </w:p>
        </w:tc>
        <w:tc>
          <w:tcPr>
            <w:tcW w:w="128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color w:val="auto"/>
              </w:rPr>
              <w:t>8.04%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2,195,895</w:t>
            </w:r>
          </w:p>
        </w:tc>
        <w:tc>
          <w:tcPr>
            <w:tcW w:w="1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2,186,495</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8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5.43%</w:t>
            </w: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00"/>
          </w:cols>
          <w:pgMar w:left="260" w:top="74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Total variable rate debt</w:t>
            </w:r>
          </w:p>
        </w:tc>
        <w:tc>
          <w:tcPr>
            <w:tcW w:w="4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1.71%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(8)</w:t>
            </w:r>
          </w:p>
        </w:tc>
      </w:tr>
      <w:tr>
        <w:trPr>
          <w:trHeight w:val="33"/>
        </w:trPr>
        <w:tc>
          <w:tcPr>
            <w:tcW w:w="7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2,195,895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5.41%</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(8)</w:t>
            </w: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170" w:right="2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r>
      <w:tr>
        <w:trPr>
          <w:trHeight w:val="276"/>
        </w:trPr>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24"/>
                <w:szCs w:val="24"/>
                <w:color w:val="auto"/>
              </w:rPr>
            </w:pPr>
          </w:p>
        </w:tc>
      </w:tr>
      <w:tr>
        <w:trPr>
          <w:trHeight w:val="250"/>
        </w:trPr>
        <w:tc>
          <w:tcPr>
            <w:tcW w:w="14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78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1"/>
                <w:szCs w:val="2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7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92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(9)</w:t>
            </w: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3.40</w:t>
            </w:r>
          </w:p>
        </w:tc>
        <w:tc>
          <w:tcPr>
            <w:tcW w:w="360" w:type="dxa"/>
            <w:vAlign w:val="bottom"/>
          </w:tcPr>
          <w:p>
            <w:pPr>
              <w:ind w:left="20"/>
              <w:spacing w:after="0"/>
              <w:rPr>
                <w:sz w:val="20"/>
                <w:szCs w:val="20"/>
                <w:color w:val="auto"/>
              </w:rPr>
            </w:pPr>
            <w:r>
              <w:rPr>
                <w:rFonts w:ascii="Arial" w:cs="Arial" w:eastAsia="Arial" w:hAnsi="Arial"/>
                <w:sz w:val="16"/>
                <w:szCs w:val="16"/>
                <w:color w:val="auto"/>
              </w:rPr>
              <w:t>x</w:t>
            </w:r>
          </w:p>
        </w:tc>
        <w:tc>
          <w:tcPr>
            <w:tcW w:w="680" w:type="dxa"/>
            <w:vAlign w:val="bottom"/>
          </w:tcPr>
          <w:p>
            <w:pPr>
              <w:jc w:val="right"/>
              <w:ind w:right="62"/>
              <w:spacing w:after="0"/>
              <w:rPr>
                <w:sz w:val="20"/>
                <w:szCs w:val="20"/>
                <w:color w:val="auto"/>
              </w:rPr>
            </w:pPr>
            <w:r>
              <w:rPr>
                <w:rFonts w:ascii="Arial" w:cs="Arial" w:eastAsia="Arial" w:hAnsi="Arial"/>
                <w:sz w:val="16"/>
                <w:szCs w:val="16"/>
                <w:color w:val="auto"/>
              </w:rPr>
              <w:t>3.46</w:t>
            </w:r>
          </w:p>
        </w:tc>
        <w:tc>
          <w:tcPr>
            <w:tcW w:w="320" w:type="dxa"/>
            <w:vAlign w:val="bottom"/>
          </w:tcPr>
          <w:p>
            <w:pPr>
              <w:ind w:left="4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140" w:type="dxa"/>
            <w:vAlign w:val="bottom"/>
            <w:shd w:val="clear" w:color="auto" w:fill="CCEEFF"/>
          </w:tcPr>
          <w:p>
            <w:pPr>
              <w:spacing w:after="0"/>
              <w:rPr>
                <w:sz w:val="20"/>
                <w:szCs w:val="20"/>
                <w:color w:val="auto"/>
              </w:rPr>
            </w:pPr>
          </w:p>
        </w:tc>
        <w:tc>
          <w:tcPr>
            <w:tcW w:w="92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(9)</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3.40</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x</w:t>
            </w: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3.09</w:t>
            </w: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r>
      <w:tr>
        <w:trPr>
          <w:trHeight w:val="33"/>
        </w:trPr>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($17.1 million) of the $57.1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2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 The fixed rate was lowered to 3.02% based on our credit rating as of May 1, 2013.</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of 5.28% represents the weighted average interest rate for nine unsecured fixed rate notes payable. These notes mature from November 15, 2014 to June 27, 2027.</w:t>
      </w:r>
    </w:p>
    <w:p>
      <w:pPr>
        <w:spacing w:after="0" w:line="66" w:lineRule="exact"/>
        <w:rPr>
          <w:rFonts w:ascii="Arial" w:cs="Arial" w:eastAsia="Arial" w:hAnsi="Arial"/>
          <w:sz w:val="13"/>
          <w:szCs w:val="13"/>
          <w:color w:val="auto"/>
        </w:rPr>
      </w:pPr>
    </w:p>
    <w:p>
      <w:pPr>
        <w:ind w:left="660" w:right="40" w:hanging="652"/>
        <w:spacing w:after="0" w:line="252"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2013 was $36.0 million, and the weighted average interest rate on borrowings under our revolving credit facility, before amortization of debt fees, was 1.37%. On April 22, 2013, we upsized our $400.0 million revolving credit facility to $600.0 million and extended the maturity date to April 21, 2017, subject to a one-year extension at our option. Under the amended credit facility, the spread over LIBOR is 90 basis points based on our credit rating as of May 1, 2013.</w:t>
      </w:r>
    </w:p>
    <w:p>
      <w:pPr>
        <w:spacing w:after="0" w:line="26"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w:t>
      </w:r>
    </w:p>
    <w:p>
      <w:pPr>
        <w:spacing w:after="0" w:line="55" w:lineRule="exact"/>
        <w:rPr>
          <w:rFonts w:ascii="Arial" w:cs="Arial" w:eastAsia="Arial" w:hAnsi="Arial"/>
          <w:sz w:val="14"/>
          <w:szCs w:val="14"/>
          <w:color w:val="auto"/>
        </w:rPr>
      </w:pPr>
    </w:p>
    <w:p>
      <w:pPr>
        <w:ind w:left="660" w:right="4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outstanding balance on March 31, 2013. In addition, the weighted average effective interest rate is calculated using the fixed rate on our term loan of 3.17%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Adjusted EBITDA is reconciled to net income in the Glossary of Terms.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9,387</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154,156</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163,543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11,265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307,864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319,129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22.1%</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206,309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197,144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40.5%</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378,023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278,191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70.5%</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153,010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78.6%</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314,640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93.3%</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124,211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146,454</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70,129</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2,116,038</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2,186,167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340" w:hanging="652"/>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$400.0 million unsecured revolving credit facility matures on July 6, 2015, subject to a one-year extension at our option. As of March 31, 2013, there was nothing drawn under this credit facility. On April 22, 2013, we upsized our revolving credit facility to $600.0 million and extended the maturity date to April 21, 2017, subject to a one-year extension at our option.</w:t>
      </w:r>
    </w:p>
    <w:p>
      <w:pPr>
        <w:spacing w:after="0" w:line="2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March 31, 2013.</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2013</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8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Property</w:t>
            </w:r>
          </w:p>
        </w:tc>
        <w:tc>
          <w:tcPr>
            <w:tcW w:w="11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Location</w:t>
            </w:r>
          </w:p>
        </w:tc>
        <w:tc>
          <w:tcPr>
            <w:tcW w:w="336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Opportunity</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 (1)</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Active Redevelopment &amp; Development projects</w:t>
            </w:r>
          </w:p>
        </w:tc>
        <w:tc>
          <w:tcPr>
            <w:tcW w:w="33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Mall</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 Jose, CA</w:t>
            </w: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Façade and interior mall renovation, addition of food</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court and pad site</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Chelsea, MA</w:t>
            </w:r>
          </w:p>
        </w:tc>
        <w:tc>
          <w:tcPr>
            <w:tcW w:w="3360" w:type="dxa"/>
            <w:vAlign w:val="bottom"/>
          </w:tcPr>
          <w:p>
            <w:pPr>
              <w:spacing w:after="0" w:line="157" w:lineRule="exact"/>
              <w:rPr>
                <w:sz w:val="20"/>
                <w:szCs w:val="20"/>
                <w:color w:val="auto"/>
              </w:rPr>
            </w:pPr>
            <w:r>
              <w:rPr>
                <w:rFonts w:ascii="Arial" w:cs="Arial" w:eastAsia="Arial" w:hAnsi="Arial"/>
                <w:sz w:val="14"/>
                <w:szCs w:val="14"/>
                <w:color w:val="auto"/>
                <w:w w:val="97"/>
              </w:rPr>
              <w:t>Ground up development of a 56 unit apartment building</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$12</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$8</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with above grade parking</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Richmond, VA</w:t>
            </w: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w w:val="96"/>
              </w:rPr>
              <w:t>Demo interior mall, relocate mall tenants, construct new</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exterior GLA, and gas station</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w w:val="95"/>
              </w:rPr>
              <w:t>29th Place (Shoppers' World)</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Charlottesville,</w:t>
            </w:r>
          </w:p>
        </w:tc>
        <w:tc>
          <w:tcPr>
            <w:tcW w:w="3360" w:type="dxa"/>
            <w:vAlign w:val="bottom"/>
          </w:tcPr>
          <w:p>
            <w:pPr>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VA</w:t>
            </w:r>
          </w:p>
        </w:tc>
        <w:tc>
          <w:tcPr>
            <w:tcW w:w="3360" w:type="dxa"/>
            <w:vAlign w:val="bottom"/>
          </w:tcPr>
          <w:p>
            <w:pPr>
              <w:spacing w:after="0"/>
              <w:rPr>
                <w:sz w:val="20"/>
                <w:szCs w:val="20"/>
                <w:color w:val="auto"/>
              </w:rPr>
            </w:pPr>
            <w:r>
              <w:rPr>
                <w:rFonts w:ascii="Arial" w:cs="Arial" w:eastAsia="Arial" w:hAnsi="Arial"/>
                <w:sz w:val="14"/>
                <w:szCs w:val="14"/>
                <w:color w:val="auto"/>
              </w:rPr>
              <w:t>accommodate new tenants</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 Road</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Charlottesville,</w:t>
            </w: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11,800 square foot multi-tenant pad building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VA</w:t>
            </w:r>
          </w:p>
        </w:tc>
        <w:tc>
          <w:tcPr>
            <w:tcW w:w="33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360" w:type="dxa"/>
            <w:vAlign w:val="bottom"/>
          </w:tcPr>
          <w:p>
            <w:pPr>
              <w:spacing w:after="0" w:line="157" w:lineRule="exact"/>
              <w:rPr>
                <w:sz w:val="20"/>
                <w:szCs w:val="20"/>
                <w:color w:val="auto"/>
              </w:rPr>
            </w:pPr>
            <w:r>
              <w:rPr>
                <w:rFonts w:ascii="Arial" w:cs="Arial" w:eastAsia="Arial" w:hAnsi="Arial"/>
                <w:sz w:val="14"/>
                <w:szCs w:val="14"/>
                <w:color w:val="auto"/>
              </w:rPr>
              <w:t>Ice rink expansion and 1,500 square feet of new retail</w:t>
            </w: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160" w:type="dxa"/>
            <w:vAlign w:val="bottom"/>
          </w:tcPr>
          <w:p>
            <w:pPr>
              <w:ind w:left="60"/>
              <w:spacing w:after="0"/>
              <w:rPr>
                <w:sz w:val="20"/>
                <w:szCs w:val="20"/>
                <w:color w:val="auto"/>
              </w:rPr>
            </w:pPr>
            <w:r>
              <w:rPr>
                <w:rFonts w:ascii="Arial" w:cs="Arial" w:eastAsia="Arial" w:hAnsi="Arial"/>
                <w:sz w:val="14"/>
                <w:szCs w:val="14"/>
                <w:color w:val="auto"/>
              </w:rPr>
              <w:t>Arlington, VA</w:t>
            </w:r>
          </w:p>
        </w:tc>
        <w:tc>
          <w:tcPr>
            <w:tcW w:w="3360" w:type="dxa"/>
            <w:vAlign w:val="bottom"/>
          </w:tcPr>
          <w:p>
            <w:pPr>
              <w:spacing w:after="0"/>
              <w:rPr>
                <w:sz w:val="20"/>
                <w:szCs w:val="20"/>
                <w:color w:val="auto"/>
              </w:rPr>
            </w:pPr>
            <w:r>
              <w:rPr>
                <w:rFonts w:ascii="Arial" w:cs="Arial" w:eastAsia="Arial" w:hAnsi="Arial"/>
                <w:sz w:val="14"/>
                <w:szCs w:val="14"/>
                <w:color w:val="auto"/>
              </w:rPr>
              <w:t>space</w:t>
            </w:r>
          </w:p>
        </w:tc>
        <w:tc>
          <w:tcPr>
            <w:tcW w:w="1880" w:type="dxa"/>
            <w:vAlign w:val="bottom"/>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22"/>
        </w:trPr>
        <w:tc>
          <w:tcPr>
            <w:tcW w:w="1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1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&amp; Rose (Mid-Pike) -</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Rockville, MD</w:t>
            </w: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Ground up mixed use development on site of existing</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8% - 9%</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Phase I (5)</w:t>
            </w:r>
          </w:p>
        </w:tc>
        <w:tc>
          <w:tcPr>
            <w:tcW w:w="11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involves demolition of roughly 25% of existing GLA,</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and construction of 493 residential units, 151,000 square</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feet of retail, and 79,000 square feet of office space.</w:t>
            </w:r>
          </w:p>
        </w:tc>
        <w:tc>
          <w:tcPr>
            <w:tcW w:w="1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Assembly Row - Phase I (5)</w:t>
            </w:r>
          </w:p>
        </w:tc>
        <w:tc>
          <w:tcPr>
            <w:tcW w:w="1160" w:type="dxa"/>
            <w:vAlign w:val="bottom"/>
          </w:tcPr>
          <w:p>
            <w:pPr>
              <w:ind w:left="60"/>
              <w:spacing w:after="0" w:line="157" w:lineRule="exact"/>
              <w:rPr>
                <w:sz w:val="20"/>
                <w:szCs w:val="20"/>
                <w:color w:val="auto"/>
              </w:rPr>
            </w:pPr>
            <w:r>
              <w:rPr>
                <w:rFonts w:ascii="Arial" w:cs="Arial" w:eastAsia="Arial" w:hAnsi="Arial"/>
                <w:sz w:val="14"/>
                <w:szCs w:val="14"/>
                <w:color w:val="auto"/>
              </w:rPr>
              <w:t>Somerville, MA</w:t>
            </w:r>
          </w:p>
        </w:tc>
        <w:tc>
          <w:tcPr>
            <w:tcW w:w="3360" w:type="dxa"/>
            <w:vAlign w:val="bottom"/>
          </w:tcPr>
          <w:p>
            <w:pPr>
              <w:spacing w:after="0" w:line="157" w:lineRule="exact"/>
              <w:rPr>
                <w:sz w:val="20"/>
                <w:szCs w:val="20"/>
                <w:color w:val="auto"/>
              </w:rPr>
            </w:pPr>
            <w:r>
              <w:rPr>
                <w:rFonts w:ascii="Arial" w:cs="Arial" w:eastAsia="Arial" w:hAnsi="Arial"/>
                <w:sz w:val="14"/>
                <w:szCs w:val="14"/>
                <w:color w:val="auto"/>
                <w:w w:val="94"/>
              </w:rPr>
              <w:t>Ground up mixed use development. Initial phase consists</w:t>
            </w:r>
          </w:p>
        </w:tc>
        <w:tc>
          <w:tcPr>
            <w:tcW w:w="1880" w:type="dxa"/>
            <w:vAlign w:val="bottom"/>
          </w:tcPr>
          <w:p>
            <w:pPr>
              <w:jc w:val="center"/>
              <w:spacing w:after="0" w:line="157" w:lineRule="exact"/>
              <w:rPr>
                <w:sz w:val="20"/>
                <w:szCs w:val="20"/>
                <w:color w:val="auto"/>
              </w:rPr>
            </w:pPr>
            <w:r>
              <w:rPr>
                <w:rFonts w:ascii="Arial" w:cs="Arial" w:eastAsia="Arial" w:hAnsi="Arial"/>
                <w:sz w:val="14"/>
                <w:szCs w:val="14"/>
                <w:color w:val="auto"/>
              </w:rPr>
              <w:t>D</w:t>
            </w:r>
          </w:p>
        </w:tc>
        <w:tc>
          <w:tcPr>
            <w:tcW w:w="840" w:type="dxa"/>
            <w:vAlign w:val="bottom"/>
          </w:tcPr>
          <w:p>
            <w:pPr>
              <w:jc w:val="center"/>
              <w:spacing w:after="0" w:line="157" w:lineRule="exact"/>
              <w:rPr>
                <w:sz w:val="20"/>
                <w:szCs w:val="20"/>
                <w:color w:val="auto"/>
              </w:rPr>
            </w:pPr>
            <w:r>
              <w:rPr>
                <w:rFonts w:ascii="Arial" w:cs="Arial" w:eastAsia="Arial" w:hAnsi="Arial"/>
                <w:sz w:val="14"/>
                <w:szCs w:val="14"/>
                <w:color w:val="auto"/>
                <w:w w:val="94"/>
              </w:rPr>
              <w:t>5% - 7%</w:t>
            </w:r>
          </w:p>
        </w:tc>
        <w:tc>
          <w:tcPr>
            <w:tcW w:w="7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$190 -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$49</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of 450 residential units (by AvalonBay), in addition to</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95,000 square feet of office space and approximately</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w w:val="93"/>
              </w:rPr>
              <w:t>326,000 square feet of retail space (including a restaurant</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pad site). A new Orange Line T-Stop will also be</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w w:val="96"/>
              </w:rPr>
              <w:t>constructed by Massachusetts Bay Transit Authority, as</w:t>
            </w:r>
          </w:p>
        </w:tc>
        <w:tc>
          <w:tcPr>
            <w:tcW w:w="1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part of Phase I.</w:t>
            </w:r>
          </w:p>
        </w:tc>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8B</w:t>
            </w:r>
          </w:p>
        </w:tc>
        <w:tc>
          <w:tcPr>
            <w:tcW w:w="1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San Jose, CA</w:t>
            </w: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Ground up development of a 5-story rental apartment</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8"/>
              </w:rPr>
              <w:t>R</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 - 8%</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$70 - $75</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associated parking.</w:t>
            </w:r>
          </w:p>
        </w:tc>
        <w:tc>
          <w:tcPr>
            <w:tcW w:w="188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320" w:type="dxa"/>
            <w:vAlign w:val="bottom"/>
            <w:gridSpan w:val="3"/>
          </w:tcPr>
          <w:p>
            <w:pPr>
              <w:ind w:left="40"/>
              <w:spacing w:after="0" w:line="151" w:lineRule="exact"/>
              <w:rPr>
                <w:sz w:val="20"/>
                <w:szCs w:val="20"/>
                <w:color w:val="auto"/>
              </w:rPr>
            </w:pPr>
            <w:r>
              <w:rPr>
                <w:rFonts w:ascii="Arial" w:cs="Arial" w:eastAsia="Arial" w:hAnsi="Arial"/>
                <w:sz w:val="14"/>
                <w:szCs w:val="14"/>
                <w:b w:val="1"/>
                <w:bCs w:val="1"/>
                <w:color w:val="auto"/>
              </w:rPr>
              <w:t>Total Active Redevelopment &amp; Development projects (4)</w:t>
            </w:r>
          </w:p>
        </w:tc>
        <w:tc>
          <w:tcPr>
            <w:tcW w:w="1880" w:type="dxa"/>
            <w:vAlign w:val="bottom"/>
          </w:tcPr>
          <w:p>
            <w:pPr>
              <w:spacing w:after="0"/>
              <w:rPr>
                <w:sz w:val="13"/>
                <w:szCs w:val="13"/>
                <w:color w:val="auto"/>
              </w:rPr>
            </w:pPr>
          </w:p>
        </w:tc>
        <w:tc>
          <w:tcPr>
            <w:tcW w:w="840" w:type="dxa"/>
            <w:vAlign w:val="bottom"/>
          </w:tcPr>
          <w:p>
            <w:pPr>
              <w:jc w:val="center"/>
              <w:spacing w:after="0" w:line="151" w:lineRule="exact"/>
              <w:rPr>
                <w:sz w:val="20"/>
                <w:szCs w:val="20"/>
                <w:color w:val="auto"/>
              </w:rPr>
            </w:pPr>
            <w:r>
              <w:rPr>
                <w:rFonts w:ascii="Arial" w:cs="Arial" w:eastAsia="Arial" w:hAnsi="Arial"/>
                <w:sz w:val="14"/>
                <w:szCs w:val="14"/>
                <w:color w:val="auto"/>
                <w:w w:val="94"/>
              </w:rPr>
              <w:t>7% - 8%</w:t>
            </w:r>
          </w:p>
        </w:tc>
        <w:tc>
          <w:tcPr>
            <w:tcW w:w="7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$559 -</w:t>
            </w:r>
          </w:p>
        </w:tc>
        <w:tc>
          <w:tcPr>
            <w:tcW w:w="640" w:type="dxa"/>
            <w:vAlign w:val="bottom"/>
          </w:tcPr>
          <w:p>
            <w:pPr>
              <w:jc w:val="right"/>
              <w:ind w:right="28"/>
              <w:spacing w:after="0" w:line="151" w:lineRule="exact"/>
              <w:rPr>
                <w:sz w:val="20"/>
                <w:szCs w:val="20"/>
                <w:color w:val="auto"/>
              </w:rPr>
            </w:pPr>
            <w:r>
              <w:rPr>
                <w:rFonts w:ascii="Arial" w:cs="Arial" w:eastAsia="Arial" w:hAnsi="Arial"/>
                <w:sz w:val="14"/>
                <w:szCs w:val="14"/>
                <w:color w:val="auto"/>
              </w:rPr>
              <w:t>$144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$584</w:t>
            </w:r>
          </w:p>
        </w:tc>
        <w:tc>
          <w:tcPr>
            <w:tcW w:w="64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7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2013</w:t>
      </w:r>
    </w:p>
    <w:p>
      <w:pPr>
        <w:spacing w:after="0" w:line="374" w:lineRule="exact"/>
        <w:rPr>
          <w:sz w:val="20"/>
          <w:szCs w:val="20"/>
          <w:color w:val="auto"/>
        </w:rPr>
      </w:pPr>
    </w:p>
    <w:p>
      <w:pPr>
        <w:ind w:lef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THE AVENUE @ White</w:t>
            </w:r>
          </w:p>
        </w:tc>
        <w:tc>
          <w:tcPr>
            <w:tcW w:w="18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r>
      <w:tr>
        <w:trPr>
          <w:trHeight w:val="223"/>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Marsh</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Baltimore, MD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Flourtown, PA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Brick Plaza</w:t>
            </w:r>
          </w:p>
        </w:tc>
        <w:tc>
          <w:tcPr>
            <w:tcW w:w="1860" w:type="dxa"/>
            <w:vAlign w:val="bottom"/>
          </w:tcPr>
          <w:p>
            <w:pPr>
              <w:ind w:left="180"/>
              <w:spacing w:after="0"/>
              <w:rPr>
                <w:sz w:val="20"/>
                <w:szCs w:val="20"/>
                <w:color w:val="auto"/>
              </w:rPr>
            </w:pPr>
            <w:r>
              <w:rPr>
                <w:rFonts w:ascii="Arial" w:cs="Arial" w:eastAsia="Arial" w:hAnsi="Arial"/>
                <w:sz w:val="16"/>
                <w:szCs w:val="16"/>
                <w:color w:val="auto"/>
              </w:rPr>
              <w:t>Brick, NJ</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4940" w:type="dxa"/>
            <w:vAlign w:val="bottom"/>
          </w:tcPr>
          <w:p>
            <w:pPr>
              <w:ind w:left="420"/>
              <w:spacing w:after="0"/>
              <w:rPr>
                <w:sz w:val="20"/>
                <w:szCs w:val="20"/>
                <w:color w:val="auto"/>
              </w:rPr>
            </w:pPr>
            <w:r>
              <w:rPr>
                <w:rFonts w:ascii="Arial" w:cs="Arial" w:eastAsia="Arial" w:hAnsi="Arial"/>
                <w:sz w:val="16"/>
                <w:szCs w:val="16"/>
                <w:color w:val="auto"/>
              </w:rPr>
              <w:t>Queens, NY</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Congressional Plaza</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Melville Mall</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Dedham Plaza</w:t>
            </w:r>
          </w:p>
        </w:tc>
        <w:tc>
          <w:tcPr>
            <w:tcW w:w="1860" w:type="dxa"/>
            <w:vAlign w:val="bottom"/>
          </w:tcPr>
          <w:p>
            <w:pPr>
              <w:ind w:left="180"/>
              <w:spacing w:after="0"/>
              <w:rPr>
                <w:sz w:val="20"/>
                <w:szCs w:val="20"/>
                <w:color w:val="auto"/>
              </w:rPr>
            </w:pPr>
            <w:r>
              <w:rPr>
                <w:rFonts w:ascii="Arial" w:cs="Arial" w:eastAsia="Arial" w:hAnsi="Arial"/>
                <w:sz w:val="16"/>
                <w:szCs w:val="16"/>
                <w:color w:val="auto"/>
              </w:rPr>
              <w:t>Dedham, MA</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Mercer Mall</w:t>
            </w:r>
          </w:p>
        </w:tc>
        <w:tc>
          <w:tcPr>
            <w:tcW w:w="4940" w:type="dxa"/>
            <w:vAlign w:val="bottom"/>
          </w:tcPr>
          <w:p>
            <w:pPr>
              <w:ind w:left="420"/>
              <w:spacing w:after="0"/>
              <w:rPr>
                <w:sz w:val="20"/>
                <w:szCs w:val="20"/>
                <w:color w:val="auto"/>
              </w:rPr>
            </w:pPr>
            <w:r>
              <w:rPr>
                <w:rFonts w:ascii="Arial" w:cs="Arial" w:eastAsia="Arial" w:hAnsi="Arial"/>
                <w:sz w:val="16"/>
                <w:szCs w:val="16"/>
                <w:color w:val="auto"/>
              </w:rPr>
              <w:t>Lawrenceville, NJ</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Eastgate</w:t>
            </w:r>
          </w:p>
        </w:tc>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Chapel Hill, NC</w:t>
            </w:r>
          </w:p>
        </w:tc>
        <w:tc>
          <w:tcPr>
            <w:tcW w:w="2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Pan Am</w:t>
            </w:r>
          </w:p>
        </w:tc>
        <w:tc>
          <w:tcPr>
            <w:tcW w:w="4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Fairfax, VA</w:t>
            </w:r>
          </w:p>
        </w:tc>
      </w:tr>
      <w:tr>
        <w:trPr>
          <w:trHeight w:val="237"/>
        </w:trPr>
        <w:tc>
          <w:tcPr>
            <w:tcW w:w="2500" w:type="dxa"/>
            <w:vAlign w:val="bottom"/>
          </w:tcPr>
          <w:p>
            <w:pPr>
              <w:ind w:left="620"/>
              <w:spacing w:after="0"/>
              <w:rPr>
                <w:sz w:val="20"/>
                <w:szCs w:val="20"/>
                <w:color w:val="auto"/>
              </w:rPr>
            </w:pPr>
            <w:r>
              <w:rPr>
                <w:rFonts w:ascii="Arial" w:cs="Arial" w:eastAsia="Arial" w:hAnsi="Arial"/>
                <w:sz w:val="16"/>
                <w:szCs w:val="16"/>
                <w:b w:val="1"/>
                <w:bCs w:val="1"/>
                <w:color w:val="auto"/>
              </w:rPr>
              <w:t>Escondido</w:t>
            </w:r>
          </w:p>
        </w:tc>
        <w:tc>
          <w:tcPr>
            <w:tcW w:w="1860" w:type="dxa"/>
            <w:vAlign w:val="bottom"/>
          </w:tcPr>
          <w:p>
            <w:pPr>
              <w:ind w:left="180"/>
              <w:spacing w:after="0"/>
              <w:rPr>
                <w:sz w:val="20"/>
                <w:szCs w:val="20"/>
                <w:color w:val="auto"/>
              </w:rPr>
            </w:pPr>
            <w:r>
              <w:rPr>
                <w:rFonts w:ascii="Arial" w:cs="Arial" w:eastAsia="Arial" w:hAnsi="Arial"/>
                <w:sz w:val="16"/>
                <w:szCs w:val="16"/>
                <w:color w:val="auto"/>
              </w:rPr>
              <w:t>Escondido, CA</w:t>
            </w:r>
          </w:p>
        </w:tc>
        <w:tc>
          <w:tcPr>
            <w:tcW w:w="2120" w:type="dxa"/>
            <w:vAlign w:val="bottom"/>
          </w:tcPr>
          <w:p>
            <w:pPr>
              <w:ind w:left="620"/>
              <w:spacing w:after="0"/>
              <w:rPr>
                <w:sz w:val="20"/>
                <w:szCs w:val="20"/>
                <w:color w:val="auto"/>
              </w:rPr>
            </w:pPr>
            <w:r>
              <w:rPr>
                <w:rFonts w:ascii="Arial" w:cs="Arial" w:eastAsia="Arial" w:hAnsi="Arial"/>
                <w:sz w:val="16"/>
                <w:szCs w:val="16"/>
                <w:b w:val="1"/>
                <w:bCs w:val="1"/>
                <w:color w:val="auto"/>
              </w:rPr>
              <w:t>Troy</w:t>
            </w:r>
          </w:p>
        </w:tc>
        <w:tc>
          <w:tcPr>
            <w:tcW w:w="494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37"/>
        </w:trPr>
        <w:tc>
          <w:tcPr>
            <w:tcW w:w="250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Federal Plaza</w:t>
            </w:r>
          </w:p>
        </w:tc>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Rockville, MD</w:t>
            </w:r>
          </w:p>
        </w:tc>
        <w:tc>
          <w:tcPr>
            <w:tcW w:w="212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49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33"/>
        </w:trPr>
        <w:tc>
          <w:tcPr>
            <w:tcW w:w="25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90"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Barracks Road</w:t>
            </w:r>
          </w:p>
        </w:tc>
        <w:tc>
          <w:tcPr>
            <w:tcW w:w="2160" w:type="dxa"/>
            <w:vAlign w:val="bottom"/>
          </w:tcPr>
          <w:p>
            <w:pPr>
              <w:ind w:left="380"/>
              <w:spacing w:after="0"/>
              <w:rPr>
                <w:sz w:val="20"/>
                <w:szCs w:val="20"/>
                <w:color w:val="auto"/>
              </w:rPr>
            </w:pPr>
            <w:r>
              <w:rPr>
                <w:rFonts w:ascii="Arial" w:cs="Arial" w:eastAsia="Arial" w:hAnsi="Arial"/>
                <w:sz w:val="16"/>
                <w:szCs w:val="16"/>
                <w:color w:val="auto"/>
              </w:rPr>
              <w:t>Charlottesville, VA</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w w:val="96"/>
              </w:rPr>
              <w:t>Plaza El Segundo (Land)</w:t>
            </w:r>
          </w:p>
        </w:tc>
        <w:tc>
          <w:tcPr>
            <w:tcW w:w="4620" w:type="dxa"/>
            <w:vAlign w:val="bottom"/>
          </w:tcPr>
          <w:p>
            <w:pPr>
              <w:ind w:left="100"/>
              <w:spacing w:after="0"/>
              <w:rPr>
                <w:sz w:val="20"/>
                <w:szCs w:val="20"/>
                <w:color w:val="auto"/>
              </w:rPr>
            </w:pPr>
            <w:r>
              <w:rPr>
                <w:rFonts w:ascii="Arial" w:cs="Arial" w:eastAsia="Arial" w:hAnsi="Arial"/>
                <w:sz w:val="16"/>
                <w:szCs w:val="16"/>
                <w:color w:val="auto"/>
              </w:rPr>
              <w:t>El Segundo, CA</w:t>
            </w:r>
          </w:p>
        </w:tc>
      </w:tr>
      <w:tr>
        <w:trPr>
          <w:trHeight w:val="33"/>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Queens, NY</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Third Street Promenade</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Santa Monica, CA</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Hollywood Blvd</w:t>
            </w:r>
          </w:p>
        </w:tc>
        <w:tc>
          <w:tcPr>
            <w:tcW w:w="2160" w:type="dxa"/>
            <w:vAlign w:val="bottom"/>
          </w:tcPr>
          <w:p>
            <w:pPr>
              <w:ind w:left="380"/>
              <w:spacing w:after="0"/>
              <w:rPr>
                <w:sz w:val="20"/>
                <w:szCs w:val="20"/>
                <w:color w:val="auto"/>
              </w:rPr>
            </w:pPr>
            <w:r>
              <w:rPr>
                <w:rFonts w:ascii="Arial" w:cs="Arial" w:eastAsia="Arial" w:hAnsi="Arial"/>
                <w:sz w:val="16"/>
                <w:szCs w:val="16"/>
                <w:color w:val="auto"/>
              </w:rPr>
              <w:t>Hollywood, CA</w:t>
            </w:r>
          </w:p>
        </w:tc>
        <w:tc>
          <w:tcPr>
            <w:tcW w:w="2340" w:type="dxa"/>
            <w:vAlign w:val="bottom"/>
          </w:tcPr>
          <w:p>
            <w:pPr>
              <w:ind w:left="520"/>
              <w:spacing w:after="0"/>
              <w:rPr>
                <w:sz w:val="20"/>
                <w:szCs w:val="20"/>
                <w:color w:val="auto"/>
              </w:rPr>
            </w:pPr>
            <w:r>
              <w:rPr>
                <w:rFonts w:ascii="Arial" w:cs="Arial" w:eastAsia="Arial" w:hAnsi="Arial"/>
                <w:sz w:val="16"/>
                <w:szCs w:val="16"/>
                <w:b w:val="1"/>
                <w:bCs w:val="1"/>
                <w:color w:val="auto"/>
              </w:rPr>
              <w:t>Tower Shops</w:t>
            </w:r>
          </w:p>
        </w:tc>
        <w:tc>
          <w:tcPr>
            <w:tcW w:w="4620" w:type="dxa"/>
            <w:vAlign w:val="bottom"/>
          </w:tcPr>
          <w:p>
            <w:pPr>
              <w:ind w:left="100"/>
              <w:spacing w:after="0"/>
              <w:rPr>
                <w:sz w:val="20"/>
                <w:szCs w:val="20"/>
                <w:color w:val="auto"/>
              </w:rPr>
            </w:pPr>
            <w:r>
              <w:rPr>
                <w:rFonts w:ascii="Arial" w:cs="Arial" w:eastAsia="Arial" w:hAnsi="Arial"/>
                <w:sz w:val="16"/>
                <w:szCs w:val="16"/>
                <w:color w:val="auto"/>
              </w:rPr>
              <w:t>Davie, FL</w:t>
            </w:r>
          </w:p>
        </w:tc>
      </w:tr>
      <w:tr>
        <w:trPr>
          <w:trHeight w:val="33"/>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Lawrenceville, NJ</w:t>
            </w:r>
          </w:p>
        </w:tc>
        <w:tc>
          <w:tcPr>
            <w:tcW w:w="2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Bethesda, MD</w:t>
            </w:r>
          </w:p>
        </w:tc>
      </w:tr>
      <w:tr>
        <w:trPr>
          <w:trHeight w:val="237"/>
        </w:trPr>
        <w:tc>
          <w:tcPr>
            <w:tcW w:w="2300" w:type="dxa"/>
            <w:vAlign w:val="bottom"/>
          </w:tcPr>
          <w:p>
            <w:pPr>
              <w:ind w:left="620"/>
              <w:spacing w:after="0"/>
              <w:rPr>
                <w:sz w:val="20"/>
                <w:szCs w:val="20"/>
                <w:color w:val="auto"/>
              </w:rPr>
            </w:pPr>
            <w:r>
              <w:rPr>
                <w:rFonts w:ascii="Arial" w:cs="Arial" w:eastAsia="Arial" w:hAnsi="Arial"/>
                <w:sz w:val="16"/>
                <w:szCs w:val="16"/>
                <w:b w:val="1"/>
                <w:bCs w:val="1"/>
                <w:color w:val="auto"/>
              </w:rPr>
              <w:t>Montrose Crossing</w:t>
            </w:r>
          </w:p>
        </w:tc>
        <w:tc>
          <w:tcPr>
            <w:tcW w:w="216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3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20" w:type="dxa"/>
            <w:vAlign w:val="bottom"/>
          </w:tcPr>
          <w:p>
            <w:pPr>
              <w:spacing w:after="0"/>
              <w:rPr>
                <w:sz w:val="2"/>
                <w:szCs w:val="2"/>
                <w:color w:val="auto"/>
              </w:rPr>
            </w:pPr>
          </w:p>
        </w:tc>
      </w:tr>
      <w:tr>
        <w:trPr>
          <w:trHeight w:val="297"/>
        </w:trPr>
        <w:tc>
          <w:tcPr>
            <w:tcW w:w="23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46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Barracks Road</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Charlottesville, VA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Arlington,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Del Mar Village</w:t>
            </w:r>
          </w:p>
        </w:tc>
        <w:tc>
          <w:tcPr>
            <w:tcW w:w="2100" w:type="dxa"/>
            <w:vAlign w:val="bottom"/>
          </w:tcPr>
          <w:p>
            <w:pPr>
              <w:ind w:left="320"/>
              <w:spacing w:after="0"/>
              <w:rPr>
                <w:sz w:val="20"/>
                <w:szCs w:val="20"/>
                <w:color w:val="auto"/>
              </w:rPr>
            </w:pPr>
            <w:r>
              <w:rPr>
                <w:rFonts w:ascii="Arial" w:cs="Arial" w:eastAsia="Arial" w:hAnsi="Arial"/>
                <w:sz w:val="16"/>
                <w:szCs w:val="16"/>
                <w:color w:val="auto"/>
              </w:rPr>
              <w:t>Boca Raton, FL</w:t>
            </w:r>
          </w:p>
        </w:tc>
        <w:tc>
          <w:tcPr>
            <w:tcW w:w="23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40" w:type="dxa"/>
            <w:vAlign w:val="bottom"/>
            <w:gridSpan w:val="3"/>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r>
      <w:tr>
        <w:trPr>
          <w:trHeight w:val="224"/>
        </w:trPr>
        <w:tc>
          <w:tcPr>
            <w:tcW w:w="4460" w:type="dxa"/>
            <w:vAlign w:val="bottom"/>
            <w:gridSpan w:val="5"/>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Pr>
          <w:p>
            <w:pPr>
              <w:spacing w:after="0"/>
              <w:rPr>
                <w:sz w:val="19"/>
                <w:szCs w:val="19"/>
                <w:color w:val="auto"/>
              </w:rPr>
            </w:pPr>
          </w:p>
        </w:tc>
        <w:tc>
          <w:tcPr>
            <w:tcW w:w="466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Assembly Row (1)</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Somerville, MA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7</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Vienna, VA</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466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6"/>
                <w:szCs w:val="16"/>
                <w:b w:val="1"/>
                <w:bCs w:val="1"/>
                <w:color w:val="auto"/>
              </w:rPr>
              <w:t>Bala Cynwyd</w:t>
            </w:r>
          </w:p>
        </w:tc>
        <w:tc>
          <w:tcPr>
            <w:tcW w:w="2100" w:type="dxa"/>
            <w:vAlign w:val="bottom"/>
          </w:tcPr>
          <w:p>
            <w:pPr>
              <w:ind w:left="320"/>
              <w:spacing w:after="0"/>
              <w:rPr>
                <w:sz w:val="20"/>
                <w:szCs w:val="20"/>
                <w:color w:val="auto"/>
              </w:rPr>
            </w:pPr>
            <w:r>
              <w:rPr>
                <w:rFonts w:ascii="Arial" w:cs="Arial" w:eastAsia="Arial" w:hAnsi="Arial"/>
                <w:sz w:val="16"/>
                <w:szCs w:val="16"/>
                <w:color w:val="auto"/>
              </w:rPr>
              <w:t>Bala Cynwyd, PA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(2)</w:t>
            </w:r>
          </w:p>
        </w:tc>
        <w:tc>
          <w:tcPr>
            <w:tcW w:w="4660" w:type="dxa"/>
            <w:vAlign w:val="bottom"/>
          </w:tcPr>
          <w:p>
            <w:pPr>
              <w:ind w:left="140"/>
              <w:spacing w:after="0"/>
              <w:rPr>
                <w:sz w:val="20"/>
                <w:szCs w:val="20"/>
                <w:color w:val="auto"/>
              </w:rPr>
            </w:pPr>
            <w:r>
              <w:rPr>
                <w:rFonts w:ascii="Arial" w:cs="Arial" w:eastAsia="Arial" w:hAnsi="Arial"/>
                <w:sz w:val="16"/>
                <w:szCs w:val="16"/>
                <w:color w:val="auto"/>
              </w:rPr>
              <w:t>Rockville, MD</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Forest Hills</w:t>
            </w:r>
          </w:p>
        </w:tc>
        <w:tc>
          <w:tcPr>
            <w:tcW w:w="2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Forest Hills, NY</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San Jose, CA</w:t>
            </w:r>
          </w:p>
        </w:tc>
      </w:tr>
      <w:tr>
        <w:trPr>
          <w:trHeight w:val="324"/>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0"/>
        </w:trPr>
        <w:tc>
          <w:tcPr>
            <w:tcW w:w="5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8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800" w:type="dxa"/>
            <w:vAlign w:val="bottom"/>
          </w:tcPr>
          <w:p>
            <w:pPr>
              <w:ind w:left="60"/>
              <w:spacing w:after="0"/>
              <w:rPr>
                <w:sz w:val="20"/>
                <w:szCs w:val="20"/>
                <w:color w:val="auto"/>
              </w:rPr>
            </w:pPr>
            <w:r>
              <w:rPr>
                <w:rFonts w:ascii="Arial" w:cs="Arial" w:eastAsia="Arial" w:hAnsi="Arial"/>
                <w:sz w:val="14"/>
                <w:szCs w:val="14"/>
                <w:color w:val="auto"/>
              </w:rPr>
              <w:t>Assembly Row</w:t>
            </w: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w w:val="98"/>
              </w:rPr>
              <w:t>Remaining entitlements after Phase 1 include 1.9 million square feet of commercial-use buildings, 1,650 residential units, and a 200 room hotel.</w:t>
            </w:r>
          </w:p>
        </w:tc>
      </w:tr>
      <w:tr>
        <w:trPr>
          <w:trHeight w:val="209"/>
        </w:trPr>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18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Pike &amp; Rose (Mid-Pike)</w:t>
            </w:r>
          </w:p>
        </w:tc>
        <w:tc>
          <w:tcPr>
            <w:tcW w:w="90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Remaining entitlements after Phase 1 include 1.5 million square feet of commercial-use buildings, and 1,090 residential units.</w:t>
            </w:r>
          </w:p>
        </w:tc>
      </w:tr>
      <w:tr>
        <w:trPr>
          <w:trHeight w:val="157"/>
        </w:trPr>
        <w:tc>
          <w:tcPr>
            <w:tcW w:w="560" w:type="dxa"/>
            <w:vAlign w:val="bottom"/>
            <w:gridSpan w:val="3"/>
          </w:tcPr>
          <w:p>
            <w:pPr>
              <w:jc w:val="right"/>
              <w:ind w:right="40"/>
              <w:spacing w:after="0" w:line="157" w:lineRule="exact"/>
              <w:rPr>
                <w:sz w:val="20"/>
                <w:szCs w:val="20"/>
                <w:color w:val="auto"/>
              </w:rPr>
            </w:pPr>
            <w:r>
              <w:rPr>
                <w:rFonts w:ascii="Arial" w:cs="Arial" w:eastAsia="Arial" w:hAnsi="Arial"/>
                <w:sz w:val="14"/>
                <w:szCs w:val="14"/>
                <w:color w:val="auto"/>
              </w:rPr>
              <w:t>(3)</w:t>
            </w:r>
          </w:p>
        </w:tc>
        <w:tc>
          <w:tcPr>
            <w:tcW w:w="1800" w:type="dxa"/>
            <w:vAlign w:val="bottom"/>
          </w:tcPr>
          <w:p>
            <w:pPr>
              <w:ind w:left="60"/>
              <w:spacing w:after="0" w:line="157" w:lineRule="exact"/>
              <w:rPr>
                <w:sz w:val="20"/>
                <w:szCs w:val="20"/>
                <w:color w:val="auto"/>
              </w:rPr>
            </w:pPr>
            <w:r>
              <w:rPr>
                <w:rFonts w:ascii="Arial" w:cs="Arial" w:eastAsia="Arial" w:hAnsi="Arial"/>
                <w:sz w:val="14"/>
                <w:szCs w:val="14"/>
                <w:color w:val="auto"/>
              </w:rPr>
              <w:t>Santana Row</w:t>
            </w:r>
          </w:p>
        </w:tc>
        <w:tc>
          <w:tcPr>
            <w:tcW w:w="9060" w:type="dxa"/>
            <w:vAlign w:val="bottom"/>
            <w:gridSpan w:val="3"/>
          </w:tcPr>
          <w:p>
            <w:pPr>
              <w:ind w:left="320"/>
              <w:spacing w:after="0" w:line="157" w:lineRule="exact"/>
              <w:rPr>
                <w:sz w:val="20"/>
                <w:szCs w:val="20"/>
                <w:color w:val="auto"/>
              </w:rPr>
            </w:pPr>
            <w:r>
              <w:rPr>
                <w:rFonts w:ascii="Arial" w:cs="Arial" w:eastAsia="Arial" w:hAnsi="Arial"/>
                <w:sz w:val="14"/>
                <w:szCs w:val="14"/>
                <w:color w:val="auto"/>
                <w:w w:val="95"/>
              </w:rPr>
              <w:t>Current remaining entitlements for this property include 348 residential units and 200,000 square feet of commercial space for retail and office. Final</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60" w:type="dxa"/>
            <w:vAlign w:val="bottom"/>
            <w:gridSpan w:val="3"/>
          </w:tcPr>
          <w:p>
            <w:pPr>
              <w:ind w:left="320"/>
              <w:spacing w:after="0"/>
              <w:rPr>
                <w:sz w:val="20"/>
                <w:szCs w:val="20"/>
                <w:color w:val="auto"/>
              </w:rPr>
            </w:pPr>
            <w:r>
              <w:rPr>
                <w:rFonts w:ascii="Arial" w:cs="Arial" w:eastAsia="Arial" w:hAnsi="Arial"/>
                <w:sz w:val="14"/>
                <w:szCs w:val="14"/>
                <w:color w:val="auto"/>
              </w:rPr>
              <w:t>approval is pending for entitlements for an additional 105,000 square feet of commercial space for retail and office.</w:t>
            </w: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00" w:type="dxa"/>
            <w:vAlign w:val="bottom"/>
          </w:tcPr>
          <w:p>
            <w:pPr>
              <w:ind w:left="1160"/>
              <w:spacing w:after="0"/>
              <w:rPr>
                <w:sz w:val="20"/>
                <w:szCs w:val="20"/>
                <w:color w:val="auto"/>
              </w:rPr>
            </w:pPr>
            <w:r>
              <w:rPr>
                <w:rFonts w:ascii="Arial" w:cs="Arial" w:eastAsia="Arial" w:hAnsi="Arial"/>
                <w:sz w:val="18"/>
                <w:szCs w:val="18"/>
                <w:color w:val="auto"/>
              </w:rPr>
              <w:t>15</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158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$ 217,022</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w w:val="91"/>
              </w:rPr>
              <w:t>2006/2008/2010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73,489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Fresh 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4,698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5"/>
              </w:rPr>
              <w:t>Falls Plaza/Falls Plaza-East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12,611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65,177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14,000</w:t>
            </w:r>
          </w:p>
        </w:tc>
        <w:tc>
          <w:tcPr>
            <w:tcW w:w="900" w:type="dxa"/>
            <w:vAlign w:val="bottom"/>
          </w:tcPr>
          <w:p>
            <w:pPr>
              <w:ind w:left="80"/>
              <w:spacing w:after="0"/>
              <w:rPr>
                <w:sz w:val="20"/>
                <w:szCs w:val="20"/>
                <w:color w:val="auto"/>
              </w:rPr>
            </w:pPr>
            <w:r>
              <w:rPr>
                <w:rFonts w:ascii="Arial" w:cs="Arial" w:eastAsia="Arial" w:hAnsi="Arial"/>
                <w:sz w:val="13"/>
                <w:szCs w:val="13"/>
                <w:color w:val="auto"/>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36,175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25,531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78%</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16,492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15,912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Whole Foods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50,965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35,242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27,687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32,816</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35,802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258,000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Mid-Pike Plaza</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104,875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Montrose Crossing</w:t>
            </w:r>
          </w:p>
        </w:tc>
        <w:tc>
          <w:tcPr>
            <w:tcW w:w="340" w:type="dxa"/>
            <w:vAlign w:val="bottom"/>
            <w:gridSpan w:val="3"/>
          </w:tcPr>
          <w:p>
            <w:pPr>
              <w:jc w:val="right"/>
              <w:ind w:right="60"/>
              <w:spacing w:after="0"/>
              <w:rPr>
                <w:sz w:val="20"/>
                <w:szCs w:val="20"/>
                <w:color w:val="auto"/>
              </w:rPr>
            </w:pPr>
            <w:r>
              <w:rPr>
                <w:rFonts w:ascii="Arial" w:cs="Arial" w:eastAsia="Arial" w:hAnsi="Arial"/>
                <w:sz w:val="13"/>
                <w:szCs w:val="13"/>
                <w:color w:val="auto"/>
              </w:rPr>
              <w:t>(4)</w:t>
            </w: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2011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141,665</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78,407</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73,000</w:t>
            </w:r>
          </w:p>
        </w:tc>
        <w:tc>
          <w:tcPr>
            <w:tcW w:w="9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3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w:t>
            </w:r>
          </w:p>
        </w:tc>
        <w:tc>
          <w:tcPr>
            <w:tcW w:w="1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78,979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62,000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89"/>
              </w:rPr>
              <w:t>Shoppers Food</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76"/>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Valley/7770 Richmond Hwy</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Gold's Gym / Staples</w:t>
            </w: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6,473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89,761</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51,395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35,690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26,897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70%</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60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Rockville Town Square</w:t>
            </w:r>
          </w:p>
        </w:tc>
        <w:tc>
          <w:tcPr>
            <w:tcW w:w="3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w:t>
            </w:r>
          </w:p>
        </w:tc>
        <w:tc>
          <w:tcPr>
            <w:tcW w:w="14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50,386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4,534</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9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200" w:type="dxa"/>
            <w:vAlign w:val="bottom"/>
            <w:shd w:val="clear" w:color="auto" w:fill="CCEEFF"/>
          </w:tcPr>
          <w:p>
            <w:pPr>
              <w:spacing w:after="0"/>
              <w:rPr>
                <w:sz w:val="15"/>
                <w:szCs w:val="15"/>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9,199</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22,795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12,860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21,163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900" w:type="dxa"/>
            <w:vAlign w:val="bottom"/>
          </w:tcPr>
          <w:p>
            <w:pPr>
              <w:ind w:left="8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4,376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34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1420" w:type="dxa"/>
            <w:vAlign w:val="bottom"/>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58,767</w:t>
            </w:r>
          </w:p>
        </w:tc>
        <w:tc>
          <w:tcPr>
            <w:tcW w:w="100" w:type="dxa"/>
            <w:vAlign w:val="bottom"/>
          </w:tcPr>
          <w:p>
            <w:pPr>
              <w:spacing w:after="0"/>
              <w:rPr>
                <w:sz w:val="15"/>
                <w:szCs w:val="15"/>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6,414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9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Washington, DC-MD-VA</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23,567</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4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1,258,498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5,338,000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90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95"/>
              </w:rPr>
              <w:t>Philadelphia Metropolitan Area</w:t>
            </w:r>
          </w:p>
        </w:tc>
        <w:tc>
          <w:tcPr>
            <w:tcW w:w="1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Andorra</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25,088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tcPr>
          <w:p>
            <w:pPr>
              <w:ind w:left="60"/>
              <w:spacing w:after="0"/>
              <w:rPr>
                <w:sz w:val="20"/>
                <w:szCs w:val="20"/>
                <w:color w:val="auto"/>
              </w:rPr>
            </w:pPr>
            <w:r>
              <w:rPr>
                <w:rFonts w:ascii="Arial" w:cs="Arial" w:eastAsia="Arial" w:hAnsi="Arial"/>
                <w:sz w:val="13"/>
                <w:szCs w:val="13"/>
                <w:color w:val="auto"/>
              </w:rPr>
              <w:t>Kohl's / Staples / L.A. Fitness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39,526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28,853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16,067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20,475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9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81"/>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31,158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26,812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Acme Markets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24,329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Town Center of New Britain</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14,676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60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29,071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6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Philadelphia, PA-NJ</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36,963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27,325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4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266,206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2,436,000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60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ind w:left="60"/>
              <w:spacing w:after="0" w:line="148" w:lineRule="exact"/>
              <w:rPr>
                <w:sz w:val="20"/>
                <w:szCs w:val="20"/>
                <w:color w:val="auto"/>
              </w:rPr>
            </w:pPr>
            <w:r>
              <w:rPr>
                <w:rFonts w:ascii="Arial" w:cs="Arial" w:eastAsia="Arial" w:hAnsi="Arial"/>
                <w:sz w:val="13"/>
                <w:szCs w:val="13"/>
                <w:color w:val="auto"/>
                <w:w w:val="89"/>
              </w:rPr>
              <w:t>Los Angeles-Long Beach,</w:t>
            </w: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18,393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3"/>
                <w:szCs w:val="13"/>
                <w:color w:val="auto"/>
              </w:rPr>
              <w:t>CA</w:t>
            </w: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1179" w:right="239" w:bottom="946"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79" w:right="239" w:bottom="946" w:gutter="0" w:footer="0" w:header="0"/>
          <w:type w:val="continuous"/>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00" w:type="dxa"/>
            <w:vAlign w:val="bottom"/>
          </w:tcPr>
          <w:p>
            <w:pPr>
              <w:spacing w:after="0"/>
              <w:rPr>
                <w:sz w:val="11"/>
                <w:szCs w:val="11"/>
                <w:color w:val="auto"/>
              </w:rPr>
            </w:pPr>
          </w:p>
        </w:tc>
      </w:tr>
      <w:tr>
        <w:trPr>
          <w:trHeight w:val="174"/>
        </w:trPr>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73"/>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Ramon,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84,943</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19,360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Lucky</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Loehmann's Dress Shop / Rite Aid</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167,290</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62,698</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59,000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45,576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w:t>
            </w: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Fifth Ave</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6,056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Urban Outfitters</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Hermosa Ave</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5,588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Hollywood Blvd</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(4)</w:t>
            </w: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1999</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40,069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15,000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Fresh &amp; Easy</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DSW / L.A.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11,672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Lunardi's Super</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Old Town Center</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36,743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Anthropologie / Banana Republic / Gap</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3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w:t>
            </w: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214,454</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175,000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66,000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Whole Foods</w:t>
            </w: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Goods / H&amp;M / HomeGoods</w:t>
            </w: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Santana Row</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627,955</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 Hotel Valencia / H&amp;M</w:t>
            </w: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Third St Promenade</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1996-2000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78,255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Westgate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126,724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tcPr>
          <w:p>
            <w:pPr>
              <w:spacing w:after="0"/>
              <w:rPr>
                <w:sz w:val="12"/>
                <w:szCs w:val="12"/>
                <w:color w:val="auto"/>
              </w:rPr>
            </w:pP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Michaels / Nordstrom Rack</w:t>
            </w:r>
          </w:p>
        </w:tc>
      </w:tr>
      <w:tr>
        <w:trPr>
          <w:trHeight w:val="181"/>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37,423</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1,501,141</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3,379,000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3300" w:type="dxa"/>
            <w:vAlign w:val="bottom"/>
            <w:tcBorders>
              <w:top w:val="single" w:sz="8" w:color="CCEEFF"/>
            </w:tcBorders>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Brick Plaza</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60,619</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27,844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414,000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920" w:type="dxa"/>
            <w:vAlign w:val="bottom"/>
          </w:tcPr>
          <w:p>
            <w:pPr>
              <w:ind w:left="80"/>
              <w:spacing w:after="0"/>
              <w:rPr>
                <w:sz w:val="20"/>
                <w:szCs w:val="20"/>
                <w:color w:val="auto"/>
              </w:rPr>
            </w:pPr>
            <w:r>
              <w:rPr>
                <w:rFonts w:ascii="Arial" w:cs="Arial" w:eastAsia="Arial" w:hAnsi="Arial"/>
                <w:sz w:val="13"/>
                <w:szCs w:val="13"/>
                <w:color w:val="auto"/>
              </w:rPr>
              <w:t>A&amp;P</w:t>
            </w:r>
          </w:p>
        </w:tc>
        <w:tc>
          <w:tcPr>
            <w:tcW w:w="3300" w:type="dxa"/>
            <w:vAlign w:val="bottom"/>
          </w:tcPr>
          <w:p>
            <w:pPr>
              <w:ind w:left="6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73"/>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Forest Hills</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8,612</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Midway Theatre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Fresh Meadows</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77,689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15,000</w:t>
            </w:r>
          </w:p>
        </w:tc>
        <w:tc>
          <w:tcPr>
            <w:tcW w:w="920" w:type="dxa"/>
            <w:vAlign w:val="bottom"/>
          </w:tcPr>
          <w:p>
            <w:pPr>
              <w:ind w:left="80"/>
              <w:spacing w:after="0"/>
              <w:rPr>
                <w:sz w:val="20"/>
                <w:szCs w:val="20"/>
                <w:color w:val="auto"/>
              </w:rPr>
            </w:pPr>
            <w:r>
              <w:rPr>
                <w:rFonts w:ascii="Arial" w:cs="Arial" w:eastAsia="Arial" w:hAnsi="Arial"/>
                <w:sz w:val="13"/>
                <w:szCs w:val="13"/>
                <w:color w:val="auto"/>
              </w:rPr>
              <w:t>Island of Gold</w:t>
            </w:r>
          </w:p>
        </w:tc>
        <w:tc>
          <w:tcPr>
            <w:tcW w:w="3300" w:type="dxa"/>
            <w:vAlign w:val="bottom"/>
          </w:tcPr>
          <w:p>
            <w:pPr>
              <w:ind w:left="6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96"/>
        </w:trPr>
        <w:tc>
          <w:tcPr>
            <w:tcW w:w="1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3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27,689</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14,260</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Huntington</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43,391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3"/>
                <w:szCs w:val="13"/>
                <w:color w:val="auto"/>
              </w:rPr>
              <w:t>Rack</w:t>
            </w:r>
          </w:p>
        </w:tc>
      </w:tr>
      <w:tr>
        <w:trPr>
          <w:trHeight w:val="181"/>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10,708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Melville Mall</w:t>
            </w:r>
          </w:p>
        </w:tc>
        <w:tc>
          <w:tcPr>
            <w:tcW w:w="360" w:type="dxa"/>
            <w:vAlign w:val="bottom"/>
          </w:tcPr>
          <w:p>
            <w:pPr>
              <w:jc w:val="right"/>
              <w:spacing w:after="0"/>
              <w:rPr>
                <w:sz w:val="20"/>
                <w:szCs w:val="20"/>
                <w:color w:val="auto"/>
              </w:rPr>
            </w:pPr>
            <w:r>
              <w:rPr>
                <w:rFonts w:ascii="Arial" w:cs="Arial" w:eastAsia="Arial" w:hAnsi="Arial"/>
                <w:sz w:val="13"/>
                <w:szCs w:val="13"/>
                <w:color w:val="auto"/>
              </w:rPr>
              <w:t>(8)</w:t>
            </w:r>
          </w:p>
        </w:tc>
        <w:tc>
          <w:tcPr>
            <w:tcW w:w="15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69,061</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21,333</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92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300" w:type="dxa"/>
            <w:vAlign w:val="bottom"/>
          </w:tcPr>
          <w:p>
            <w:pPr>
              <w:ind w:left="60"/>
              <w:spacing w:after="0"/>
              <w:rPr>
                <w:sz w:val="20"/>
                <w:szCs w:val="20"/>
                <w:color w:val="auto"/>
              </w:rPr>
            </w:pPr>
            <w:r>
              <w:rPr>
                <w:rFonts w:ascii="Arial" w:cs="Arial" w:eastAsia="Arial" w:hAnsi="Arial"/>
                <w:sz w:val="13"/>
                <w:szCs w:val="13"/>
                <w:color w:val="auto"/>
              </w:rPr>
              <w:t>Dick’s Sporting Goods / Kohl's / Marshalls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96"/>
        </w:trPr>
        <w:tc>
          <w:tcPr>
            <w:tcW w:w="1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110,793</w:t>
            </w:r>
          </w:p>
        </w:tc>
        <w:tc>
          <w:tcPr>
            <w:tcW w:w="6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55,832</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500,000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2"/>
              </w:rPr>
              <w:t>Bed, Bath &amp; Beyond / DSW / TJ Maxx / Raymour &amp; Flanigan</w:t>
            </w: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Troy</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28,932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64,000</w:t>
            </w:r>
          </w:p>
        </w:tc>
        <w:tc>
          <w:tcPr>
            <w:tcW w:w="920" w:type="dxa"/>
            <w:vAlign w:val="bottom"/>
          </w:tcPr>
          <w:p>
            <w:pPr>
              <w:ind w:left="80"/>
              <w:spacing w:after="0"/>
              <w:rPr>
                <w:sz w:val="20"/>
                <w:szCs w:val="20"/>
                <w:color w:val="auto"/>
              </w:rPr>
            </w:pPr>
            <w:r>
              <w:rPr>
                <w:rFonts w:ascii="Arial" w:cs="Arial" w:eastAsia="Arial" w:hAnsi="Arial"/>
                <w:sz w:val="13"/>
                <w:szCs w:val="13"/>
                <w:color w:val="auto"/>
              </w:rPr>
              <w:t>Pathmark</w:t>
            </w:r>
          </w:p>
        </w:tc>
        <w:tc>
          <w:tcPr>
            <w:tcW w:w="3300" w:type="dxa"/>
            <w:vAlign w:val="bottom"/>
          </w:tcPr>
          <w:p>
            <w:pPr>
              <w:ind w:left="6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180" w:type="dxa"/>
            <w:vAlign w:val="bottom"/>
            <w:tcBorders>
              <w:bottom w:val="single" w:sz="8" w:color="CCEEFF"/>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30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Total New York / New Jersey</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437,494</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2,308,000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80" w:type="dxa"/>
            <w:vAlign w:val="bottom"/>
            <w:gridSpan w:val="4"/>
          </w:tcPr>
          <w:p>
            <w:pPr>
              <w:ind w:left="60"/>
              <w:spacing w:after="0"/>
              <w:rPr>
                <w:sz w:val="20"/>
                <w:szCs w:val="20"/>
                <w:color w:val="auto"/>
              </w:rPr>
            </w:pPr>
            <w:r>
              <w:rPr>
                <w:rFonts w:ascii="Arial" w:cs="Arial" w:eastAsia="Arial" w:hAnsi="Arial"/>
                <w:sz w:val="13"/>
                <w:szCs w:val="13"/>
                <w:b w:val="1"/>
                <w:bCs w:val="1"/>
                <w:color w:val="auto"/>
              </w:rPr>
              <w:t>New England</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36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w w:val="92"/>
              </w:rPr>
              <w:t>Boston-Cambridge-Quincy,  2005-2011</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262,986</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337,000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AC Moore / Bed, Bath &amp; Beyond / Christmas Tree Shops /</w:t>
            </w:r>
          </w:p>
        </w:tc>
      </w:tr>
      <w:tr>
        <w:trPr>
          <w:trHeight w:val="17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w w:val="97"/>
              </w:rPr>
              <w:t>Marketplace/Assembly Row</w:t>
            </w: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 / Staples / Sports Authority / TJ Maxx</w:t>
            </w: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360" w:type="dxa"/>
            <w:vAlign w:val="bottom"/>
          </w:tcPr>
          <w:p>
            <w:pPr>
              <w:spacing w:after="0"/>
              <w:rPr>
                <w:sz w:val="12"/>
                <w:szCs w:val="12"/>
                <w:color w:val="auto"/>
              </w:rPr>
            </w:pPr>
          </w:p>
        </w:tc>
        <w:tc>
          <w:tcPr>
            <w:tcW w:w="2180" w:type="dxa"/>
            <w:vAlign w:val="bottom"/>
            <w:gridSpan w:val="2"/>
          </w:tcPr>
          <w:p>
            <w:pPr>
              <w:ind w:left="60"/>
              <w:spacing w:after="0" w:line="148" w:lineRule="exact"/>
              <w:rPr>
                <w:sz w:val="20"/>
                <w:szCs w:val="20"/>
                <w:color w:val="auto"/>
              </w:rPr>
            </w:pPr>
            <w:r>
              <w:rPr>
                <w:rFonts w:ascii="Arial" w:cs="Arial" w:eastAsia="Arial" w:hAnsi="Arial"/>
                <w:sz w:val="13"/>
                <w:szCs w:val="13"/>
                <w:color w:val="auto"/>
                <w:w w:val="92"/>
              </w:rPr>
              <w:t>Boston-Cambridge-Quincy,  2006-2008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38,654</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7,408</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34,370</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3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Linden Square</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146,474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30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360" w:type="dxa"/>
            <w:vAlign w:val="bottom"/>
          </w:tcPr>
          <w:p>
            <w:pPr>
              <w:spacing w:after="0"/>
              <w:rPr>
                <w:sz w:val="12"/>
                <w:szCs w:val="12"/>
                <w:color w:val="auto"/>
              </w:rPr>
            </w:pPr>
          </w:p>
        </w:tc>
        <w:tc>
          <w:tcPr>
            <w:tcW w:w="1500" w:type="dxa"/>
            <w:vAlign w:val="bottom"/>
          </w:tcPr>
          <w:p>
            <w:pPr>
              <w:ind w:left="60"/>
              <w:spacing w:after="0" w:line="148" w:lineRule="exact"/>
              <w:rPr>
                <w:sz w:val="20"/>
                <w:szCs w:val="20"/>
                <w:color w:val="auto"/>
              </w:rPr>
            </w:pPr>
            <w:r>
              <w:rPr>
                <w:rFonts w:ascii="Arial" w:cs="Arial" w:eastAsia="Arial" w:hAnsi="Arial"/>
                <w:sz w:val="13"/>
                <w:szCs w:val="13"/>
                <w:color w:val="auto"/>
                <w:w w:val="90"/>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17,411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30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Saugus Plaza</w:t>
            </w: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0"/>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14,645</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Super Stop &amp;</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3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523,908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1,391,000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CCEEFF"/>
            </w:tcBorders>
            <w:shd w:val="clear" w:color="auto" w:fill="CCEEFF"/>
          </w:tcPr>
          <w:p>
            <w:pPr>
              <w:spacing w:after="0"/>
              <w:rPr>
                <w:sz w:val="8"/>
                <w:szCs w:val="8"/>
                <w:color w:val="auto"/>
              </w:rPr>
            </w:pPr>
          </w:p>
        </w:tc>
        <w:tc>
          <w:tcPr>
            <w:tcW w:w="3300" w:type="dxa"/>
            <w:vAlign w:val="bottom"/>
            <w:tcBorders>
              <w:top w:val="single" w:sz="8" w:color="CCEEFF"/>
            </w:tcBorders>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Governor Plaza</w:t>
            </w:r>
          </w:p>
        </w:tc>
        <w:tc>
          <w:tcPr>
            <w:tcW w:w="360" w:type="dxa"/>
            <w:vAlign w:val="bottom"/>
          </w:tcPr>
          <w:p>
            <w:pPr>
              <w:spacing w:after="0"/>
              <w:rPr>
                <w:sz w:val="15"/>
                <w:szCs w:val="15"/>
                <w:color w:val="auto"/>
              </w:rPr>
            </w:pPr>
          </w:p>
        </w:tc>
        <w:tc>
          <w:tcPr>
            <w:tcW w:w="150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26,602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16,500</w:t>
            </w:r>
          </w:p>
        </w:tc>
        <w:tc>
          <w:tcPr>
            <w:tcW w:w="920" w:type="dxa"/>
            <w:vAlign w:val="bottom"/>
          </w:tcPr>
          <w:p>
            <w:pPr>
              <w:ind w:left="80"/>
              <w:spacing w:after="0"/>
              <w:rPr>
                <w:sz w:val="20"/>
                <w:szCs w:val="20"/>
                <w:color w:val="auto"/>
              </w:rPr>
            </w:pPr>
            <w:r>
              <w:rPr>
                <w:rFonts w:ascii="Arial" w:cs="Arial" w:eastAsia="Arial" w:hAnsi="Arial"/>
                <w:sz w:val="13"/>
                <w:szCs w:val="13"/>
                <w:color w:val="auto"/>
              </w:rPr>
              <w:t>Aldi</w:t>
            </w:r>
          </w:p>
        </w:tc>
        <w:tc>
          <w:tcPr>
            <w:tcW w:w="3300" w:type="dxa"/>
            <w:vAlign w:val="bottom"/>
          </w:tcPr>
          <w:p>
            <w:pPr>
              <w:ind w:left="60"/>
              <w:spacing w:after="0"/>
              <w:rPr>
                <w:sz w:val="20"/>
                <w:szCs w:val="20"/>
                <w:color w:val="auto"/>
              </w:rPr>
            </w:pPr>
            <w:r>
              <w:rPr>
                <w:rFonts w:ascii="Arial" w:cs="Arial" w:eastAsia="Arial" w:hAnsi="Arial"/>
                <w:sz w:val="13"/>
                <w:szCs w:val="13"/>
                <w:color w:val="auto"/>
              </w:rPr>
              <w:t>L.A. Fitness / Dick’s Sporting Goods</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Perring Plaza</w:t>
            </w:r>
          </w:p>
        </w:tc>
        <w:tc>
          <w:tcPr>
            <w:tcW w:w="360" w:type="dxa"/>
            <w:vAlign w:val="bottom"/>
            <w:shd w:val="clear" w:color="auto" w:fill="CCEEFF"/>
          </w:tcPr>
          <w:p>
            <w:pPr>
              <w:spacing w:after="0"/>
              <w:rPr>
                <w:sz w:val="12"/>
                <w:szCs w:val="12"/>
                <w:color w:val="auto"/>
              </w:rPr>
            </w:pPr>
          </w:p>
        </w:tc>
        <w:tc>
          <w:tcPr>
            <w:tcW w:w="15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28,574</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58,000</w:t>
            </w:r>
          </w:p>
        </w:tc>
        <w:tc>
          <w:tcPr>
            <w:tcW w:w="9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Shoppers Food</w:t>
            </w:r>
          </w:p>
        </w:tc>
        <w:tc>
          <w:tcPr>
            <w:tcW w:w="33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Home Depot / Burlington Coat Factory / Jo-Ann Stores / Micro</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Center</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7" w:right="2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00" w:type="dxa"/>
            <w:vAlign w:val="bottom"/>
          </w:tcPr>
          <w:p>
            <w:pPr>
              <w:spacing w:after="0"/>
              <w:rPr>
                <w:sz w:val="11"/>
                <w:szCs w:val="11"/>
                <w:color w:val="auto"/>
              </w:rPr>
            </w:pPr>
          </w:p>
        </w:tc>
      </w:tr>
      <w:tr>
        <w:trPr>
          <w:trHeight w:val="174"/>
        </w:trPr>
        <w:tc>
          <w:tcPr>
            <w:tcW w:w="162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70"/>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THE AVENUE at White</w:t>
            </w: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96,677</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55,008</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298,000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120"/>
              <w:spacing w:after="0"/>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Marsh</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w w:val="96"/>
              </w:rPr>
              <w:t>The Shoppes at Nottingham</w:t>
            </w: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17,327</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r>
      <w:tr>
        <w:trPr>
          <w:trHeight w:val="176"/>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White Marsh Plaza</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25,055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73"/>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White Marsh Other</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Baltimore,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36,191</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230,426</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1,142,000</w:t>
            </w:r>
          </w:p>
        </w:tc>
        <w:tc>
          <w:tcPr>
            <w:tcW w:w="52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3300" w:type="dxa"/>
            <w:vAlign w:val="bottom"/>
            <w:tcBorders>
              <w:top w:val="single" w:sz="8" w:color="CCEEFF"/>
            </w:tcBorders>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Crossroads</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30,824</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tcPr>
          <w:p>
            <w:pPr>
              <w:ind w:left="12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73"/>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Finley Square</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32,393</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Garden Market</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12,541</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140,000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63,000</w:t>
            </w:r>
          </w:p>
        </w:tc>
        <w:tc>
          <w:tcPr>
            <w:tcW w:w="860" w:type="dxa"/>
            <w:vAlign w:val="bottom"/>
          </w:tcPr>
          <w:p>
            <w:pPr>
              <w:ind w:left="80"/>
              <w:spacing w:after="0"/>
              <w:rPr>
                <w:sz w:val="20"/>
                <w:szCs w:val="20"/>
                <w:color w:val="auto"/>
              </w:rPr>
            </w:pPr>
            <w:r>
              <w:rPr>
                <w:rFonts w:ascii="Arial" w:cs="Arial" w:eastAsia="Arial" w:hAnsi="Arial"/>
                <w:sz w:val="13"/>
                <w:szCs w:val="13"/>
                <w:color w:val="auto"/>
              </w:rPr>
              <w:t>Dominick's</w:t>
            </w:r>
          </w:p>
        </w:tc>
        <w:tc>
          <w:tcPr>
            <w:tcW w:w="3300" w:type="dxa"/>
            <w:vAlign w:val="bottom"/>
          </w:tcPr>
          <w:p>
            <w:pPr>
              <w:ind w:left="120"/>
              <w:spacing w:after="0"/>
              <w:rPr>
                <w:sz w:val="20"/>
                <w:szCs w:val="20"/>
                <w:color w:val="auto"/>
              </w:rPr>
            </w:pPr>
            <w:r>
              <w:rPr>
                <w:rFonts w:ascii="Arial" w:cs="Arial" w:eastAsia="Arial" w:hAnsi="Arial"/>
                <w:sz w:val="13"/>
                <w:szCs w:val="13"/>
                <w:color w:val="auto"/>
              </w:rPr>
              <w:t>Walgreens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73"/>
        </w:trPr>
        <w:tc>
          <w:tcPr>
            <w:tcW w:w="162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North Lake Commons</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Chicago, IL</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15,962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33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Chicago</w:t>
            </w: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91,720</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8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CCEEFF"/>
            </w:tcBorders>
            <w:shd w:val="clear" w:color="auto" w:fill="CCEEFF"/>
          </w:tcPr>
          <w:p>
            <w:pPr>
              <w:spacing w:after="0"/>
              <w:rPr>
                <w:sz w:val="8"/>
                <w:szCs w:val="8"/>
                <w:color w:val="auto"/>
              </w:rPr>
            </w:pPr>
          </w:p>
        </w:tc>
        <w:tc>
          <w:tcPr>
            <w:tcW w:w="3300" w:type="dxa"/>
            <w:vAlign w:val="bottom"/>
            <w:tcBorders>
              <w:top w:val="single" w:sz="8" w:color="CCEEFF"/>
            </w:tcBorders>
            <w:shd w:val="clear" w:color="auto" w:fill="CCEEFF"/>
          </w:tcPr>
          <w:p>
            <w:pPr>
              <w:spacing w:after="0"/>
              <w:rPr>
                <w:sz w:val="8"/>
                <w:szCs w:val="8"/>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Courtyard Shops</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Miami-Ft Lauderdale</w:t>
            </w:r>
          </w:p>
        </w:tc>
        <w:tc>
          <w:tcPr>
            <w:tcW w:w="68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40,235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60" w:type="dxa"/>
            <w:vAlign w:val="bottom"/>
          </w:tcPr>
          <w:p>
            <w:pPr>
              <w:ind w:left="80"/>
              <w:spacing w:after="0"/>
              <w:rPr>
                <w:sz w:val="20"/>
                <w:szCs w:val="20"/>
                <w:color w:val="auto"/>
              </w:rPr>
            </w:pPr>
            <w:r>
              <w:rPr>
                <w:rFonts w:ascii="Arial" w:cs="Arial" w:eastAsia="Arial" w:hAnsi="Arial"/>
                <w:sz w:val="13"/>
                <w:szCs w:val="13"/>
                <w:color w:val="auto"/>
              </w:rPr>
              <w:t>Publix</w:t>
            </w:r>
          </w:p>
        </w:tc>
        <w:tc>
          <w:tcPr>
            <w:tcW w:w="33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3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Miami-Ft Lauderdale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55,623</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CVS</w:t>
            </w:r>
          </w:p>
        </w:tc>
      </w:tr>
      <w:tr>
        <w:trPr>
          <w:trHeight w:val="148"/>
        </w:trPr>
        <w:tc>
          <w:tcPr>
            <w:tcW w:w="162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Tower Shops</w:t>
            </w:r>
          </w:p>
        </w:tc>
        <w:tc>
          <w:tcPr>
            <w:tcW w:w="320" w:type="dxa"/>
            <w:vAlign w:val="bottom"/>
          </w:tcPr>
          <w:p>
            <w:pPr>
              <w:spacing w:after="0"/>
              <w:rPr>
                <w:sz w:val="12"/>
                <w:szCs w:val="12"/>
                <w:color w:val="auto"/>
              </w:rPr>
            </w:pPr>
          </w:p>
        </w:tc>
        <w:tc>
          <w:tcPr>
            <w:tcW w:w="1460" w:type="dxa"/>
            <w:vAlign w:val="bottom"/>
          </w:tcPr>
          <w:p>
            <w:pPr>
              <w:ind w:left="60"/>
              <w:spacing w:after="0" w:line="148" w:lineRule="exact"/>
              <w:rPr>
                <w:sz w:val="20"/>
                <w:szCs w:val="20"/>
                <w:color w:val="auto"/>
              </w:rPr>
            </w:pPr>
            <w:r>
              <w:rPr>
                <w:rFonts w:ascii="Arial" w:cs="Arial" w:eastAsia="Arial" w:hAnsi="Arial"/>
                <w:sz w:val="13"/>
                <w:szCs w:val="13"/>
                <w:color w:val="auto"/>
              </w:rPr>
              <w:t>Miami-Ft Lauderdale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76,397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120"/>
              <w:spacing w:after="0" w:line="148" w:lineRule="exact"/>
              <w:rPr>
                <w:sz w:val="20"/>
                <w:szCs w:val="20"/>
                <w:color w:val="auto"/>
              </w:rPr>
            </w:pPr>
            <w:r>
              <w:rPr>
                <w:rFonts w:ascii="Arial" w:cs="Arial" w:eastAsia="Arial" w:hAnsi="Arial"/>
                <w:sz w:val="13"/>
                <w:szCs w:val="13"/>
                <w:color w:val="auto"/>
                <w:w w:val="90"/>
              </w:rPr>
              <w:t>Best Buy / DSW / Old Navy / Ross Dress For Less / TJ Maxx</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 Ulta</w:t>
            </w: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172,255</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580" w:type="dxa"/>
            <w:vAlign w:val="bottom"/>
            <w:gridSpan w:val="4"/>
          </w:tcPr>
          <w:p>
            <w:pPr>
              <w:ind w:left="60"/>
              <w:spacing w:after="0"/>
              <w:rPr>
                <w:sz w:val="20"/>
                <w:szCs w:val="20"/>
                <w:color w:val="auto"/>
              </w:rPr>
            </w:pPr>
            <w:r>
              <w:rPr>
                <w:rFonts w:ascii="Arial" w:cs="Arial" w:eastAsia="Arial" w:hAnsi="Arial"/>
                <w:sz w:val="13"/>
                <w:szCs w:val="13"/>
                <w:b w:val="1"/>
                <w:bCs w:val="1"/>
                <w:color w:val="auto"/>
              </w:rPr>
              <w:t>Other</w:t>
            </w: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55,980</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37,827</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16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Navy / Michaels / Ulta</w:t>
            </w: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Bristol Plaza</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Hartford, CT</w:t>
            </w:r>
          </w:p>
        </w:tc>
        <w:tc>
          <w:tcPr>
            <w:tcW w:w="68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28,486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6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3300" w:type="dxa"/>
            <w:vAlign w:val="bottom"/>
          </w:tcPr>
          <w:p>
            <w:pPr>
              <w:ind w:left="12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8"/>
              </w:rPr>
              <w:t>Raleigh-Durham-Chapel</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26,743</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33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Hill, NC</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Gratiot Plaza</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Detroit, MI</w:t>
            </w:r>
          </w:p>
        </w:tc>
        <w:tc>
          <w:tcPr>
            <w:tcW w:w="68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19,034</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60" w:type="dxa"/>
            <w:vAlign w:val="bottom"/>
          </w:tcPr>
          <w:p>
            <w:pPr>
              <w:ind w:left="80"/>
              <w:spacing w:after="0"/>
              <w:rPr>
                <w:sz w:val="20"/>
                <w:szCs w:val="20"/>
                <w:color w:val="auto"/>
              </w:rPr>
            </w:pPr>
            <w:r>
              <w:rPr>
                <w:rFonts w:ascii="Arial" w:cs="Arial" w:eastAsia="Arial" w:hAnsi="Arial"/>
                <w:sz w:val="13"/>
                <w:szCs w:val="13"/>
                <w:color w:val="auto"/>
              </w:rPr>
              <w:t>Kroger</w:t>
            </w:r>
          </w:p>
        </w:tc>
        <w:tc>
          <w:tcPr>
            <w:tcW w:w="3300" w:type="dxa"/>
            <w:vAlign w:val="bottom"/>
          </w:tcPr>
          <w:p>
            <w:pPr>
              <w:ind w:left="12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148"/>
        </w:trPr>
        <w:tc>
          <w:tcPr>
            <w:tcW w:w="162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20" w:type="dxa"/>
            <w:vAlign w:val="bottom"/>
            <w:shd w:val="clear" w:color="auto" w:fill="CCEEFF"/>
          </w:tcPr>
          <w:p>
            <w:pPr>
              <w:spacing w:after="0"/>
              <w:rPr>
                <w:sz w:val="12"/>
                <w:szCs w:val="12"/>
                <w:color w:val="auto"/>
              </w:rPr>
            </w:pPr>
          </w:p>
        </w:tc>
        <w:tc>
          <w:tcPr>
            <w:tcW w:w="146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3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rPr>
              <w:t>Houston St</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San Antonio, TX</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65,790</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183,000</w:t>
            </w:r>
          </w:p>
        </w:tc>
        <w:tc>
          <w:tcPr>
            <w:tcW w:w="52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tcPr>
          <w:p>
            <w:pPr>
              <w:ind w:left="12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96"/>
        </w:trPr>
        <w:tc>
          <w:tcPr>
            <w:tcW w:w="1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Lancaster, PA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13,397</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Michaels</w:t>
            </w:r>
          </w:p>
        </w:tc>
      </w:tr>
      <w:tr>
        <w:trPr>
          <w:trHeight w:val="173"/>
        </w:trPr>
        <w:tc>
          <w:tcPr>
            <w:tcW w:w="1620" w:type="dxa"/>
            <w:vAlign w:val="bottom"/>
            <w:gridSpan w:val="5"/>
          </w:tcPr>
          <w:p>
            <w:pPr>
              <w:ind w:left="40"/>
              <w:spacing w:after="0"/>
              <w:rPr>
                <w:sz w:val="20"/>
                <w:szCs w:val="20"/>
                <w:color w:val="auto"/>
              </w:rPr>
            </w:pPr>
            <w:r>
              <w:rPr>
                <w:rFonts w:ascii="Arial" w:cs="Arial" w:eastAsia="Arial" w:hAnsi="Arial"/>
                <w:sz w:val="13"/>
                <w:szCs w:val="13"/>
                <w:color w:val="auto"/>
                <w:w w:val="92"/>
              </w:rPr>
              <w:t>29th Place (Shoppers' World)</w:t>
            </w:r>
          </w:p>
        </w:tc>
        <w:tc>
          <w:tcPr>
            <w:tcW w:w="320" w:type="dxa"/>
            <w:vAlign w:val="bottom"/>
          </w:tcPr>
          <w:p>
            <w:pPr>
              <w:spacing w:after="0"/>
              <w:rPr>
                <w:sz w:val="15"/>
                <w:szCs w:val="15"/>
                <w:color w:val="auto"/>
              </w:rPr>
            </w:pPr>
          </w:p>
        </w:tc>
        <w:tc>
          <w:tcPr>
            <w:tcW w:w="1460" w:type="dxa"/>
            <w:vAlign w:val="bottom"/>
          </w:tcPr>
          <w:p>
            <w:pPr>
              <w:ind w:left="60"/>
              <w:spacing w:after="0"/>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37,781</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5,245</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tcPr>
          <w:p>
            <w:pPr>
              <w:ind w:left="120"/>
              <w:spacing w:after="0"/>
              <w:rPr>
                <w:sz w:val="20"/>
                <w:szCs w:val="20"/>
                <w:color w:val="auto"/>
              </w:rPr>
            </w:pPr>
            <w:r>
              <w:rPr>
                <w:rFonts w:ascii="Arial" w:cs="Arial" w:eastAsia="Arial" w:hAnsi="Arial"/>
                <w:sz w:val="13"/>
                <w:szCs w:val="13"/>
                <w:color w:val="auto"/>
              </w:rPr>
              <w:t>DSW / Staples / Stein Mart</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216"/>
        </w:trPr>
        <w:tc>
          <w:tcPr>
            <w:tcW w:w="1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Shops at Willow Lawn</w:t>
            </w:r>
          </w:p>
        </w:tc>
        <w:tc>
          <w:tcPr>
            <w:tcW w:w="3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91"/>
              </w:rPr>
              <w:t>Richmond-Petersburg, VA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79,890</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ind w:left="60"/>
              <w:spacing w:after="0"/>
              <w:rPr>
                <w:sz w:val="20"/>
                <w:szCs w:val="20"/>
                <w:color w:val="auto"/>
              </w:rPr>
            </w:pPr>
            <w:r>
              <w:rPr>
                <w:rFonts w:ascii="Arial" w:cs="Arial" w:eastAsia="Arial" w:hAnsi="Arial"/>
                <w:sz w:val="13"/>
                <w:szCs w:val="13"/>
                <w:b w:val="1"/>
                <w:bCs w:val="1"/>
                <w:color w:val="auto"/>
              </w:rPr>
              <w:t>Total Other</w:t>
            </w:r>
          </w:p>
        </w:tc>
        <w:tc>
          <w:tcPr>
            <w:tcW w:w="68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341,070</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2,077,000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18"/>
                <w:szCs w:val="18"/>
                <w:color w:val="auto"/>
              </w:rPr>
            </w:pPr>
          </w:p>
        </w:tc>
      </w:tr>
      <w:tr>
        <w:trPr>
          <w:trHeight w:val="167"/>
        </w:trPr>
        <w:tc>
          <w:tcPr>
            <w:tcW w:w="1620" w:type="dxa"/>
            <w:vAlign w:val="bottom"/>
            <w:gridSpan w:val="5"/>
          </w:tcPr>
          <w:p>
            <w:pPr>
              <w:ind w:left="40"/>
              <w:spacing w:after="0"/>
              <w:rPr>
                <w:sz w:val="20"/>
                <w:szCs w:val="20"/>
                <w:color w:val="auto"/>
              </w:rPr>
            </w:pPr>
            <w:r>
              <w:rPr>
                <w:rFonts w:ascii="Arial" w:cs="Arial" w:eastAsia="Arial" w:hAnsi="Arial"/>
                <w:sz w:val="13"/>
                <w:szCs w:val="13"/>
                <w:b w:val="1"/>
                <w:bCs w:val="1"/>
                <w:color w:val="auto"/>
              </w:rPr>
              <w:t>Grand Total (9)</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$ 4,822,718</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$ 807,372</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19,500,000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3"/>
                <w:szCs w:val="13"/>
                <w:color w:val="auto"/>
              </w:rPr>
              <w:t>Notes:</w:t>
            </w:r>
          </w:p>
        </w:tc>
        <w:tc>
          <w:tcPr>
            <w:tcW w:w="10260" w:type="dxa"/>
            <w:vAlign w:val="bottom"/>
          </w:tcPr>
          <w:p>
            <w:pPr>
              <w:spacing w:after="0"/>
              <w:rPr>
                <w:sz w:val="12"/>
                <w:szCs w:val="12"/>
                <w:color w:val="auto"/>
              </w:rPr>
            </w:pPr>
          </w:p>
        </w:tc>
      </w:tr>
      <w:tr>
        <w:trPr>
          <w:trHeight w:val="194"/>
        </w:trPr>
        <w:tc>
          <w:tcPr>
            <w:tcW w:w="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92"/>
              </w:rPr>
              <w:t>The mortgage or capital lease obligations differ from the total reported on the consolidated balance sheet due to the unamortized discount or premium on certain mortgage payables.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(2)</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Excludes newly created redevelopment square footage not yet in service, as well as residential and hotel square footage.</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(3)</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Portion of property subject to capital lease obligation.</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(4)</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The Trust has a controlling financial interest in this property.</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(5)</w:t>
            </w:r>
          </w:p>
        </w:tc>
        <w:tc>
          <w:tcPr>
            <w:tcW w:w="640" w:type="dxa"/>
            <w:vAlign w:val="bottom"/>
          </w:tcPr>
          <w:p>
            <w:pPr>
              <w:spacing w:after="0"/>
              <w:rPr>
                <w:sz w:val="14"/>
                <w:szCs w:val="14"/>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90"/>
              </w:rPr>
              <w:t>All or a portion of the property is owned in a "downreit" partnership, of which a wholly owned subsidiary of the Trust is the sole general partner, with third party partners holding operating</w:t>
            </w: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partnership units.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(6)</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Includes a 100% owned, 8.1 acre land parcel to be used for future development.</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(7)</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Property subject to capital lease obligation.</w:t>
            </w:r>
          </w:p>
        </w:tc>
      </w:tr>
      <w:tr>
        <w:trPr>
          <w:trHeight w:val="164"/>
        </w:trPr>
        <w:tc>
          <w:tcPr>
            <w:tcW w:w="320" w:type="dxa"/>
            <w:vAlign w:val="bottom"/>
          </w:tcPr>
          <w:p>
            <w:pPr>
              <w:spacing w:after="0"/>
              <w:rPr>
                <w:sz w:val="20"/>
                <w:szCs w:val="20"/>
                <w:color w:val="auto"/>
              </w:rPr>
            </w:pPr>
            <w:r>
              <w:rPr>
                <w:rFonts w:ascii="Arial" w:cs="Arial" w:eastAsia="Arial" w:hAnsi="Arial"/>
                <w:sz w:val="13"/>
                <w:szCs w:val="13"/>
                <w:color w:val="auto"/>
              </w:rPr>
              <w:t>(8)</w:t>
            </w:r>
          </w:p>
        </w:tc>
        <w:tc>
          <w:tcPr>
            <w:tcW w:w="640" w:type="dxa"/>
            <w:vAlign w:val="bottom"/>
          </w:tcPr>
          <w:p>
            <w:pPr>
              <w:spacing w:after="0"/>
              <w:rPr>
                <w:sz w:val="14"/>
                <w:szCs w:val="14"/>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88"/>
              </w:rPr>
              <w:t>On October 16, 2006, the Trust acquired control of Melville Mall through a 20 year master lease and secondary financing. Since the Trust controls this property and retains substantially all of</w:t>
            </w:r>
          </w:p>
        </w:tc>
      </w:tr>
      <w:tr>
        <w:trPr>
          <w:trHeight w:val="160"/>
        </w:trPr>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rPr>
              <w:t>the economic benefit and risks associated with it, we consolidate this property and its operations.</w:t>
            </w:r>
          </w:p>
        </w:tc>
      </w:tr>
      <w:tr>
        <w:trPr>
          <w:trHeight w:val="189"/>
        </w:trPr>
        <w:tc>
          <w:tcPr>
            <w:tcW w:w="320" w:type="dxa"/>
            <w:vAlign w:val="bottom"/>
          </w:tcPr>
          <w:p>
            <w:pPr>
              <w:spacing w:after="0"/>
              <w:rPr>
                <w:sz w:val="20"/>
                <w:szCs w:val="20"/>
                <w:color w:val="auto"/>
              </w:rPr>
            </w:pPr>
            <w:r>
              <w:rPr>
                <w:rFonts w:ascii="Arial" w:cs="Arial" w:eastAsia="Arial" w:hAnsi="Arial"/>
                <w:sz w:val="13"/>
                <w:szCs w:val="13"/>
                <w:color w:val="auto"/>
              </w:rPr>
              <w:t>(9)</w:t>
            </w:r>
          </w:p>
        </w:tc>
        <w:tc>
          <w:tcPr>
            <w:tcW w:w="640" w:type="dxa"/>
            <w:vAlign w:val="bottom"/>
          </w:tcPr>
          <w:p>
            <w:pPr>
              <w:spacing w:after="0"/>
              <w:rPr>
                <w:sz w:val="16"/>
                <w:szCs w:val="16"/>
                <w:color w:val="auto"/>
              </w:rPr>
            </w:pPr>
          </w:p>
        </w:tc>
        <w:tc>
          <w:tcPr>
            <w:tcW w:w="10260" w:type="dxa"/>
            <w:vAlign w:val="bottom"/>
          </w:tcPr>
          <w:p>
            <w:pPr>
              <w:ind w:left="660"/>
              <w:spacing w:after="0"/>
              <w:rPr>
                <w:sz w:val="20"/>
                <w:szCs w:val="20"/>
                <w:color w:val="auto"/>
              </w:rPr>
            </w:pPr>
            <w:r>
              <w:rPr>
                <w:rFonts w:ascii="Arial" w:cs="Arial" w:eastAsia="Arial" w:hAnsi="Arial"/>
                <w:sz w:val="13"/>
                <w:szCs w:val="13"/>
                <w:color w:val="auto"/>
                <w:w w:val="90"/>
              </w:rPr>
              <w:t>Excludes amounts related to a $2.5 million non-core industrial building acquired in December 2012 as part of the acquisition of East Bay Bridge. This building was sold on April 22, 2013.</w:t>
            </w:r>
          </w:p>
        </w:tc>
      </w:tr>
      <w:tr>
        <w:trPr>
          <w:trHeight w:val="475"/>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60" w:type="dxa"/>
            <w:vAlign w:val="bottom"/>
          </w:tcPr>
          <w:p>
            <w:pPr>
              <w:ind w:left="462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747" w:right="23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2013</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2013</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254,282</w:t>
            </w:r>
          </w:p>
        </w:tc>
        <w:tc>
          <w:tcPr>
            <w:tcW w:w="1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989,501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7,291,311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28.67</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478,913</w:t>
            </w:r>
          </w:p>
        </w:tc>
        <w:tc>
          <w:tcPr>
            <w:tcW w:w="1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1,657,748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7,982,782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16.67</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504,082</w:t>
            </w:r>
          </w:p>
        </w:tc>
        <w:tc>
          <w:tcPr>
            <w:tcW w:w="12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1,411,774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8,591,532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17.04</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355,527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36.08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32.64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1,222,494</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5,296,003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14.90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1,592,804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5,281,517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29,161,628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18.31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2013</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138,922</w:t>
            </w:r>
          </w:p>
        </w:tc>
        <w:tc>
          <w:tcPr>
            <w:tcW w:w="1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803,391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7,278,811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52.39</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191,780</w:t>
            </w:r>
          </w:p>
        </w:tc>
        <w:tc>
          <w:tcPr>
            <w:tcW w:w="1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1,232,998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7,537,155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39.30</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271,280</w:t>
            </w:r>
          </w:p>
        </w:tc>
        <w:tc>
          <w:tcPr>
            <w:tcW w:w="12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1,493,101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8,428,716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31.07</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194,503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28.84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825,333</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5,076,993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26.10</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796,485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4,354,823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28,321,675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35.56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9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4"/>
              </w:rPr>
              <w:t>Renewal Lease Summary - Comparable (2) (7)</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of Comparable</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7"/>
              </w:rPr>
              <w:t>Rent (3) Per</w:t>
            </w: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10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GLA Signed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Sq. Ft.</w:t>
            </w: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2013</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115,360</w:t>
            </w:r>
          </w:p>
        </w:tc>
        <w:tc>
          <w:tcPr>
            <w:tcW w:w="1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186,110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0.11</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287,133</w:t>
            </w:r>
          </w:p>
        </w:tc>
        <w:tc>
          <w:tcPr>
            <w:tcW w:w="12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5"/>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424,750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445,627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1.55</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232,802</w:t>
            </w:r>
          </w:p>
        </w:tc>
        <w:tc>
          <w:tcPr>
            <w:tcW w:w="12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162,816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0.70</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59%</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161,024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39.69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37.23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397,161</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219,010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1.36</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796,319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926,694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839,953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1.05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4"/>
                <w:szCs w:val="14"/>
                <w:b w:val="1"/>
                <w:bCs w:val="1"/>
                <w:color w:val="auto"/>
                <w:w w:val="94"/>
              </w:rPr>
              <w:t>Total Lease Summary - Comparable and Non-comparable (2) (8)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00" w:type="dxa"/>
            <w:vAlign w:val="bottom"/>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720" w:type="dxa"/>
            <w:vAlign w:val="bottom"/>
            <w:gridSpan w:val="4"/>
          </w:tcPr>
          <w:p>
            <w:pPr>
              <w:ind w:left="4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2013</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266,451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36.67</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7,358,311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27.62</w:t>
            </w:r>
          </w:p>
        </w:tc>
      </w:tr>
      <w:tr>
        <w:trPr>
          <w:trHeight w:val="264"/>
        </w:trPr>
        <w:tc>
          <w:tcPr>
            <w:tcW w:w="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2012</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485,215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8,079,952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16.65</w:t>
            </w:r>
          </w:p>
        </w:tc>
      </w:tr>
      <w:tr>
        <w:trPr>
          <w:trHeight w:val="276"/>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3rd Quarter 2012</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531,573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9,127,719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17.17</w:t>
            </w:r>
          </w:p>
        </w:tc>
      </w:tr>
      <w:tr>
        <w:trPr>
          <w:trHeight w:val="264"/>
        </w:trPr>
        <w:tc>
          <w:tcPr>
            <w:tcW w:w="2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2nd Quarter 2012</w:t>
            </w: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color w:val="auto"/>
              </w:rPr>
              <w:t>368,795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36.47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5,516,163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14.96</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Total - 12 months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1,652,034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30,082,145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18.21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200" w:hanging="17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20" w:right="60" w:firstLine="10"/>
        <w:spacing w:after="0" w:line="254" w:lineRule="auto"/>
        <w:tabs>
          <w:tab w:leader="none" w:pos="19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Number of Leases Signed, GLA Signed, Contractual Rent Per Sq Ft and Weighted Average Lease Term columns above include information for leases signed at our Assembly Row and Pike &amp; Rose projects. The Tenant Improvements &amp; Incentives and Tenant Improvements &amp; Incentives Per Sq Ft columns do not include information on leases signed for those projects; these amounts for leases signed for Assembly Row and Pike &amp; Rose are included in the Projected Cost column for those projects shown on the Summary of Development and Redevelopment Opportunities schedule.</w:t>
      </w:r>
    </w:p>
    <w:p>
      <w:pPr>
        <w:sectPr>
          <w:pgSz w:w="11900" w:h="16838" w:orient="portrait"/>
          <w:cols w:equalWidth="0" w:num="1">
            <w:col w:w="11220"/>
          </w:cols>
          <w:pgMar w:left="340" w:top="963"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40" w:top="963" w:right="3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654,000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1,218,000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15.24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844,000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2,063,000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878,000</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1,111,000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1,989,000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1,389,000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752,000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37.61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2,141,000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501,000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359,000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33.90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24.68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786,000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413,000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39.68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1,199,000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39.68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10,900,000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16.83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34.78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18,417,000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166,000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35.96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631,000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14.90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522,000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885,000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387,000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31.76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530,000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28.56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33.96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172,000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21.34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32.77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625,000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29.63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10,900,000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16.83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7,517,000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34.78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18,417,000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March 31,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2013.</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4" w:name="page25"/>
    <w:bookmarkEnd w:id="24"/>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March 31, 2013</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2013</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2012</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19,500,000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18,538,000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19,219,000</w:t>
            </w:r>
          </w:p>
        </w:tc>
        <w:tc>
          <w:tcPr>
            <w:tcW w:w="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18,020,000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93.8%</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1,058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1,010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95.5%</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1,011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962</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95.2%</w:t>
            </w:r>
          </w:p>
        </w:tc>
      </w:tr>
      <w:tr>
        <w:trPr>
          <w:trHeight w:val="864"/>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At March 31, 2013</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March 31, 2012</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(5) (sf)</w:t>
            </w:r>
          </w:p>
        </w:tc>
        <w:tc>
          <w:tcPr>
            <w:tcW w:w="2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17,218,000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16,378,000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95.1%</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17,201,000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16,257,000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270"/>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(4) (units)</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862</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95.5%</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903</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862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3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March 31, 2013 leased percentage was 98.8% for anchor tenants and 90.1% for small shop tenants.</w:t>
      </w:r>
    </w:p>
    <w:p>
      <w:pPr>
        <w:spacing w:after="0" w:line="72" w:lineRule="exact"/>
        <w:rPr>
          <w:rFonts w:ascii="Arial" w:cs="Arial" w:eastAsia="Arial" w:hAnsi="Arial"/>
          <w:sz w:val="16"/>
          <w:szCs w:val="16"/>
          <w:color w:val="auto"/>
        </w:rPr>
      </w:pPr>
    </w:p>
    <w:p>
      <w:pPr>
        <w:ind w:left="40" w:right="44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Overall portfolio statistics at March 31, 2013 include Rollingwood Apartments, the Crest at Congressional Plaza Apartments, Santana Row and Bethesda Row. Same center statistics exclude 155 residential units at Santana Row.</w:t>
      </w:r>
    </w:p>
    <w:p>
      <w:pPr>
        <w:spacing w:after="0" w:line="9"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12,334,000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2.77%</w:t>
            </w:r>
          </w:p>
        </w:tc>
        <w:tc>
          <w:tcPr>
            <w:tcW w:w="980" w:type="dxa"/>
            <w:vAlign w:val="bottom"/>
          </w:tcPr>
          <w:p>
            <w:pPr>
              <w:jc w:val="right"/>
              <w:spacing w:after="0"/>
              <w:rPr>
                <w:sz w:val="20"/>
                <w:szCs w:val="20"/>
                <w:color w:val="auto"/>
              </w:rPr>
            </w:pPr>
            <w:r>
              <w:rPr>
                <w:rFonts w:ascii="Arial" w:cs="Arial" w:eastAsia="Arial" w:hAnsi="Arial"/>
                <w:sz w:val="16"/>
                <w:szCs w:val="16"/>
                <w:color w:val="auto"/>
              </w:rPr>
              <w:t>728,000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8,213,000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1.85%</w:t>
            </w:r>
          </w:p>
        </w:tc>
        <w:tc>
          <w:tcPr>
            <w:tcW w:w="980" w:type="dxa"/>
            <w:vAlign w:val="bottom"/>
          </w:tcPr>
          <w:p>
            <w:pPr>
              <w:jc w:val="right"/>
              <w:spacing w:after="0"/>
              <w:rPr>
                <w:sz w:val="20"/>
                <w:szCs w:val="20"/>
                <w:color w:val="auto"/>
              </w:rPr>
            </w:pPr>
            <w:r>
              <w:rPr>
                <w:rFonts w:ascii="Arial" w:cs="Arial" w:eastAsia="Arial" w:hAnsi="Arial"/>
                <w:sz w:val="16"/>
                <w:szCs w:val="16"/>
                <w:color w:val="auto"/>
              </w:rPr>
              <w:t>417,000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6,777,000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1.52%</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4,988,000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1.12%</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0.98%</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3,501,000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3,383,000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3,150,000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3,108,000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Sports Authority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A.C. Moore,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3,044,000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132,702,000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29.83%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6,559,000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33.65%</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444,940,000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19,500,000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720" w:right="80" w:hanging="482"/>
        <w:spacing w:after="0" w:line="293"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March 31, 2013.</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2013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4"/>
                <w:szCs w:val="14"/>
                <w:b w:val="1"/>
                <w:bCs w:val="1"/>
                <w:color w:val="auto"/>
                <w:w w:val="95"/>
              </w:rPr>
              <w:t>March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2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5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8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209,224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209,056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5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0" w:type="dxa"/>
            <w:vAlign w:val="bottom"/>
          </w:tcPr>
          <w:p>
            <w:pPr>
              <w:spacing w:after="0"/>
              <w:rPr>
                <w:sz w:val="1"/>
                <w:szCs w:val="1"/>
                <w:color w:val="auto"/>
              </w:rPr>
            </w:pPr>
          </w:p>
        </w:tc>
      </w:tr>
      <w:tr>
        <w:trPr>
          <w:trHeight w:val="237"/>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5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8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61,926</w:t>
            </w:r>
          </w:p>
        </w:tc>
        <w:tc>
          <w:tcPr>
            <w:tcW w:w="0" w:type="dxa"/>
            <w:vAlign w:val="bottom"/>
          </w:tcPr>
          <w:p>
            <w:pPr>
              <w:spacing w:after="0"/>
              <w:rPr>
                <w:sz w:val="1"/>
                <w:szCs w:val="1"/>
                <w:color w:val="auto"/>
              </w:rPr>
            </w:pPr>
          </w:p>
        </w:tc>
      </w:tr>
      <w:tr>
        <w:trPr>
          <w:trHeight w:val="243"/>
        </w:trPr>
        <w:tc>
          <w:tcPr>
            <w:tcW w:w="476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121,013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120,854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182,025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182,780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2013</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12,213</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57,098</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2013</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176</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22,395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22,537</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39.5%</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1660" w:type="dxa"/>
            <w:vAlign w:val="bottom"/>
          </w:tcPr>
          <w:p>
            <w:pPr>
              <w:jc w:val="right"/>
              <w:ind w:right="13"/>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56,780</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57,098</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hanging="58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63" w:lineRule="exact"/>
        <w:rPr>
          <w:rFonts w:ascii="Arial" w:cs="Arial" w:eastAsia="Arial" w:hAnsi="Arial"/>
          <w:sz w:val="18"/>
          <w:szCs w:val="18"/>
          <w:color w:val="auto"/>
        </w:rPr>
      </w:pPr>
    </w:p>
    <w:p>
      <w:pPr>
        <w:ind w:left="620" w:hanging="58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63" w:lineRule="exact"/>
        <w:rPr>
          <w:rFonts w:ascii="Arial" w:cs="Arial" w:eastAsia="Arial" w:hAnsi="Arial"/>
          <w:sz w:val="18"/>
          <w:szCs w:val="18"/>
          <w:color w:val="auto"/>
        </w:rPr>
      </w:pPr>
    </w:p>
    <w:p>
      <w:pPr>
        <w:ind w:left="620" w:right="80" w:hanging="585"/>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&amp; Debt Summary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4"/>
              </w:rPr>
              <w:t>Real</w:t>
            </w:r>
          </w:p>
        </w:tc>
        <w:tc>
          <w:tcPr>
            <w:tcW w:w="10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10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4"/>
              </w:rPr>
              <w:t>Estate at</w:t>
            </w:r>
          </w:p>
        </w:tc>
        <w:tc>
          <w:tcPr>
            <w:tcW w:w="100" w:type="dxa"/>
            <w:vAlign w:val="bottom"/>
          </w:tcPr>
          <w:p>
            <w:pPr>
              <w:spacing w:after="0"/>
              <w:rPr>
                <w:sz w:val="11"/>
                <w:szCs w:val="11"/>
                <w:color w:val="auto"/>
              </w:rPr>
            </w:pPr>
          </w:p>
        </w:tc>
        <w:tc>
          <w:tcPr>
            <w:tcW w:w="560" w:type="dxa"/>
            <w:vAlign w:val="bottom"/>
          </w:tcPr>
          <w:p>
            <w:pPr>
              <w:jc w:val="center"/>
              <w:ind w:right="39"/>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10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Property Name</w:t>
            </w:r>
          </w:p>
        </w:tc>
        <w:tc>
          <w:tcPr>
            <w:tcW w:w="20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Grocery Anchor</w:t>
            </w:r>
          </w:p>
        </w:tc>
        <w:tc>
          <w:tcPr>
            <w:tcW w:w="2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60" w:type="dxa"/>
            <w:vAlign w:val="bottom"/>
          </w:tcPr>
          <w:p>
            <w:pPr>
              <w:jc w:val="center"/>
              <w:ind w:right="19"/>
              <w:spacing w:after="0"/>
              <w:rPr>
                <w:sz w:val="20"/>
                <w:szCs w:val="20"/>
                <w:color w:val="auto"/>
              </w:rPr>
            </w:pPr>
            <w:r>
              <w:rPr>
                <w:rFonts w:ascii="Arial" w:cs="Arial" w:eastAsia="Arial" w:hAnsi="Arial"/>
                <w:sz w:val="11"/>
                <w:szCs w:val="11"/>
                <w:color w:val="auto"/>
                <w:w w:val="97"/>
              </w:rPr>
              <w:t>(in</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8"/>
              <w:spacing w:after="0"/>
              <w:rPr>
                <w:sz w:val="20"/>
                <w:szCs w:val="20"/>
                <w:color w:val="auto"/>
              </w:rPr>
            </w:pPr>
            <w:r>
              <w:rPr>
                <w:rFonts w:ascii="Arial" w:cs="Arial" w:eastAsia="Arial" w:hAnsi="Arial"/>
                <w:sz w:val="11"/>
                <w:szCs w:val="11"/>
                <w:color w:val="auto"/>
                <w:w w:val="84"/>
              </w:rPr>
              <w:t>thousands)</w:t>
            </w:r>
          </w:p>
        </w:tc>
        <w:tc>
          <w:tcPr>
            <w:tcW w:w="100" w:type="dxa"/>
            <w:vAlign w:val="bottom"/>
          </w:tcPr>
          <w:p>
            <w:pPr>
              <w:spacing w:after="0"/>
              <w:rPr>
                <w:sz w:val="11"/>
                <w:szCs w:val="11"/>
                <w:color w:val="auto"/>
              </w:rPr>
            </w:pPr>
          </w:p>
        </w:tc>
        <w:tc>
          <w:tcPr>
            <w:tcW w:w="560" w:type="dxa"/>
            <w:vAlign w:val="bottom"/>
          </w:tcPr>
          <w:p>
            <w:pPr>
              <w:jc w:val="center"/>
              <w:ind w:right="39"/>
              <w:spacing w:after="0"/>
              <w:rPr>
                <w:sz w:val="20"/>
                <w:szCs w:val="20"/>
                <w:color w:val="auto"/>
              </w:rPr>
            </w:pPr>
            <w:r>
              <w:rPr>
                <w:rFonts w:ascii="Arial" w:cs="Arial" w:eastAsia="Arial" w:hAnsi="Arial"/>
                <w:sz w:val="11"/>
                <w:szCs w:val="11"/>
                <w:color w:val="auto"/>
                <w:w w:val="84"/>
              </w:rPr>
              <w:t>thousands)</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r>
      <w:tr>
        <w:trPr>
          <w:trHeight w:val="262"/>
        </w:trPr>
        <w:tc>
          <w:tcPr>
            <w:tcW w:w="40" w:type="dxa"/>
            <w:vAlign w:val="bottom"/>
            <w:tcBorders>
              <w:top w:val="single" w:sz="8" w:color="CCEEFF"/>
            </w:tcBorders>
          </w:tcPr>
          <w:p>
            <w:pPr>
              <w:spacing w:after="0"/>
              <w:rPr>
                <w:sz w:val="22"/>
                <w:szCs w:val="22"/>
                <w:color w:val="auto"/>
              </w:rPr>
            </w:pPr>
          </w:p>
        </w:tc>
        <w:tc>
          <w:tcPr>
            <w:tcW w:w="1740" w:type="dxa"/>
            <w:vAlign w:val="bottom"/>
            <w:tcBorders>
              <w:top w:val="single" w:sz="8" w:color="CCEEFF"/>
            </w:tcBorders>
            <w:gridSpan w:val="3"/>
          </w:tcPr>
          <w:p>
            <w:pPr>
              <w:spacing w:after="0"/>
              <w:rPr>
                <w:sz w:val="20"/>
                <w:szCs w:val="20"/>
                <w:color w:val="auto"/>
              </w:rPr>
            </w:pPr>
            <w:r>
              <w:rPr>
                <w:rFonts w:ascii="Arial" w:cs="Arial" w:eastAsia="Arial" w:hAnsi="Arial"/>
                <w:sz w:val="13"/>
                <w:szCs w:val="13"/>
                <w:color w:val="auto"/>
              </w:rPr>
              <w:t>Barcroft Plaza</w:t>
            </w:r>
          </w:p>
        </w:tc>
        <w:tc>
          <w:tcPr>
            <w:tcW w:w="2080" w:type="dxa"/>
            <w:vAlign w:val="bottom"/>
            <w:tcBorders>
              <w:top w:val="single" w:sz="8" w:color="CCEEFF"/>
            </w:tcBorders>
          </w:tcPr>
          <w:p>
            <w:pPr>
              <w:ind w:left="400"/>
              <w:spacing w:after="0"/>
              <w:rPr>
                <w:sz w:val="20"/>
                <w:szCs w:val="20"/>
                <w:color w:val="auto"/>
              </w:rPr>
            </w:pPr>
            <w:r>
              <w:rPr>
                <w:rFonts w:ascii="Arial" w:cs="Arial" w:eastAsia="Arial" w:hAnsi="Arial"/>
                <w:sz w:val="13"/>
                <w:szCs w:val="13"/>
                <w:color w:val="auto"/>
              </w:rPr>
              <w:t>Washington, DC-MD-VA</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2006-2007</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tcPr>
          <w:p>
            <w:pPr>
              <w:jc w:val="right"/>
              <w:ind w:right="38"/>
              <w:spacing w:after="0"/>
              <w:rPr>
                <w:sz w:val="20"/>
                <w:szCs w:val="20"/>
                <w:color w:val="auto"/>
              </w:rPr>
            </w:pPr>
            <w:r>
              <w:rPr>
                <w:rFonts w:ascii="Arial" w:cs="Arial" w:eastAsia="Arial" w:hAnsi="Arial"/>
                <w:sz w:val="13"/>
                <w:szCs w:val="13"/>
                <w:color w:val="auto"/>
              </w:rPr>
              <w:t>34,541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tcPr>
          <w:p>
            <w:pPr>
              <w:jc w:val="right"/>
              <w:ind w:right="39"/>
              <w:spacing w:after="0"/>
              <w:rPr>
                <w:sz w:val="20"/>
                <w:szCs w:val="20"/>
                <w:color w:val="auto"/>
              </w:rPr>
            </w:pPr>
            <w:r>
              <w:rPr>
                <w:rFonts w:ascii="Arial" w:cs="Arial" w:eastAsia="Arial" w:hAnsi="Arial"/>
                <w:sz w:val="13"/>
                <w:szCs w:val="13"/>
                <w:color w:val="auto"/>
              </w:rPr>
              <w:t>20,785</w:t>
            </w:r>
          </w:p>
        </w:tc>
        <w:tc>
          <w:tcPr>
            <w:tcW w:w="540" w:type="dxa"/>
            <w:vAlign w:val="bottom"/>
            <w:tcBorders>
              <w:top w:val="single" w:sz="8" w:color="CCEEFF"/>
            </w:tcBorders>
          </w:tcPr>
          <w:p>
            <w:pPr>
              <w:jc w:val="right"/>
              <w:ind w:right="17"/>
              <w:spacing w:after="0"/>
              <w:rPr>
                <w:sz w:val="20"/>
                <w:szCs w:val="20"/>
                <w:color w:val="auto"/>
              </w:rPr>
            </w:pPr>
            <w:r>
              <w:rPr>
                <w:rFonts w:ascii="Arial" w:cs="Arial" w:eastAsia="Arial" w:hAnsi="Arial"/>
                <w:sz w:val="13"/>
                <w:szCs w:val="13"/>
                <w:color w:val="auto"/>
                <w:w w:val="93"/>
              </w:rPr>
              <w:t>101,000</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89%</w:t>
            </w:r>
          </w:p>
        </w:tc>
        <w:tc>
          <w:tcPr>
            <w:tcW w:w="600" w:type="dxa"/>
            <w:vAlign w:val="bottom"/>
            <w:tcBorders>
              <w:top w:val="single" w:sz="8" w:color="CCEEFF"/>
            </w:tcBorders>
          </w:tcPr>
          <w:p>
            <w:pPr>
              <w:jc w:val="center"/>
              <w:spacing w:after="0"/>
              <w:rPr>
                <w:sz w:val="20"/>
                <w:szCs w:val="20"/>
                <w:color w:val="auto"/>
              </w:rPr>
            </w:pPr>
            <w:r>
              <w:rPr>
                <w:rFonts w:ascii="Arial" w:cs="Arial" w:eastAsia="Arial" w:hAnsi="Arial"/>
                <w:sz w:val="13"/>
                <w:szCs w:val="13"/>
                <w:color w:val="auto"/>
                <w:w w:val="90"/>
              </w:rPr>
              <w:t>46,000</w:t>
            </w:r>
          </w:p>
        </w:tc>
        <w:tc>
          <w:tcPr>
            <w:tcW w:w="1080" w:type="dxa"/>
            <w:vAlign w:val="bottom"/>
            <w:tcBorders>
              <w:top w:val="single" w:sz="8" w:color="CCEEFF"/>
            </w:tcBorders>
          </w:tcPr>
          <w:p>
            <w:pPr>
              <w:ind w:left="100"/>
              <w:spacing w:after="0"/>
              <w:rPr>
                <w:sz w:val="20"/>
                <w:szCs w:val="20"/>
                <w:color w:val="auto"/>
              </w:rPr>
            </w:pPr>
            <w:r>
              <w:rPr>
                <w:rFonts w:ascii="Arial" w:cs="Arial" w:eastAsia="Arial" w:hAnsi="Arial"/>
                <w:sz w:val="13"/>
                <w:szCs w:val="13"/>
                <w:color w:val="auto"/>
              </w:rPr>
              <w:t>Harris Teeter</w:t>
            </w:r>
          </w:p>
        </w:tc>
        <w:tc>
          <w:tcPr>
            <w:tcW w:w="2540" w:type="dxa"/>
            <w:vAlign w:val="bottom"/>
            <w:tcBorders>
              <w:top w:val="single" w:sz="8" w:color="CCEEFF"/>
            </w:tcBorders>
          </w:tcPr>
          <w:p>
            <w:pPr>
              <w:ind w:left="120"/>
              <w:spacing w:after="0"/>
              <w:rPr>
                <w:sz w:val="20"/>
                <w:szCs w:val="20"/>
                <w:color w:val="auto"/>
              </w:rPr>
            </w:pPr>
            <w:r>
              <w:rPr>
                <w:rFonts w:ascii="Arial" w:cs="Arial" w:eastAsia="Arial" w:hAnsi="Arial"/>
                <w:sz w:val="13"/>
                <w:szCs w:val="13"/>
                <w:color w:val="auto"/>
              </w:rPr>
              <w:t>Bank of America</w:t>
            </w:r>
          </w:p>
        </w:tc>
      </w:tr>
      <w:tr>
        <w:trPr>
          <w:trHeight w:val="181"/>
        </w:trPr>
        <w:tc>
          <w:tcPr>
            <w:tcW w:w="4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Free State Shopping Center</w:t>
            </w:r>
          </w:p>
        </w:tc>
        <w:tc>
          <w:tcPr>
            <w:tcW w:w="2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Washington, DC-MD-VA</w:t>
            </w:r>
          </w:p>
        </w:tc>
        <w:tc>
          <w:tcPr>
            <w:tcW w:w="7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66,692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73,000</w:t>
            </w:r>
          </w:p>
        </w:tc>
        <w:tc>
          <w:tcPr>
            <w:tcW w:w="1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0"/>
              </w:rPr>
              <w:t>TJ Maxx / Ross Dress For Less / Office Depot</w:t>
            </w:r>
          </w:p>
        </w:tc>
      </w:tr>
      <w:tr>
        <w:trPr>
          <w:trHeight w:val="97"/>
        </w:trPr>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Plaza del Mercado</w:t>
            </w:r>
          </w:p>
        </w:tc>
        <w:tc>
          <w:tcPr>
            <w:tcW w:w="2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Washington, DC-MD-VA</w:t>
            </w:r>
          </w:p>
        </w:tc>
        <w:tc>
          <w:tcPr>
            <w:tcW w:w="740" w:type="dxa"/>
            <w:vAlign w:val="bottom"/>
            <w:tcBorders>
              <w:bottom w:val="single" w:sz="8" w:color="CCEEFF"/>
            </w:tcBorders>
          </w:tcPr>
          <w:p>
            <w:pPr>
              <w:jc w:val="right"/>
              <w:ind w:right="317"/>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21,632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jc w:val="right"/>
              <w:ind w:right="39"/>
              <w:spacing w:after="0"/>
              <w:rPr>
                <w:sz w:val="20"/>
                <w:szCs w:val="20"/>
                <w:color w:val="auto"/>
              </w:rPr>
            </w:pPr>
            <w:r>
              <w:rPr>
                <w:rFonts w:ascii="Arial" w:cs="Arial" w:eastAsia="Arial" w:hAnsi="Arial"/>
                <w:sz w:val="13"/>
                <w:szCs w:val="13"/>
                <w:color w:val="auto"/>
              </w:rPr>
              <w:t>12,213</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6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134"/>
        </w:trPr>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80" w:type="dxa"/>
            <w:vAlign w:val="bottom"/>
            <w:shd w:val="clear" w:color="auto" w:fill="CCEEFF"/>
          </w:tcPr>
          <w:p>
            <w:pPr>
              <w:ind w:left="400"/>
              <w:spacing w:after="0" w:line="134" w:lineRule="exact"/>
              <w:rPr>
                <w:sz w:val="20"/>
                <w:szCs w:val="20"/>
                <w:color w:val="auto"/>
              </w:rPr>
            </w:pPr>
            <w:r>
              <w:rPr>
                <w:rFonts w:ascii="Arial" w:cs="Arial" w:eastAsia="Arial" w:hAnsi="Arial"/>
                <w:sz w:val="13"/>
                <w:szCs w:val="13"/>
                <w:color w:val="auto"/>
                <w:w w:val="94"/>
              </w:rPr>
              <w:t>Total Washington Metropolitan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Area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122,865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476,000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2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Nassau-Suffolk, NY</w:t>
            </w:r>
          </w:p>
        </w:tc>
        <w:tc>
          <w:tcPr>
            <w:tcW w:w="7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20,659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106,000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46,000</w:t>
            </w:r>
          </w:p>
        </w:tc>
        <w:tc>
          <w:tcPr>
            <w:tcW w:w="1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Waldbaum's</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ind w:left="400"/>
              <w:spacing w:after="0"/>
              <w:rPr>
                <w:sz w:val="20"/>
                <w:szCs w:val="20"/>
                <w:color w:val="auto"/>
              </w:rPr>
            </w:pPr>
            <w:r>
              <w:rPr>
                <w:rFonts w:ascii="Arial" w:cs="Arial" w:eastAsia="Arial" w:hAnsi="Arial"/>
                <w:sz w:val="13"/>
                <w:szCs w:val="13"/>
                <w:color w:val="auto"/>
                <w:w w:val="99"/>
              </w:rPr>
              <w:t>Total New York / New Jersey</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20,659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w w:val="93"/>
              </w:rPr>
              <w:t>106,000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980" w:type="dxa"/>
            <w:vAlign w:val="bottom"/>
            <w:tcBorders>
              <w:bottom w:val="single" w:sz="8" w:color="CCEEFF"/>
            </w:tcBorders>
            <w:gridSpan w:val="2"/>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r>
      <w:tr>
        <w:trPr>
          <w:trHeight w:val="148"/>
        </w:trPr>
        <w:tc>
          <w:tcPr>
            <w:tcW w:w="40" w:type="dxa"/>
            <w:vAlign w:val="bottom"/>
          </w:tcPr>
          <w:p>
            <w:pPr>
              <w:spacing w:after="0"/>
              <w:rPr>
                <w:sz w:val="12"/>
                <w:szCs w:val="12"/>
                <w:color w:val="auto"/>
              </w:rPr>
            </w:pPr>
          </w:p>
        </w:tc>
        <w:tc>
          <w:tcPr>
            <w:tcW w:w="1740" w:type="dxa"/>
            <w:vAlign w:val="bottom"/>
            <w:gridSpan w:val="3"/>
          </w:tcPr>
          <w:p>
            <w:pPr>
              <w:spacing w:after="0" w:line="148" w:lineRule="exact"/>
              <w:rPr>
                <w:sz w:val="20"/>
                <w:szCs w:val="20"/>
                <w:color w:val="auto"/>
              </w:rPr>
            </w:pPr>
            <w:r>
              <w:rPr>
                <w:rFonts w:ascii="Arial" w:cs="Arial" w:eastAsia="Arial" w:hAnsi="Arial"/>
                <w:sz w:val="13"/>
                <w:szCs w:val="13"/>
                <w:color w:val="auto"/>
              </w:rPr>
              <w:t>Atlantic Plaza</w:t>
            </w:r>
          </w:p>
        </w:tc>
        <w:tc>
          <w:tcPr>
            <w:tcW w:w="2080" w:type="dxa"/>
            <w:vAlign w:val="bottom"/>
          </w:tcPr>
          <w:p>
            <w:pPr>
              <w:ind w:left="400"/>
              <w:spacing w:after="0" w:line="148" w:lineRule="exact"/>
              <w:rPr>
                <w:sz w:val="20"/>
                <w:szCs w:val="20"/>
                <w:color w:val="auto"/>
              </w:rPr>
            </w:pPr>
            <w:r>
              <w:rPr>
                <w:rFonts w:ascii="Arial" w:cs="Arial" w:eastAsia="Arial" w:hAnsi="Arial"/>
                <w:sz w:val="13"/>
                <w:szCs w:val="13"/>
                <w:color w:val="auto"/>
                <w:w w:val="98"/>
              </w:rPr>
              <w:t>Boston-Worcester-Lawrence-</w:t>
            </w:r>
          </w:p>
        </w:tc>
        <w:tc>
          <w:tcPr>
            <w:tcW w:w="740" w:type="dxa"/>
            <w:vAlign w:val="bottom"/>
          </w:tcPr>
          <w:p>
            <w:pPr>
              <w:jc w:val="right"/>
              <w:ind w:right="317"/>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19,443</w:t>
            </w:r>
          </w:p>
        </w:tc>
        <w:tc>
          <w:tcPr>
            <w:tcW w:w="100" w:type="dxa"/>
            <w:vAlign w:val="bottom"/>
          </w:tcPr>
          <w:p>
            <w:pPr>
              <w:spacing w:after="0"/>
              <w:rPr>
                <w:sz w:val="12"/>
                <w:szCs w:val="12"/>
                <w:color w:val="auto"/>
              </w:rPr>
            </w:pPr>
          </w:p>
        </w:tc>
        <w:tc>
          <w:tcPr>
            <w:tcW w:w="560" w:type="dxa"/>
            <w:vAlign w:val="bottom"/>
          </w:tcPr>
          <w:p>
            <w:pPr>
              <w:jc w:val="right"/>
              <w:ind w:right="39"/>
              <w:spacing w:after="0" w:line="148" w:lineRule="exact"/>
              <w:rPr>
                <w:sz w:val="20"/>
                <w:szCs w:val="20"/>
                <w:color w:val="auto"/>
              </w:rPr>
            </w:pPr>
            <w:r>
              <w:rPr>
                <w:rFonts w:ascii="Arial" w:cs="Arial" w:eastAsia="Arial" w:hAnsi="Arial"/>
                <w:sz w:val="13"/>
                <w:szCs w:val="13"/>
                <w:color w:val="auto"/>
              </w:rPr>
              <w:t>10,500</w:t>
            </w: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90"/>
              </w:rPr>
              <w:t>64,000</w:t>
            </w:r>
          </w:p>
        </w:tc>
        <w:tc>
          <w:tcPr>
            <w:tcW w:w="1080" w:type="dxa"/>
            <w:vAlign w:val="bottom"/>
          </w:tcPr>
          <w:p>
            <w:pPr>
              <w:ind w:left="100"/>
              <w:spacing w:after="0" w:line="148" w:lineRule="exact"/>
              <w:rPr>
                <w:sz w:val="20"/>
                <w:szCs w:val="20"/>
                <w:color w:val="auto"/>
              </w:rPr>
            </w:pPr>
            <w:r>
              <w:rPr>
                <w:rFonts w:ascii="Arial" w:cs="Arial" w:eastAsia="Arial" w:hAnsi="Arial"/>
                <w:sz w:val="13"/>
                <w:szCs w:val="13"/>
                <w:color w:val="auto"/>
              </w:rPr>
              <w:t>Stop &amp; Shop</w:t>
            </w:r>
          </w:p>
        </w:tc>
        <w:tc>
          <w:tcPr>
            <w:tcW w:w="254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ind w:left="400"/>
              <w:spacing w:after="0"/>
              <w:rPr>
                <w:sz w:val="20"/>
                <w:szCs w:val="20"/>
                <w:color w:val="auto"/>
              </w:rPr>
            </w:pPr>
            <w:r>
              <w:rPr>
                <w:rFonts w:ascii="Arial" w:cs="Arial" w:eastAsia="Arial" w:hAnsi="Arial"/>
                <w:sz w:val="13"/>
                <w:szCs w:val="13"/>
                <w:color w:val="auto"/>
              </w:rPr>
              <w:t>Lowell-Brockton, MA</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Campus Plaza</w:t>
            </w:r>
          </w:p>
        </w:tc>
        <w:tc>
          <w:tcPr>
            <w:tcW w:w="208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8"/>
              </w:rPr>
              <w:t>Boston-Worcester-Lawrence-</w:t>
            </w:r>
          </w:p>
        </w:tc>
        <w:tc>
          <w:tcPr>
            <w:tcW w:w="74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22,659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46,000</w:t>
            </w:r>
          </w:p>
        </w:tc>
        <w:tc>
          <w:tcPr>
            <w:tcW w:w="1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Roche Bros.</w:t>
            </w:r>
          </w:p>
        </w:tc>
        <w:tc>
          <w:tcPr>
            <w:tcW w:w="2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Lowell-Brockton, MA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740" w:type="dxa"/>
            <w:vAlign w:val="bottom"/>
            <w:gridSpan w:val="3"/>
          </w:tcPr>
          <w:p>
            <w:pPr>
              <w:spacing w:after="0" w:line="148" w:lineRule="exact"/>
              <w:rPr>
                <w:sz w:val="20"/>
                <w:szCs w:val="20"/>
                <w:color w:val="auto"/>
              </w:rPr>
            </w:pPr>
            <w:r>
              <w:rPr>
                <w:rFonts w:ascii="Arial" w:cs="Arial" w:eastAsia="Arial" w:hAnsi="Arial"/>
                <w:sz w:val="13"/>
                <w:szCs w:val="13"/>
                <w:color w:val="auto"/>
              </w:rPr>
              <w:t>Pleasant Shops</w:t>
            </w:r>
          </w:p>
        </w:tc>
        <w:tc>
          <w:tcPr>
            <w:tcW w:w="2080" w:type="dxa"/>
            <w:vAlign w:val="bottom"/>
          </w:tcPr>
          <w:p>
            <w:pPr>
              <w:ind w:left="400"/>
              <w:spacing w:after="0" w:line="148" w:lineRule="exact"/>
              <w:rPr>
                <w:sz w:val="20"/>
                <w:szCs w:val="20"/>
                <w:color w:val="auto"/>
              </w:rPr>
            </w:pPr>
            <w:r>
              <w:rPr>
                <w:rFonts w:ascii="Arial" w:cs="Arial" w:eastAsia="Arial" w:hAnsi="Arial"/>
                <w:sz w:val="13"/>
                <w:szCs w:val="13"/>
                <w:color w:val="auto"/>
                <w:w w:val="98"/>
              </w:rPr>
              <w:t>Boston-Worcester-Lawrence-</w:t>
            </w:r>
          </w:p>
        </w:tc>
        <w:tc>
          <w:tcPr>
            <w:tcW w:w="740" w:type="dxa"/>
            <w:vAlign w:val="bottom"/>
          </w:tcPr>
          <w:p>
            <w:pPr>
              <w:jc w:val="right"/>
              <w:ind w:right="317"/>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23,598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3"/>
              </w:rPr>
              <w:t>130,000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90"/>
              </w:rPr>
              <w:t>38,000</w:t>
            </w:r>
          </w:p>
        </w:tc>
        <w:tc>
          <w:tcPr>
            <w:tcW w:w="1080" w:type="dxa"/>
            <w:vAlign w:val="bottom"/>
          </w:tcPr>
          <w:p>
            <w:pPr>
              <w:ind w:left="100"/>
              <w:spacing w:after="0" w:line="148" w:lineRule="exact"/>
              <w:rPr>
                <w:sz w:val="20"/>
                <w:szCs w:val="20"/>
                <w:color w:val="auto"/>
              </w:rPr>
            </w:pPr>
            <w:r>
              <w:rPr>
                <w:rFonts w:ascii="Arial" w:cs="Arial" w:eastAsia="Arial" w:hAnsi="Arial"/>
                <w:sz w:val="13"/>
                <w:szCs w:val="13"/>
                <w:color w:val="auto"/>
              </w:rPr>
              <w:t>Whole Foods</w:t>
            </w:r>
          </w:p>
        </w:tc>
        <w:tc>
          <w:tcPr>
            <w:tcW w:w="254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Lowell-Brockton, MA</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rPr>
              <w:t>Total New England</w:t>
            </w: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65,700</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3"/>
              </w:rPr>
              <w:t>369,000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540" w:type="dxa"/>
            <w:vAlign w:val="bottom"/>
            <w:tcBorders>
              <w:bottom w:val="single" w:sz="8" w:color="auto"/>
            </w:tcBorders>
            <w:shd w:val="clear" w:color="auto" w:fill="CCEEFF"/>
          </w:tcPr>
          <w:p>
            <w:pPr>
              <w:spacing w:after="0"/>
              <w:rPr>
                <w:sz w:val="21"/>
                <w:szCs w:val="2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Grand Totals</w:t>
            </w:r>
          </w:p>
        </w:tc>
        <w:tc>
          <w:tcPr>
            <w:tcW w:w="20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3"/>
              </w:rPr>
              <w:t>209,224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57,098</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951,000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60" w:top="958"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2013 and 2012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40,624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36,571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27,405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103,841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109,279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of real estate in real estate partnership</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103,841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97,419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2019-12-05T10:02:53Z</dcterms:created>
  <dcterms:modified xsi:type="dcterms:W3CDTF">2019-12-05T10:02:53Z</dcterms:modified>
</cp:coreProperties>
</file>