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340"/>
        <w:spacing w:after="0"/>
        <w:rPr>
          <w:sz w:val="20"/>
          <w:szCs w:val="20"/>
          <w:color w:val="auto"/>
        </w:rPr>
      </w:pPr>
      <w:r>
        <w:rPr>
          <w:rFonts w:ascii="Arial" w:cs="Arial" w:eastAsia="Arial" w:hAnsi="Arial"/>
          <w:sz w:val="22"/>
          <w:szCs w:val="22"/>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OMB Number: 3235-0145</w:t>
      </w:r>
    </w:p>
    <w:p>
      <w:pPr>
        <w:spacing w:after="0" w:line="2"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Expires: February 28, 2009</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Estimated average burden</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hours per response...10.4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313747206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Rule 13d-1(b)</w:t>
      </w:r>
    </w:p>
    <w:p>
      <w:pPr>
        <w:spacing w:after="0" w:line="198"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88"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gridSpan w:val="3"/>
          </w:tcPr>
          <w:p>
            <w:pPr>
              <w:jc w:val="right"/>
              <w:ind w:right="550"/>
              <w:spacing w:after="0"/>
              <w:rPr>
                <w:sz w:val="20"/>
                <w:szCs w:val="20"/>
                <w:color w:val="auto"/>
              </w:rPr>
            </w:pPr>
            <w:r>
              <w:rPr>
                <w:rFonts w:ascii="Arial" w:cs="Arial" w:eastAsia="Arial" w:hAnsi="Arial"/>
                <w:sz w:val="18"/>
                <w:szCs w:val="18"/>
                <w:color w:val="auto"/>
                <w:w w:val="99"/>
              </w:rPr>
              <w:t>313747206</w:t>
            </w:r>
          </w:p>
        </w:tc>
        <w:tc>
          <w:tcPr>
            <w:tcW w:w="5080" w:type="dxa"/>
            <w:vAlign w:val="bottom"/>
          </w:tcPr>
          <w:p>
            <w:pPr>
              <w:spacing w:after="0"/>
              <w:rPr>
                <w:sz w:val="19"/>
                <w:szCs w:val="19"/>
                <w:color w:val="auto"/>
              </w:rPr>
            </w:pPr>
          </w:p>
        </w:tc>
        <w:tc>
          <w:tcPr>
            <w:tcW w:w="100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9"/>
              </w:rPr>
              <w:t>Page</w:t>
            </w: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6240" w:type="dxa"/>
            <w:vAlign w:val="bottom"/>
            <w:tcBorders>
              <w:bottom w:val="single" w:sz="8" w:color="auto"/>
            </w:tcBorders>
            <w:gridSpan w:val="3"/>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48"/>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320" w:type="dxa"/>
            <w:vAlign w:val="bottom"/>
            <w:gridSpan w:val="6"/>
          </w:tcPr>
          <w:p>
            <w:pPr>
              <w:ind w:left="100"/>
              <w:spacing w:after="0"/>
              <w:rPr>
                <w:sz w:val="20"/>
                <w:szCs w:val="20"/>
                <w:color w:val="auto"/>
              </w:rPr>
            </w:pPr>
            <w:r>
              <w:rPr>
                <w:rFonts w:ascii="Arial" w:cs="Arial" w:eastAsia="Arial" w:hAnsi="Arial"/>
                <w:sz w:val="18"/>
                <w:szCs w:val="18"/>
                <w:color w:val="auto"/>
                <w:w w:val="94"/>
              </w:rPr>
              <w:t>ING Groep N.V.</w:t>
            </w:r>
          </w:p>
        </w:tc>
        <w:tc>
          <w:tcPr>
            <w:tcW w:w="10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40" w:type="dxa"/>
            <w:vAlign w:val="bottom"/>
            <w:tcBorders>
              <w:left w:val="single" w:sz="8" w:color="auto"/>
              <w:right w:val="single" w:sz="8" w:color="auto"/>
            </w:tcBorders>
          </w:tcPr>
          <w:p>
            <w:pPr>
              <w:spacing w:after="0"/>
              <w:rPr>
                <w:sz w:val="23"/>
                <w:szCs w:val="23"/>
                <w:color w:val="auto"/>
              </w:rPr>
            </w:pP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6240" w:type="dxa"/>
            <w:vAlign w:val="bottom"/>
            <w:tcBorders>
              <w:bottom w:val="single" w:sz="8" w:color="auto"/>
            </w:tcBorders>
            <w:gridSpan w:val="3"/>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 w:type="dxa"/>
            <w:vAlign w:val="bottom"/>
            <w:tcBorders>
              <w:left w:val="single" w:sz="8" w:color="auto"/>
              <w:right w:val="single" w:sz="8" w:color="auto"/>
            </w:tcBorders>
            <w:vMerge w:val="continue"/>
          </w:tcPr>
          <w:p>
            <w:pPr>
              <w:spacing w:after="0"/>
              <w:rPr>
                <w:sz w:val="21"/>
                <w:szCs w:val="21"/>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Not Applicable</w:t>
            </w:r>
          </w:p>
        </w:tc>
        <w:tc>
          <w:tcPr>
            <w:tcW w:w="1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SEC USE ONLY:</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6240" w:type="dxa"/>
            <w:vAlign w:val="bottom"/>
            <w:tcBorders>
              <w:bottom w:val="single" w:sz="8" w:color="auto"/>
            </w:tcBorders>
            <w:gridSpan w:val="3"/>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0"/>
              </w:rPr>
              <w:t>The Netherlands</w:t>
            </w:r>
          </w:p>
        </w:tc>
        <w:tc>
          <w:tcPr>
            <w:tcW w:w="10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80" w:type="dxa"/>
            <w:vAlign w:val="bottom"/>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4,317,703 </w:t>
            </w:r>
            <w:r>
              <w:rPr>
                <w:rFonts w:ascii="Arial" w:cs="Arial" w:eastAsia="Arial" w:hAnsi="Arial"/>
                <w:sz w:val="15"/>
                <w:szCs w:val="15"/>
                <w:color w:val="auto"/>
              </w:rPr>
              <w:t>1</w:t>
            </w: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8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80" w:type="dxa"/>
            <w:vAlign w:val="bottom"/>
          </w:tcPr>
          <w:p>
            <w:pPr>
              <w:spacing w:after="0"/>
              <w:rPr>
                <w:sz w:val="23"/>
                <w:szCs w:val="23"/>
                <w:color w:val="auto"/>
              </w:rPr>
            </w:pPr>
          </w:p>
        </w:tc>
        <w:tc>
          <w:tcPr>
            <w:tcW w:w="6160" w:type="dxa"/>
            <w:vAlign w:val="bottom"/>
            <w:gridSpan w:val="2"/>
          </w:tcPr>
          <w:p>
            <w:pPr>
              <w:ind w:left="40"/>
              <w:spacing w:after="0"/>
              <w:rPr>
                <w:sz w:val="20"/>
                <w:szCs w:val="20"/>
                <w:color w:val="auto"/>
              </w:rPr>
            </w:pPr>
            <w:r>
              <w:rPr>
                <w:rFonts w:ascii="Arial" w:cs="Arial" w:eastAsia="Arial" w:hAnsi="Arial"/>
                <w:sz w:val="18"/>
                <w:szCs w:val="18"/>
                <w:color w:val="auto"/>
              </w:rPr>
              <w:t>SOLE DISPOSITIVE POWER:</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4,317,703 </w:t>
            </w:r>
            <w:r>
              <w:rPr>
                <w:rFonts w:ascii="Arial" w:cs="Arial" w:eastAsia="Arial" w:hAnsi="Arial"/>
                <w:sz w:val="15"/>
                <w:szCs w:val="15"/>
                <w:color w:val="auto"/>
              </w:rPr>
              <w:t>1</w:t>
            </w: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80" w:type="dxa"/>
            <w:vAlign w:val="bottom"/>
          </w:tcPr>
          <w:p>
            <w:pPr>
              <w:spacing w:after="0"/>
              <w:rPr>
                <w:sz w:val="24"/>
                <w:szCs w:val="24"/>
                <w:color w:val="auto"/>
              </w:rPr>
            </w:pPr>
          </w:p>
        </w:tc>
        <w:tc>
          <w:tcPr>
            <w:tcW w:w="616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4,317,703</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gridSpan w:val="10"/>
          </w:tcPr>
          <w:p>
            <w:pPr>
              <w:ind w:left="100"/>
              <w:spacing w:after="0"/>
              <w:rPr>
                <w:sz w:val="20"/>
                <w:szCs w:val="20"/>
                <w:color w:val="auto"/>
              </w:rPr>
            </w:pPr>
            <w:r>
              <w:rPr>
                <w:rFonts w:ascii="Arial" w:cs="Arial" w:eastAsia="Arial" w:hAnsi="Arial"/>
                <w:sz w:val="18"/>
                <w:szCs w:val="18"/>
                <w:color w:val="auto"/>
                <w:w w:val="96"/>
              </w:rPr>
              <w:t>CHECK IF THE AGGREGATE AMOUNT IN ROW (9) EXCLUDES CERTAIN SHARES (SEE INSTRUCTIONS):</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28,500 custodian shares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7.81%</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748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3,319,897 of these shares are held by indirect subsidiaries of ING Groep N.V. in their role as a discretionary manager of client portfolios.</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12,806 of these shares are held by indirect subsidiaries of ING Groep N.V. in their role as trustee.</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313747206</w:t>
            </w:r>
          </w:p>
        </w:tc>
        <w:tc>
          <w:tcPr>
            <w:tcW w:w="4380" w:type="dxa"/>
            <w:vAlign w:val="bottom"/>
          </w:tcPr>
          <w:p>
            <w:pPr>
              <w:spacing w:after="0"/>
              <w:rPr>
                <w:sz w:val="19"/>
                <w:szCs w:val="19"/>
                <w:color w:val="auto"/>
              </w:rPr>
            </w:pPr>
          </w:p>
        </w:tc>
        <w:tc>
          <w:tcPr>
            <w:tcW w:w="170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Page</w:t>
            </w:r>
          </w:p>
        </w:tc>
        <w:tc>
          <w:tcPr>
            <w:tcW w:w="94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r>
      <w:tr>
        <w:trPr>
          <w:trHeight w:val="42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Name of Issuer:</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Federal Realty Investment Trust</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1626 East Jefferson Street</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Rockville, MD 20852-4041</w:t>
            </w: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Name of Person Filing:</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ING Groep N.V.</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Amstelveenseweg 500</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1081 KL Amsterdam</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The Netherlands</w:t>
            </w: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Citizenship:</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See item 4 on Page 2</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Title of Class of Securities:</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Ordinary Shares</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6480" w:type="dxa"/>
            <w:vAlign w:val="bottom"/>
            <w:gridSpan w:val="2"/>
          </w:tcPr>
          <w:p>
            <w:pPr>
              <w:ind w:left="680"/>
              <w:spacing w:after="0"/>
              <w:rPr>
                <w:sz w:val="20"/>
                <w:szCs w:val="20"/>
                <w:color w:val="auto"/>
              </w:rPr>
            </w:pPr>
            <w:r>
              <w:rPr>
                <w:rFonts w:ascii="Arial" w:cs="Arial" w:eastAsia="Arial" w:hAnsi="Arial"/>
                <w:sz w:val="18"/>
                <w:szCs w:val="18"/>
                <w:b w:val="1"/>
                <w:bCs w:val="1"/>
                <w:color w:val="auto"/>
              </w:rPr>
              <w:t>CUSIP Number:</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rPr>
              <w:t>313747206</w:t>
            </w:r>
          </w:p>
        </w:tc>
        <w:tc>
          <w:tcPr>
            <w:tcW w:w="4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120" w:type="dxa"/>
            <w:vAlign w:val="bottom"/>
            <w:gridSpan w:val="4"/>
          </w:tcPr>
          <w:p>
            <w:pPr>
              <w:ind w:left="680"/>
              <w:spacing w:after="0"/>
              <w:rPr>
                <w:sz w:val="20"/>
                <w:szCs w:val="20"/>
                <w:color w:val="auto"/>
              </w:rPr>
            </w:pPr>
            <w:r>
              <w:rPr>
                <w:rFonts w:ascii="Arial" w:cs="Arial" w:eastAsia="Arial" w:hAnsi="Arial"/>
                <w:sz w:val="18"/>
                <w:szCs w:val="18"/>
                <w:b w:val="1"/>
                <w:bCs w:val="1"/>
                <w:color w:val="auto"/>
                <w:w w:val="92"/>
              </w:rPr>
              <w:t>If this statement is filed pursuant to Rules 13d-1(b), or 13d-2(b) or (c), check whether the person filing is a:</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648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2" w:lineRule="exact"/>
        <w:rPr>
          <w:sz w:val="20"/>
          <w:szCs w:val="20"/>
          <w:color w:val="auto"/>
        </w:rPr>
      </w:pPr>
    </w:p>
    <w:p>
      <w:pPr>
        <w:ind w:left="1060" w:hanging="23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Securities Exchange Act of 1934, as amended (the “Exchange Act”);</w:t>
      </w:r>
    </w:p>
    <w:p>
      <w:pPr>
        <w:spacing w:after="0" w:line="225" w:lineRule="exact"/>
        <w:rPr>
          <w:rFonts w:ascii="Arial" w:cs="Arial" w:eastAsia="Arial" w:hAnsi="Arial"/>
          <w:sz w:val="18"/>
          <w:szCs w:val="18"/>
          <w:color w:val="auto"/>
        </w:rPr>
      </w:pPr>
    </w:p>
    <w:p>
      <w:pPr>
        <w:ind w:left="1060" w:hanging="249"/>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060" w:hanging="23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620" w:right="480" w:hanging="809"/>
        <w:spacing w:after="0" w:line="277" w:lineRule="auto"/>
        <w:tabs>
          <w:tab w:leader="none" w:pos="1071" w:val="left"/>
        </w:tabs>
        <w:numPr>
          <w:ilvl w:val="0"/>
          <w:numId w:val="3"/>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as amended (the “Investment Company Act”);</w:t>
      </w:r>
    </w:p>
    <w:p>
      <w:pPr>
        <w:spacing w:after="0" w:line="170" w:lineRule="exact"/>
        <w:rPr>
          <w:rFonts w:ascii="Arial" w:cs="Arial" w:eastAsia="Arial" w:hAnsi="Arial"/>
          <w:sz w:val="18"/>
          <w:szCs w:val="18"/>
          <w:color w:val="auto"/>
        </w:rPr>
      </w:pPr>
    </w:p>
    <w:p>
      <w:pPr>
        <w:ind w:left="1060" w:hanging="238"/>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adviser in accordance with Rule 13d-1(b)(1)(ii)(E) under the Exchange Act;</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313747206</w:t>
            </w:r>
          </w:p>
        </w:tc>
        <w:tc>
          <w:tcPr>
            <w:tcW w:w="6080" w:type="dxa"/>
            <w:vAlign w:val="bottom"/>
            <w:tcBorders>
              <w:right w:val="single" w:sz="8" w:color="auto"/>
            </w:tcBorders>
          </w:tcPr>
          <w:p>
            <w:pPr>
              <w:ind w:left="5620"/>
              <w:spacing w:after="0"/>
              <w:rPr>
                <w:sz w:val="20"/>
                <w:szCs w:val="20"/>
                <w:color w:val="auto"/>
              </w:rPr>
            </w:pPr>
            <w:r>
              <w:rPr>
                <w:rFonts w:ascii="Arial" w:cs="Arial" w:eastAsia="Arial" w:hAnsi="Arial"/>
                <w:sz w:val="18"/>
                <w:szCs w:val="18"/>
                <w:color w:val="auto"/>
                <w:w w:val="99"/>
              </w:rPr>
              <w:t>Page</w:t>
            </w:r>
          </w:p>
        </w:tc>
        <w:tc>
          <w:tcPr>
            <w:tcW w:w="94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r>
    </w:tbl>
    <w:p>
      <w:pPr>
        <w:spacing w:after="0" w:line="198" w:lineRule="exact"/>
        <w:rPr>
          <w:sz w:val="20"/>
          <w:szCs w:val="20"/>
          <w:color w:val="auto"/>
        </w:rPr>
      </w:pPr>
    </w:p>
    <w:p>
      <w:pPr>
        <w:ind w:left="1060" w:hanging="21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Employee benefit plan or endowment fund in accordance with Rule 13d-1(b)(1)(ii)(F) under the Exchange Act;</w:t>
      </w:r>
    </w:p>
    <w:p>
      <w:pPr>
        <w:spacing w:after="0" w:line="225" w:lineRule="exact"/>
        <w:rPr>
          <w:rFonts w:ascii="Arial" w:cs="Arial" w:eastAsia="Arial" w:hAnsi="Arial"/>
          <w:sz w:val="18"/>
          <w:szCs w:val="18"/>
          <w:color w:val="auto"/>
        </w:rPr>
      </w:pPr>
    </w:p>
    <w:p>
      <w:pPr>
        <w:ind w:left="1060" w:hanging="24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Parent holding company or control person in accordance with Rule 13d-1(b)(ii)(G) under the Exchange Act;</w:t>
      </w:r>
    </w:p>
    <w:p>
      <w:pPr>
        <w:spacing w:after="0" w:line="225" w:lineRule="exact"/>
        <w:rPr>
          <w:rFonts w:ascii="Arial" w:cs="Arial" w:eastAsia="Arial" w:hAnsi="Arial"/>
          <w:sz w:val="18"/>
          <w:szCs w:val="18"/>
          <w:color w:val="auto"/>
        </w:rPr>
      </w:pPr>
    </w:p>
    <w:p>
      <w:pPr>
        <w:ind w:left="1060" w:hanging="24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Savings association as defined in Section 3(b) of the Federal Deposit Insurance Act;</w:t>
      </w:r>
    </w:p>
    <w:p>
      <w:pPr>
        <w:spacing w:after="0" w:line="225" w:lineRule="exact"/>
        <w:rPr>
          <w:rFonts w:ascii="Arial" w:cs="Arial" w:eastAsia="Arial" w:hAnsi="Arial"/>
          <w:sz w:val="18"/>
          <w:szCs w:val="18"/>
          <w:color w:val="auto"/>
        </w:rPr>
      </w:pPr>
    </w:p>
    <w:p>
      <w:pPr>
        <w:ind w:left="1060" w:hanging="20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Church plan that is excluded from the definition of an investment company under Section 3(c)(14) of the Investment Company Act;</w:t>
      </w:r>
    </w:p>
    <w:p>
      <w:pPr>
        <w:spacing w:after="0" w:line="225" w:lineRule="exact"/>
        <w:rPr>
          <w:rFonts w:ascii="Arial" w:cs="Arial" w:eastAsia="Arial" w:hAnsi="Arial"/>
          <w:sz w:val="18"/>
          <w:szCs w:val="18"/>
          <w:color w:val="auto"/>
        </w:rPr>
      </w:pPr>
    </w:p>
    <w:p>
      <w:pPr>
        <w:ind w:left="1060" w:hanging="20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 under the Exchange Act.</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sz w:val="20"/>
          <w:szCs w:val="20"/>
          <w:color w:val="auto"/>
        </w:rPr>
      </w:pPr>
    </w:p>
    <w:p>
      <w:pPr>
        <w:spacing w:after="0" w:line="241"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sz w:val="20"/>
          <w:szCs w:val="20"/>
          <w:color w:val="auto"/>
        </w:rPr>
      </w:pPr>
    </w:p>
    <w:p>
      <w:pPr>
        <w:spacing w:after="0" w:line="241" w:lineRule="exact"/>
        <w:rPr>
          <w:sz w:val="20"/>
          <w:szCs w:val="20"/>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2040" w:right="6520" w:hanging="438"/>
        <w:spacing w:after="0" w:line="391" w:lineRule="auto"/>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ind w:left="2040" w:right="6340" w:hanging="438"/>
        <w:spacing w:after="0" w:line="391" w:lineRule="auto"/>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ind w:left="2040" w:right="5600" w:hanging="438"/>
        <w:spacing w:after="0" w:line="391" w:lineRule="auto"/>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ind w:left="2040" w:right="5420" w:hanging="438"/>
        <w:spacing w:after="0" w:line="418" w:lineRule="auto"/>
        <w:tabs>
          <w:tab w:leader="none" w:pos="2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on Page 2</w:t>
      </w:r>
    </w:p>
    <w:p>
      <w:pPr>
        <w:spacing w:after="0" w:line="4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313747206</w:t>
            </w:r>
          </w:p>
        </w:tc>
        <w:tc>
          <w:tcPr>
            <w:tcW w:w="6080" w:type="dxa"/>
            <w:vAlign w:val="bottom"/>
            <w:tcBorders>
              <w:right w:val="single" w:sz="8" w:color="auto"/>
            </w:tcBorders>
          </w:tcPr>
          <w:p>
            <w:pPr>
              <w:ind w:left="5620"/>
              <w:spacing w:after="0"/>
              <w:rPr>
                <w:sz w:val="20"/>
                <w:szCs w:val="20"/>
                <w:color w:val="auto"/>
              </w:rPr>
            </w:pPr>
            <w:r>
              <w:rPr>
                <w:rFonts w:ascii="Arial" w:cs="Arial" w:eastAsia="Arial" w:hAnsi="Arial"/>
                <w:sz w:val="18"/>
                <w:szCs w:val="18"/>
                <w:color w:val="auto"/>
                <w:w w:val="99"/>
              </w:rPr>
              <w:t>Page</w:t>
            </w:r>
          </w:p>
        </w:tc>
        <w:tc>
          <w:tcPr>
            <w:tcW w:w="94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r>
    </w:tbl>
    <w:p>
      <w:pPr>
        <w:spacing w:after="0" w:line="19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620" w:right="480" w:hanging="1606"/>
        <w:spacing w:after="0" w:line="282" w:lineRule="auto"/>
        <w:tabs>
          <w:tab w:leader="none" w:pos="16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1620" w:right="60"/>
        <w:spacing w:after="0" w:line="286" w:lineRule="auto"/>
        <w:rPr>
          <w:sz w:val="20"/>
          <w:szCs w:val="20"/>
          <w:color w:val="auto"/>
        </w:rPr>
      </w:pPr>
      <w:r>
        <w:rPr>
          <w:rFonts w:ascii="Arial" w:cs="Arial" w:eastAsia="Arial" w:hAnsi="Arial"/>
          <w:sz w:val="17"/>
          <w:szCs w:val="17"/>
          <w:color w:val="auto"/>
        </w:rPr>
        <w:t>By signing below we certify that, to the best of our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6" w:name="page7"/>
    <w:bookmarkEnd w:id="6"/>
    <w:p>
      <w:pPr>
        <w:spacing w:after="0"/>
        <w:tabs>
          <w:tab w:leader="none" w:pos="1560" w:val="left"/>
          <w:tab w:leader="none" w:pos="8640" w:val="left"/>
          <w:tab w:leader="none" w:pos="9500" w:val="left"/>
          <w:tab w:leader="none" w:pos="10140" w:val="left"/>
          <w:tab w:leader="none" w:pos="10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313747206</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-123825</wp:posOffset>
            </wp:positionV>
            <wp:extent cx="1350645"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0645" cy="1587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-123825</wp:posOffset>
            </wp:positionV>
            <wp:extent cx="147066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0660" cy="158750"/>
                    </a:xfrm>
                    <a:prstGeom prst="rect">
                      <a:avLst/>
                    </a:prstGeom>
                    <a:noFill/>
                  </pic:spPr>
                </pic:pic>
              </a:graphicData>
            </a:graphic>
          </wp:anchor>
        </w:drawing>
      </w:r>
    </w:p>
    <w:p>
      <w:pPr>
        <w:sectPr>
          <w:pgSz w:w="11900" w:h="16838" w:orient="portrait"/>
          <w:cols w:equalWidth="0" w:num="1">
            <w:col w:w="11280"/>
          </w:cols>
          <w:pgMar w:left="240" w:top="1152" w:right="379" w:bottom="1440" w:gutter="0" w:footer="0" w:header="0"/>
        </w:sect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February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593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ING GROEP N.V.</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 de 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593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 de Wit / Head of Compliance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593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C. Blokbergen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593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 Blokbergen / Head Legal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3593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80"/>
      </w:cols>
      <w:pgMar w:left="240" w:top="115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lvl w:ilvl="1">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
      <w:numFmt w:val="bullet"/>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2019-12-13T00:51:46Z</dcterms:created>
  <dcterms:modified xsi:type="dcterms:W3CDTF">2019-12-13T00:51:46Z</dcterms:modified>
</cp:coreProperties>
</file>