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the Section 13 or 15(d) of the Securities Exchange Act of 1934</w:t>
      </w:r>
    </w:p>
    <w:p>
      <w:pPr>
        <w:spacing w:after="0" w:line="17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2008</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79" w:lineRule="exact"/>
        <w:rPr>
          <w:sz w:val="24"/>
          <w:szCs w:val="24"/>
          <w:color w:val="auto"/>
        </w:rPr>
      </w:pPr>
    </w:p>
    <w:p>
      <w:pPr>
        <w:ind w:left="460"/>
        <w:spacing w:after="0"/>
        <w:tabs>
          <w:tab w:leader="none" w:pos="33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1763395</wp:posOffset>
            </wp:positionH>
            <wp:positionV relativeFrom="paragraph">
              <wp:posOffset>-10160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1-07533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Declaration of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6920" w:type="dxa"/>
            <w:vAlign w:val="bottom"/>
            <w:gridSpan w:val="5"/>
          </w:tcPr>
          <w:p>
            <w:pPr>
              <w:jc w:val="center"/>
              <w:ind w:right="1200"/>
              <w:spacing w:after="0"/>
              <w:rPr>
                <w:sz w:val="20"/>
                <w:szCs w:val="20"/>
                <w:color w:val="auto"/>
              </w:rPr>
            </w:pPr>
            <w:r>
              <w:rPr>
                <w:rFonts w:ascii="Arial" w:cs="Arial" w:eastAsia="Arial" w:hAnsi="Arial"/>
                <w:sz w:val="18"/>
                <w:szCs w:val="18"/>
                <w:b w:val="1"/>
                <w:bCs w:val="1"/>
                <w:color w:val="auto"/>
                <w:w w:val="96"/>
              </w:rPr>
              <w:t>Maryland</w:t>
            </w:r>
          </w:p>
        </w:tc>
        <w:tc>
          <w:tcPr>
            <w:tcW w:w="2220" w:type="dxa"/>
            <w:vAlign w:val="bottom"/>
            <w:gridSpan w:val="2"/>
          </w:tcPr>
          <w:p>
            <w:pPr>
              <w:jc w:val="right"/>
              <w:spacing w:after="0"/>
              <w:rPr>
                <w:sz w:val="20"/>
                <w:szCs w:val="20"/>
                <w:color w:val="auto"/>
              </w:rPr>
            </w:pPr>
            <w:r>
              <w:rPr>
                <w:rFonts w:ascii="Arial" w:cs="Arial" w:eastAsia="Arial" w:hAnsi="Arial"/>
                <w:sz w:val="18"/>
                <w:szCs w:val="18"/>
                <w:b w:val="1"/>
                <w:bCs w:val="1"/>
                <w:color w:val="auto"/>
              </w:rPr>
              <w:t>52-0782497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6920" w:type="dxa"/>
            <w:vAlign w:val="bottom"/>
            <w:gridSpan w:val="5"/>
          </w:tcPr>
          <w:p>
            <w:pPr>
              <w:jc w:val="center"/>
              <w:ind w:right="1200"/>
              <w:spacing w:after="0"/>
              <w:rPr>
                <w:sz w:val="20"/>
                <w:szCs w:val="20"/>
                <w:color w:val="auto"/>
              </w:rPr>
            </w:pPr>
            <w:r>
              <w:rPr>
                <w:rFonts w:ascii="Arial" w:cs="Arial" w:eastAsia="Arial" w:hAnsi="Arial"/>
                <w:sz w:val="14"/>
                <w:szCs w:val="14"/>
                <w:b w:val="1"/>
                <w:bCs w:val="1"/>
                <w:color w:val="auto"/>
                <w:w w:val="87"/>
              </w:rPr>
              <w:t>(State of Organization)</w:t>
            </w:r>
          </w:p>
        </w:tc>
        <w:tc>
          <w:tcPr>
            <w:tcW w:w="4500" w:type="dxa"/>
            <w:vAlign w:val="bottom"/>
            <w:gridSpan w:val="3"/>
          </w:tcPr>
          <w:p>
            <w:pPr>
              <w:jc w:val="center"/>
              <w:ind w:right="892"/>
              <w:spacing w:after="0"/>
              <w:rPr>
                <w:sz w:val="20"/>
                <w:szCs w:val="20"/>
                <w:color w:val="auto"/>
              </w:rPr>
            </w:pPr>
            <w:r>
              <w:rPr>
                <w:rFonts w:ascii="Arial" w:cs="Arial" w:eastAsia="Arial" w:hAnsi="Arial"/>
                <w:sz w:val="14"/>
                <w:szCs w:val="14"/>
                <w:b w:val="1"/>
                <w:bCs w:val="1"/>
                <w:color w:val="auto"/>
                <w:w w:val="89"/>
              </w:rPr>
              <w:t>(IRS Employer Identification No.)</w:t>
            </w:r>
          </w:p>
        </w:tc>
        <w:tc>
          <w:tcPr>
            <w:tcW w:w="0" w:type="dxa"/>
            <w:vAlign w:val="bottom"/>
          </w:tcPr>
          <w:p>
            <w:pPr>
              <w:spacing w:after="0"/>
              <w:rPr>
                <w:sz w:val="1"/>
                <w:szCs w:val="1"/>
                <w:color w:val="auto"/>
              </w:rPr>
            </w:pPr>
          </w:p>
        </w:tc>
      </w:tr>
      <w:tr>
        <w:trPr>
          <w:trHeight w:val="406"/>
        </w:trPr>
        <w:tc>
          <w:tcPr>
            <w:tcW w:w="6920" w:type="dxa"/>
            <w:vAlign w:val="bottom"/>
            <w:gridSpan w:val="5"/>
          </w:tcPr>
          <w:p>
            <w:pPr>
              <w:jc w:val="center"/>
              <w:ind w:right="1180"/>
              <w:spacing w:after="0"/>
              <w:rPr>
                <w:sz w:val="20"/>
                <w:szCs w:val="20"/>
                <w:color w:val="auto"/>
              </w:rPr>
            </w:pPr>
            <w:r>
              <w:rPr>
                <w:rFonts w:ascii="Arial" w:cs="Arial" w:eastAsia="Arial" w:hAnsi="Arial"/>
                <w:sz w:val="18"/>
                <w:szCs w:val="18"/>
                <w:b w:val="1"/>
                <w:bCs w:val="1"/>
                <w:color w:val="auto"/>
                <w:w w:val="88"/>
              </w:rPr>
              <w:t>1626 East Jefferson Street, Rockville, Maryland</w:t>
            </w:r>
          </w:p>
        </w:tc>
        <w:tc>
          <w:tcPr>
            <w:tcW w:w="222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20852</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920" w:type="dxa"/>
            <w:vAlign w:val="bottom"/>
            <w:gridSpan w:val="5"/>
          </w:tcPr>
          <w:p>
            <w:pPr>
              <w:jc w:val="center"/>
              <w:ind w:right="118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220" w:type="dxa"/>
            <w:vAlign w:val="bottom"/>
            <w:gridSpan w:val="2"/>
          </w:tcPr>
          <w:p>
            <w:pPr>
              <w:jc w:val="center"/>
              <w:ind w:left="1242"/>
              <w:spacing w:after="0"/>
              <w:rPr>
                <w:sz w:val="20"/>
                <w:szCs w:val="20"/>
                <w:color w:val="auto"/>
              </w:rPr>
            </w:pPr>
            <w:r>
              <w:rPr>
                <w:rFonts w:ascii="Arial" w:cs="Arial" w:eastAsia="Arial" w:hAnsi="Arial"/>
                <w:sz w:val="14"/>
                <w:szCs w:val="14"/>
                <w:b w:val="1"/>
                <w:bCs w:val="1"/>
                <w:color w:val="auto"/>
                <w:w w:val="89"/>
              </w:rPr>
              <w:t>(Zip Code)</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6900" w:type="dxa"/>
            <w:vAlign w:val="bottom"/>
            <w:gridSpan w:val="4"/>
          </w:tcPr>
          <w:p>
            <w:pPr>
              <w:jc w:val="center"/>
              <w:ind w:left="4438"/>
              <w:spacing w:after="0"/>
              <w:rPr>
                <w:sz w:val="20"/>
                <w:szCs w:val="20"/>
                <w:color w:val="auto"/>
              </w:rPr>
            </w:pPr>
            <w:r>
              <w:rPr>
                <w:rFonts w:ascii="Arial" w:cs="Arial" w:eastAsia="Arial" w:hAnsi="Arial"/>
                <w:sz w:val="18"/>
                <w:szCs w:val="18"/>
                <w:b w:val="1"/>
                <w:bCs w:val="1"/>
                <w:color w:val="auto"/>
                <w:w w:val="89"/>
              </w:rPr>
              <w:t>(301) 998-8100</w:t>
            </w: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480" w:type="dxa"/>
            <w:vAlign w:val="bottom"/>
            <w:gridSpan w:val="6"/>
          </w:tcPr>
          <w:p>
            <w:pPr>
              <w:jc w:val="center"/>
              <w:ind w:left="2858"/>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6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4520" w:type="dxa"/>
            <w:vAlign w:val="bottom"/>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0"/>
        </w:trPr>
        <w:tc>
          <w:tcPr>
            <w:tcW w:w="8480" w:type="dxa"/>
            <w:vAlign w:val="bottom"/>
            <w:gridSpan w:val="6"/>
          </w:tcPr>
          <w:p>
            <w:pPr>
              <w:jc w:val="center"/>
              <w:ind w:left="2858"/>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6920" w:type="dxa"/>
            <w:vAlign w:val="bottom"/>
            <w:gridSpan w:val="5"/>
          </w:tcPr>
          <w:p>
            <w:pPr>
              <w:jc w:val="center"/>
              <w:ind w:right="1200"/>
              <w:spacing w:after="0"/>
              <w:rPr>
                <w:sz w:val="20"/>
                <w:szCs w:val="20"/>
                <w:color w:val="auto"/>
              </w:rPr>
            </w:pPr>
            <w:r>
              <w:rPr>
                <w:rFonts w:ascii="Arial" w:cs="Arial" w:eastAsia="Arial" w:hAnsi="Arial"/>
                <w:sz w:val="14"/>
                <w:szCs w:val="14"/>
                <w:b w:val="1"/>
                <w:bCs w:val="1"/>
                <w:color w:val="auto"/>
                <w:w w:val="86"/>
              </w:rPr>
              <w:t>Title of Each Class</w:t>
            </w:r>
          </w:p>
        </w:tc>
        <w:tc>
          <w:tcPr>
            <w:tcW w:w="4500" w:type="dxa"/>
            <w:vAlign w:val="bottom"/>
            <w:gridSpan w:val="3"/>
          </w:tcPr>
          <w:p>
            <w:pPr>
              <w:jc w:val="right"/>
              <w:ind w:right="1352"/>
              <w:spacing w:after="0"/>
              <w:rPr>
                <w:sz w:val="20"/>
                <w:szCs w:val="20"/>
                <w:color w:val="auto"/>
              </w:rPr>
            </w:pPr>
            <w:r>
              <w:rPr>
                <w:rFonts w:ascii="Arial" w:cs="Arial" w:eastAsia="Arial" w:hAnsi="Arial"/>
                <w:sz w:val="14"/>
                <w:szCs w:val="14"/>
                <w:b w:val="1"/>
                <w:bCs w:val="1"/>
                <w:color w:val="auto"/>
                <w:w w:val="97"/>
              </w:rPr>
              <w:t>Name Of Each Exchange On Which Registered</w:t>
            </w:r>
          </w:p>
        </w:tc>
        <w:tc>
          <w:tcPr>
            <w:tcW w:w="0" w:type="dxa"/>
            <w:vAlign w:val="bottom"/>
          </w:tcPr>
          <w:p>
            <w:pPr>
              <w:spacing w:after="0"/>
              <w:rPr>
                <w:sz w:val="1"/>
                <w:szCs w:val="1"/>
                <w:color w:val="auto"/>
              </w:rPr>
            </w:pPr>
          </w:p>
        </w:tc>
      </w:tr>
      <w:tr>
        <w:trPr>
          <w:trHeight w:val="196"/>
        </w:trPr>
        <w:tc>
          <w:tcPr>
            <w:tcW w:w="572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b w:val="1"/>
                <w:bCs w:val="1"/>
                <w:color w:val="auto"/>
                <w:w w:val="88"/>
              </w:rPr>
              <w:t>Common Shares of Beneficial Interest, $.01 par value per share, with</w:t>
            </w:r>
          </w:p>
        </w:tc>
        <w:tc>
          <w:tcPr>
            <w:tcW w:w="1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500" w:type="dxa"/>
            <w:vAlign w:val="bottom"/>
            <w:tcBorders>
              <w:top w:val="single" w:sz="8" w:color="auto"/>
            </w:tcBorders>
            <w:gridSpan w:val="3"/>
          </w:tcPr>
          <w:p>
            <w:pPr>
              <w:jc w:val="right"/>
              <w:ind w:right="1712"/>
              <w:spacing w:after="0" w:line="195" w:lineRule="exact"/>
              <w:rPr>
                <w:sz w:val="20"/>
                <w:szCs w:val="20"/>
                <w:color w:val="auto"/>
              </w:rPr>
            </w:pPr>
            <w:r>
              <w:rPr>
                <w:rFonts w:ascii="Arial" w:cs="Arial" w:eastAsia="Arial" w:hAnsi="Arial"/>
                <w:sz w:val="18"/>
                <w:szCs w:val="18"/>
                <w:b w:val="1"/>
                <w:bCs w:val="1"/>
                <w:color w:val="auto"/>
              </w:rPr>
              <w:t>New York Stock Exchange</w:t>
            </w:r>
          </w:p>
        </w:tc>
        <w:tc>
          <w:tcPr>
            <w:tcW w:w="0" w:type="dxa"/>
            <w:vAlign w:val="bottom"/>
          </w:tcPr>
          <w:p>
            <w:pPr>
              <w:spacing w:after="0"/>
              <w:rPr>
                <w:sz w:val="1"/>
                <w:szCs w:val="1"/>
                <w:color w:val="auto"/>
              </w:rPr>
            </w:pPr>
          </w:p>
        </w:tc>
      </w:tr>
      <w:tr>
        <w:trPr>
          <w:trHeight w:val="228"/>
        </w:trPr>
        <w:tc>
          <w:tcPr>
            <w:tcW w:w="6920" w:type="dxa"/>
            <w:vAlign w:val="bottom"/>
            <w:gridSpan w:val="5"/>
          </w:tcPr>
          <w:p>
            <w:pPr>
              <w:jc w:val="center"/>
              <w:ind w:right="1200"/>
              <w:spacing w:after="0"/>
              <w:rPr>
                <w:sz w:val="20"/>
                <w:szCs w:val="20"/>
                <w:color w:val="auto"/>
              </w:rPr>
            </w:pPr>
            <w:r>
              <w:rPr>
                <w:rFonts w:ascii="Arial" w:cs="Arial" w:eastAsia="Arial" w:hAnsi="Arial"/>
                <w:sz w:val="18"/>
                <w:szCs w:val="18"/>
                <w:b w:val="1"/>
                <w:bCs w:val="1"/>
                <w:color w:val="auto"/>
                <w:w w:val="85"/>
              </w:rPr>
              <w:t>associated Common Share Purchase Rights</w:t>
            </w:r>
          </w:p>
        </w:tc>
        <w:tc>
          <w:tcPr>
            <w:tcW w:w="1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8480" w:type="dxa"/>
            <w:vAlign w:val="bottom"/>
            <w:gridSpan w:val="6"/>
          </w:tcPr>
          <w:p>
            <w:pPr>
              <w:jc w:val="center"/>
              <w:ind w:left="2878"/>
              <w:spacing w:after="0"/>
              <w:rPr>
                <w:sz w:val="20"/>
                <w:szCs w:val="20"/>
                <w:color w:val="auto"/>
              </w:rPr>
            </w:pPr>
            <w:r>
              <w:rPr>
                <w:rFonts w:ascii="Arial" w:cs="Arial" w:eastAsia="Arial" w:hAnsi="Arial"/>
                <w:sz w:val="18"/>
                <w:szCs w:val="18"/>
                <w:b w:val="1"/>
                <w:bCs w:val="1"/>
                <w:color w:val="auto"/>
                <w:w w:val="86"/>
              </w:rPr>
              <w:t>Securities registered pursuant to Section 12(g) of the Act: None</w:t>
            </w:r>
          </w:p>
        </w:tc>
        <w:tc>
          <w:tcPr>
            <w:tcW w:w="6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520" w:type="dxa"/>
            <w:vAlign w:val="bottom"/>
          </w:tcPr>
          <w:p>
            <w:pPr>
              <w:spacing w:after="0"/>
              <w:rPr>
                <w:sz w:val="24"/>
                <w:szCs w:val="24"/>
                <w:color w:val="auto"/>
              </w:rPr>
            </w:pPr>
          </w:p>
        </w:tc>
        <w:tc>
          <w:tcPr>
            <w:tcW w:w="2380" w:type="dxa"/>
            <w:vAlign w:val="bottom"/>
            <w:tcBorders>
              <w:bottom w:val="single" w:sz="8" w:color="auto"/>
            </w:tcBorders>
            <w:gridSpan w:val="3"/>
          </w:tcPr>
          <w:p>
            <w:pPr>
              <w:spacing w:after="0"/>
              <w:rPr>
                <w:sz w:val="24"/>
                <w:szCs w:val="24"/>
                <w:color w:val="auto"/>
              </w:rPr>
            </w:pPr>
          </w:p>
        </w:tc>
        <w:tc>
          <w:tcPr>
            <w:tcW w:w="1580" w:type="dxa"/>
            <w:vAlign w:val="bottom"/>
            <w:gridSpan w:val="2"/>
          </w:tcPr>
          <w:p>
            <w:pPr>
              <w:spacing w:after="0"/>
              <w:rPr>
                <w:sz w:val="24"/>
                <w:szCs w:val="24"/>
                <w:color w:val="auto"/>
              </w:rPr>
            </w:pPr>
          </w:p>
        </w:tc>
        <w:tc>
          <w:tcPr>
            <w:tcW w:w="660" w:type="dxa"/>
            <w:vAlign w:val="bottom"/>
            <w:vMerge w:val="restart"/>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p>
        </w:tc>
        <w:tc>
          <w:tcPr>
            <w:tcW w:w="2280" w:type="dxa"/>
            <w:vAlign w:val="bottom"/>
            <w:vMerge w:val="restart"/>
          </w:tcPr>
          <w:p>
            <w:pPr>
              <w:jc w:val="right"/>
              <w:ind w:right="1712"/>
              <w:spacing w:after="0" w:line="207" w:lineRule="exact"/>
              <w:rPr>
                <w:sz w:val="20"/>
                <w:szCs w:val="20"/>
                <w:color w:val="auto"/>
              </w:rPr>
            </w:pP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No</w:t>
            </w:r>
          </w:p>
        </w:tc>
        <w:tc>
          <w:tcPr>
            <w:tcW w:w="0" w:type="dxa"/>
            <w:vAlign w:val="bottom"/>
          </w:tcPr>
          <w:p>
            <w:pPr>
              <w:spacing w:after="0"/>
              <w:rPr>
                <w:sz w:val="1"/>
                <w:szCs w:val="1"/>
                <w:color w:val="auto"/>
              </w:rPr>
            </w:pPr>
          </w:p>
        </w:tc>
      </w:tr>
      <w:tr>
        <w:trPr>
          <w:trHeight w:val="390"/>
        </w:trPr>
        <w:tc>
          <w:tcPr>
            <w:tcW w:w="848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60" w:type="dxa"/>
            <w:vAlign w:val="bottom"/>
            <w:vMerge w:val="continue"/>
          </w:tcPr>
          <w:p>
            <w:pPr>
              <w:spacing w:after="0"/>
              <w:rPr>
                <w:sz w:val="24"/>
                <w:szCs w:val="24"/>
                <w:color w:val="auto"/>
              </w:rPr>
            </w:pPr>
          </w:p>
        </w:tc>
        <w:tc>
          <w:tcPr>
            <w:tcW w:w="2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8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60" w:type="dxa"/>
            <w:vAlign w:val="bottom"/>
          </w:tcPr>
          <w:p>
            <w:pPr>
              <w:ind w:left="160"/>
              <w:spacing w:after="0" w:line="207" w:lineRule="exact"/>
              <w:rPr>
                <w:sz w:val="20"/>
                <w:szCs w:val="20"/>
                <w:color w:val="auto"/>
              </w:rPr>
            </w:pPr>
            <w:r>
              <w:rPr>
                <w:rFonts w:ascii="MS PGothic" w:cs="MS PGothic" w:eastAsia="MS PGothic" w:hAnsi="MS PGothic"/>
                <w:sz w:val="18"/>
                <w:szCs w:val="18"/>
                <w:color w:val="auto"/>
                <w:w w:val="88"/>
              </w:rPr>
              <w:t>☐</w:t>
            </w:r>
            <w:r>
              <w:rPr>
                <w:rFonts w:ascii="Arial" w:cs="Arial" w:eastAsia="Arial" w:hAnsi="Arial"/>
                <w:sz w:val="18"/>
                <w:szCs w:val="18"/>
                <w:color w:val="auto"/>
                <w:w w:val="88"/>
              </w:rPr>
              <w:t xml:space="preserve"> Yes</w:t>
            </w:r>
          </w:p>
        </w:tc>
        <w:tc>
          <w:tcPr>
            <w:tcW w:w="2280" w:type="dxa"/>
            <w:vAlign w:val="bottom"/>
          </w:tcPr>
          <w:p>
            <w:pPr>
              <w:jc w:val="right"/>
              <w:ind w:right="1552"/>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0" w:type="dxa"/>
            <w:vAlign w:val="bottom"/>
          </w:tcPr>
          <w:p>
            <w:pPr>
              <w:spacing w:after="0"/>
              <w:rPr>
                <w:sz w:val="1"/>
                <w:szCs w:val="1"/>
                <w:color w:val="auto"/>
              </w:rPr>
            </w:pPr>
          </w:p>
        </w:tc>
      </w:tr>
    </w:tbl>
    <w:p>
      <w:pPr>
        <w:spacing w:after="0" w:line="136"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jc w:val="both"/>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100"/>
        <w:spacing w:after="0" w:line="28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360" w:hanging="352"/>
        <w:spacing w:after="0" w:line="207" w:lineRule="exact"/>
        <w:tabs>
          <w:tab w:leader="none" w:pos="3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5" w:lineRule="exact"/>
        <w:rPr>
          <w:sz w:val="24"/>
          <w:szCs w:val="24"/>
          <w:color w:val="auto"/>
        </w:rPr>
      </w:pPr>
    </w:p>
    <w:p>
      <w:pPr>
        <w:ind w:right="6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301" w:right="239" w:bottom="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60" w:space="380"/>
            <w:col w:w="6100" w:space="720"/>
            <w:col w:w="1680" w:space="720"/>
            <w:col w:w="160"/>
          </w:cols>
          <w:pgMar w:left="240" w:top="301" w:right="239" w:bottom="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80" w:space="460"/>
            <w:col w:w="160" w:space="80"/>
            <w:col w:w="5860" w:space="720"/>
            <w:col w:w="1920" w:space="480"/>
            <w:col w:w="160"/>
          </w:cols>
          <w:pgMar w:left="240" w:top="301" w:right="239" w:bottom="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0" w:lineRule="exact"/>
        <w:rPr>
          <w:sz w:val="24"/>
          <w:szCs w:val="24"/>
          <w:color w:val="auto"/>
        </w:rPr>
      </w:pPr>
    </w:p>
    <w:p>
      <w:pPr>
        <w:sectPr>
          <w:pgSz w:w="11900" w:h="16838" w:orient="portrait"/>
          <w:cols w:equalWidth="0" w:num="5">
            <w:col w:w="8040" w:space="160"/>
            <w:col w:w="160" w:space="100"/>
            <w:col w:w="240" w:space="180"/>
            <w:col w:w="160" w:space="100"/>
            <w:col w:w="2280"/>
          </w:cols>
          <w:pgMar w:left="240" w:top="301" w:right="239" w:bottom="0" w:gutter="0" w:footer="0" w:header="0"/>
          <w:type w:val="continuous"/>
        </w:sectPr>
      </w:pPr>
    </w:p>
    <w:p>
      <w:pPr>
        <w:spacing w:after="0" w:line="6" w:lineRule="exact"/>
        <w:rPr>
          <w:sz w:val="24"/>
          <w:szCs w:val="24"/>
          <w:color w:val="auto"/>
        </w:rPr>
      </w:pPr>
    </w:p>
    <w:p>
      <w:pPr>
        <w:ind w:right="420"/>
        <w:spacing w:after="0" w:line="268" w:lineRule="auto"/>
        <w:rPr>
          <w:sz w:val="20"/>
          <w:szCs w:val="20"/>
          <w:color w:val="auto"/>
        </w:rPr>
      </w:pPr>
      <w:r>
        <w:rPr>
          <w:rFonts w:ascii="Arial" w:cs="Arial" w:eastAsia="Arial" w:hAnsi="Arial"/>
          <w:sz w:val="18"/>
          <w:szCs w:val="18"/>
          <w:color w:val="auto"/>
        </w:rPr>
        <w:t>The aggregate market value of the Registrant’s common shares held by non-affiliates of the Registrant, based upon the closing sales price of the Registrant’s common shares on June 30, 2008 was $4.1 billion.</w:t>
      </w:r>
    </w:p>
    <w:p>
      <w:pPr>
        <w:spacing w:after="0" w:line="13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Registrant’s common shares outstanding on February 24, 2009 was 59,075,627.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1"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ENDED DECEMBER 31,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9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This Amendment No. 1 to our Annual Report on Form 10-K for the year ended December 31, 2008, originally filed on February 26, 2009 (the “Original Filing”), is being filed to include information related to the sale of unregistered securities which was inadvertently omitted from the Original Filing. In addition, we are including with this Amendment No. 1 currently dated certifications. No other information in the Original Filing has been amended or modified hereby.</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040" w:right="26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OUR COMMON EQUITY AND RELATED SHAREHOLDER MATTERS AND ISSUER PURCHASES OF EQUITY SECURITIES</w:t>
      </w:r>
    </w:p>
    <w:p>
      <w:pPr>
        <w:spacing w:after="0" w:line="4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common shares trade on the New York Stock Exchange under the symbol “FRT.” Listed below are the high and low closing prices of our common shares as reported on the New York Stock Exchange and the dividends declared for each of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4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Price Per Share</w:t>
            </w:r>
          </w:p>
        </w:tc>
        <w:tc>
          <w:tcPr>
            <w:tcW w:w="1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80"/>
        </w:trPr>
        <w:tc>
          <w:tcPr>
            <w:tcW w:w="5460" w:type="dxa"/>
            <w:vAlign w:val="bottom"/>
          </w:tcPr>
          <w:p>
            <w:pPr>
              <w:spacing w:after="0"/>
              <w:rPr>
                <w:sz w:val="6"/>
                <w:szCs w:val="6"/>
                <w:color w:val="auto"/>
              </w:rPr>
            </w:pPr>
          </w:p>
        </w:tc>
        <w:tc>
          <w:tcPr>
            <w:tcW w:w="3940" w:type="dxa"/>
            <w:vAlign w:val="bottom"/>
          </w:tcPr>
          <w:p>
            <w:pPr>
              <w:spacing w:after="0"/>
              <w:rPr>
                <w:sz w:val="6"/>
                <w:szCs w:val="6"/>
                <w:color w:val="auto"/>
              </w:rPr>
            </w:pPr>
          </w:p>
        </w:tc>
        <w:tc>
          <w:tcPr>
            <w:tcW w:w="1340" w:type="dxa"/>
            <w:vAlign w:val="bottom"/>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48"/>
        </w:trPr>
        <w:tc>
          <w:tcPr>
            <w:tcW w:w="5460" w:type="dxa"/>
            <w:vAlign w:val="bottom"/>
          </w:tcPr>
          <w:p>
            <w:pPr>
              <w:spacing w:after="0"/>
              <w:rPr>
                <w:sz w:val="4"/>
                <w:szCs w:val="4"/>
                <w:color w:val="auto"/>
              </w:rPr>
            </w:pPr>
          </w:p>
        </w:tc>
        <w:tc>
          <w:tcPr>
            <w:tcW w:w="39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54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High</w:t>
            </w:r>
          </w:p>
        </w:tc>
        <w:tc>
          <w:tcPr>
            <w:tcW w:w="100" w:type="dxa"/>
            <w:vAlign w:val="bottom"/>
          </w:tcPr>
          <w:p>
            <w:pPr>
              <w:spacing w:after="0"/>
              <w:rPr>
                <w:sz w:val="14"/>
                <w:szCs w:val="14"/>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Low</w:t>
            </w:r>
          </w:p>
        </w:tc>
        <w:tc>
          <w:tcPr>
            <w:tcW w:w="1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5"/>
              </w:rPr>
              <w:t>Per Share</w:t>
            </w: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39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4560" w:type="dxa"/>
            <w:vAlign w:val="bottom"/>
            <w:gridSpan w:val="3"/>
          </w:tcPr>
          <w:p>
            <w:pPr>
              <w:jc w:val="center"/>
              <w:ind w:left="3732"/>
              <w:spacing w:after="0"/>
              <w:rPr>
                <w:sz w:val="20"/>
                <w:szCs w:val="20"/>
                <w:color w:val="auto"/>
              </w:rPr>
            </w:pPr>
            <w:r>
              <w:rPr>
                <w:rFonts w:ascii="Arial" w:cs="Arial" w:eastAsia="Arial" w:hAnsi="Arial"/>
                <w:sz w:val="18"/>
                <w:szCs w:val="18"/>
                <w:color w:val="auto"/>
                <w:w w:val="90"/>
              </w:rPr>
              <w:t>$84.96</w:t>
            </w:r>
          </w:p>
        </w:tc>
        <w:tc>
          <w:tcPr>
            <w:tcW w:w="72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$43.46</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0.650</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4560" w:type="dxa"/>
            <w:vAlign w:val="bottom"/>
            <w:gridSpan w:val="3"/>
            <w:shd w:val="clear" w:color="auto" w:fill="CCEEFF"/>
          </w:tcPr>
          <w:p>
            <w:pPr>
              <w:jc w:val="center"/>
              <w:ind w:left="3732"/>
              <w:spacing w:after="0"/>
              <w:rPr>
                <w:sz w:val="20"/>
                <w:szCs w:val="20"/>
                <w:color w:val="auto"/>
              </w:rPr>
            </w:pPr>
            <w:r>
              <w:rPr>
                <w:rFonts w:ascii="Arial" w:cs="Arial" w:eastAsia="Arial" w:hAnsi="Arial"/>
                <w:sz w:val="18"/>
                <w:szCs w:val="18"/>
                <w:color w:val="auto"/>
                <w:w w:val="90"/>
              </w:rPr>
              <w:t>$95.00</w:t>
            </w:r>
          </w:p>
        </w:tc>
        <w:tc>
          <w:tcPr>
            <w:tcW w:w="7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$61.87</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0.650</w:t>
            </w:r>
          </w:p>
        </w:tc>
        <w:tc>
          <w:tcPr>
            <w:tcW w:w="0" w:type="dxa"/>
            <w:vAlign w:val="bottom"/>
          </w:tcPr>
          <w:p>
            <w:pPr>
              <w:spacing w:after="0"/>
              <w:rPr>
                <w:sz w:val="1"/>
                <w:szCs w:val="1"/>
                <w:color w:val="auto"/>
              </w:rPr>
            </w:pP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4560" w:type="dxa"/>
            <w:vAlign w:val="bottom"/>
            <w:gridSpan w:val="3"/>
          </w:tcPr>
          <w:p>
            <w:pPr>
              <w:jc w:val="center"/>
              <w:ind w:left="3732"/>
              <w:spacing w:after="0"/>
              <w:rPr>
                <w:sz w:val="20"/>
                <w:szCs w:val="20"/>
                <w:color w:val="auto"/>
              </w:rPr>
            </w:pPr>
            <w:r>
              <w:rPr>
                <w:rFonts w:ascii="Arial" w:cs="Arial" w:eastAsia="Arial" w:hAnsi="Arial"/>
                <w:sz w:val="18"/>
                <w:szCs w:val="18"/>
                <w:color w:val="auto"/>
                <w:w w:val="90"/>
              </w:rPr>
              <w:t>$85.00</w:t>
            </w:r>
          </w:p>
        </w:tc>
        <w:tc>
          <w:tcPr>
            <w:tcW w:w="72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$68.25</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0.610</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4560" w:type="dxa"/>
            <w:vAlign w:val="bottom"/>
            <w:gridSpan w:val="3"/>
            <w:shd w:val="clear" w:color="auto" w:fill="CCEEFF"/>
          </w:tcPr>
          <w:p>
            <w:pPr>
              <w:jc w:val="center"/>
              <w:ind w:left="3732"/>
              <w:spacing w:after="0"/>
              <w:rPr>
                <w:sz w:val="20"/>
                <w:szCs w:val="20"/>
                <w:color w:val="auto"/>
              </w:rPr>
            </w:pPr>
            <w:r>
              <w:rPr>
                <w:rFonts w:ascii="Arial" w:cs="Arial" w:eastAsia="Arial" w:hAnsi="Arial"/>
                <w:sz w:val="18"/>
                <w:szCs w:val="18"/>
                <w:color w:val="auto"/>
                <w:w w:val="90"/>
              </w:rPr>
              <w:t>$83.41</w:t>
            </w:r>
          </w:p>
        </w:tc>
        <w:tc>
          <w:tcPr>
            <w:tcW w:w="7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$61.60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0.610</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b w:val="1"/>
                <w:bCs w:val="1"/>
                <w:color w:val="auto"/>
              </w:rPr>
              <w:t>2007</w:t>
            </w:r>
          </w:p>
        </w:tc>
        <w:tc>
          <w:tcPr>
            <w:tcW w:w="3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4560" w:type="dxa"/>
            <w:vAlign w:val="bottom"/>
            <w:gridSpan w:val="3"/>
            <w:shd w:val="clear" w:color="auto" w:fill="CCEEFF"/>
          </w:tcPr>
          <w:p>
            <w:pPr>
              <w:jc w:val="center"/>
              <w:ind w:left="3732"/>
              <w:spacing w:after="0"/>
              <w:rPr>
                <w:sz w:val="20"/>
                <w:szCs w:val="20"/>
                <w:color w:val="auto"/>
              </w:rPr>
            </w:pPr>
            <w:r>
              <w:rPr>
                <w:rFonts w:ascii="Arial" w:cs="Arial" w:eastAsia="Arial" w:hAnsi="Arial"/>
                <w:sz w:val="18"/>
                <w:szCs w:val="18"/>
                <w:color w:val="auto"/>
                <w:w w:val="90"/>
              </w:rPr>
              <w:t>$95.19</w:t>
            </w:r>
          </w:p>
        </w:tc>
        <w:tc>
          <w:tcPr>
            <w:tcW w:w="7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$78.58</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0.610</w:t>
            </w:r>
          </w:p>
        </w:tc>
        <w:tc>
          <w:tcPr>
            <w:tcW w:w="0" w:type="dxa"/>
            <w:vAlign w:val="bottom"/>
          </w:tcPr>
          <w:p>
            <w:pPr>
              <w:spacing w:after="0"/>
              <w:rPr>
                <w:sz w:val="1"/>
                <w:szCs w:val="1"/>
                <w:color w:val="auto"/>
              </w:rPr>
            </w:pP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4560" w:type="dxa"/>
            <w:vAlign w:val="bottom"/>
            <w:gridSpan w:val="3"/>
          </w:tcPr>
          <w:p>
            <w:pPr>
              <w:jc w:val="center"/>
              <w:ind w:left="3732"/>
              <w:spacing w:after="0"/>
              <w:rPr>
                <w:sz w:val="20"/>
                <w:szCs w:val="20"/>
                <w:color w:val="auto"/>
              </w:rPr>
            </w:pPr>
            <w:r>
              <w:rPr>
                <w:rFonts w:ascii="Arial" w:cs="Arial" w:eastAsia="Arial" w:hAnsi="Arial"/>
                <w:sz w:val="18"/>
                <w:szCs w:val="18"/>
                <w:color w:val="auto"/>
                <w:w w:val="90"/>
              </w:rPr>
              <w:t>$88.92</w:t>
            </w:r>
          </w:p>
        </w:tc>
        <w:tc>
          <w:tcPr>
            <w:tcW w:w="72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$73.82</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0.610</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4560" w:type="dxa"/>
            <w:vAlign w:val="bottom"/>
            <w:gridSpan w:val="3"/>
            <w:shd w:val="clear" w:color="auto" w:fill="CCEEFF"/>
          </w:tcPr>
          <w:p>
            <w:pPr>
              <w:jc w:val="center"/>
              <w:ind w:left="3732"/>
              <w:spacing w:after="0"/>
              <w:rPr>
                <w:sz w:val="20"/>
                <w:szCs w:val="20"/>
                <w:color w:val="auto"/>
              </w:rPr>
            </w:pPr>
            <w:r>
              <w:rPr>
                <w:rFonts w:ascii="Arial" w:cs="Arial" w:eastAsia="Arial" w:hAnsi="Arial"/>
                <w:sz w:val="18"/>
                <w:szCs w:val="18"/>
                <w:color w:val="auto"/>
                <w:w w:val="90"/>
              </w:rPr>
              <w:t>$92.59</w:t>
            </w:r>
          </w:p>
        </w:tc>
        <w:tc>
          <w:tcPr>
            <w:tcW w:w="7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$75.27</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0.575</w:t>
            </w:r>
          </w:p>
        </w:tc>
        <w:tc>
          <w:tcPr>
            <w:tcW w:w="0" w:type="dxa"/>
            <w:vAlign w:val="bottom"/>
          </w:tcPr>
          <w:p>
            <w:pPr>
              <w:spacing w:after="0"/>
              <w:rPr>
                <w:sz w:val="1"/>
                <w:szCs w:val="1"/>
                <w:color w:val="auto"/>
              </w:rPr>
            </w:pPr>
          </w:p>
        </w:tc>
      </w:tr>
      <w:tr>
        <w:trPr>
          <w:trHeight w:val="222"/>
        </w:trPr>
        <w:tc>
          <w:tcPr>
            <w:tcW w:w="546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4560" w:type="dxa"/>
            <w:vAlign w:val="bottom"/>
            <w:gridSpan w:val="3"/>
          </w:tcPr>
          <w:p>
            <w:pPr>
              <w:jc w:val="center"/>
              <w:ind w:left="3732"/>
              <w:spacing w:after="0"/>
              <w:rPr>
                <w:sz w:val="20"/>
                <w:szCs w:val="20"/>
                <w:color w:val="auto"/>
              </w:rPr>
            </w:pPr>
            <w:r>
              <w:rPr>
                <w:rFonts w:ascii="Arial" w:cs="Arial" w:eastAsia="Arial" w:hAnsi="Arial"/>
                <w:sz w:val="18"/>
                <w:szCs w:val="18"/>
                <w:color w:val="auto"/>
                <w:w w:val="90"/>
              </w:rPr>
              <w:t>$97.12</w:t>
            </w:r>
          </w:p>
        </w:tc>
        <w:tc>
          <w:tcPr>
            <w:tcW w:w="72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$81.93</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0.575</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On February 24, 2009, there were 4,115 holders of record of our common shares.</w:t>
      </w:r>
    </w:p>
    <w:p>
      <w:pPr>
        <w:spacing w:after="0" w:line="17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Our ongoing operations generally will not be subject to federal income taxes as long as we maintain our REIT status and distribute to shareholders at least 100% of our REIT taxable income. Under the Code, REITs are subject to numerous organizational and operational requirements, including the requirement to generally distribute at least 90% of REIT taxable income.</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Future distributions will be at the discretion of our Board of Trustees and will depend on our actual net income available for common shareholders, financial condition, capital requirements, the annual distribution requirements under the REIT provisions of the Code and such other factors as the Board of Trustees deems relevant. We have paid quarterly dividends to our shareholders continuously since our founding in 1962 and have increased our regular annual dividend rate for 41 consecutive years.</w:t>
      </w:r>
    </w:p>
    <w:p>
      <w:pPr>
        <w:spacing w:after="0" w:line="14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total annual dividends paid per common share for 2008 and 2007 were $2.480 per share and $2.335 per share, respectively. The annual dividend amounts are different from dividends as calculated for federal income tax purposes. Distributions to the extent of our current and accumulated earnings and profits for federal income tax purposes generally will be taxable to a shareholder as ordinary dividend income. Distributions in excess of current and accumulated earnings and profits will be treated as a nontaxable reduction of the shareholder’s basis in such shareholder’s shares, to the extent thereof, and thereafter as taxable capital gain. Distributions that are treated as a reduction of the shareholder’s basis in its shares will have the effect of increasing the amount of gain, or reducing the amount of loss, recognized upon the sale of the shareholder’s shares. No assurances can be given regarding what portion, if any, of distributions in 2009 or subsequent years will constitute a return of capital for federal income tax purposes. During a year in which a REIT earns a net long-term capital gain, the REIT can elect under Code Sec. 857(b)(3) to designate a portion of dividends paid to shareholders as capital gain dividends. If this election is made, then the capital gain dividends are taxable to the shareholder as long-term capital gains.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income tax status of distributions per share paid to common shareholders: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2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43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2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Ordinary dividend</w:t>
            </w:r>
          </w:p>
        </w:tc>
        <w:tc>
          <w:tcPr>
            <w:tcW w:w="6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$2.455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Ordinary dividend eligible for 15% tax rate</w:t>
            </w:r>
          </w:p>
        </w:tc>
        <w:tc>
          <w:tcPr>
            <w:tcW w:w="6460" w:type="dxa"/>
            <w:vAlign w:val="bottom"/>
            <w:gridSpan w:val="3"/>
          </w:tcPr>
          <w:p>
            <w:pPr>
              <w:jc w:val="right"/>
              <w:ind w:right="120"/>
              <w:spacing w:after="0"/>
              <w:rPr>
                <w:sz w:val="20"/>
                <w:szCs w:val="20"/>
                <w:color w:val="auto"/>
              </w:rPr>
            </w:pPr>
            <w:r>
              <w:rPr>
                <w:rFonts w:ascii="Arial" w:cs="Arial" w:eastAsia="Arial" w:hAnsi="Arial"/>
                <w:sz w:val="18"/>
                <w:szCs w:val="18"/>
                <w:color w:val="auto"/>
              </w:rPr>
              <w:t>0.025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Capital gain</w:t>
            </w:r>
          </w:p>
        </w:tc>
        <w:tc>
          <w:tcPr>
            <w:tcW w:w="58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60" w:type="dxa"/>
            <w:vAlign w:val="bottom"/>
          </w:tcPr>
          <w:p>
            <w:pPr>
              <w:spacing w:after="0"/>
              <w:rPr>
                <w:sz w:val="19"/>
                <w:szCs w:val="19"/>
                <w:color w:val="auto"/>
              </w:rPr>
            </w:pPr>
          </w:p>
        </w:tc>
        <w:tc>
          <w:tcPr>
            <w:tcW w:w="646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2.480</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5840" w:type="dxa"/>
            <w:vAlign w:val="bottom"/>
            <w:vMerge w:val="restart"/>
          </w:tcPr>
          <w:p>
            <w:pPr>
              <w:jc w:val="right"/>
              <w:ind w:right="4352"/>
              <w:spacing w:after="0"/>
              <w:rPr>
                <w:sz w:val="20"/>
                <w:szCs w:val="20"/>
                <w:color w:val="auto"/>
              </w:rPr>
            </w:pPr>
            <w:r>
              <w:rPr>
                <w:rFonts w:ascii="Arial" w:cs="Arial" w:eastAsia="Arial" w:hAnsi="Arial"/>
                <w:sz w:val="18"/>
                <w:szCs w:val="18"/>
                <w:color w:val="auto"/>
              </w:rPr>
              <w:t>2</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60" w:type="dxa"/>
            <w:vAlign w:val="bottom"/>
          </w:tcPr>
          <w:p>
            <w:pPr>
              <w:spacing w:after="0"/>
              <w:rPr>
                <w:sz w:val="24"/>
                <w:szCs w:val="24"/>
                <w:color w:val="auto"/>
              </w:rPr>
            </w:pPr>
          </w:p>
        </w:tc>
        <w:tc>
          <w:tcPr>
            <w:tcW w:w="58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 w:name="page3"/>
    <w:bookmarkEnd w:id="2"/>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Distributions on our 5.417% Series 1 Cumulative Convertible Preferred Shares were paid at the rate of $1.354 per share per annum commencing on the issuance date of March 8, 2007. We do not believe that the preferential rights available to the holders of our preferred shares or the financial covenants contained in our debt agreements had or will have an adverse effect on our ability to pay dividends in the normal course of business to our common shareholders or to distribute amounts necessary to maintain our qualification as a REIT.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Shares</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Under the terms of various operating partnership agreements of certain of our affiliated limited partnerships, the interest of limited partners in those limited partnerships may be redeemed, subject to certain conditions, for cash or an equivalent number of our common shares, at our option. During the three months ended December 31, 2008, 3,000 operating partnership units were redeemed for cash. During the three months ended December 31, 2008, we issued 436 unregistered shares at a weighted average price per share of $57.78 pursuant to our Dividend Reinvestment and Stock Purchase Plan (the “Plan”). Our registration statement on Form S-3 relating to the Plan expired on December 1, 2008. As a result, these shares were inadvertently sold under an expired registration statement and do not appear to qualify for an exemption from registration under the Securities Act of 1933, as amended. We expect to file a new registration statement relating to the Plan by the end of the second quarter of 2009. All other equity securities sold by us during 2008 that were not registered have been previously reported in a Quarterly Report on Form 10-Q.</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No equity securities were purchased by us during 2008. However, 13,961 common shares were placed into treasury as a result of restricted shares forfeited by former employees.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(3) Exhibits</w:t>
      </w:r>
    </w:p>
    <w:p>
      <w:pPr>
        <w:spacing w:after="0" w:line="171"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list of exhibits filed as part of this Amendment No. 1 to Form 10-K is set forth in (b) below.</w:t>
      </w:r>
    </w:p>
    <w:p>
      <w:pPr>
        <w:spacing w:after="0" w:line="171" w:lineRule="exact"/>
        <w:rPr>
          <w:rFonts w:ascii="Arial" w:cs="Arial" w:eastAsia="Arial" w:hAnsi="Arial"/>
          <w:sz w:val="18"/>
          <w:szCs w:val="18"/>
          <w:color w:val="auto"/>
        </w:rPr>
      </w:pPr>
    </w:p>
    <w:p>
      <w:pPr>
        <w:spacing w:after="0"/>
        <w:tabs>
          <w:tab w:leader="none" w:pos="0" w:val="left"/>
        </w:tabs>
        <w:numPr>
          <w:ilvl w:val="0"/>
          <w:numId w:val="4"/>
        </w:numPr>
        <w:rPr>
          <w:rFonts w:ascii="Arial" w:cs="Arial" w:eastAsia="Arial" w:hAnsi="Arial"/>
          <w:sz w:val="18"/>
          <w:szCs w:val="18"/>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320" w:type="dxa"/>
            <w:vAlign w:val="bottom"/>
          </w:tcPr>
          <w:p>
            <w:pPr>
              <w:spacing w:after="0"/>
              <w:rPr>
                <w:sz w:val="15"/>
                <w:szCs w:val="15"/>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9420" w:type="dxa"/>
            <w:vAlign w:val="bottom"/>
            <w:tcBorders>
              <w:bottom w:val="single" w:sz="8" w:color="auto"/>
            </w:tcBorders>
          </w:tcPr>
          <w:p>
            <w:pPr>
              <w:spacing w:after="0"/>
              <w:rPr>
                <w:sz w:val="15"/>
                <w:szCs w:val="15"/>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Rule 13a-14(a) Certification of Chief Executive Officer (filed herewith)</w:t>
            </w: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Rule 13a-14(a) Certification of Chief Financial Officer (filed herewith)</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8"/>
                <w:szCs w:val="18"/>
                <w:color w:val="auto"/>
                <w:w w:val="89"/>
              </w:rPr>
              <w:t>Section 1350</w:t>
            </w:r>
          </w:p>
        </w:tc>
        <w:tc>
          <w:tcPr>
            <w:tcW w:w="942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(filed herewith)</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8"/>
                <w:szCs w:val="18"/>
                <w:color w:val="auto"/>
                <w:w w:val="89"/>
              </w:rPr>
              <w:t>Section 1350</w:t>
            </w:r>
          </w:p>
        </w:tc>
        <w:tc>
          <w:tcPr>
            <w:tcW w:w="942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(filed herewith)</w:t>
            </w:r>
          </w:p>
        </w:tc>
      </w:tr>
      <w:tr>
        <w:trPr>
          <w:trHeight w:val="365"/>
        </w:trPr>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20" w:type="dxa"/>
            <w:vAlign w:val="bottom"/>
          </w:tcPr>
          <w:p>
            <w:pPr>
              <w:jc w:val="right"/>
              <w:ind w:right="5572"/>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280" w:right="239" w:bottom="1440" w:gutter="0" w:footer="0" w:header="0"/>
        </w:sectPr>
      </w:pPr>
    </w:p>
    <w:bookmarkStart w:id="3" w:name="page4"/>
    <w:bookmarkEnd w:id="3"/>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the 25</w:t>
      </w:r>
      <w:r>
        <w:rPr>
          <w:rFonts w:ascii="Arial" w:cs="Arial" w:eastAsia="Arial" w:hAnsi="Arial"/>
          <w:sz w:val="11"/>
          <w:szCs w:val="11"/>
          <w:color w:val="auto"/>
        </w:rPr>
        <w:t>th</w:t>
      </w:r>
      <w:r>
        <w:rPr>
          <w:rFonts w:ascii="Arial" w:cs="Arial" w:eastAsia="Arial" w:hAnsi="Arial"/>
          <w:sz w:val="18"/>
          <w:szCs w:val="18"/>
          <w:color w:val="auto"/>
        </w:rPr>
        <w:t xml:space="preserve"> day of June 2009.</w:t>
      </w:r>
    </w:p>
    <w:p>
      <w:pPr>
        <w:spacing w:after="0" w:line="20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ind w:left="8500"/>
        <w:spacing w:after="0"/>
        <w:rPr>
          <w:sz w:val="20"/>
          <w:szCs w:val="20"/>
          <w:color w:val="auto"/>
        </w:rPr>
      </w:pPr>
      <w:r>
        <w:rPr>
          <w:rFonts w:ascii="Arial" w:cs="Arial" w:eastAsia="Arial" w:hAnsi="Arial"/>
          <w:sz w:val="18"/>
          <w:szCs w:val="18"/>
          <w:b w:val="1"/>
          <w:bCs w:val="1"/>
          <w:color w:val="auto"/>
        </w:rPr>
        <w:t>Donald C. Wood,</w:t>
      </w:r>
    </w:p>
    <w:p>
      <w:pPr>
        <w:spacing w:after="0" w:line="21"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(Principal Executive Officer)</w:t>
      </w:r>
    </w:p>
    <w:p>
      <w:pPr>
        <w:spacing w:after="0" w:line="17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p>
      <w:pPr>
        <w:ind w:left="1840"/>
        <w:spacing w:after="0"/>
        <w:tabs>
          <w:tab w:leader="none" w:pos="6820" w:val="left"/>
          <w:tab w:leader="none" w:pos="104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274" w:right="399" w:bottom="1440" w:gutter="0" w:footer="0" w:header="0"/>
        </w:sectPr>
      </w:pPr>
    </w:p>
    <w:p>
      <w:pPr>
        <w:spacing w:after="0" w:line="23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0"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Donald C. Wood</w:t>
      </w:r>
    </w:p>
    <w:p>
      <w:pPr>
        <w:spacing w:after="0" w:line="231"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0"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Andrew P. Blocher</w:t>
      </w:r>
    </w:p>
    <w:p>
      <w:pPr>
        <w:spacing w:after="0" w:line="231"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 JOSEPH S. VASSALLUZZO*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26841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3"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Joseph S. Vassalluzzo</w:t>
      </w:r>
    </w:p>
    <w:p>
      <w:pPr>
        <w:spacing w:after="0" w:line="231"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JON E. BORTZ*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0"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Jon Bortz</w:t>
      </w:r>
    </w:p>
    <w:p>
      <w:pPr>
        <w:spacing w:after="0" w:line="231"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DAVID W. FAEDER*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0"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David W. Faeder</w:t>
      </w:r>
    </w:p>
    <w:p>
      <w:pPr>
        <w:spacing w:after="0" w:line="231"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KRISTIN GAMBLE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0"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Kristin Gamble</w:t>
      </w:r>
    </w:p>
    <w:p>
      <w:pPr>
        <w:spacing w:after="0" w:line="231"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GAIL P. STEINEL*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0"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Gail P. Steinel</w:t>
      </w:r>
    </w:p>
    <w:p>
      <w:pPr>
        <w:spacing w:after="0" w:line="231"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 WARREN M.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26841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3"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Warren M. Thompson</w:t>
      </w:r>
    </w:p>
    <w:p>
      <w:pPr>
        <w:spacing w:after="0" w:line="21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620"/>
        <w:spacing w:after="0"/>
        <w:rPr>
          <w:sz w:val="20"/>
          <w:szCs w:val="20"/>
          <w:color w:val="auto"/>
        </w:rPr>
      </w:pPr>
      <w:r>
        <w:rPr>
          <w:rFonts w:ascii="Arial" w:cs="Arial" w:eastAsia="Arial" w:hAnsi="Arial"/>
          <w:sz w:val="16"/>
          <w:szCs w:val="16"/>
          <w:color w:val="auto"/>
        </w:rPr>
        <w:t>Chief Executive Officer, Trustee (Principal Executive Officer)</w:t>
      </w:r>
    </w:p>
    <w:p>
      <w:pPr>
        <w:spacing w:after="0" w:line="200" w:lineRule="exact"/>
        <w:rPr>
          <w:sz w:val="20"/>
          <w:szCs w:val="20"/>
          <w:color w:val="auto"/>
        </w:rPr>
      </w:pPr>
    </w:p>
    <w:p>
      <w:pPr>
        <w:spacing w:after="0" w:line="291" w:lineRule="exact"/>
        <w:rPr>
          <w:sz w:val="20"/>
          <w:szCs w:val="20"/>
          <w:color w:val="auto"/>
        </w:rPr>
      </w:pPr>
    </w:p>
    <w:p>
      <w:pPr>
        <w:ind w:left="220" w:hanging="215"/>
        <w:spacing w:after="0" w:line="268" w:lineRule="auto"/>
        <w:rPr>
          <w:sz w:val="20"/>
          <w:szCs w:val="20"/>
          <w:color w:val="auto"/>
        </w:rPr>
      </w:pPr>
      <w:r>
        <w:rPr>
          <w:rFonts w:ascii="Arial" w:cs="Arial" w:eastAsia="Arial" w:hAnsi="Arial"/>
          <w:sz w:val="18"/>
          <w:szCs w:val="18"/>
          <w:color w:val="auto"/>
        </w:rPr>
        <w:t>Senior Vice President, Chief Financial Officer and Treasurer (Principal Financial and Accounting Officer)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Non-Executive Chairman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June 25, 2009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June 25, 2009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June 25, 2009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June 25, 2009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June 25, 2009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June 25, 2009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June 25, 2009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June 25, 2009</w:t>
      </w:r>
    </w:p>
    <w:p>
      <w:pPr>
        <w:sectPr>
          <w:pgSz w:w="11900" w:h="16838" w:orient="portrait"/>
          <w:cols w:equalWidth="0" w:num="3">
            <w:col w:w="3740" w:space="720"/>
            <w:col w:w="5000" w:space="620"/>
            <w:col w:w="1180"/>
          </w:cols>
          <w:pgMar w:left="240" w:top="274" w:right="39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Donald C. Wood, certify that:</w:t>
      </w:r>
    </w:p>
    <w:p>
      <w:pPr>
        <w:spacing w:after="0" w:line="90"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C. Wood</w:t>
            </w:r>
          </w:p>
        </w:tc>
      </w:tr>
      <w:tr>
        <w:trPr>
          <w:trHeight w:val="217"/>
        </w:trPr>
        <w:tc>
          <w:tcPr>
            <w:tcW w:w="3240" w:type="dxa"/>
            <w:vAlign w:val="bottom"/>
          </w:tcPr>
          <w:p>
            <w:pPr>
              <w:spacing w:after="0"/>
              <w:rPr>
                <w:sz w:val="20"/>
                <w:szCs w:val="20"/>
                <w:color w:val="auto"/>
              </w:rPr>
            </w:pPr>
            <w:r>
              <w:rPr>
                <w:rFonts w:ascii="Arial" w:cs="Arial" w:eastAsia="Arial" w:hAnsi="Arial"/>
                <w:sz w:val="18"/>
                <w:szCs w:val="18"/>
                <w:color w:val="auto"/>
              </w:rPr>
              <w:t>June 25, 2009</w:t>
            </w:r>
          </w:p>
        </w:tc>
        <w:tc>
          <w:tcPr>
            <w:tcW w:w="8180" w:type="dxa"/>
            <w:vAlign w:val="bottom"/>
            <w:gridSpan w:val="2"/>
          </w:tcPr>
          <w:p>
            <w:pPr>
              <w:ind w:left="2260"/>
              <w:spacing w:after="0"/>
              <w:rPr>
                <w:sz w:val="20"/>
                <w:szCs w:val="20"/>
                <w:color w:val="auto"/>
              </w:rPr>
            </w:pPr>
            <w:r>
              <w:rPr>
                <w:rFonts w:ascii="Arial" w:cs="Arial" w:eastAsia="Arial" w:hAnsi="Arial"/>
                <w:sz w:val="18"/>
                <w:szCs w:val="18"/>
                <w:color w:val="auto"/>
              </w:rPr>
              <w:t>NAME: Donald C. Wood</w:t>
            </w:r>
          </w:p>
        </w:tc>
      </w:tr>
      <w:tr>
        <w:trPr>
          <w:trHeight w:val="216"/>
        </w:trPr>
        <w:tc>
          <w:tcPr>
            <w:tcW w:w="3240" w:type="dxa"/>
            <w:vAlign w:val="bottom"/>
          </w:tcPr>
          <w:p>
            <w:pPr>
              <w:spacing w:after="0"/>
              <w:rPr>
                <w:sz w:val="18"/>
                <w:szCs w:val="18"/>
                <w:color w:val="auto"/>
              </w:rPr>
            </w:pPr>
          </w:p>
        </w:tc>
        <w:tc>
          <w:tcPr>
            <w:tcW w:w="8180" w:type="dxa"/>
            <w:vAlign w:val="bottom"/>
            <w:gridSpan w:val="2"/>
          </w:tcPr>
          <w:p>
            <w:pPr>
              <w:ind w:left="2260"/>
              <w:spacing w:after="0"/>
              <w:rPr>
                <w:sz w:val="20"/>
                <w:szCs w:val="20"/>
                <w:color w:val="auto"/>
              </w:rPr>
            </w:pPr>
            <w:r>
              <w:rPr>
                <w:rFonts w:ascii="Arial" w:cs="Arial" w:eastAsia="Arial" w:hAnsi="Arial"/>
                <w:sz w:val="18"/>
                <w:szCs w:val="18"/>
                <w:color w:val="auto"/>
              </w:rPr>
              <w:t>TITLE:  President, Chief Executive Officer and Trustee</w:t>
            </w:r>
          </w:p>
        </w:tc>
      </w:tr>
      <w:tr>
        <w:trPr>
          <w:trHeight w:val="222"/>
        </w:trPr>
        <w:tc>
          <w:tcPr>
            <w:tcW w:w="32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Andrew P. Blocher, certify that:</w:t>
      </w:r>
    </w:p>
    <w:p>
      <w:pPr>
        <w:spacing w:after="0" w:line="90"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P. Blocher</w:t>
            </w:r>
          </w:p>
        </w:tc>
      </w:tr>
      <w:tr>
        <w:trPr>
          <w:trHeight w:val="217"/>
        </w:trPr>
        <w:tc>
          <w:tcPr>
            <w:tcW w:w="3240" w:type="dxa"/>
            <w:vAlign w:val="bottom"/>
          </w:tcPr>
          <w:p>
            <w:pPr>
              <w:spacing w:after="0"/>
              <w:rPr>
                <w:sz w:val="20"/>
                <w:szCs w:val="20"/>
                <w:color w:val="auto"/>
              </w:rPr>
            </w:pPr>
            <w:r>
              <w:rPr>
                <w:rFonts w:ascii="Arial" w:cs="Arial" w:eastAsia="Arial" w:hAnsi="Arial"/>
                <w:sz w:val="18"/>
                <w:szCs w:val="18"/>
                <w:color w:val="auto"/>
              </w:rPr>
              <w:t>June 25, 2009</w:t>
            </w:r>
          </w:p>
        </w:tc>
        <w:tc>
          <w:tcPr>
            <w:tcW w:w="8180" w:type="dxa"/>
            <w:vAlign w:val="bottom"/>
            <w:gridSpan w:val="2"/>
          </w:tcPr>
          <w:p>
            <w:pPr>
              <w:ind w:left="2260"/>
              <w:spacing w:after="0"/>
              <w:rPr>
                <w:sz w:val="20"/>
                <w:szCs w:val="20"/>
                <w:color w:val="auto"/>
              </w:rPr>
            </w:pPr>
            <w:r>
              <w:rPr>
                <w:rFonts w:ascii="Arial" w:cs="Arial" w:eastAsia="Arial" w:hAnsi="Arial"/>
                <w:sz w:val="18"/>
                <w:szCs w:val="18"/>
                <w:color w:val="auto"/>
              </w:rPr>
              <w:t>NAME: Andrew P. Blocher</w:t>
            </w:r>
          </w:p>
        </w:tc>
      </w:tr>
      <w:tr>
        <w:trPr>
          <w:trHeight w:val="216"/>
        </w:trPr>
        <w:tc>
          <w:tcPr>
            <w:tcW w:w="3240" w:type="dxa"/>
            <w:vAlign w:val="bottom"/>
          </w:tcPr>
          <w:p>
            <w:pPr>
              <w:spacing w:after="0"/>
              <w:rPr>
                <w:sz w:val="18"/>
                <w:szCs w:val="18"/>
                <w:color w:val="auto"/>
              </w:rPr>
            </w:pPr>
          </w:p>
        </w:tc>
        <w:tc>
          <w:tcPr>
            <w:tcW w:w="8180" w:type="dxa"/>
            <w:vAlign w:val="bottom"/>
            <w:gridSpan w:val="2"/>
          </w:tcPr>
          <w:p>
            <w:pPr>
              <w:ind w:left="2260"/>
              <w:spacing w:after="0"/>
              <w:rPr>
                <w:sz w:val="20"/>
                <w:szCs w:val="20"/>
                <w:color w:val="auto"/>
              </w:rPr>
            </w:pPr>
            <w:r>
              <w:rPr>
                <w:rFonts w:ascii="Arial" w:cs="Arial" w:eastAsia="Arial" w:hAnsi="Arial"/>
                <w:sz w:val="18"/>
                <w:szCs w:val="18"/>
                <w:color w:val="auto"/>
              </w:rPr>
              <w:t>TITLE:  Senior Vice President and Chief Financial Officer</w:t>
            </w:r>
          </w:p>
        </w:tc>
      </w:tr>
      <w:tr>
        <w:trPr>
          <w:trHeight w:val="222"/>
        </w:trPr>
        <w:tc>
          <w:tcPr>
            <w:tcW w:w="32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125"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Annual Report on Form 10-K/A for the period ended December 31, 2008 (the “Report”). The undersigned hereby certifies, to the best of his knowledge, that:</w:t>
      </w:r>
    </w:p>
    <w:p>
      <w:pPr>
        <w:spacing w:after="0" w:line="59"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C. Wood</w:t>
            </w:r>
          </w:p>
        </w:tc>
      </w:tr>
      <w:tr>
        <w:trPr>
          <w:trHeight w:val="217"/>
        </w:trPr>
        <w:tc>
          <w:tcPr>
            <w:tcW w:w="3240" w:type="dxa"/>
            <w:vAlign w:val="bottom"/>
          </w:tcPr>
          <w:p>
            <w:pPr>
              <w:spacing w:after="0"/>
              <w:rPr>
                <w:sz w:val="20"/>
                <w:szCs w:val="20"/>
                <w:color w:val="auto"/>
              </w:rPr>
            </w:pPr>
            <w:r>
              <w:rPr>
                <w:rFonts w:ascii="Arial" w:cs="Arial" w:eastAsia="Arial" w:hAnsi="Arial"/>
                <w:sz w:val="18"/>
                <w:szCs w:val="18"/>
                <w:color w:val="auto"/>
              </w:rPr>
              <w:t>June 25, 2009</w:t>
            </w:r>
          </w:p>
        </w:tc>
        <w:tc>
          <w:tcPr>
            <w:tcW w:w="8180" w:type="dxa"/>
            <w:vAlign w:val="bottom"/>
            <w:gridSpan w:val="2"/>
          </w:tcPr>
          <w:p>
            <w:pPr>
              <w:ind w:left="2260"/>
              <w:spacing w:after="0"/>
              <w:rPr>
                <w:sz w:val="20"/>
                <w:szCs w:val="20"/>
                <w:color w:val="auto"/>
              </w:rPr>
            </w:pPr>
            <w:r>
              <w:rPr>
                <w:rFonts w:ascii="Arial" w:cs="Arial" w:eastAsia="Arial" w:hAnsi="Arial"/>
                <w:sz w:val="18"/>
                <w:szCs w:val="18"/>
                <w:color w:val="auto"/>
              </w:rPr>
              <w:t>NAME: Donald C. Wood</w:t>
            </w:r>
          </w:p>
        </w:tc>
      </w:tr>
      <w:tr>
        <w:trPr>
          <w:trHeight w:val="216"/>
        </w:trPr>
        <w:tc>
          <w:tcPr>
            <w:tcW w:w="3240" w:type="dxa"/>
            <w:vAlign w:val="bottom"/>
          </w:tcPr>
          <w:p>
            <w:pPr>
              <w:spacing w:after="0"/>
              <w:rPr>
                <w:sz w:val="18"/>
                <w:szCs w:val="18"/>
                <w:color w:val="auto"/>
              </w:rPr>
            </w:pPr>
          </w:p>
        </w:tc>
        <w:tc>
          <w:tcPr>
            <w:tcW w:w="8180" w:type="dxa"/>
            <w:vAlign w:val="bottom"/>
            <w:gridSpan w:val="2"/>
          </w:tcPr>
          <w:p>
            <w:pPr>
              <w:ind w:left="2260"/>
              <w:spacing w:after="0"/>
              <w:rPr>
                <w:sz w:val="20"/>
                <w:szCs w:val="20"/>
                <w:color w:val="auto"/>
              </w:rPr>
            </w:pPr>
            <w:r>
              <w:rPr>
                <w:rFonts w:ascii="Arial" w:cs="Arial" w:eastAsia="Arial" w:hAnsi="Arial"/>
                <w:sz w:val="18"/>
                <w:szCs w:val="18"/>
                <w:color w:val="auto"/>
              </w:rPr>
              <w:t>TITLE:  President, Chief Executive Officer and Trustee</w:t>
            </w:r>
          </w:p>
        </w:tc>
      </w:tr>
      <w:tr>
        <w:trPr>
          <w:trHeight w:val="222"/>
        </w:trPr>
        <w:tc>
          <w:tcPr>
            <w:tcW w:w="32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undersigned, Andrew P. Blocher, the Senior Vice President and Chief Financial Officer of Federal Realty Investment Trust (the “Company”), has executed this certification in connection with the filing with the Securities and Exchange Commission of the Company’s Annual Report on Form 10-K/A for the period ended December 31, 2008 (the “Report”). The undersigned hereby certifies, to the best of his knowledge, that:</w:t>
      </w:r>
    </w:p>
    <w:p>
      <w:pPr>
        <w:spacing w:after="0" w:line="26"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P. Blocher</w:t>
            </w:r>
          </w:p>
        </w:tc>
      </w:tr>
      <w:tr>
        <w:trPr>
          <w:trHeight w:val="217"/>
        </w:trPr>
        <w:tc>
          <w:tcPr>
            <w:tcW w:w="3240" w:type="dxa"/>
            <w:vAlign w:val="bottom"/>
          </w:tcPr>
          <w:p>
            <w:pPr>
              <w:spacing w:after="0"/>
              <w:rPr>
                <w:sz w:val="20"/>
                <w:szCs w:val="20"/>
                <w:color w:val="auto"/>
              </w:rPr>
            </w:pPr>
            <w:r>
              <w:rPr>
                <w:rFonts w:ascii="Arial" w:cs="Arial" w:eastAsia="Arial" w:hAnsi="Arial"/>
                <w:sz w:val="18"/>
                <w:szCs w:val="18"/>
                <w:color w:val="auto"/>
              </w:rPr>
              <w:t>June 25, 2009</w:t>
            </w:r>
          </w:p>
        </w:tc>
        <w:tc>
          <w:tcPr>
            <w:tcW w:w="8180" w:type="dxa"/>
            <w:vAlign w:val="bottom"/>
            <w:gridSpan w:val="2"/>
          </w:tcPr>
          <w:p>
            <w:pPr>
              <w:ind w:left="2260"/>
              <w:spacing w:after="0"/>
              <w:rPr>
                <w:sz w:val="20"/>
                <w:szCs w:val="20"/>
                <w:color w:val="auto"/>
              </w:rPr>
            </w:pPr>
            <w:r>
              <w:rPr>
                <w:rFonts w:ascii="Arial" w:cs="Arial" w:eastAsia="Arial" w:hAnsi="Arial"/>
                <w:sz w:val="18"/>
                <w:szCs w:val="18"/>
                <w:color w:val="auto"/>
              </w:rPr>
              <w:t>NAME: Andrew P. Blocher</w:t>
            </w:r>
          </w:p>
        </w:tc>
      </w:tr>
      <w:tr>
        <w:trPr>
          <w:trHeight w:val="216"/>
        </w:trPr>
        <w:tc>
          <w:tcPr>
            <w:tcW w:w="3240" w:type="dxa"/>
            <w:vAlign w:val="bottom"/>
          </w:tcPr>
          <w:p>
            <w:pPr>
              <w:spacing w:after="0"/>
              <w:rPr>
                <w:sz w:val="18"/>
                <w:szCs w:val="18"/>
                <w:color w:val="auto"/>
              </w:rPr>
            </w:pPr>
          </w:p>
        </w:tc>
        <w:tc>
          <w:tcPr>
            <w:tcW w:w="8180" w:type="dxa"/>
            <w:vAlign w:val="bottom"/>
            <w:gridSpan w:val="2"/>
          </w:tcPr>
          <w:p>
            <w:pPr>
              <w:ind w:left="2260"/>
              <w:spacing w:after="0"/>
              <w:rPr>
                <w:sz w:val="20"/>
                <w:szCs w:val="20"/>
                <w:color w:val="auto"/>
              </w:rPr>
            </w:pPr>
            <w:r>
              <w:rPr>
                <w:rFonts w:ascii="Arial" w:cs="Arial" w:eastAsia="Arial" w:hAnsi="Arial"/>
                <w:sz w:val="18"/>
                <w:szCs w:val="18"/>
                <w:color w:val="auto"/>
              </w:rPr>
              <w:t>TITLE:  Senior Vice President and Chief Financial Officer</w:t>
            </w:r>
          </w:p>
        </w:tc>
      </w:tr>
      <w:tr>
        <w:trPr>
          <w:trHeight w:val="222"/>
        </w:trPr>
        <w:tc>
          <w:tcPr>
            <w:tcW w:w="32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upperLetter"/>
      <w:start w:val="1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2019-12-09T23:40:06Z</dcterms:created>
  <dcterms:modified xsi:type="dcterms:W3CDTF">2019-12-09T23:40:06Z</dcterms:modified>
</cp:coreProperties>
</file>