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November 07, 2025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Federal Realty Investment Trust</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Federal Realty OP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301/998-8100 </w:t>
      </w:r>
    </w:p>
    <w:p>
      <w:pPr>
        <w:pStyle w:val="TextBody"/>
        <w:bidi w:val="0"/>
        <w:spacing w:lineRule="auto" w:line="288" w:before="9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18"/>
        <w:gridCol w:w="1665"/>
        <w:gridCol w:w="1663"/>
        <w:gridCol w:w="448"/>
        <w:gridCol w:w="448"/>
        <w:gridCol w:w="444"/>
        <w:gridCol w:w="1057"/>
        <w:gridCol w:w="1057"/>
        <w:gridCol w:w="1505"/>
      </w:tblGrid>
      <w:tr>
        <w:trPr/>
        <w:tc>
          <w:tcPr>
            <w:tcW w:w="191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Investment Trust</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 par value per share, with associated Common Share Purchase Rights</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Depositary Shares, each representing 1/1000 of a 5.00% </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FRT-C</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C Cumulative Redeemable Preferred Stock, $.01 par value per share</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OP LP</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Principal Officers; Appointment of Principal Officers.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7, 2025, the Board of Trustees (“Board”) of Federal Realty Investment Trust (“Company”) voted to increase the size of the Board from seven to eight persons and elected Joseph D. Fisher as a Trustee to fill the newly created vacancy. Mr. Fischer has also been appointed to serve on the Board’s Compensation and Human Capital Management Committee and Audit Committee. All of the foregoing will be effective as of January 1, 2026.</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his service on the Board and Committees, Mr. Fisher will receive the same compensation as that paid to all other non-executive Trustees that do not serve as the Non-Executive Chairman of the Board.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has determined that Mr. Fisher is independent within the meaning of the New York Stock Exchange listing standards and the Company’s Corporate Governance Guidelines and qualifies as an audit committee financial expert as defined by the Securities and Exchange Commission. There is no arrangement or understanding pursuant to which Mr. Fisher was elected as a Trustee of the Company, and there are no related party transactions involving Mr. Fisher that would require disclosure under Item 404(a) of Regulation S-K.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14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7660" w:type="dxa"/>
        <w:jc w:val="center"/>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483"/>
        <w:gridCol w:w="1483"/>
        <w:gridCol w:w="210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OP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u w:val="single"/>
              </w:rPr>
              <w:t>/s/ Dawn M. Becker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Dawn M. Becker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President-Chief Legal Counsel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3462</Characters>
  <CharactersWithSpaces>4052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