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July 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93"/>
              </w:rPr>
              <w:t>Maryland</w:t>
            </w: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(301) 998-8100</w:t>
      </w:r>
    </w:p>
    <w:p>
      <w:pPr>
        <w:spacing w:after="0" w:line="9"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34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9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Federal Realty Investment Trust (the “Trust”) entered into that certain Credit Agreement, dated as of July 7, 2011 (the “Agreement”), by and among the Trust, as Borrower, the financial institutions party thereto and their permitted assignees under Section 12.6., as Lenders, Wells Fargo Bank, National Association, as Administrative Agent (the “Administrative Agent”), PNC Bank, National Association, as Syndication Agent, Wells Fargo Securities, LLC, as a Lead Arranger and Book Manager, and PNC Capital Markets LLC, as a Lead Arranger and Book Manager.</w:t>
      </w:r>
    </w:p>
    <w:p>
      <w:pPr>
        <w:spacing w:after="0" w:line="11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Agreement replaces that certain Credit Agreement, dated as of July 28, 2006 (the “Old Agreement”), by and among the Trust, as Borrower, and the lenders party thereto. The Old Agreement consisted of a $300.0 million unsecured revolving credit facility (the “Old Facility”) with a maturity date of July 27, 2011, as extended pursuant to the terms thereof. As of March 31, 2011, the Old Facility bore interest at LIBOR plus 42.5 basis points, and the spread over LIBOR was subject to adjustment based on our credit rating.</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Agreement consists of a $400.0 million unsecured revolving credit facility (the “New Facility”) with a maturity date of July 6, 2015, subject to a one-year extension at the option of the Trust. The New Facility initially bears interest at a rate of LIBOR plus 115 basis points, and the spread over LIBOR is subject to adjustment based on our credit rating. Under an accordion feature, the Trust has the option to expand the borrowing capacity under the New Facility up to $800.0 million.</w:t>
      </w:r>
    </w:p>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Agreement contains a number of restrictions on the Trust’s business, including, but not limited to, restrictions on the Trust’s ability to incur indebtedness, make investments, incur liens, engage in certain affiliate transactions, and engage in major transactions such as mergers. In addition, the Trust is subject to various financial maintenance covenants, including, but not limited to, a minimum fixed charge coverage ratio, a maximum secured indebtedness ratio, and a minimum unencumbered leverage ratio. The Agreement also contains affirmative covenants and events of default, including, but not limited to, a cross default to the Trust’s other indebtedness and the occurrence of a change of control. The Trust’s failure to comply with these covenants, or the occurrence of an event of default, could result in acceleration of the Trust’s debt and other financial obligations under the Agreement. The Old Agreement contained covenants and events of default similar to the foregoing.</w:t>
      </w:r>
    </w:p>
    <w:p>
      <w:pPr>
        <w:spacing w:after="0" w:line="14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Affiliates of certain lenders under the Agreement have served, and may serve in the future, as underwriters in connection with public offerings of equity and debt securities by the Trust, and an affiliate of the Administrative Agent serves as agent and/or principal pursuant to an equity distribution agreement in connection with the Trust’s “at the market” equity program. In addition, affiliates of certain lenders under the Agreement have provided from time to time, and may provide in the future, investment and commercial banking and financial advisory services to the Trust or its affiliates in the ordinary course of business for which they have received and may continue to receive customary fees and commissions.</w:t>
      </w:r>
    </w:p>
    <w:p>
      <w:pPr>
        <w:spacing w:after="0" w:line="1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foregoing does not constitute a complete summary of the terms and conditions of the Agreement, which is attached hereto as Exhibit 10.1, or of the Old Agreement, which was attached as Exhibit 10.1 to the Trust’s Current Report on Form 8-K filed with the Securities and Exchange Commission on July 31, 2006. The description contained herein of the terms and conditions of the Agreement and Old Agreement is qualified in its entirety by reference to the Agreement and Old Agreement,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required by this Item 1.02 is included in Item 1.01 and incorporated herein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required by this Item 2.03 is included in Item 1.01 and incorporated herein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Exhibits are included in the Form 8-K:</w:t>
      </w:r>
    </w:p>
    <w:p>
      <w:pPr>
        <w:spacing w:after="0" w:line="207" w:lineRule="exact"/>
        <w:rPr>
          <w:sz w:val="20"/>
          <w:szCs w:val="20"/>
          <w:color w:val="auto"/>
        </w:rPr>
      </w:pPr>
    </w:p>
    <w:p>
      <w:pPr>
        <w:ind w:left="320"/>
        <w:spacing w:after="0"/>
        <w:tabs>
          <w:tab w:leader="none" w:pos="574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 of Exhibit</w:t>
      </w:r>
    </w:p>
    <w:p>
      <w:pPr>
        <w:spacing w:after="0" w:line="114" w:lineRule="exact"/>
        <w:rPr>
          <w:sz w:val="20"/>
          <w:szCs w:val="20"/>
          <w:color w:val="auto"/>
        </w:rPr>
      </w:pPr>
    </w:p>
    <w:p>
      <w:pPr>
        <w:ind w:left="1380" w:hanging="1377"/>
        <w:spacing w:after="0" w:line="256" w:lineRule="auto"/>
        <w:tabs>
          <w:tab w:leader="none" w:pos="136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8"/>
          <w:szCs w:val="18"/>
          <w:color w:val="auto"/>
        </w:rPr>
        <w:t>Credit Agreement, dated as of July 7, 2011, by and among Federal Realty Investment Trust, as Borrower, the financial institutions party thereto and their permitted assignees under Section 12.6., as Lenders, Wells Fargo Bank, National Association, as Administrative Agent, PNC Bank, National Association, as Syndication Agent, Wells Fargo Securities, LLC, as a Lead Arranger and Book Manager, and PNC Capital Markets LLC, as a Lead Arranger and Book Manager</w:t>
      </w:r>
    </w:p>
    <w:p>
      <w:pPr>
        <w:sectPr>
          <w:pgSz w:w="11900" w:h="16838" w:orient="portrait"/>
          <w:cols w:equalWidth="0" w:num="1">
            <w:col w:w="11360"/>
          </w:cols>
          <w:pgMar w:left="240" w:top="280" w:right="2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July 11, 2011</w:t>
      </w:r>
      <w:r>
        <w:rPr>
          <w:sz w:val="20"/>
          <w:szCs w:val="20"/>
          <w:color w:val="auto"/>
        </w:rPr>
        <w:tab/>
      </w:r>
      <w:r>
        <w:rPr>
          <w:rFonts w:ascii="Arial" w:cs="Arial" w:eastAsia="Arial" w:hAnsi="Arial"/>
          <w:sz w:val="16"/>
          <w:szCs w:val="16"/>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74"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Loan Number: 1004039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114300</wp:posOffset>
            </wp:positionV>
            <wp:extent cx="634365" cy="643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436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165735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CREDIT AGREEMENT</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Dated as of July 7, 2011</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and among</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FINANCIAL INSTITUTIONS PARTY HERETO</w:t>
      </w:r>
    </w:p>
    <w:p>
      <w:pPr>
        <w:spacing w:after="0" w:line="1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AND THEIR PERMITTED ASSIGNEES UNDER SECTION 12.6.,</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as Lenders,</w:t>
      </w:r>
    </w:p>
    <w:p>
      <w:pPr>
        <w:spacing w:after="0" w:line="165"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as Administrative Agent,</w:t>
      </w:r>
    </w:p>
    <w:p>
      <w:pPr>
        <w:spacing w:after="0" w:line="165"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PNC BANK, NATIONAL ASSOCIATION,</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as Syndication Agent,</w:t>
      </w:r>
    </w:p>
    <w:p>
      <w:pPr>
        <w:spacing w:after="0" w:line="16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as a Lead Arranger and Book Manager,</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PNC CAPITAL MARKETS LLC,</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as a Lead Arranger and Book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135890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170180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2"/>
        </w:trPr>
        <w:tc>
          <w:tcPr>
            <w:tcW w:w="1520" w:type="dxa"/>
            <w:vAlign w:val="bottom"/>
          </w:tcPr>
          <w:p>
            <w:pPr>
              <w:spacing w:after="0"/>
              <w:rPr>
                <w:sz w:val="19"/>
                <w:szCs w:val="19"/>
                <w:color w:val="auto"/>
              </w:rPr>
            </w:pPr>
          </w:p>
        </w:tc>
        <w:tc>
          <w:tcPr>
            <w:tcW w:w="7580" w:type="dxa"/>
            <w:vAlign w:val="bottom"/>
          </w:tcPr>
          <w:p>
            <w:pPr>
              <w:ind w:left="3300"/>
              <w:spacing w:after="0"/>
              <w:rPr>
                <w:sz w:val="20"/>
                <w:szCs w:val="20"/>
                <w:color w:val="auto"/>
              </w:rPr>
            </w:pPr>
            <w:r>
              <w:rPr>
                <w:rFonts w:ascii="Arial" w:cs="Arial" w:eastAsia="Arial" w:hAnsi="Arial"/>
                <w:sz w:val="18"/>
                <w:szCs w:val="18"/>
                <w:color w:val="auto"/>
              </w:rPr>
              <w:t>TABLE OF CONTENTS</w:t>
            </w:r>
          </w:p>
        </w:tc>
        <w:tc>
          <w:tcPr>
            <w:tcW w:w="2220" w:type="dxa"/>
            <w:vAlign w:val="bottom"/>
          </w:tcPr>
          <w:p>
            <w:pPr>
              <w:spacing w:after="0"/>
              <w:rPr>
                <w:sz w:val="19"/>
                <w:szCs w:val="19"/>
                <w:color w:val="auto"/>
              </w:rPr>
            </w:pPr>
          </w:p>
        </w:tc>
      </w:tr>
      <w:tr>
        <w:trPr>
          <w:trHeight w:val="419"/>
        </w:trPr>
        <w:tc>
          <w:tcPr>
            <w:tcW w:w="1520" w:type="dxa"/>
            <w:vAlign w:val="bottom"/>
          </w:tcPr>
          <w:p>
            <w:pPr>
              <w:spacing w:after="0"/>
              <w:rPr>
                <w:sz w:val="20"/>
                <w:szCs w:val="20"/>
                <w:color w:val="auto"/>
              </w:rPr>
            </w:pPr>
            <w:r>
              <w:rPr>
                <w:rFonts w:ascii="Arial" w:cs="Arial" w:eastAsia="Arial" w:hAnsi="Arial"/>
                <w:sz w:val="18"/>
                <w:szCs w:val="18"/>
                <w:color w:val="auto"/>
                <w:w w:val="97"/>
              </w:rPr>
              <w:t>Article I. Definitions</w:t>
            </w:r>
          </w:p>
        </w:tc>
        <w:tc>
          <w:tcPr>
            <w:tcW w:w="758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520" w:type="dxa"/>
            <w:vAlign w:val="bottom"/>
          </w:tcPr>
          <w:p>
            <w:pPr>
              <w:ind w:left="440"/>
              <w:spacing w:after="0"/>
              <w:rPr>
                <w:sz w:val="20"/>
                <w:szCs w:val="20"/>
                <w:color w:val="auto"/>
              </w:rPr>
            </w:pPr>
            <w:r>
              <w:rPr>
                <w:rFonts w:ascii="Arial" w:cs="Arial" w:eastAsia="Arial" w:hAnsi="Arial"/>
                <w:sz w:val="18"/>
                <w:szCs w:val="18"/>
                <w:color w:val="auto"/>
              </w:rPr>
              <w:t>Section 1.1.</w:t>
            </w:r>
          </w:p>
        </w:tc>
        <w:tc>
          <w:tcPr>
            <w:tcW w:w="758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2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1.2.</w:t>
            </w:r>
          </w:p>
        </w:tc>
        <w:tc>
          <w:tcPr>
            <w:tcW w:w="7580" w:type="dxa"/>
            <w:vAlign w:val="bottom"/>
          </w:tcPr>
          <w:p>
            <w:pPr>
              <w:ind w:left="60"/>
              <w:spacing w:after="0"/>
              <w:rPr>
                <w:sz w:val="20"/>
                <w:szCs w:val="20"/>
                <w:color w:val="auto"/>
              </w:rPr>
            </w:pPr>
            <w:r>
              <w:rPr>
                <w:rFonts w:ascii="Arial" w:cs="Arial" w:eastAsia="Arial" w:hAnsi="Arial"/>
                <w:sz w:val="18"/>
                <w:szCs w:val="18"/>
                <w:color w:val="auto"/>
              </w:rPr>
              <w:t>General; References to Pacific Time</w:t>
            </w:r>
          </w:p>
        </w:tc>
        <w:tc>
          <w:tcPr>
            <w:tcW w:w="2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1520" w:type="dxa"/>
            <w:vAlign w:val="bottom"/>
          </w:tcPr>
          <w:p>
            <w:pPr>
              <w:ind w:left="440"/>
              <w:spacing w:after="0"/>
              <w:rPr>
                <w:sz w:val="20"/>
                <w:szCs w:val="20"/>
                <w:color w:val="auto"/>
              </w:rPr>
            </w:pPr>
            <w:r>
              <w:rPr>
                <w:rFonts w:ascii="Arial" w:cs="Arial" w:eastAsia="Arial" w:hAnsi="Arial"/>
                <w:sz w:val="18"/>
                <w:szCs w:val="18"/>
                <w:color w:val="auto"/>
              </w:rPr>
              <w:t>Section 1.3.</w:t>
            </w:r>
          </w:p>
        </w:tc>
        <w:tc>
          <w:tcPr>
            <w:tcW w:w="7580" w:type="dxa"/>
            <w:vAlign w:val="bottom"/>
          </w:tcPr>
          <w:p>
            <w:pPr>
              <w:ind w:left="60"/>
              <w:spacing w:after="0"/>
              <w:rPr>
                <w:sz w:val="20"/>
                <w:szCs w:val="20"/>
                <w:color w:val="auto"/>
              </w:rPr>
            </w:pPr>
            <w:r>
              <w:rPr>
                <w:rFonts w:ascii="Arial" w:cs="Arial" w:eastAsia="Arial" w:hAnsi="Arial"/>
                <w:sz w:val="18"/>
                <w:szCs w:val="18"/>
                <w:color w:val="auto"/>
              </w:rPr>
              <w:t>Financial Attributes of Non-Wholly Owned Subsidiaries</w:t>
            </w:r>
          </w:p>
        </w:tc>
        <w:tc>
          <w:tcPr>
            <w:tcW w:w="2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II. Credit Facility</w:t>
            </w:r>
          </w:p>
        </w:tc>
        <w:tc>
          <w:tcPr>
            <w:tcW w:w="2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1520" w:type="dxa"/>
            <w:vAlign w:val="bottom"/>
          </w:tcPr>
          <w:p>
            <w:pPr>
              <w:ind w:left="440"/>
              <w:spacing w:after="0"/>
              <w:rPr>
                <w:sz w:val="20"/>
                <w:szCs w:val="20"/>
                <w:color w:val="auto"/>
              </w:rPr>
            </w:pPr>
            <w:r>
              <w:rPr>
                <w:rFonts w:ascii="Arial" w:cs="Arial" w:eastAsia="Arial" w:hAnsi="Arial"/>
                <w:sz w:val="18"/>
                <w:szCs w:val="18"/>
                <w:color w:val="auto"/>
              </w:rPr>
              <w:t>Section 2.1.</w:t>
            </w:r>
          </w:p>
        </w:tc>
        <w:tc>
          <w:tcPr>
            <w:tcW w:w="7580" w:type="dxa"/>
            <w:vAlign w:val="bottom"/>
          </w:tcPr>
          <w:p>
            <w:pPr>
              <w:ind w:left="60"/>
              <w:spacing w:after="0"/>
              <w:rPr>
                <w:sz w:val="20"/>
                <w:szCs w:val="20"/>
                <w:color w:val="auto"/>
              </w:rPr>
            </w:pPr>
            <w:r>
              <w:rPr>
                <w:rFonts w:ascii="Arial" w:cs="Arial" w:eastAsia="Arial" w:hAnsi="Arial"/>
                <w:sz w:val="18"/>
                <w:szCs w:val="18"/>
                <w:color w:val="auto"/>
              </w:rPr>
              <w:t>Revolving Loans</w:t>
            </w:r>
          </w:p>
        </w:tc>
        <w:tc>
          <w:tcPr>
            <w:tcW w:w="2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2.2.</w:t>
            </w:r>
          </w:p>
        </w:tc>
        <w:tc>
          <w:tcPr>
            <w:tcW w:w="7580" w:type="dxa"/>
            <w:vAlign w:val="bottom"/>
          </w:tcPr>
          <w:p>
            <w:pPr>
              <w:ind w:left="60"/>
              <w:spacing w:after="0"/>
              <w:rPr>
                <w:sz w:val="20"/>
                <w:szCs w:val="20"/>
                <w:color w:val="auto"/>
              </w:rPr>
            </w:pPr>
            <w:r>
              <w:rPr>
                <w:rFonts w:ascii="Arial" w:cs="Arial" w:eastAsia="Arial" w:hAnsi="Arial"/>
                <w:sz w:val="18"/>
                <w:szCs w:val="18"/>
                <w:color w:val="auto"/>
              </w:rPr>
              <w:t>Bid Rate Loans</w:t>
            </w:r>
          </w:p>
        </w:tc>
        <w:tc>
          <w:tcPr>
            <w:tcW w:w="2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2.3.</w:t>
            </w:r>
          </w:p>
        </w:tc>
        <w:tc>
          <w:tcPr>
            <w:tcW w:w="7580" w:type="dxa"/>
            <w:vAlign w:val="bottom"/>
          </w:tcPr>
          <w:p>
            <w:pPr>
              <w:ind w:left="60"/>
              <w:spacing w:after="0"/>
              <w:rPr>
                <w:sz w:val="20"/>
                <w:szCs w:val="20"/>
                <w:color w:val="auto"/>
              </w:rPr>
            </w:pPr>
            <w:r>
              <w:rPr>
                <w:rFonts w:ascii="Arial" w:cs="Arial" w:eastAsia="Arial" w:hAnsi="Arial"/>
                <w:sz w:val="18"/>
                <w:szCs w:val="18"/>
                <w:color w:val="auto"/>
              </w:rPr>
              <w:t>Letters of Credit</w:t>
            </w:r>
          </w:p>
        </w:tc>
        <w:tc>
          <w:tcPr>
            <w:tcW w:w="2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2.4.</w:t>
            </w:r>
          </w:p>
        </w:tc>
        <w:tc>
          <w:tcPr>
            <w:tcW w:w="7580" w:type="dxa"/>
            <w:vAlign w:val="bottom"/>
          </w:tcPr>
          <w:p>
            <w:pPr>
              <w:ind w:left="60"/>
              <w:spacing w:after="0"/>
              <w:rPr>
                <w:sz w:val="20"/>
                <w:szCs w:val="20"/>
                <w:color w:val="auto"/>
              </w:rPr>
            </w:pPr>
            <w:r>
              <w:rPr>
                <w:rFonts w:ascii="Arial" w:cs="Arial" w:eastAsia="Arial" w:hAnsi="Arial"/>
                <w:sz w:val="18"/>
                <w:szCs w:val="18"/>
                <w:color w:val="auto"/>
              </w:rPr>
              <w:t>Swingline Loans</w:t>
            </w:r>
          </w:p>
        </w:tc>
        <w:tc>
          <w:tcPr>
            <w:tcW w:w="2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2.5.</w:t>
            </w:r>
          </w:p>
        </w:tc>
        <w:tc>
          <w:tcPr>
            <w:tcW w:w="7580" w:type="dxa"/>
            <w:vAlign w:val="bottom"/>
          </w:tcPr>
          <w:p>
            <w:pPr>
              <w:ind w:left="60"/>
              <w:spacing w:after="0"/>
              <w:rPr>
                <w:sz w:val="20"/>
                <w:szCs w:val="20"/>
                <w:color w:val="auto"/>
              </w:rPr>
            </w:pPr>
            <w:r>
              <w:rPr>
                <w:rFonts w:ascii="Arial" w:cs="Arial" w:eastAsia="Arial" w:hAnsi="Arial"/>
                <w:sz w:val="18"/>
                <w:szCs w:val="18"/>
                <w:color w:val="auto"/>
              </w:rPr>
              <w:t>Rates and Payment of Interest on Loans</w:t>
            </w:r>
          </w:p>
        </w:tc>
        <w:tc>
          <w:tcPr>
            <w:tcW w:w="2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2.6.</w:t>
            </w:r>
          </w:p>
        </w:tc>
        <w:tc>
          <w:tcPr>
            <w:tcW w:w="7580" w:type="dxa"/>
            <w:vAlign w:val="bottom"/>
          </w:tcPr>
          <w:p>
            <w:pPr>
              <w:ind w:left="60"/>
              <w:spacing w:after="0"/>
              <w:rPr>
                <w:sz w:val="20"/>
                <w:szCs w:val="20"/>
                <w:color w:val="auto"/>
              </w:rPr>
            </w:pPr>
            <w:r>
              <w:rPr>
                <w:rFonts w:ascii="Arial" w:cs="Arial" w:eastAsia="Arial" w:hAnsi="Arial"/>
                <w:sz w:val="18"/>
                <w:szCs w:val="18"/>
                <w:color w:val="auto"/>
              </w:rPr>
              <w:t>Number of Interest Periods</w:t>
            </w:r>
          </w:p>
        </w:tc>
        <w:tc>
          <w:tcPr>
            <w:tcW w:w="2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2.7.</w:t>
            </w:r>
          </w:p>
        </w:tc>
        <w:tc>
          <w:tcPr>
            <w:tcW w:w="7580" w:type="dxa"/>
            <w:vAlign w:val="bottom"/>
          </w:tcPr>
          <w:p>
            <w:pPr>
              <w:ind w:left="60"/>
              <w:spacing w:after="0"/>
              <w:rPr>
                <w:sz w:val="20"/>
                <w:szCs w:val="20"/>
                <w:color w:val="auto"/>
              </w:rPr>
            </w:pPr>
            <w:r>
              <w:rPr>
                <w:rFonts w:ascii="Arial" w:cs="Arial" w:eastAsia="Arial" w:hAnsi="Arial"/>
                <w:sz w:val="18"/>
                <w:szCs w:val="18"/>
                <w:color w:val="auto"/>
              </w:rPr>
              <w:t>Repayment of Loans</w:t>
            </w:r>
          </w:p>
        </w:tc>
        <w:tc>
          <w:tcPr>
            <w:tcW w:w="2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2.8.</w:t>
            </w:r>
          </w:p>
        </w:tc>
        <w:tc>
          <w:tcPr>
            <w:tcW w:w="7580" w:type="dxa"/>
            <w:vAlign w:val="bottom"/>
          </w:tcPr>
          <w:p>
            <w:pPr>
              <w:ind w:left="60"/>
              <w:spacing w:after="0"/>
              <w:rPr>
                <w:sz w:val="20"/>
                <w:szCs w:val="20"/>
                <w:color w:val="auto"/>
              </w:rPr>
            </w:pPr>
            <w:r>
              <w:rPr>
                <w:rFonts w:ascii="Arial" w:cs="Arial" w:eastAsia="Arial" w:hAnsi="Arial"/>
                <w:sz w:val="18"/>
                <w:szCs w:val="18"/>
                <w:color w:val="auto"/>
              </w:rPr>
              <w:t>Prepayments</w:t>
            </w:r>
          </w:p>
        </w:tc>
        <w:tc>
          <w:tcPr>
            <w:tcW w:w="2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2.9.</w:t>
            </w:r>
          </w:p>
        </w:tc>
        <w:tc>
          <w:tcPr>
            <w:tcW w:w="7580" w:type="dxa"/>
            <w:vAlign w:val="bottom"/>
          </w:tcPr>
          <w:p>
            <w:pPr>
              <w:ind w:left="60"/>
              <w:spacing w:after="0"/>
              <w:rPr>
                <w:sz w:val="20"/>
                <w:szCs w:val="20"/>
                <w:color w:val="auto"/>
              </w:rPr>
            </w:pPr>
            <w:r>
              <w:rPr>
                <w:rFonts w:ascii="Arial" w:cs="Arial" w:eastAsia="Arial" w:hAnsi="Arial"/>
                <w:sz w:val="18"/>
                <w:szCs w:val="18"/>
                <w:color w:val="auto"/>
              </w:rPr>
              <w:t>Continuation</w:t>
            </w:r>
          </w:p>
        </w:tc>
        <w:tc>
          <w:tcPr>
            <w:tcW w:w="2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2.10.</w:t>
            </w:r>
          </w:p>
        </w:tc>
        <w:tc>
          <w:tcPr>
            <w:tcW w:w="7580" w:type="dxa"/>
            <w:vAlign w:val="bottom"/>
          </w:tcPr>
          <w:p>
            <w:pPr>
              <w:ind w:left="60"/>
              <w:spacing w:after="0"/>
              <w:rPr>
                <w:sz w:val="20"/>
                <w:szCs w:val="20"/>
                <w:color w:val="auto"/>
              </w:rPr>
            </w:pPr>
            <w:r>
              <w:rPr>
                <w:rFonts w:ascii="Arial" w:cs="Arial" w:eastAsia="Arial" w:hAnsi="Arial"/>
                <w:sz w:val="18"/>
                <w:szCs w:val="18"/>
                <w:color w:val="auto"/>
              </w:rPr>
              <w:t>Conversion</w:t>
            </w:r>
          </w:p>
        </w:tc>
        <w:tc>
          <w:tcPr>
            <w:tcW w:w="2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2.11.</w:t>
            </w:r>
          </w:p>
        </w:tc>
        <w:tc>
          <w:tcPr>
            <w:tcW w:w="7580" w:type="dxa"/>
            <w:vAlign w:val="bottom"/>
          </w:tcPr>
          <w:p>
            <w:pPr>
              <w:ind w:left="60"/>
              <w:spacing w:after="0"/>
              <w:rPr>
                <w:sz w:val="20"/>
                <w:szCs w:val="20"/>
                <w:color w:val="auto"/>
              </w:rPr>
            </w:pPr>
            <w:r>
              <w:rPr>
                <w:rFonts w:ascii="Arial" w:cs="Arial" w:eastAsia="Arial" w:hAnsi="Arial"/>
                <w:sz w:val="18"/>
                <w:szCs w:val="18"/>
                <w:color w:val="auto"/>
              </w:rPr>
              <w:t>Notes</w:t>
            </w:r>
          </w:p>
        </w:tc>
        <w:tc>
          <w:tcPr>
            <w:tcW w:w="2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2.12.</w:t>
            </w:r>
          </w:p>
        </w:tc>
        <w:tc>
          <w:tcPr>
            <w:tcW w:w="7580" w:type="dxa"/>
            <w:vAlign w:val="bottom"/>
          </w:tcPr>
          <w:p>
            <w:pPr>
              <w:ind w:left="60"/>
              <w:spacing w:after="0"/>
              <w:rPr>
                <w:sz w:val="20"/>
                <w:szCs w:val="20"/>
                <w:color w:val="auto"/>
              </w:rPr>
            </w:pPr>
            <w:r>
              <w:rPr>
                <w:rFonts w:ascii="Arial" w:cs="Arial" w:eastAsia="Arial" w:hAnsi="Arial"/>
                <w:sz w:val="18"/>
                <w:szCs w:val="18"/>
                <w:color w:val="auto"/>
              </w:rPr>
              <w:t>Voluntary Reductions of the Revolving Commitment</w:t>
            </w:r>
          </w:p>
        </w:tc>
        <w:tc>
          <w:tcPr>
            <w:tcW w:w="2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2.13.</w:t>
            </w:r>
          </w:p>
        </w:tc>
        <w:tc>
          <w:tcPr>
            <w:tcW w:w="7580" w:type="dxa"/>
            <w:vAlign w:val="bottom"/>
          </w:tcPr>
          <w:p>
            <w:pPr>
              <w:ind w:left="60"/>
              <w:spacing w:after="0"/>
              <w:rPr>
                <w:sz w:val="20"/>
                <w:szCs w:val="20"/>
                <w:color w:val="auto"/>
              </w:rPr>
            </w:pPr>
            <w:r>
              <w:rPr>
                <w:rFonts w:ascii="Arial" w:cs="Arial" w:eastAsia="Arial" w:hAnsi="Arial"/>
                <w:sz w:val="18"/>
                <w:szCs w:val="18"/>
                <w:color w:val="auto"/>
              </w:rPr>
              <w:t>Extension of Revolving Termination Date</w:t>
            </w:r>
          </w:p>
        </w:tc>
        <w:tc>
          <w:tcPr>
            <w:tcW w:w="2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2.14.</w:t>
            </w:r>
          </w:p>
        </w:tc>
        <w:tc>
          <w:tcPr>
            <w:tcW w:w="7580" w:type="dxa"/>
            <w:vAlign w:val="bottom"/>
          </w:tcPr>
          <w:p>
            <w:pPr>
              <w:ind w:left="60"/>
              <w:spacing w:after="0"/>
              <w:rPr>
                <w:sz w:val="20"/>
                <w:szCs w:val="20"/>
                <w:color w:val="auto"/>
              </w:rPr>
            </w:pPr>
            <w:r>
              <w:rPr>
                <w:rFonts w:ascii="Arial" w:cs="Arial" w:eastAsia="Arial" w:hAnsi="Arial"/>
                <w:sz w:val="18"/>
                <w:szCs w:val="18"/>
                <w:color w:val="auto"/>
              </w:rPr>
              <w:t>Expiration Date of Letters of Credit Past Revolving Commitment Termination</w:t>
            </w:r>
          </w:p>
        </w:tc>
        <w:tc>
          <w:tcPr>
            <w:tcW w:w="2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2.15.</w:t>
            </w:r>
          </w:p>
        </w:tc>
        <w:tc>
          <w:tcPr>
            <w:tcW w:w="7580" w:type="dxa"/>
            <w:vAlign w:val="bottom"/>
          </w:tcPr>
          <w:p>
            <w:pPr>
              <w:ind w:left="60"/>
              <w:spacing w:after="0"/>
              <w:rPr>
                <w:sz w:val="20"/>
                <w:szCs w:val="20"/>
                <w:color w:val="auto"/>
              </w:rPr>
            </w:pPr>
            <w:r>
              <w:rPr>
                <w:rFonts w:ascii="Arial" w:cs="Arial" w:eastAsia="Arial" w:hAnsi="Arial"/>
                <w:sz w:val="18"/>
                <w:szCs w:val="18"/>
                <w:color w:val="auto"/>
              </w:rPr>
              <w:t>Amount Limitations</w:t>
            </w:r>
          </w:p>
        </w:tc>
        <w:tc>
          <w:tcPr>
            <w:tcW w:w="2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2.16.</w:t>
            </w:r>
          </w:p>
        </w:tc>
        <w:tc>
          <w:tcPr>
            <w:tcW w:w="7580" w:type="dxa"/>
            <w:vAlign w:val="bottom"/>
          </w:tcPr>
          <w:p>
            <w:pPr>
              <w:ind w:left="60"/>
              <w:spacing w:after="0"/>
              <w:rPr>
                <w:sz w:val="20"/>
                <w:szCs w:val="20"/>
                <w:color w:val="auto"/>
              </w:rPr>
            </w:pPr>
            <w:r>
              <w:rPr>
                <w:rFonts w:ascii="Arial" w:cs="Arial" w:eastAsia="Arial" w:hAnsi="Arial"/>
                <w:sz w:val="18"/>
                <w:szCs w:val="18"/>
                <w:color w:val="auto"/>
              </w:rPr>
              <w:t>Increase in Revolving Commitments</w:t>
            </w:r>
          </w:p>
        </w:tc>
        <w:tc>
          <w:tcPr>
            <w:tcW w:w="2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2"/>
        </w:trPr>
        <w:tc>
          <w:tcPr>
            <w:tcW w:w="1520" w:type="dxa"/>
            <w:vAlign w:val="bottom"/>
          </w:tcPr>
          <w:p>
            <w:pPr>
              <w:ind w:left="440"/>
              <w:spacing w:after="0"/>
              <w:rPr>
                <w:sz w:val="20"/>
                <w:szCs w:val="20"/>
                <w:color w:val="auto"/>
              </w:rPr>
            </w:pPr>
            <w:r>
              <w:rPr>
                <w:rFonts w:ascii="Arial" w:cs="Arial" w:eastAsia="Arial" w:hAnsi="Arial"/>
                <w:sz w:val="18"/>
                <w:szCs w:val="18"/>
                <w:color w:val="auto"/>
              </w:rPr>
              <w:t>Section 2.17.</w:t>
            </w:r>
          </w:p>
        </w:tc>
        <w:tc>
          <w:tcPr>
            <w:tcW w:w="7580" w:type="dxa"/>
            <w:vAlign w:val="bottom"/>
          </w:tcPr>
          <w:p>
            <w:pPr>
              <w:ind w:left="60"/>
              <w:spacing w:after="0"/>
              <w:rPr>
                <w:sz w:val="20"/>
                <w:szCs w:val="20"/>
                <w:color w:val="auto"/>
              </w:rPr>
            </w:pPr>
            <w:r>
              <w:rPr>
                <w:rFonts w:ascii="Arial" w:cs="Arial" w:eastAsia="Arial" w:hAnsi="Arial"/>
                <w:sz w:val="18"/>
                <w:szCs w:val="18"/>
                <w:color w:val="auto"/>
              </w:rPr>
              <w:t>Funds Transfer Disbursements</w:t>
            </w:r>
          </w:p>
        </w:tc>
        <w:tc>
          <w:tcPr>
            <w:tcW w:w="2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III. Payments, Fees and Other General Provisions</w:t>
            </w:r>
          </w:p>
        </w:tc>
        <w:tc>
          <w:tcPr>
            <w:tcW w:w="2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8"/>
        </w:trPr>
        <w:tc>
          <w:tcPr>
            <w:tcW w:w="1520" w:type="dxa"/>
            <w:vAlign w:val="bottom"/>
          </w:tcPr>
          <w:p>
            <w:pPr>
              <w:ind w:left="440"/>
              <w:spacing w:after="0"/>
              <w:rPr>
                <w:sz w:val="20"/>
                <w:szCs w:val="20"/>
                <w:color w:val="auto"/>
              </w:rPr>
            </w:pPr>
            <w:r>
              <w:rPr>
                <w:rFonts w:ascii="Arial" w:cs="Arial" w:eastAsia="Arial" w:hAnsi="Arial"/>
                <w:sz w:val="18"/>
                <w:szCs w:val="18"/>
                <w:color w:val="auto"/>
              </w:rPr>
              <w:t>Section 3.1.</w:t>
            </w:r>
          </w:p>
        </w:tc>
        <w:tc>
          <w:tcPr>
            <w:tcW w:w="7580" w:type="dxa"/>
            <w:vAlign w:val="bottom"/>
          </w:tcPr>
          <w:p>
            <w:pPr>
              <w:ind w:left="60"/>
              <w:spacing w:after="0"/>
              <w:rPr>
                <w:sz w:val="20"/>
                <w:szCs w:val="20"/>
                <w:color w:val="auto"/>
              </w:rPr>
            </w:pPr>
            <w:r>
              <w:rPr>
                <w:rFonts w:ascii="Arial" w:cs="Arial" w:eastAsia="Arial" w:hAnsi="Arial"/>
                <w:sz w:val="18"/>
                <w:szCs w:val="18"/>
                <w:color w:val="auto"/>
              </w:rPr>
              <w:t>Payments</w:t>
            </w:r>
          </w:p>
        </w:tc>
        <w:tc>
          <w:tcPr>
            <w:tcW w:w="2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3.2.</w:t>
            </w:r>
          </w:p>
        </w:tc>
        <w:tc>
          <w:tcPr>
            <w:tcW w:w="7580" w:type="dxa"/>
            <w:vAlign w:val="bottom"/>
          </w:tcPr>
          <w:p>
            <w:pPr>
              <w:ind w:left="60"/>
              <w:spacing w:after="0"/>
              <w:rPr>
                <w:sz w:val="20"/>
                <w:szCs w:val="20"/>
                <w:color w:val="auto"/>
              </w:rPr>
            </w:pPr>
            <w:r>
              <w:rPr>
                <w:rFonts w:ascii="Arial" w:cs="Arial" w:eastAsia="Arial" w:hAnsi="Arial"/>
                <w:sz w:val="18"/>
                <w:szCs w:val="18"/>
                <w:color w:val="auto"/>
              </w:rPr>
              <w:t>Pro Rata Treatment</w:t>
            </w:r>
          </w:p>
        </w:tc>
        <w:tc>
          <w:tcPr>
            <w:tcW w:w="2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3.3.</w:t>
            </w:r>
          </w:p>
        </w:tc>
        <w:tc>
          <w:tcPr>
            <w:tcW w:w="7580" w:type="dxa"/>
            <w:vAlign w:val="bottom"/>
          </w:tcPr>
          <w:p>
            <w:pPr>
              <w:ind w:left="60"/>
              <w:spacing w:after="0"/>
              <w:rPr>
                <w:sz w:val="20"/>
                <w:szCs w:val="20"/>
                <w:color w:val="auto"/>
              </w:rPr>
            </w:pPr>
            <w:r>
              <w:rPr>
                <w:rFonts w:ascii="Arial" w:cs="Arial" w:eastAsia="Arial" w:hAnsi="Arial"/>
                <w:sz w:val="18"/>
                <w:szCs w:val="18"/>
                <w:color w:val="auto"/>
              </w:rPr>
              <w:t>Sharing of Payments, Etc.</w:t>
            </w:r>
          </w:p>
        </w:tc>
        <w:tc>
          <w:tcPr>
            <w:tcW w:w="2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3.4.</w:t>
            </w:r>
          </w:p>
        </w:tc>
        <w:tc>
          <w:tcPr>
            <w:tcW w:w="7580" w:type="dxa"/>
            <w:vAlign w:val="bottom"/>
          </w:tcPr>
          <w:p>
            <w:pPr>
              <w:ind w:left="60"/>
              <w:spacing w:after="0"/>
              <w:rPr>
                <w:sz w:val="20"/>
                <w:szCs w:val="20"/>
                <w:color w:val="auto"/>
              </w:rPr>
            </w:pPr>
            <w:r>
              <w:rPr>
                <w:rFonts w:ascii="Arial" w:cs="Arial" w:eastAsia="Arial" w:hAnsi="Arial"/>
                <w:sz w:val="18"/>
                <w:szCs w:val="18"/>
                <w:color w:val="auto"/>
              </w:rPr>
              <w:t>Several Obligations</w:t>
            </w:r>
          </w:p>
        </w:tc>
        <w:tc>
          <w:tcPr>
            <w:tcW w:w="2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3.5.</w:t>
            </w:r>
          </w:p>
        </w:tc>
        <w:tc>
          <w:tcPr>
            <w:tcW w:w="7580" w:type="dxa"/>
            <w:vAlign w:val="bottom"/>
          </w:tcPr>
          <w:p>
            <w:pPr>
              <w:ind w:left="60"/>
              <w:spacing w:after="0"/>
              <w:rPr>
                <w:sz w:val="20"/>
                <w:szCs w:val="20"/>
                <w:color w:val="auto"/>
              </w:rPr>
            </w:pPr>
            <w:r>
              <w:rPr>
                <w:rFonts w:ascii="Arial" w:cs="Arial" w:eastAsia="Arial" w:hAnsi="Arial"/>
                <w:sz w:val="18"/>
                <w:szCs w:val="18"/>
                <w:color w:val="auto"/>
              </w:rPr>
              <w:t>Fees</w:t>
            </w:r>
          </w:p>
        </w:tc>
        <w:tc>
          <w:tcPr>
            <w:tcW w:w="2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3.6.</w:t>
            </w:r>
          </w:p>
        </w:tc>
        <w:tc>
          <w:tcPr>
            <w:tcW w:w="7580" w:type="dxa"/>
            <w:vAlign w:val="bottom"/>
          </w:tcPr>
          <w:p>
            <w:pPr>
              <w:ind w:left="60"/>
              <w:spacing w:after="0"/>
              <w:rPr>
                <w:sz w:val="20"/>
                <w:szCs w:val="20"/>
                <w:color w:val="auto"/>
              </w:rPr>
            </w:pPr>
            <w:r>
              <w:rPr>
                <w:rFonts w:ascii="Arial" w:cs="Arial" w:eastAsia="Arial" w:hAnsi="Arial"/>
                <w:sz w:val="18"/>
                <w:szCs w:val="18"/>
                <w:color w:val="auto"/>
              </w:rPr>
              <w:t>Computations</w:t>
            </w:r>
          </w:p>
        </w:tc>
        <w:tc>
          <w:tcPr>
            <w:tcW w:w="2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3.7.</w:t>
            </w:r>
          </w:p>
        </w:tc>
        <w:tc>
          <w:tcPr>
            <w:tcW w:w="7580" w:type="dxa"/>
            <w:vAlign w:val="bottom"/>
          </w:tcPr>
          <w:p>
            <w:pPr>
              <w:ind w:left="60"/>
              <w:spacing w:after="0"/>
              <w:rPr>
                <w:sz w:val="20"/>
                <w:szCs w:val="20"/>
                <w:color w:val="auto"/>
              </w:rPr>
            </w:pPr>
            <w:r>
              <w:rPr>
                <w:rFonts w:ascii="Arial" w:cs="Arial" w:eastAsia="Arial" w:hAnsi="Arial"/>
                <w:sz w:val="18"/>
                <w:szCs w:val="18"/>
                <w:color w:val="auto"/>
              </w:rPr>
              <w:t>Usury</w:t>
            </w:r>
          </w:p>
        </w:tc>
        <w:tc>
          <w:tcPr>
            <w:tcW w:w="2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3.8.</w:t>
            </w:r>
          </w:p>
        </w:tc>
        <w:tc>
          <w:tcPr>
            <w:tcW w:w="7580" w:type="dxa"/>
            <w:vAlign w:val="bottom"/>
          </w:tcPr>
          <w:p>
            <w:pPr>
              <w:ind w:left="60"/>
              <w:spacing w:after="0"/>
              <w:rPr>
                <w:sz w:val="20"/>
                <w:szCs w:val="20"/>
                <w:color w:val="auto"/>
              </w:rPr>
            </w:pPr>
            <w:r>
              <w:rPr>
                <w:rFonts w:ascii="Arial" w:cs="Arial" w:eastAsia="Arial" w:hAnsi="Arial"/>
                <w:sz w:val="18"/>
                <w:szCs w:val="18"/>
                <w:color w:val="auto"/>
              </w:rPr>
              <w:t>Statements of Account</w:t>
            </w:r>
          </w:p>
        </w:tc>
        <w:tc>
          <w:tcPr>
            <w:tcW w:w="2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3.9.</w:t>
            </w:r>
          </w:p>
        </w:tc>
        <w:tc>
          <w:tcPr>
            <w:tcW w:w="7580" w:type="dxa"/>
            <w:vAlign w:val="bottom"/>
          </w:tcPr>
          <w:p>
            <w:pPr>
              <w:ind w:left="60"/>
              <w:spacing w:after="0"/>
              <w:rPr>
                <w:sz w:val="20"/>
                <w:szCs w:val="20"/>
                <w:color w:val="auto"/>
              </w:rPr>
            </w:pPr>
            <w:r>
              <w:rPr>
                <w:rFonts w:ascii="Arial" w:cs="Arial" w:eastAsia="Arial" w:hAnsi="Arial"/>
                <w:sz w:val="18"/>
                <w:szCs w:val="18"/>
                <w:color w:val="auto"/>
              </w:rPr>
              <w:t>Defaulting Lenders</w:t>
            </w:r>
          </w:p>
        </w:tc>
        <w:tc>
          <w:tcPr>
            <w:tcW w:w="2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1520" w:type="dxa"/>
            <w:vAlign w:val="bottom"/>
          </w:tcPr>
          <w:p>
            <w:pPr>
              <w:ind w:left="440"/>
              <w:spacing w:after="0"/>
              <w:rPr>
                <w:sz w:val="20"/>
                <w:szCs w:val="20"/>
                <w:color w:val="auto"/>
              </w:rPr>
            </w:pPr>
            <w:r>
              <w:rPr>
                <w:rFonts w:ascii="Arial" w:cs="Arial" w:eastAsia="Arial" w:hAnsi="Arial"/>
                <w:sz w:val="18"/>
                <w:szCs w:val="18"/>
                <w:color w:val="auto"/>
              </w:rPr>
              <w:t>Section 3.10.</w:t>
            </w:r>
          </w:p>
        </w:tc>
        <w:tc>
          <w:tcPr>
            <w:tcW w:w="7580" w:type="dxa"/>
            <w:vAlign w:val="bottom"/>
          </w:tcPr>
          <w:p>
            <w:pPr>
              <w:ind w:left="60"/>
              <w:spacing w:after="0"/>
              <w:rPr>
                <w:sz w:val="20"/>
                <w:szCs w:val="20"/>
                <w:color w:val="auto"/>
              </w:rPr>
            </w:pPr>
            <w:r>
              <w:rPr>
                <w:rFonts w:ascii="Arial" w:cs="Arial" w:eastAsia="Arial" w:hAnsi="Arial"/>
                <w:sz w:val="18"/>
                <w:szCs w:val="18"/>
                <w:color w:val="auto"/>
              </w:rPr>
              <w:t>Taxes; Foreign Lenders</w:t>
            </w:r>
          </w:p>
        </w:tc>
        <w:tc>
          <w:tcPr>
            <w:tcW w:w="2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IV. Yield Protection, Etc.</w:t>
            </w:r>
          </w:p>
        </w:tc>
        <w:tc>
          <w:tcPr>
            <w:tcW w:w="2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8"/>
        </w:trPr>
        <w:tc>
          <w:tcPr>
            <w:tcW w:w="1520" w:type="dxa"/>
            <w:vAlign w:val="bottom"/>
          </w:tcPr>
          <w:p>
            <w:pPr>
              <w:ind w:left="440"/>
              <w:spacing w:after="0"/>
              <w:rPr>
                <w:sz w:val="20"/>
                <w:szCs w:val="20"/>
                <w:color w:val="auto"/>
              </w:rPr>
            </w:pPr>
            <w:r>
              <w:rPr>
                <w:rFonts w:ascii="Arial" w:cs="Arial" w:eastAsia="Arial" w:hAnsi="Arial"/>
                <w:sz w:val="18"/>
                <w:szCs w:val="18"/>
                <w:color w:val="auto"/>
              </w:rPr>
              <w:t>Section 4.1.</w:t>
            </w:r>
          </w:p>
        </w:tc>
        <w:tc>
          <w:tcPr>
            <w:tcW w:w="7580" w:type="dxa"/>
            <w:vAlign w:val="bottom"/>
          </w:tcPr>
          <w:p>
            <w:pPr>
              <w:ind w:left="60"/>
              <w:spacing w:after="0"/>
              <w:rPr>
                <w:sz w:val="20"/>
                <w:szCs w:val="20"/>
                <w:color w:val="auto"/>
              </w:rPr>
            </w:pPr>
            <w:r>
              <w:rPr>
                <w:rFonts w:ascii="Arial" w:cs="Arial" w:eastAsia="Arial" w:hAnsi="Arial"/>
                <w:sz w:val="18"/>
                <w:szCs w:val="18"/>
                <w:color w:val="auto"/>
              </w:rPr>
              <w:t>Additional Costs; Capital Adequacy</w:t>
            </w:r>
          </w:p>
        </w:tc>
        <w:tc>
          <w:tcPr>
            <w:tcW w:w="2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4.2.</w:t>
            </w:r>
          </w:p>
        </w:tc>
        <w:tc>
          <w:tcPr>
            <w:tcW w:w="7580" w:type="dxa"/>
            <w:vAlign w:val="bottom"/>
          </w:tcPr>
          <w:p>
            <w:pPr>
              <w:ind w:left="60"/>
              <w:spacing w:after="0"/>
              <w:rPr>
                <w:sz w:val="20"/>
                <w:szCs w:val="20"/>
                <w:color w:val="auto"/>
              </w:rPr>
            </w:pPr>
            <w:r>
              <w:rPr>
                <w:rFonts w:ascii="Arial" w:cs="Arial" w:eastAsia="Arial" w:hAnsi="Arial"/>
                <w:sz w:val="18"/>
                <w:szCs w:val="18"/>
                <w:color w:val="auto"/>
              </w:rPr>
              <w:t>Suspension of LIBOR Loans and LIBOR Margin Loans</w:t>
            </w:r>
          </w:p>
        </w:tc>
        <w:tc>
          <w:tcPr>
            <w:tcW w:w="22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4.3.</w:t>
            </w:r>
          </w:p>
        </w:tc>
        <w:tc>
          <w:tcPr>
            <w:tcW w:w="7580" w:type="dxa"/>
            <w:vAlign w:val="bottom"/>
          </w:tcPr>
          <w:p>
            <w:pPr>
              <w:ind w:left="60"/>
              <w:spacing w:after="0"/>
              <w:rPr>
                <w:sz w:val="20"/>
                <w:szCs w:val="20"/>
                <w:color w:val="auto"/>
              </w:rPr>
            </w:pPr>
            <w:r>
              <w:rPr>
                <w:rFonts w:ascii="Arial" w:cs="Arial" w:eastAsia="Arial" w:hAnsi="Arial"/>
                <w:sz w:val="18"/>
                <w:szCs w:val="18"/>
                <w:color w:val="auto"/>
              </w:rPr>
              <w:t>Illegality</w:t>
            </w:r>
          </w:p>
        </w:tc>
        <w:tc>
          <w:tcPr>
            <w:tcW w:w="22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4.4.</w:t>
            </w:r>
          </w:p>
        </w:tc>
        <w:tc>
          <w:tcPr>
            <w:tcW w:w="7580" w:type="dxa"/>
            <w:vAlign w:val="bottom"/>
          </w:tcPr>
          <w:p>
            <w:pPr>
              <w:ind w:left="60"/>
              <w:spacing w:after="0"/>
              <w:rPr>
                <w:sz w:val="20"/>
                <w:szCs w:val="20"/>
                <w:color w:val="auto"/>
              </w:rPr>
            </w:pPr>
            <w:r>
              <w:rPr>
                <w:rFonts w:ascii="Arial" w:cs="Arial" w:eastAsia="Arial" w:hAnsi="Arial"/>
                <w:sz w:val="18"/>
                <w:szCs w:val="18"/>
                <w:color w:val="auto"/>
              </w:rPr>
              <w:t>Compensation</w:t>
            </w:r>
          </w:p>
        </w:tc>
        <w:tc>
          <w:tcPr>
            <w:tcW w:w="22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4.5.</w:t>
            </w:r>
          </w:p>
        </w:tc>
        <w:tc>
          <w:tcPr>
            <w:tcW w:w="7580" w:type="dxa"/>
            <w:vAlign w:val="bottom"/>
          </w:tcPr>
          <w:p>
            <w:pPr>
              <w:ind w:left="60"/>
              <w:spacing w:after="0"/>
              <w:rPr>
                <w:sz w:val="20"/>
                <w:szCs w:val="20"/>
                <w:color w:val="auto"/>
              </w:rPr>
            </w:pPr>
            <w:r>
              <w:rPr>
                <w:rFonts w:ascii="Arial" w:cs="Arial" w:eastAsia="Arial" w:hAnsi="Arial"/>
                <w:sz w:val="18"/>
                <w:szCs w:val="18"/>
                <w:color w:val="auto"/>
              </w:rPr>
              <w:t>Treatment of Affected Loans</w:t>
            </w:r>
          </w:p>
        </w:tc>
        <w:tc>
          <w:tcPr>
            <w:tcW w:w="22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4.6.</w:t>
            </w:r>
          </w:p>
        </w:tc>
        <w:tc>
          <w:tcPr>
            <w:tcW w:w="7580" w:type="dxa"/>
            <w:vAlign w:val="bottom"/>
          </w:tcPr>
          <w:p>
            <w:pPr>
              <w:ind w:left="60"/>
              <w:spacing w:after="0"/>
              <w:rPr>
                <w:sz w:val="20"/>
                <w:szCs w:val="20"/>
                <w:color w:val="auto"/>
              </w:rPr>
            </w:pPr>
            <w:r>
              <w:rPr>
                <w:rFonts w:ascii="Arial" w:cs="Arial" w:eastAsia="Arial" w:hAnsi="Arial"/>
                <w:sz w:val="18"/>
                <w:szCs w:val="18"/>
                <w:color w:val="auto"/>
              </w:rPr>
              <w:t>Affected Lenders</w:t>
            </w:r>
          </w:p>
        </w:tc>
        <w:tc>
          <w:tcPr>
            <w:tcW w:w="22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color w:val="auto"/>
              </w:rPr>
              <w:t>Section 4.7.</w:t>
            </w:r>
          </w:p>
        </w:tc>
        <w:tc>
          <w:tcPr>
            <w:tcW w:w="7580" w:type="dxa"/>
            <w:vAlign w:val="bottom"/>
          </w:tcPr>
          <w:p>
            <w:pPr>
              <w:ind w:left="60"/>
              <w:spacing w:after="0"/>
              <w:rPr>
                <w:sz w:val="20"/>
                <w:szCs w:val="20"/>
                <w:color w:val="auto"/>
              </w:rPr>
            </w:pPr>
            <w:r>
              <w:rPr>
                <w:rFonts w:ascii="Arial" w:cs="Arial" w:eastAsia="Arial" w:hAnsi="Arial"/>
                <w:sz w:val="18"/>
                <w:szCs w:val="18"/>
                <w:color w:val="auto"/>
              </w:rPr>
              <w:t>Change of Lending Office</w:t>
            </w:r>
          </w:p>
        </w:tc>
        <w:tc>
          <w:tcPr>
            <w:tcW w:w="2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2"/>
        </w:trPr>
        <w:tc>
          <w:tcPr>
            <w:tcW w:w="1520" w:type="dxa"/>
            <w:vAlign w:val="bottom"/>
          </w:tcPr>
          <w:p>
            <w:pPr>
              <w:ind w:left="440"/>
              <w:spacing w:after="0"/>
              <w:rPr>
                <w:sz w:val="20"/>
                <w:szCs w:val="20"/>
                <w:color w:val="auto"/>
              </w:rPr>
            </w:pPr>
            <w:r>
              <w:rPr>
                <w:rFonts w:ascii="Arial" w:cs="Arial" w:eastAsia="Arial" w:hAnsi="Arial"/>
                <w:sz w:val="18"/>
                <w:szCs w:val="18"/>
                <w:color w:val="auto"/>
              </w:rPr>
              <w:t>Section 4.8.</w:t>
            </w:r>
          </w:p>
        </w:tc>
        <w:tc>
          <w:tcPr>
            <w:tcW w:w="7580" w:type="dxa"/>
            <w:vAlign w:val="bottom"/>
          </w:tcPr>
          <w:p>
            <w:pPr>
              <w:ind w:left="60"/>
              <w:spacing w:after="0"/>
              <w:rPr>
                <w:sz w:val="20"/>
                <w:szCs w:val="20"/>
                <w:color w:val="auto"/>
              </w:rPr>
            </w:pPr>
            <w:r>
              <w:rPr>
                <w:rFonts w:ascii="Arial" w:cs="Arial" w:eastAsia="Arial" w:hAnsi="Arial"/>
                <w:sz w:val="18"/>
                <w:szCs w:val="18"/>
                <w:color w:val="auto"/>
              </w:rPr>
              <w:t>Assumptions Concerning Funding of LIBOR Loans</w:t>
            </w:r>
          </w:p>
        </w:tc>
        <w:tc>
          <w:tcPr>
            <w:tcW w:w="2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V. Conditions Precedent</w:t>
            </w:r>
          </w:p>
        </w:tc>
        <w:tc>
          <w:tcPr>
            <w:tcW w:w="2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520" w:type="dxa"/>
            <w:vAlign w:val="bottom"/>
          </w:tcPr>
          <w:p>
            <w:pPr>
              <w:ind w:left="440"/>
              <w:spacing w:after="0"/>
              <w:rPr>
                <w:sz w:val="20"/>
                <w:szCs w:val="20"/>
                <w:color w:val="auto"/>
              </w:rPr>
            </w:pPr>
            <w:r>
              <w:rPr>
                <w:rFonts w:ascii="Arial" w:cs="Arial" w:eastAsia="Arial" w:hAnsi="Arial"/>
                <w:sz w:val="18"/>
                <w:szCs w:val="18"/>
                <w:color w:val="auto"/>
              </w:rPr>
              <w:t>Section 5.1.</w:t>
            </w:r>
          </w:p>
        </w:tc>
        <w:tc>
          <w:tcPr>
            <w:tcW w:w="7580" w:type="dxa"/>
            <w:vAlign w:val="bottom"/>
          </w:tcPr>
          <w:p>
            <w:pPr>
              <w:ind w:left="60"/>
              <w:spacing w:after="0"/>
              <w:rPr>
                <w:sz w:val="20"/>
                <w:szCs w:val="20"/>
                <w:color w:val="auto"/>
              </w:rPr>
            </w:pPr>
            <w:r>
              <w:rPr>
                <w:rFonts w:ascii="Arial" w:cs="Arial" w:eastAsia="Arial" w:hAnsi="Arial"/>
                <w:sz w:val="18"/>
                <w:szCs w:val="18"/>
                <w:color w:val="auto"/>
              </w:rPr>
              <w:t>Initial Conditions Precedent</w:t>
            </w:r>
          </w:p>
        </w:tc>
        <w:tc>
          <w:tcPr>
            <w:tcW w:w="22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65"/>
        </w:trPr>
        <w:tc>
          <w:tcPr>
            <w:tcW w:w="1520" w:type="dxa"/>
            <w:vAlign w:val="bottom"/>
          </w:tcPr>
          <w:p>
            <w:pPr>
              <w:spacing w:after="0"/>
              <w:rPr>
                <w:sz w:val="24"/>
                <w:szCs w:val="24"/>
                <w:color w:val="auto"/>
              </w:rPr>
            </w:pPr>
          </w:p>
        </w:tc>
        <w:tc>
          <w:tcPr>
            <w:tcW w:w="7580" w:type="dxa"/>
            <w:vAlign w:val="bottom"/>
          </w:tcPr>
          <w:p>
            <w:pPr>
              <w:ind w:left="4060"/>
              <w:spacing w:after="0"/>
              <w:rPr>
                <w:sz w:val="20"/>
                <w:szCs w:val="20"/>
                <w:color w:val="auto"/>
              </w:rPr>
            </w:pPr>
            <w:r>
              <w:rPr>
                <w:rFonts w:ascii="Arial" w:cs="Arial" w:eastAsia="Arial" w:hAnsi="Arial"/>
                <w:sz w:val="18"/>
                <w:szCs w:val="18"/>
                <w:color w:val="auto"/>
              </w:rPr>
              <w:t>- i -</w:t>
            </w:r>
          </w:p>
        </w:tc>
        <w:tc>
          <w:tcPr>
            <w:tcW w:w="2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8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22"/>
        </w:trPr>
        <w:tc>
          <w:tcPr>
            <w:tcW w:w="1460" w:type="dxa"/>
            <w:vAlign w:val="bottom"/>
          </w:tcPr>
          <w:p>
            <w:pPr>
              <w:ind w:left="440"/>
              <w:spacing w:after="0"/>
              <w:rPr>
                <w:sz w:val="20"/>
                <w:szCs w:val="20"/>
                <w:color w:val="auto"/>
              </w:rPr>
            </w:pPr>
            <w:r>
              <w:rPr>
                <w:rFonts w:ascii="Arial" w:cs="Arial" w:eastAsia="Arial" w:hAnsi="Arial"/>
                <w:sz w:val="18"/>
                <w:szCs w:val="18"/>
                <w:color w:val="auto"/>
              </w:rPr>
              <w:t>Section 5.2.</w:t>
            </w:r>
          </w:p>
        </w:tc>
        <w:tc>
          <w:tcPr>
            <w:tcW w:w="7160" w:type="dxa"/>
            <w:vAlign w:val="bottom"/>
          </w:tcPr>
          <w:p>
            <w:pPr>
              <w:ind w:left="120"/>
              <w:spacing w:after="0"/>
              <w:rPr>
                <w:sz w:val="20"/>
                <w:szCs w:val="20"/>
                <w:color w:val="auto"/>
              </w:rPr>
            </w:pPr>
            <w:r>
              <w:rPr>
                <w:rFonts w:ascii="Arial" w:cs="Arial" w:eastAsia="Arial" w:hAnsi="Arial"/>
                <w:sz w:val="18"/>
                <w:szCs w:val="18"/>
                <w:color w:val="auto"/>
              </w:rPr>
              <w:t>Conditions Precedent to All Loans and Letters of Credit</w:t>
            </w:r>
          </w:p>
        </w:tc>
        <w:tc>
          <w:tcPr>
            <w:tcW w:w="27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VI. Representations and Warranties</w:t>
            </w:r>
          </w:p>
        </w:tc>
        <w:tc>
          <w:tcPr>
            <w:tcW w:w="27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18"/>
        </w:trPr>
        <w:tc>
          <w:tcPr>
            <w:tcW w:w="1460" w:type="dxa"/>
            <w:vAlign w:val="bottom"/>
          </w:tcPr>
          <w:p>
            <w:pPr>
              <w:ind w:left="440"/>
              <w:spacing w:after="0"/>
              <w:rPr>
                <w:sz w:val="20"/>
                <w:szCs w:val="20"/>
                <w:color w:val="auto"/>
              </w:rPr>
            </w:pPr>
            <w:r>
              <w:rPr>
                <w:rFonts w:ascii="Arial" w:cs="Arial" w:eastAsia="Arial" w:hAnsi="Arial"/>
                <w:sz w:val="18"/>
                <w:szCs w:val="18"/>
                <w:color w:val="auto"/>
              </w:rPr>
              <w:t>Section 6.1.</w:t>
            </w:r>
          </w:p>
        </w:tc>
        <w:tc>
          <w:tcPr>
            <w:tcW w:w="7160" w:type="dxa"/>
            <w:vAlign w:val="bottom"/>
          </w:tcPr>
          <w:p>
            <w:pPr>
              <w:ind w:left="120"/>
              <w:spacing w:after="0"/>
              <w:rPr>
                <w:sz w:val="20"/>
                <w:szCs w:val="20"/>
                <w:color w:val="auto"/>
              </w:rPr>
            </w:pPr>
            <w:r>
              <w:rPr>
                <w:rFonts w:ascii="Arial" w:cs="Arial" w:eastAsia="Arial" w:hAnsi="Arial"/>
                <w:sz w:val="18"/>
                <w:szCs w:val="18"/>
                <w:color w:val="auto"/>
              </w:rPr>
              <w:t>Representations and Warranties</w:t>
            </w:r>
          </w:p>
        </w:tc>
        <w:tc>
          <w:tcPr>
            <w:tcW w:w="27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2"/>
        </w:trPr>
        <w:tc>
          <w:tcPr>
            <w:tcW w:w="1460" w:type="dxa"/>
            <w:vAlign w:val="bottom"/>
          </w:tcPr>
          <w:p>
            <w:pPr>
              <w:ind w:left="440"/>
              <w:spacing w:after="0"/>
              <w:rPr>
                <w:sz w:val="20"/>
                <w:szCs w:val="20"/>
                <w:color w:val="auto"/>
              </w:rPr>
            </w:pPr>
            <w:r>
              <w:rPr>
                <w:rFonts w:ascii="Arial" w:cs="Arial" w:eastAsia="Arial" w:hAnsi="Arial"/>
                <w:sz w:val="18"/>
                <w:szCs w:val="18"/>
                <w:color w:val="auto"/>
              </w:rPr>
              <w:t>Section 6.2.</w:t>
            </w:r>
          </w:p>
        </w:tc>
        <w:tc>
          <w:tcPr>
            <w:tcW w:w="7160" w:type="dxa"/>
            <w:vAlign w:val="bottom"/>
          </w:tcPr>
          <w:p>
            <w:pPr>
              <w:ind w:left="120"/>
              <w:spacing w:after="0"/>
              <w:rPr>
                <w:sz w:val="20"/>
                <w:szCs w:val="20"/>
                <w:color w:val="auto"/>
              </w:rPr>
            </w:pPr>
            <w:r>
              <w:rPr>
                <w:rFonts w:ascii="Arial" w:cs="Arial" w:eastAsia="Arial" w:hAnsi="Arial"/>
                <w:sz w:val="18"/>
                <w:szCs w:val="18"/>
                <w:color w:val="auto"/>
              </w:rPr>
              <w:t>Survival of Representations and Warranties, Etc.</w:t>
            </w:r>
          </w:p>
        </w:tc>
        <w:tc>
          <w:tcPr>
            <w:tcW w:w="27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VII. Affirmative Covenants</w:t>
            </w:r>
          </w:p>
        </w:tc>
        <w:tc>
          <w:tcPr>
            <w:tcW w:w="27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18"/>
        </w:trPr>
        <w:tc>
          <w:tcPr>
            <w:tcW w:w="1460" w:type="dxa"/>
            <w:vAlign w:val="bottom"/>
          </w:tcPr>
          <w:p>
            <w:pPr>
              <w:ind w:left="440"/>
              <w:spacing w:after="0"/>
              <w:rPr>
                <w:sz w:val="20"/>
                <w:szCs w:val="20"/>
                <w:color w:val="auto"/>
              </w:rPr>
            </w:pPr>
            <w:r>
              <w:rPr>
                <w:rFonts w:ascii="Arial" w:cs="Arial" w:eastAsia="Arial" w:hAnsi="Arial"/>
                <w:sz w:val="18"/>
                <w:szCs w:val="18"/>
                <w:color w:val="auto"/>
              </w:rPr>
              <w:t>Section 7.1.</w:t>
            </w:r>
          </w:p>
        </w:tc>
        <w:tc>
          <w:tcPr>
            <w:tcW w:w="7160" w:type="dxa"/>
            <w:vAlign w:val="bottom"/>
          </w:tcPr>
          <w:p>
            <w:pPr>
              <w:ind w:left="120"/>
              <w:spacing w:after="0"/>
              <w:rPr>
                <w:sz w:val="20"/>
                <w:szCs w:val="20"/>
                <w:color w:val="auto"/>
              </w:rPr>
            </w:pPr>
            <w:r>
              <w:rPr>
                <w:rFonts w:ascii="Arial" w:cs="Arial" w:eastAsia="Arial" w:hAnsi="Arial"/>
                <w:sz w:val="18"/>
                <w:szCs w:val="18"/>
                <w:color w:val="auto"/>
              </w:rPr>
              <w:t>Preservation of Existence and Similar Matters</w:t>
            </w:r>
          </w:p>
        </w:tc>
        <w:tc>
          <w:tcPr>
            <w:tcW w:w="27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7.2.</w:t>
            </w:r>
          </w:p>
        </w:tc>
        <w:tc>
          <w:tcPr>
            <w:tcW w:w="7160" w:type="dxa"/>
            <w:vAlign w:val="bottom"/>
          </w:tcPr>
          <w:p>
            <w:pPr>
              <w:ind w:left="120"/>
              <w:spacing w:after="0"/>
              <w:rPr>
                <w:sz w:val="20"/>
                <w:szCs w:val="20"/>
                <w:color w:val="auto"/>
              </w:rPr>
            </w:pPr>
            <w:r>
              <w:rPr>
                <w:rFonts w:ascii="Arial" w:cs="Arial" w:eastAsia="Arial" w:hAnsi="Arial"/>
                <w:sz w:val="18"/>
                <w:szCs w:val="18"/>
                <w:color w:val="auto"/>
              </w:rPr>
              <w:t>Compliance with Applicable Law and Material Contracts</w:t>
            </w:r>
          </w:p>
        </w:tc>
        <w:tc>
          <w:tcPr>
            <w:tcW w:w="27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7.3.</w:t>
            </w:r>
          </w:p>
        </w:tc>
        <w:tc>
          <w:tcPr>
            <w:tcW w:w="7160" w:type="dxa"/>
            <w:vAlign w:val="bottom"/>
          </w:tcPr>
          <w:p>
            <w:pPr>
              <w:ind w:left="120"/>
              <w:spacing w:after="0"/>
              <w:rPr>
                <w:sz w:val="20"/>
                <w:szCs w:val="20"/>
                <w:color w:val="auto"/>
              </w:rPr>
            </w:pPr>
            <w:r>
              <w:rPr>
                <w:rFonts w:ascii="Arial" w:cs="Arial" w:eastAsia="Arial" w:hAnsi="Arial"/>
                <w:sz w:val="18"/>
                <w:szCs w:val="18"/>
                <w:color w:val="auto"/>
              </w:rPr>
              <w:t>Maintenance of Property</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7.4.</w:t>
            </w:r>
          </w:p>
        </w:tc>
        <w:tc>
          <w:tcPr>
            <w:tcW w:w="7160" w:type="dxa"/>
            <w:vAlign w:val="bottom"/>
          </w:tcPr>
          <w:p>
            <w:pPr>
              <w:ind w:left="120"/>
              <w:spacing w:after="0"/>
              <w:rPr>
                <w:sz w:val="20"/>
                <w:szCs w:val="20"/>
                <w:color w:val="auto"/>
              </w:rPr>
            </w:pPr>
            <w:r>
              <w:rPr>
                <w:rFonts w:ascii="Arial" w:cs="Arial" w:eastAsia="Arial" w:hAnsi="Arial"/>
                <w:sz w:val="18"/>
                <w:szCs w:val="18"/>
                <w:color w:val="auto"/>
              </w:rPr>
              <w:t>Conduct of Business</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7.5.</w:t>
            </w:r>
          </w:p>
        </w:tc>
        <w:tc>
          <w:tcPr>
            <w:tcW w:w="716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7.6.</w:t>
            </w:r>
          </w:p>
        </w:tc>
        <w:tc>
          <w:tcPr>
            <w:tcW w:w="7160" w:type="dxa"/>
            <w:vAlign w:val="bottom"/>
          </w:tcPr>
          <w:p>
            <w:pPr>
              <w:ind w:left="120"/>
              <w:spacing w:after="0"/>
              <w:rPr>
                <w:sz w:val="20"/>
                <w:szCs w:val="20"/>
                <w:color w:val="auto"/>
              </w:rPr>
            </w:pPr>
            <w:r>
              <w:rPr>
                <w:rFonts w:ascii="Arial" w:cs="Arial" w:eastAsia="Arial" w:hAnsi="Arial"/>
                <w:sz w:val="18"/>
                <w:szCs w:val="18"/>
                <w:color w:val="auto"/>
              </w:rPr>
              <w:t>Payment of Taxes and Claims</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7.7.</w:t>
            </w:r>
          </w:p>
        </w:tc>
        <w:tc>
          <w:tcPr>
            <w:tcW w:w="7160" w:type="dxa"/>
            <w:vAlign w:val="bottom"/>
          </w:tcPr>
          <w:p>
            <w:pPr>
              <w:ind w:left="120"/>
              <w:spacing w:after="0"/>
              <w:rPr>
                <w:sz w:val="20"/>
                <w:szCs w:val="20"/>
                <w:color w:val="auto"/>
              </w:rPr>
            </w:pPr>
            <w:r>
              <w:rPr>
                <w:rFonts w:ascii="Arial" w:cs="Arial" w:eastAsia="Arial" w:hAnsi="Arial"/>
                <w:sz w:val="18"/>
                <w:szCs w:val="18"/>
                <w:color w:val="auto"/>
              </w:rPr>
              <w:t>Books and Records; Inspections</w:t>
            </w:r>
          </w:p>
        </w:tc>
        <w:tc>
          <w:tcPr>
            <w:tcW w:w="27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7.8.</w:t>
            </w:r>
          </w:p>
        </w:tc>
        <w:tc>
          <w:tcPr>
            <w:tcW w:w="716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27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7.9.</w:t>
            </w:r>
          </w:p>
        </w:tc>
        <w:tc>
          <w:tcPr>
            <w:tcW w:w="7160" w:type="dxa"/>
            <w:vAlign w:val="bottom"/>
          </w:tcPr>
          <w:p>
            <w:pPr>
              <w:ind w:left="120"/>
              <w:spacing w:after="0"/>
              <w:rPr>
                <w:sz w:val="20"/>
                <w:szCs w:val="20"/>
                <w:color w:val="auto"/>
              </w:rPr>
            </w:pPr>
            <w:r>
              <w:rPr>
                <w:rFonts w:ascii="Arial" w:cs="Arial" w:eastAsia="Arial" w:hAnsi="Arial"/>
                <w:sz w:val="18"/>
                <w:szCs w:val="18"/>
                <w:color w:val="auto"/>
              </w:rPr>
              <w:t>Environmental Matters</w:t>
            </w:r>
          </w:p>
        </w:tc>
        <w:tc>
          <w:tcPr>
            <w:tcW w:w="27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7.10.</w:t>
            </w:r>
          </w:p>
        </w:tc>
        <w:tc>
          <w:tcPr>
            <w:tcW w:w="7160" w:type="dxa"/>
            <w:vAlign w:val="bottom"/>
          </w:tcPr>
          <w:p>
            <w:pPr>
              <w:ind w:left="120"/>
              <w:spacing w:after="0"/>
              <w:rPr>
                <w:sz w:val="20"/>
                <w:szCs w:val="20"/>
                <w:color w:val="auto"/>
              </w:rPr>
            </w:pPr>
            <w:r>
              <w:rPr>
                <w:rFonts w:ascii="Arial" w:cs="Arial" w:eastAsia="Arial" w:hAnsi="Arial"/>
                <w:sz w:val="18"/>
                <w:szCs w:val="18"/>
                <w:color w:val="auto"/>
              </w:rPr>
              <w:t>Further Assurances</w:t>
            </w:r>
          </w:p>
        </w:tc>
        <w:tc>
          <w:tcPr>
            <w:tcW w:w="27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7.11.</w:t>
            </w:r>
          </w:p>
        </w:tc>
        <w:tc>
          <w:tcPr>
            <w:tcW w:w="7160" w:type="dxa"/>
            <w:vAlign w:val="bottom"/>
          </w:tcPr>
          <w:p>
            <w:pPr>
              <w:ind w:left="120"/>
              <w:spacing w:after="0"/>
              <w:rPr>
                <w:sz w:val="20"/>
                <w:szCs w:val="20"/>
                <w:color w:val="auto"/>
              </w:rPr>
            </w:pPr>
            <w:r>
              <w:rPr>
                <w:rFonts w:ascii="Arial" w:cs="Arial" w:eastAsia="Arial" w:hAnsi="Arial"/>
                <w:sz w:val="18"/>
                <w:szCs w:val="18"/>
                <w:color w:val="auto"/>
              </w:rPr>
              <w:t>Reserved</w:t>
            </w:r>
          </w:p>
        </w:tc>
        <w:tc>
          <w:tcPr>
            <w:tcW w:w="27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7.12.</w:t>
            </w:r>
          </w:p>
        </w:tc>
        <w:tc>
          <w:tcPr>
            <w:tcW w:w="7160" w:type="dxa"/>
            <w:vAlign w:val="bottom"/>
          </w:tcPr>
          <w:p>
            <w:pPr>
              <w:ind w:left="120"/>
              <w:spacing w:after="0"/>
              <w:rPr>
                <w:sz w:val="20"/>
                <w:szCs w:val="20"/>
                <w:color w:val="auto"/>
              </w:rPr>
            </w:pPr>
            <w:r>
              <w:rPr>
                <w:rFonts w:ascii="Arial" w:cs="Arial" w:eastAsia="Arial" w:hAnsi="Arial"/>
                <w:sz w:val="18"/>
                <w:szCs w:val="18"/>
                <w:color w:val="auto"/>
              </w:rPr>
              <w:t>REIT Status</w:t>
            </w:r>
          </w:p>
        </w:tc>
        <w:tc>
          <w:tcPr>
            <w:tcW w:w="27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7.13.</w:t>
            </w:r>
          </w:p>
        </w:tc>
        <w:tc>
          <w:tcPr>
            <w:tcW w:w="7160" w:type="dxa"/>
            <w:vAlign w:val="bottom"/>
          </w:tcPr>
          <w:p>
            <w:pPr>
              <w:ind w:left="120"/>
              <w:spacing w:after="0"/>
              <w:rPr>
                <w:sz w:val="20"/>
                <w:szCs w:val="20"/>
                <w:color w:val="auto"/>
              </w:rPr>
            </w:pPr>
            <w:r>
              <w:rPr>
                <w:rFonts w:ascii="Arial" w:cs="Arial" w:eastAsia="Arial" w:hAnsi="Arial"/>
                <w:sz w:val="18"/>
                <w:szCs w:val="18"/>
                <w:color w:val="auto"/>
              </w:rPr>
              <w:t>Exchange Listing</w:t>
            </w:r>
          </w:p>
        </w:tc>
        <w:tc>
          <w:tcPr>
            <w:tcW w:w="27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2"/>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7.14.</w:t>
            </w:r>
          </w:p>
        </w:tc>
        <w:tc>
          <w:tcPr>
            <w:tcW w:w="7160" w:type="dxa"/>
            <w:vAlign w:val="bottom"/>
          </w:tcPr>
          <w:p>
            <w:pPr>
              <w:ind w:left="120"/>
              <w:spacing w:after="0"/>
              <w:rPr>
                <w:sz w:val="20"/>
                <w:szCs w:val="20"/>
                <w:color w:val="auto"/>
              </w:rPr>
            </w:pPr>
            <w:r>
              <w:rPr>
                <w:rFonts w:ascii="Arial" w:cs="Arial" w:eastAsia="Arial" w:hAnsi="Arial"/>
                <w:sz w:val="18"/>
                <w:szCs w:val="18"/>
                <w:color w:val="auto"/>
              </w:rPr>
              <w:t>Guarantors</w:t>
            </w:r>
          </w:p>
        </w:tc>
        <w:tc>
          <w:tcPr>
            <w:tcW w:w="27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VIII. Information</w:t>
            </w:r>
          </w:p>
        </w:tc>
        <w:tc>
          <w:tcPr>
            <w:tcW w:w="27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8"/>
        </w:trPr>
        <w:tc>
          <w:tcPr>
            <w:tcW w:w="1460" w:type="dxa"/>
            <w:vAlign w:val="bottom"/>
          </w:tcPr>
          <w:p>
            <w:pPr>
              <w:ind w:left="440"/>
              <w:spacing w:after="0"/>
              <w:rPr>
                <w:sz w:val="20"/>
                <w:szCs w:val="20"/>
                <w:color w:val="auto"/>
              </w:rPr>
            </w:pPr>
            <w:r>
              <w:rPr>
                <w:rFonts w:ascii="Arial" w:cs="Arial" w:eastAsia="Arial" w:hAnsi="Arial"/>
                <w:sz w:val="18"/>
                <w:szCs w:val="18"/>
                <w:color w:val="auto"/>
              </w:rPr>
              <w:t>Section 8.1.</w:t>
            </w:r>
          </w:p>
        </w:tc>
        <w:tc>
          <w:tcPr>
            <w:tcW w:w="7160" w:type="dxa"/>
            <w:vAlign w:val="bottom"/>
          </w:tcPr>
          <w:p>
            <w:pPr>
              <w:ind w:left="120"/>
              <w:spacing w:after="0"/>
              <w:rPr>
                <w:sz w:val="20"/>
                <w:szCs w:val="20"/>
                <w:color w:val="auto"/>
              </w:rPr>
            </w:pPr>
            <w:r>
              <w:rPr>
                <w:rFonts w:ascii="Arial" w:cs="Arial" w:eastAsia="Arial" w:hAnsi="Arial"/>
                <w:sz w:val="18"/>
                <w:szCs w:val="18"/>
                <w:color w:val="auto"/>
              </w:rPr>
              <w:t>Quarterly Financial Statements</w:t>
            </w:r>
          </w:p>
        </w:tc>
        <w:tc>
          <w:tcPr>
            <w:tcW w:w="27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8.2.</w:t>
            </w:r>
          </w:p>
        </w:tc>
        <w:tc>
          <w:tcPr>
            <w:tcW w:w="7160" w:type="dxa"/>
            <w:vAlign w:val="bottom"/>
          </w:tcPr>
          <w:p>
            <w:pPr>
              <w:ind w:left="120"/>
              <w:spacing w:after="0"/>
              <w:rPr>
                <w:sz w:val="20"/>
                <w:szCs w:val="20"/>
                <w:color w:val="auto"/>
              </w:rPr>
            </w:pPr>
            <w:r>
              <w:rPr>
                <w:rFonts w:ascii="Arial" w:cs="Arial" w:eastAsia="Arial" w:hAnsi="Arial"/>
                <w:sz w:val="18"/>
                <w:szCs w:val="18"/>
                <w:color w:val="auto"/>
              </w:rPr>
              <w:t>Year-End Statements</w:t>
            </w:r>
          </w:p>
        </w:tc>
        <w:tc>
          <w:tcPr>
            <w:tcW w:w="27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8.3.</w:t>
            </w:r>
          </w:p>
        </w:tc>
        <w:tc>
          <w:tcPr>
            <w:tcW w:w="7160" w:type="dxa"/>
            <w:vAlign w:val="bottom"/>
          </w:tcPr>
          <w:p>
            <w:pPr>
              <w:ind w:left="120"/>
              <w:spacing w:after="0"/>
              <w:rPr>
                <w:sz w:val="20"/>
                <w:szCs w:val="20"/>
                <w:color w:val="auto"/>
              </w:rPr>
            </w:pPr>
            <w:r>
              <w:rPr>
                <w:rFonts w:ascii="Arial" w:cs="Arial" w:eastAsia="Arial" w:hAnsi="Arial"/>
                <w:sz w:val="18"/>
                <w:szCs w:val="18"/>
                <w:color w:val="auto"/>
              </w:rPr>
              <w:t>Compliance Certificate</w:t>
            </w:r>
          </w:p>
        </w:tc>
        <w:tc>
          <w:tcPr>
            <w:tcW w:w="27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8.4.</w:t>
            </w:r>
          </w:p>
        </w:tc>
        <w:tc>
          <w:tcPr>
            <w:tcW w:w="7160" w:type="dxa"/>
            <w:vAlign w:val="bottom"/>
          </w:tcPr>
          <w:p>
            <w:pPr>
              <w:ind w:left="120"/>
              <w:spacing w:after="0"/>
              <w:rPr>
                <w:sz w:val="20"/>
                <w:szCs w:val="20"/>
                <w:color w:val="auto"/>
              </w:rPr>
            </w:pPr>
            <w:r>
              <w:rPr>
                <w:rFonts w:ascii="Arial" w:cs="Arial" w:eastAsia="Arial" w:hAnsi="Arial"/>
                <w:sz w:val="18"/>
                <w:szCs w:val="18"/>
                <w:color w:val="auto"/>
              </w:rPr>
              <w:t>Other Information</w:t>
            </w:r>
          </w:p>
        </w:tc>
        <w:tc>
          <w:tcPr>
            <w:tcW w:w="27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8.5.</w:t>
            </w:r>
          </w:p>
        </w:tc>
        <w:tc>
          <w:tcPr>
            <w:tcW w:w="7160" w:type="dxa"/>
            <w:vAlign w:val="bottom"/>
          </w:tcPr>
          <w:p>
            <w:pPr>
              <w:ind w:left="120"/>
              <w:spacing w:after="0"/>
              <w:rPr>
                <w:sz w:val="20"/>
                <w:szCs w:val="20"/>
                <w:color w:val="auto"/>
              </w:rPr>
            </w:pPr>
            <w:r>
              <w:rPr>
                <w:rFonts w:ascii="Arial" w:cs="Arial" w:eastAsia="Arial" w:hAnsi="Arial"/>
                <w:sz w:val="18"/>
                <w:szCs w:val="18"/>
                <w:color w:val="auto"/>
              </w:rPr>
              <w:t>Electronic Delivery of Certain Information</w:t>
            </w:r>
          </w:p>
        </w:tc>
        <w:tc>
          <w:tcPr>
            <w:tcW w:w="27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8.6.</w:t>
            </w:r>
          </w:p>
        </w:tc>
        <w:tc>
          <w:tcPr>
            <w:tcW w:w="7160" w:type="dxa"/>
            <w:vAlign w:val="bottom"/>
          </w:tcPr>
          <w:p>
            <w:pPr>
              <w:ind w:left="120"/>
              <w:spacing w:after="0"/>
              <w:rPr>
                <w:sz w:val="20"/>
                <w:szCs w:val="20"/>
                <w:color w:val="auto"/>
              </w:rPr>
            </w:pPr>
            <w:r>
              <w:rPr>
                <w:rFonts w:ascii="Arial" w:cs="Arial" w:eastAsia="Arial" w:hAnsi="Arial"/>
                <w:sz w:val="18"/>
                <w:szCs w:val="18"/>
                <w:color w:val="auto"/>
              </w:rPr>
              <w:t>Public/Private Information</w:t>
            </w:r>
          </w:p>
        </w:tc>
        <w:tc>
          <w:tcPr>
            <w:tcW w:w="27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2"/>
        </w:trPr>
        <w:tc>
          <w:tcPr>
            <w:tcW w:w="1460" w:type="dxa"/>
            <w:vAlign w:val="bottom"/>
          </w:tcPr>
          <w:p>
            <w:pPr>
              <w:ind w:left="440"/>
              <w:spacing w:after="0"/>
              <w:rPr>
                <w:sz w:val="20"/>
                <w:szCs w:val="20"/>
                <w:color w:val="auto"/>
              </w:rPr>
            </w:pPr>
            <w:r>
              <w:rPr>
                <w:rFonts w:ascii="Arial" w:cs="Arial" w:eastAsia="Arial" w:hAnsi="Arial"/>
                <w:sz w:val="18"/>
                <w:szCs w:val="18"/>
                <w:color w:val="auto"/>
              </w:rPr>
              <w:t>Section 8.7.</w:t>
            </w:r>
          </w:p>
        </w:tc>
        <w:tc>
          <w:tcPr>
            <w:tcW w:w="7160" w:type="dxa"/>
            <w:vAlign w:val="bottom"/>
          </w:tcPr>
          <w:p>
            <w:pPr>
              <w:ind w:left="120"/>
              <w:spacing w:after="0"/>
              <w:rPr>
                <w:sz w:val="20"/>
                <w:szCs w:val="20"/>
                <w:color w:val="auto"/>
              </w:rPr>
            </w:pPr>
            <w:r>
              <w:rPr>
                <w:rFonts w:ascii="Arial" w:cs="Arial" w:eastAsia="Arial" w:hAnsi="Arial"/>
                <w:sz w:val="18"/>
                <w:szCs w:val="18"/>
                <w:color w:val="auto"/>
              </w:rPr>
              <w:t>USA Patriot Act Notice; Compliance</w:t>
            </w:r>
          </w:p>
        </w:tc>
        <w:tc>
          <w:tcPr>
            <w:tcW w:w="27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IX. Negative Covenants</w:t>
            </w:r>
          </w:p>
        </w:tc>
        <w:tc>
          <w:tcPr>
            <w:tcW w:w="27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18"/>
        </w:trPr>
        <w:tc>
          <w:tcPr>
            <w:tcW w:w="1460" w:type="dxa"/>
            <w:vAlign w:val="bottom"/>
          </w:tcPr>
          <w:p>
            <w:pPr>
              <w:ind w:left="440"/>
              <w:spacing w:after="0"/>
              <w:rPr>
                <w:sz w:val="20"/>
                <w:szCs w:val="20"/>
                <w:color w:val="auto"/>
              </w:rPr>
            </w:pPr>
            <w:r>
              <w:rPr>
                <w:rFonts w:ascii="Arial" w:cs="Arial" w:eastAsia="Arial" w:hAnsi="Arial"/>
                <w:sz w:val="18"/>
                <w:szCs w:val="18"/>
                <w:color w:val="auto"/>
              </w:rPr>
              <w:t>Section 9.1.</w:t>
            </w:r>
          </w:p>
        </w:tc>
        <w:tc>
          <w:tcPr>
            <w:tcW w:w="7160" w:type="dxa"/>
            <w:vAlign w:val="bottom"/>
          </w:tcPr>
          <w:p>
            <w:pPr>
              <w:ind w:left="120"/>
              <w:spacing w:after="0"/>
              <w:rPr>
                <w:sz w:val="20"/>
                <w:szCs w:val="20"/>
                <w:color w:val="auto"/>
              </w:rPr>
            </w:pPr>
            <w:r>
              <w:rPr>
                <w:rFonts w:ascii="Arial" w:cs="Arial" w:eastAsia="Arial" w:hAnsi="Arial"/>
                <w:sz w:val="18"/>
                <w:szCs w:val="18"/>
                <w:color w:val="auto"/>
              </w:rPr>
              <w:t>Financial Covenants</w:t>
            </w:r>
          </w:p>
        </w:tc>
        <w:tc>
          <w:tcPr>
            <w:tcW w:w="27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9.2.</w:t>
            </w:r>
          </w:p>
        </w:tc>
        <w:tc>
          <w:tcPr>
            <w:tcW w:w="7160" w:type="dxa"/>
            <w:vAlign w:val="bottom"/>
          </w:tcPr>
          <w:p>
            <w:pPr>
              <w:ind w:left="120"/>
              <w:spacing w:after="0"/>
              <w:rPr>
                <w:sz w:val="20"/>
                <w:szCs w:val="20"/>
                <w:color w:val="auto"/>
              </w:rPr>
            </w:pPr>
            <w:r>
              <w:rPr>
                <w:rFonts w:ascii="Arial" w:cs="Arial" w:eastAsia="Arial" w:hAnsi="Arial"/>
                <w:sz w:val="18"/>
                <w:szCs w:val="18"/>
                <w:color w:val="auto"/>
              </w:rPr>
              <w:t>Investments Generally</w:t>
            </w:r>
          </w:p>
        </w:tc>
        <w:tc>
          <w:tcPr>
            <w:tcW w:w="27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9.3.</w:t>
            </w:r>
          </w:p>
        </w:tc>
        <w:tc>
          <w:tcPr>
            <w:tcW w:w="7160" w:type="dxa"/>
            <w:vAlign w:val="bottom"/>
          </w:tcPr>
          <w:p>
            <w:pPr>
              <w:ind w:left="120"/>
              <w:spacing w:after="0"/>
              <w:rPr>
                <w:sz w:val="20"/>
                <w:szCs w:val="20"/>
                <w:color w:val="auto"/>
              </w:rPr>
            </w:pPr>
            <w:r>
              <w:rPr>
                <w:rFonts w:ascii="Arial" w:cs="Arial" w:eastAsia="Arial" w:hAnsi="Arial"/>
                <w:sz w:val="18"/>
                <w:szCs w:val="18"/>
                <w:color w:val="auto"/>
              </w:rPr>
              <w:t>Liens; Negative Pledges</w:t>
            </w:r>
          </w:p>
        </w:tc>
        <w:tc>
          <w:tcPr>
            <w:tcW w:w="27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9.4.</w:t>
            </w:r>
          </w:p>
        </w:tc>
        <w:tc>
          <w:tcPr>
            <w:tcW w:w="7160" w:type="dxa"/>
            <w:vAlign w:val="bottom"/>
          </w:tcPr>
          <w:p>
            <w:pPr>
              <w:ind w:left="120"/>
              <w:spacing w:after="0"/>
              <w:rPr>
                <w:sz w:val="20"/>
                <w:szCs w:val="20"/>
                <w:color w:val="auto"/>
              </w:rPr>
            </w:pPr>
            <w:r>
              <w:rPr>
                <w:rFonts w:ascii="Arial" w:cs="Arial" w:eastAsia="Arial" w:hAnsi="Arial"/>
                <w:sz w:val="18"/>
                <w:szCs w:val="18"/>
                <w:color w:val="auto"/>
              </w:rPr>
              <w:t>Restrictions on Intercompany Transfers</w:t>
            </w:r>
          </w:p>
        </w:tc>
        <w:tc>
          <w:tcPr>
            <w:tcW w:w="27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9.5.</w:t>
            </w:r>
          </w:p>
        </w:tc>
        <w:tc>
          <w:tcPr>
            <w:tcW w:w="7160" w:type="dxa"/>
            <w:vAlign w:val="bottom"/>
          </w:tcPr>
          <w:p>
            <w:pPr>
              <w:ind w:left="120"/>
              <w:spacing w:after="0"/>
              <w:rPr>
                <w:sz w:val="20"/>
                <w:szCs w:val="20"/>
                <w:color w:val="auto"/>
              </w:rPr>
            </w:pPr>
            <w:r>
              <w:rPr>
                <w:rFonts w:ascii="Arial" w:cs="Arial" w:eastAsia="Arial" w:hAnsi="Arial"/>
                <w:sz w:val="18"/>
                <w:szCs w:val="18"/>
                <w:color w:val="auto"/>
              </w:rPr>
              <w:t>Merger, Consolidation, Sales of Assets and Other Arrangements</w:t>
            </w:r>
          </w:p>
        </w:tc>
        <w:tc>
          <w:tcPr>
            <w:tcW w:w="27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9.6.</w:t>
            </w:r>
          </w:p>
        </w:tc>
        <w:tc>
          <w:tcPr>
            <w:tcW w:w="7160" w:type="dxa"/>
            <w:vAlign w:val="bottom"/>
          </w:tcPr>
          <w:p>
            <w:pPr>
              <w:ind w:left="120"/>
              <w:spacing w:after="0"/>
              <w:rPr>
                <w:sz w:val="20"/>
                <w:szCs w:val="20"/>
                <w:color w:val="auto"/>
              </w:rPr>
            </w:pPr>
            <w:r>
              <w:rPr>
                <w:rFonts w:ascii="Arial" w:cs="Arial" w:eastAsia="Arial" w:hAnsi="Arial"/>
                <w:sz w:val="18"/>
                <w:szCs w:val="18"/>
                <w:color w:val="auto"/>
              </w:rPr>
              <w:t>Plans</w:t>
            </w:r>
          </w:p>
        </w:tc>
        <w:tc>
          <w:tcPr>
            <w:tcW w:w="27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9.7.</w:t>
            </w:r>
          </w:p>
        </w:tc>
        <w:tc>
          <w:tcPr>
            <w:tcW w:w="7160" w:type="dxa"/>
            <w:vAlign w:val="bottom"/>
          </w:tcPr>
          <w:p>
            <w:pPr>
              <w:ind w:left="120"/>
              <w:spacing w:after="0"/>
              <w:rPr>
                <w:sz w:val="20"/>
                <w:szCs w:val="20"/>
                <w:color w:val="auto"/>
              </w:rPr>
            </w:pPr>
            <w:r>
              <w:rPr>
                <w:rFonts w:ascii="Arial" w:cs="Arial" w:eastAsia="Arial" w:hAnsi="Arial"/>
                <w:sz w:val="18"/>
                <w:szCs w:val="18"/>
                <w:color w:val="auto"/>
              </w:rPr>
              <w:t>Fiscal Year</w:t>
            </w:r>
          </w:p>
        </w:tc>
        <w:tc>
          <w:tcPr>
            <w:tcW w:w="27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9.8.</w:t>
            </w:r>
          </w:p>
        </w:tc>
        <w:tc>
          <w:tcPr>
            <w:tcW w:w="7160" w:type="dxa"/>
            <w:vAlign w:val="bottom"/>
          </w:tcPr>
          <w:p>
            <w:pPr>
              <w:ind w:left="120"/>
              <w:spacing w:after="0"/>
              <w:rPr>
                <w:sz w:val="20"/>
                <w:szCs w:val="20"/>
                <w:color w:val="auto"/>
              </w:rPr>
            </w:pPr>
            <w:r>
              <w:rPr>
                <w:rFonts w:ascii="Arial" w:cs="Arial" w:eastAsia="Arial" w:hAnsi="Arial"/>
                <w:sz w:val="18"/>
                <w:szCs w:val="18"/>
                <w:color w:val="auto"/>
              </w:rPr>
              <w:t>Modifications of Organizational Documents</w:t>
            </w:r>
          </w:p>
        </w:tc>
        <w:tc>
          <w:tcPr>
            <w:tcW w:w="27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rPr>
              <w:t>Section 9.9.</w:t>
            </w:r>
          </w:p>
        </w:tc>
        <w:tc>
          <w:tcPr>
            <w:tcW w:w="7160" w:type="dxa"/>
            <w:vAlign w:val="bottom"/>
          </w:tcPr>
          <w:p>
            <w:pPr>
              <w:ind w:left="120"/>
              <w:spacing w:after="0"/>
              <w:rPr>
                <w:sz w:val="20"/>
                <w:szCs w:val="20"/>
                <w:color w:val="auto"/>
              </w:rPr>
            </w:pPr>
            <w:r>
              <w:rPr>
                <w:rFonts w:ascii="Arial" w:cs="Arial" w:eastAsia="Arial" w:hAnsi="Arial"/>
                <w:sz w:val="18"/>
                <w:szCs w:val="18"/>
                <w:color w:val="auto"/>
              </w:rPr>
              <w:t>Transactions with Affiliates</w:t>
            </w:r>
          </w:p>
        </w:tc>
        <w:tc>
          <w:tcPr>
            <w:tcW w:w="27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9.10.</w:t>
            </w:r>
          </w:p>
        </w:tc>
        <w:tc>
          <w:tcPr>
            <w:tcW w:w="7160" w:type="dxa"/>
            <w:vAlign w:val="bottom"/>
          </w:tcPr>
          <w:p>
            <w:pPr>
              <w:ind w:left="120"/>
              <w:spacing w:after="0"/>
              <w:rPr>
                <w:sz w:val="20"/>
                <w:szCs w:val="20"/>
                <w:color w:val="auto"/>
              </w:rPr>
            </w:pPr>
            <w:r>
              <w:rPr>
                <w:rFonts w:ascii="Arial" w:cs="Arial" w:eastAsia="Arial" w:hAnsi="Arial"/>
                <w:sz w:val="18"/>
                <w:szCs w:val="18"/>
                <w:color w:val="auto"/>
              </w:rPr>
              <w:t>Environmental Matters</w:t>
            </w:r>
          </w:p>
        </w:tc>
        <w:tc>
          <w:tcPr>
            <w:tcW w:w="27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9.11.</w:t>
            </w:r>
          </w:p>
        </w:tc>
        <w:tc>
          <w:tcPr>
            <w:tcW w:w="7160" w:type="dxa"/>
            <w:vAlign w:val="bottom"/>
          </w:tcPr>
          <w:p>
            <w:pPr>
              <w:ind w:left="120"/>
              <w:spacing w:after="0"/>
              <w:rPr>
                <w:sz w:val="20"/>
                <w:szCs w:val="20"/>
                <w:color w:val="auto"/>
              </w:rPr>
            </w:pPr>
            <w:r>
              <w:rPr>
                <w:rFonts w:ascii="Arial" w:cs="Arial" w:eastAsia="Arial" w:hAnsi="Arial"/>
                <w:sz w:val="18"/>
                <w:szCs w:val="18"/>
                <w:color w:val="auto"/>
              </w:rPr>
              <w:t>Non-Controlled Properties</w:t>
            </w:r>
          </w:p>
        </w:tc>
        <w:tc>
          <w:tcPr>
            <w:tcW w:w="27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2"/>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9.12.</w:t>
            </w:r>
          </w:p>
        </w:tc>
        <w:tc>
          <w:tcPr>
            <w:tcW w:w="7160" w:type="dxa"/>
            <w:vAlign w:val="bottom"/>
          </w:tcPr>
          <w:p>
            <w:pPr>
              <w:ind w:left="120"/>
              <w:spacing w:after="0"/>
              <w:rPr>
                <w:sz w:val="20"/>
                <w:szCs w:val="20"/>
                <w:color w:val="auto"/>
              </w:rPr>
            </w:pPr>
            <w:r>
              <w:rPr>
                <w:rFonts w:ascii="Arial" w:cs="Arial" w:eastAsia="Arial" w:hAnsi="Arial"/>
                <w:sz w:val="18"/>
                <w:szCs w:val="18"/>
                <w:color w:val="auto"/>
              </w:rPr>
              <w:t>Derivatives Contracts</w:t>
            </w:r>
          </w:p>
        </w:tc>
        <w:tc>
          <w:tcPr>
            <w:tcW w:w="27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Article X. Default</w:t>
            </w:r>
          </w:p>
        </w:tc>
        <w:tc>
          <w:tcPr>
            <w:tcW w:w="716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18"/>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10.1.</w:t>
            </w:r>
          </w:p>
        </w:tc>
        <w:tc>
          <w:tcPr>
            <w:tcW w:w="7160" w:type="dxa"/>
            <w:vAlign w:val="bottom"/>
          </w:tcPr>
          <w:p>
            <w:pPr>
              <w:ind w:left="120"/>
              <w:spacing w:after="0"/>
              <w:rPr>
                <w:sz w:val="20"/>
                <w:szCs w:val="20"/>
                <w:color w:val="auto"/>
              </w:rPr>
            </w:pPr>
            <w:r>
              <w:rPr>
                <w:rFonts w:ascii="Arial" w:cs="Arial" w:eastAsia="Arial" w:hAnsi="Arial"/>
                <w:sz w:val="18"/>
                <w:szCs w:val="18"/>
                <w:color w:val="auto"/>
              </w:rPr>
              <w:t>Events of Default</w:t>
            </w:r>
          </w:p>
        </w:tc>
        <w:tc>
          <w:tcPr>
            <w:tcW w:w="27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10.2.</w:t>
            </w:r>
          </w:p>
        </w:tc>
        <w:tc>
          <w:tcPr>
            <w:tcW w:w="7160" w:type="dxa"/>
            <w:vAlign w:val="bottom"/>
          </w:tcPr>
          <w:p>
            <w:pPr>
              <w:ind w:left="120"/>
              <w:spacing w:after="0"/>
              <w:rPr>
                <w:sz w:val="20"/>
                <w:szCs w:val="20"/>
                <w:color w:val="auto"/>
              </w:rPr>
            </w:pPr>
            <w:r>
              <w:rPr>
                <w:rFonts w:ascii="Arial" w:cs="Arial" w:eastAsia="Arial" w:hAnsi="Arial"/>
                <w:sz w:val="18"/>
                <w:szCs w:val="18"/>
                <w:color w:val="auto"/>
              </w:rPr>
              <w:t>Remedies Upon Event of Default</w:t>
            </w:r>
          </w:p>
        </w:tc>
        <w:tc>
          <w:tcPr>
            <w:tcW w:w="27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10.3.</w:t>
            </w:r>
          </w:p>
        </w:tc>
        <w:tc>
          <w:tcPr>
            <w:tcW w:w="7160" w:type="dxa"/>
            <w:vAlign w:val="bottom"/>
          </w:tcPr>
          <w:p>
            <w:pPr>
              <w:ind w:left="120"/>
              <w:spacing w:after="0"/>
              <w:rPr>
                <w:sz w:val="20"/>
                <w:szCs w:val="20"/>
                <w:color w:val="auto"/>
              </w:rPr>
            </w:pPr>
            <w:r>
              <w:rPr>
                <w:rFonts w:ascii="Arial" w:cs="Arial" w:eastAsia="Arial" w:hAnsi="Arial"/>
                <w:sz w:val="18"/>
                <w:szCs w:val="18"/>
                <w:color w:val="auto"/>
              </w:rPr>
              <w:t>Remedies Upon Default</w:t>
            </w:r>
          </w:p>
        </w:tc>
        <w:tc>
          <w:tcPr>
            <w:tcW w:w="27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10.4.</w:t>
            </w:r>
          </w:p>
        </w:tc>
        <w:tc>
          <w:tcPr>
            <w:tcW w:w="7160" w:type="dxa"/>
            <w:vAlign w:val="bottom"/>
          </w:tcPr>
          <w:p>
            <w:pPr>
              <w:ind w:left="120"/>
              <w:spacing w:after="0"/>
              <w:rPr>
                <w:sz w:val="20"/>
                <w:szCs w:val="20"/>
                <w:color w:val="auto"/>
              </w:rPr>
            </w:pPr>
            <w:r>
              <w:rPr>
                <w:rFonts w:ascii="Arial" w:cs="Arial" w:eastAsia="Arial" w:hAnsi="Arial"/>
                <w:sz w:val="18"/>
                <w:szCs w:val="18"/>
                <w:color w:val="auto"/>
              </w:rPr>
              <w:t>Marshaling; Payments Set Aside</w:t>
            </w:r>
          </w:p>
        </w:tc>
        <w:tc>
          <w:tcPr>
            <w:tcW w:w="27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2"/>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10.5.</w:t>
            </w:r>
          </w:p>
        </w:tc>
        <w:tc>
          <w:tcPr>
            <w:tcW w:w="7160" w:type="dxa"/>
            <w:vAlign w:val="bottom"/>
          </w:tcPr>
          <w:p>
            <w:pPr>
              <w:ind w:left="120"/>
              <w:spacing w:after="0"/>
              <w:rPr>
                <w:sz w:val="20"/>
                <w:szCs w:val="20"/>
                <w:color w:val="auto"/>
              </w:rPr>
            </w:pPr>
            <w:r>
              <w:rPr>
                <w:rFonts w:ascii="Arial" w:cs="Arial" w:eastAsia="Arial" w:hAnsi="Arial"/>
                <w:sz w:val="18"/>
                <w:szCs w:val="18"/>
                <w:color w:val="auto"/>
              </w:rPr>
              <w:t>Allocation of Proceeds</w:t>
            </w:r>
          </w:p>
        </w:tc>
        <w:tc>
          <w:tcPr>
            <w:tcW w:w="2700" w:type="dxa"/>
            <w:vAlign w:val="bottom"/>
          </w:tcPr>
          <w:p>
            <w:pPr>
              <w:jc w:val="right"/>
              <w:spacing w:after="0"/>
              <w:rPr>
                <w:sz w:val="20"/>
                <w:szCs w:val="20"/>
                <w:color w:val="auto"/>
              </w:rPr>
            </w:pPr>
            <w:r>
              <w:rPr>
                <w:rFonts w:ascii="Arial" w:cs="Arial" w:eastAsia="Arial" w:hAnsi="Arial"/>
                <w:sz w:val="18"/>
                <w:szCs w:val="18"/>
                <w:color w:val="auto"/>
              </w:rPr>
              <w:t>85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320"/>
          </w:cols>
          <w:pgMar w:left="240" w:top="28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10.6.</w:t>
            </w:r>
          </w:p>
        </w:tc>
        <w:tc>
          <w:tcPr>
            <w:tcW w:w="6560" w:type="dxa"/>
            <w:vAlign w:val="bottom"/>
          </w:tcPr>
          <w:p>
            <w:pPr>
              <w:ind w:left="40"/>
              <w:spacing w:after="0"/>
              <w:rPr>
                <w:sz w:val="20"/>
                <w:szCs w:val="20"/>
                <w:color w:val="auto"/>
              </w:rPr>
            </w:pPr>
            <w:r>
              <w:rPr>
                <w:rFonts w:ascii="Arial" w:cs="Arial" w:eastAsia="Arial" w:hAnsi="Arial"/>
                <w:sz w:val="18"/>
                <w:szCs w:val="18"/>
                <w:color w:val="auto"/>
              </w:rPr>
              <w:t>Letter of Credit Collateral Account</w:t>
            </w:r>
          </w:p>
        </w:tc>
        <w:tc>
          <w:tcPr>
            <w:tcW w:w="32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10.7.</w:t>
            </w:r>
          </w:p>
        </w:tc>
        <w:tc>
          <w:tcPr>
            <w:tcW w:w="6560" w:type="dxa"/>
            <w:vAlign w:val="bottom"/>
          </w:tcPr>
          <w:p>
            <w:pPr>
              <w:ind w:left="40"/>
              <w:spacing w:after="0"/>
              <w:rPr>
                <w:sz w:val="20"/>
                <w:szCs w:val="20"/>
                <w:color w:val="auto"/>
              </w:rPr>
            </w:pPr>
            <w:r>
              <w:rPr>
                <w:rFonts w:ascii="Arial" w:cs="Arial" w:eastAsia="Arial" w:hAnsi="Arial"/>
                <w:sz w:val="18"/>
                <w:szCs w:val="18"/>
                <w:color w:val="auto"/>
              </w:rPr>
              <w:t>Rescission of Acceleration by Requisite Lenders</w:t>
            </w:r>
          </w:p>
        </w:tc>
        <w:tc>
          <w:tcPr>
            <w:tcW w:w="32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10.8.</w:t>
            </w:r>
          </w:p>
        </w:tc>
        <w:tc>
          <w:tcPr>
            <w:tcW w:w="6560" w:type="dxa"/>
            <w:vAlign w:val="bottom"/>
          </w:tcPr>
          <w:p>
            <w:pPr>
              <w:ind w:left="40"/>
              <w:spacing w:after="0"/>
              <w:rPr>
                <w:sz w:val="20"/>
                <w:szCs w:val="20"/>
                <w:color w:val="auto"/>
              </w:rPr>
            </w:pPr>
            <w:r>
              <w:rPr>
                <w:rFonts w:ascii="Arial" w:cs="Arial" w:eastAsia="Arial" w:hAnsi="Arial"/>
                <w:sz w:val="18"/>
                <w:szCs w:val="18"/>
                <w:color w:val="auto"/>
              </w:rPr>
              <w:t>Performance by Administrative Agent</w:t>
            </w:r>
          </w:p>
        </w:tc>
        <w:tc>
          <w:tcPr>
            <w:tcW w:w="32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2"/>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10.9.</w:t>
            </w:r>
          </w:p>
        </w:tc>
        <w:tc>
          <w:tcPr>
            <w:tcW w:w="6560" w:type="dxa"/>
            <w:vAlign w:val="bottom"/>
          </w:tcPr>
          <w:p>
            <w:pPr>
              <w:ind w:left="40"/>
              <w:spacing w:after="0"/>
              <w:rPr>
                <w:sz w:val="20"/>
                <w:szCs w:val="20"/>
                <w:color w:val="auto"/>
              </w:rPr>
            </w:pPr>
            <w:r>
              <w:rPr>
                <w:rFonts w:ascii="Arial" w:cs="Arial" w:eastAsia="Arial" w:hAnsi="Arial"/>
                <w:sz w:val="18"/>
                <w:szCs w:val="18"/>
                <w:color w:val="auto"/>
              </w:rPr>
              <w:t>Rights Cumulative</w:t>
            </w:r>
          </w:p>
        </w:tc>
        <w:tc>
          <w:tcPr>
            <w:tcW w:w="32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8060" w:type="dxa"/>
            <w:vAlign w:val="bottom"/>
            <w:gridSpan w:val="2"/>
          </w:tcPr>
          <w:p>
            <w:pPr>
              <w:spacing w:after="0"/>
              <w:rPr>
                <w:sz w:val="20"/>
                <w:szCs w:val="20"/>
                <w:color w:val="auto"/>
              </w:rPr>
            </w:pPr>
            <w:r>
              <w:rPr>
                <w:rFonts w:ascii="Arial" w:cs="Arial" w:eastAsia="Arial" w:hAnsi="Arial"/>
                <w:sz w:val="18"/>
                <w:szCs w:val="18"/>
                <w:color w:val="auto"/>
              </w:rPr>
              <w:t>Article XI. The Administrative Agent</w:t>
            </w:r>
          </w:p>
        </w:tc>
        <w:tc>
          <w:tcPr>
            <w:tcW w:w="32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18"/>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11.1.</w:t>
            </w:r>
          </w:p>
        </w:tc>
        <w:tc>
          <w:tcPr>
            <w:tcW w:w="6560" w:type="dxa"/>
            <w:vAlign w:val="bottom"/>
          </w:tcPr>
          <w:p>
            <w:pPr>
              <w:ind w:left="40"/>
              <w:spacing w:after="0"/>
              <w:rPr>
                <w:sz w:val="20"/>
                <w:szCs w:val="20"/>
                <w:color w:val="auto"/>
              </w:rPr>
            </w:pPr>
            <w:r>
              <w:rPr>
                <w:rFonts w:ascii="Arial" w:cs="Arial" w:eastAsia="Arial" w:hAnsi="Arial"/>
                <w:sz w:val="18"/>
                <w:szCs w:val="18"/>
                <w:color w:val="auto"/>
              </w:rPr>
              <w:t>Appointment and Authorization</w:t>
            </w:r>
          </w:p>
        </w:tc>
        <w:tc>
          <w:tcPr>
            <w:tcW w:w="32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11.2.</w:t>
            </w:r>
          </w:p>
        </w:tc>
        <w:tc>
          <w:tcPr>
            <w:tcW w:w="6560" w:type="dxa"/>
            <w:vAlign w:val="bottom"/>
          </w:tcPr>
          <w:p>
            <w:pPr>
              <w:ind w:left="40"/>
              <w:spacing w:after="0"/>
              <w:rPr>
                <w:sz w:val="20"/>
                <w:szCs w:val="20"/>
                <w:color w:val="auto"/>
              </w:rPr>
            </w:pPr>
            <w:r>
              <w:rPr>
                <w:rFonts w:ascii="Arial" w:cs="Arial" w:eastAsia="Arial" w:hAnsi="Arial"/>
                <w:sz w:val="18"/>
                <w:szCs w:val="18"/>
                <w:color w:val="auto"/>
              </w:rPr>
              <w:t>Wells Fargo as Lender</w:t>
            </w:r>
          </w:p>
        </w:tc>
        <w:tc>
          <w:tcPr>
            <w:tcW w:w="32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11.3.</w:t>
            </w:r>
          </w:p>
        </w:tc>
        <w:tc>
          <w:tcPr>
            <w:tcW w:w="6560" w:type="dxa"/>
            <w:vAlign w:val="bottom"/>
          </w:tcPr>
          <w:p>
            <w:pPr>
              <w:ind w:left="40"/>
              <w:spacing w:after="0"/>
              <w:rPr>
                <w:sz w:val="20"/>
                <w:szCs w:val="20"/>
                <w:color w:val="auto"/>
              </w:rPr>
            </w:pPr>
            <w:r>
              <w:rPr>
                <w:rFonts w:ascii="Arial" w:cs="Arial" w:eastAsia="Arial" w:hAnsi="Arial"/>
                <w:sz w:val="18"/>
                <w:szCs w:val="18"/>
                <w:color w:val="auto"/>
              </w:rPr>
              <w:t>Approvals of Lenders</w:t>
            </w:r>
          </w:p>
        </w:tc>
        <w:tc>
          <w:tcPr>
            <w:tcW w:w="32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11.4.</w:t>
            </w:r>
          </w:p>
        </w:tc>
        <w:tc>
          <w:tcPr>
            <w:tcW w:w="6560" w:type="dxa"/>
            <w:vAlign w:val="bottom"/>
          </w:tcPr>
          <w:p>
            <w:pPr>
              <w:ind w:left="40"/>
              <w:spacing w:after="0"/>
              <w:rPr>
                <w:sz w:val="20"/>
                <w:szCs w:val="20"/>
                <w:color w:val="auto"/>
              </w:rPr>
            </w:pPr>
            <w:r>
              <w:rPr>
                <w:rFonts w:ascii="Arial" w:cs="Arial" w:eastAsia="Arial" w:hAnsi="Arial"/>
                <w:sz w:val="18"/>
                <w:szCs w:val="18"/>
                <w:color w:val="auto"/>
              </w:rPr>
              <w:t>Notice of Events of Default</w:t>
            </w:r>
          </w:p>
        </w:tc>
        <w:tc>
          <w:tcPr>
            <w:tcW w:w="32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11.5.</w:t>
            </w:r>
          </w:p>
        </w:tc>
        <w:tc>
          <w:tcPr>
            <w:tcW w:w="6560" w:type="dxa"/>
            <w:vAlign w:val="bottom"/>
          </w:tcPr>
          <w:p>
            <w:pPr>
              <w:ind w:left="40"/>
              <w:spacing w:after="0"/>
              <w:rPr>
                <w:sz w:val="20"/>
                <w:szCs w:val="20"/>
                <w:color w:val="auto"/>
              </w:rPr>
            </w:pPr>
            <w:r>
              <w:rPr>
                <w:rFonts w:ascii="Arial" w:cs="Arial" w:eastAsia="Arial" w:hAnsi="Arial"/>
                <w:sz w:val="18"/>
                <w:szCs w:val="18"/>
                <w:color w:val="auto"/>
              </w:rPr>
              <w:t>Administrative Agent’s Reliance</w:t>
            </w:r>
          </w:p>
        </w:tc>
        <w:tc>
          <w:tcPr>
            <w:tcW w:w="32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11.6.</w:t>
            </w:r>
          </w:p>
        </w:tc>
        <w:tc>
          <w:tcPr>
            <w:tcW w:w="6560" w:type="dxa"/>
            <w:vAlign w:val="bottom"/>
          </w:tcPr>
          <w:p>
            <w:pPr>
              <w:ind w:left="40"/>
              <w:spacing w:after="0"/>
              <w:rPr>
                <w:sz w:val="20"/>
                <w:szCs w:val="20"/>
                <w:color w:val="auto"/>
              </w:rPr>
            </w:pPr>
            <w:r>
              <w:rPr>
                <w:rFonts w:ascii="Arial" w:cs="Arial" w:eastAsia="Arial" w:hAnsi="Arial"/>
                <w:sz w:val="18"/>
                <w:szCs w:val="18"/>
                <w:color w:val="auto"/>
              </w:rPr>
              <w:t>Indemnification of Administrative Agent</w:t>
            </w:r>
          </w:p>
        </w:tc>
        <w:tc>
          <w:tcPr>
            <w:tcW w:w="32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11.7.</w:t>
            </w:r>
          </w:p>
        </w:tc>
        <w:tc>
          <w:tcPr>
            <w:tcW w:w="6560" w:type="dxa"/>
            <w:vAlign w:val="bottom"/>
          </w:tcPr>
          <w:p>
            <w:pPr>
              <w:ind w:left="40"/>
              <w:spacing w:after="0"/>
              <w:rPr>
                <w:sz w:val="20"/>
                <w:szCs w:val="20"/>
                <w:color w:val="auto"/>
              </w:rPr>
            </w:pPr>
            <w:r>
              <w:rPr>
                <w:rFonts w:ascii="Arial" w:cs="Arial" w:eastAsia="Arial" w:hAnsi="Arial"/>
                <w:sz w:val="18"/>
                <w:szCs w:val="18"/>
                <w:color w:val="auto"/>
              </w:rPr>
              <w:t>Lender Credit Decision, Etc.</w:t>
            </w:r>
          </w:p>
        </w:tc>
        <w:tc>
          <w:tcPr>
            <w:tcW w:w="32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11.8.</w:t>
            </w:r>
          </w:p>
        </w:tc>
        <w:tc>
          <w:tcPr>
            <w:tcW w:w="6560" w:type="dxa"/>
            <w:vAlign w:val="bottom"/>
          </w:tcPr>
          <w:p>
            <w:pPr>
              <w:ind w:left="40"/>
              <w:spacing w:after="0"/>
              <w:rPr>
                <w:sz w:val="20"/>
                <w:szCs w:val="20"/>
                <w:color w:val="auto"/>
              </w:rPr>
            </w:pPr>
            <w:r>
              <w:rPr>
                <w:rFonts w:ascii="Arial" w:cs="Arial" w:eastAsia="Arial" w:hAnsi="Arial"/>
                <w:sz w:val="18"/>
                <w:szCs w:val="18"/>
                <w:color w:val="auto"/>
              </w:rPr>
              <w:t>Successor Administrative Agent</w:t>
            </w:r>
          </w:p>
        </w:tc>
        <w:tc>
          <w:tcPr>
            <w:tcW w:w="32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2"/>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11.9.</w:t>
            </w:r>
          </w:p>
        </w:tc>
        <w:tc>
          <w:tcPr>
            <w:tcW w:w="6560" w:type="dxa"/>
            <w:vAlign w:val="bottom"/>
          </w:tcPr>
          <w:p>
            <w:pPr>
              <w:ind w:left="40"/>
              <w:spacing w:after="0"/>
              <w:rPr>
                <w:sz w:val="20"/>
                <w:szCs w:val="20"/>
                <w:color w:val="auto"/>
              </w:rPr>
            </w:pPr>
            <w:r>
              <w:rPr>
                <w:rFonts w:ascii="Arial" w:cs="Arial" w:eastAsia="Arial" w:hAnsi="Arial"/>
                <w:sz w:val="18"/>
                <w:szCs w:val="18"/>
                <w:color w:val="auto"/>
              </w:rPr>
              <w:t>Titled Agents</w:t>
            </w:r>
          </w:p>
        </w:tc>
        <w:tc>
          <w:tcPr>
            <w:tcW w:w="32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8060" w:type="dxa"/>
            <w:vAlign w:val="bottom"/>
            <w:gridSpan w:val="2"/>
          </w:tcPr>
          <w:p>
            <w:pPr>
              <w:spacing w:after="0"/>
              <w:rPr>
                <w:sz w:val="20"/>
                <w:szCs w:val="20"/>
                <w:color w:val="auto"/>
              </w:rPr>
            </w:pPr>
            <w:r>
              <w:rPr>
                <w:rFonts w:ascii="Arial" w:cs="Arial" w:eastAsia="Arial" w:hAnsi="Arial"/>
                <w:sz w:val="18"/>
                <w:szCs w:val="18"/>
                <w:color w:val="auto"/>
              </w:rPr>
              <w:t>Article XII. Miscellaneous</w:t>
            </w:r>
          </w:p>
        </w:tc>
        <w:tc>
          <w:tcPr>
            <w:tcW w:w="32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18"/>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12.1.</w:t>
            </w:r>
          </w:p>
        </w:tc>
        <w:tc>
          <w:tcPr>
            <w:tcW w:w="6560" w:type="dxa"/>
            <w:vAlign w:val="bottom"/>
          </w:tcPr>
          <w:p>
            <w:pPr>
              <w:ind w:left="40"/>
              <w:spacing w:after="0"/>
              <w:rPr>
                <w:sz w:val="20"/>
                <w:szCs w:val="20"/>
                <w:color w:val="auto"/>
              </w:rPr>
            </w:pPr>
            <w:r>
              <w:rPr>
                <w:rFonts w:ascii="Arial" w:cs="Arial" w:eastAsia="Arial" w:hAnsi="Arial"/>
                <w:sz w:val="18"/>
                <w:szCs w:val="18"/>
                <w:color w:val="auto"/>
              </w:rPr>
              <w:t>Notices</w:t>
            </w:r>
          </w:p>
        </w:tc>
        <w:tc>
          <w:tcPr>
            <w:tcW w:w="32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12.2.</w:t>
            </w:r>
          </w:p>
        </w:tc>
        <w:tc>
          <w:tcPr>
            <w:tcW w:w="6560" w:type="dxa"/>
            <w:vAlign w:val="bottom"/>
          </w:tcPr>
          <w:p>
            <w:pPr>
              <w:ind w:left="40"/>
              <w:spacing w:after="0"/>
              <w:rPr>
                <w:sz w:val="20"/>
                <w:szCs w:val="20"/>
                <w:color w:val="auto"/>
              </w:rPr>
            </w:pPr>
            <w:r>
              <w:rPr>
                <w:rFonts w:ascii="Arial" w:cs="Arial" w:eastAsia="Arial" w:hAnsi="Arial"/>
                <w:sz w:val="18"/>
                <w:szCs w:val="18"/>
                <w:color w:val="auto"/>
              </w:rPr>
              <w:t>Expenses</w:t>
            </w:r>
          </w:p>
        </w:tc>
        <w:tc>
          <w:tcPr>
            <w:tcW w:w="32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12.3.</w:t>
            </w:r>
          </w:p>
        </w:tc>
        <w:tc>
          <w:tcPr>
            <w:tcW w:w="6560" w:type="dxa"/>
            <w:vAlign w:val="bottom"/>
          </w:tcPr>
          <w:p>
            <w:pPr>
              <w:ind w:left="40"/>
              <w:spacing w:after="0"/>
              <w:rPr>
                <w:sz w:val="20"/>
                <w:szCs w:val="20"/>
                <w:color w:val="auto"/>
              </w:rPr>
            </w:pPr>
            <w:r>
              <w:rPr>
                <w:rFonts w:ascii="Arial" w:cs="Arial" w:eastAsia="Arial" w:hAnsi="Arial"/>
                <w:sz w:val="18"/>
                <w:szCs w:val="18"/>
                <w:color w:val="auto"/>
              </w:rPr>
              <w:t>Stamp, Intangible and Recording Taxes</w:t>
            </w:r>
          </w:p>
        </w:tc>
        <w:tc>
          <w:tcPr>
            <w:tcW w:w="32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12.4.</w:t>
            </w:r>
          </w:p>
        </w:tc>
        <w:tc>
          <w:tcPr>
            <w:tcW w:w="6560" w:type="dxa"/>
            <w:vAlign w:val="bottom"/>
          </w:tcPr>
          <w:p>
            <w:pPr>
              <w:ind w:left="40"/>
              <w:spacing w:after="0"/>
              <w:rPr>
                <w:sz w:val="20"/>
                <w:szCs w:val="20"/>
                <w:color w:val="auto"/>
              </w:rPr>
            </w:pPr>
            <w:r>
              <w:rPr>
                <w:rFonts w:ascii="Arial" w:cs="Arial" w:eastAsia="Arial" w:hAnsi="Arial"/>
                <w:sz w:val="18"/>
                <w:szCs w:val="18"/>
                <w:color w:val="auto"/>
              </w:rPr>
              <w:t>Setoff</w:t>
            </w:r>
          </w:p>
        </w:tc>
        <w:tc>
          <w:tcPr>
            <w:tcW w:w="32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12.5.</w:t>
            </w:r>
          </w:p>
        </w:tc>
        <w:tc>
          <w:tcPr>
            <w:tcW w:w="6560" w:type="dxa"/>
            <w:vAlign w:val="bottom"/>
          </w:tcPr>
          <w:p>
            <w:pPr>
              <w:ind w:left="40"/>
              <w:spacing w:after="0"/>
              <w:rPr>
                <w:sz w:val="20"/>
                <w:szCs w:val="20"/>
                <w:color w:val="auto"/>
              </w:rPr>
            </w:pPr>
            <w:r>
              <w:rPr>
                <w:rFonts w:ascii="Arial" w:cs="Arial" w:eastAsia="Arial" w:hAnsi="Arial"/>
                <w:sz w:val="18"/>
                <w:szCs w:val="18"/>
                <w:color w:val="auto"/>
              </w:rPr>
              <w:t>Litigation; Jurisdiction; Other Matters; Waivers</w:t>
            </w:r>
          </w:p>
        </w:tc>
        <w:tc>
          <w:tcPr>
            <w:tcW w:w="32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12.6.</w:t>
            </w:r>
          </w:p>
        </w:tc>
        <w:tc>
          <w:tcPr>
            <w:tcW w:w="6560" w:type="dxa"/>
            <w:vAlign w:val="bottom"/>
          </w:tcPr>
          <w:p>
            <w:pPr>
              <w:ind w:left="40"/>
              <w:spacing w:after="0"/>
              <w:rPr>
                <w:sz w:val="20"/>
                <w:szCs w:val="20"/>
                <w:color w:val="auto"/>
              </w:rPr>
            </w:pPr>
            <w:r>
              <w:rPr>
                <w:rFonts w:ascii="Arial" w:cs="Arial" w:eastAsia="Arial" w:hAnsi="Arial"/>
                <w:sz w:val="18"/>
                <w:szCs w:val="18"/>
                <w:color w:val="auto"/>
              </w:rPr>
              <w:t>Successors and Assigns</w:t>
            </w:r>
          </w:p>
        </w:tc>
        <w:tc>
          <w:tcPr>
            <w:tcW w:w="32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12.7.</w:t>
            </w:r>
          </w:p>
        </w:tc>
        <w:tc>
          <w:tcPr>
            <w:tcW w:w="6560" w:type="dxa"/>
            <w:vAlign w:val="bottom"/>
          </w:tcPr>
          <w:p>
            <w:pPr>
              <w:ind w:left="40"/>
              <w:spacing w:after="0"/>
              <w:rPr>
                <w:sz w:val="20"/>
                <w:szCs w:val="20"/>
                <w:color w:val="auto"/>
              </w:rPr>
            </w:pPr>
            <w:r>
              <w:rPr>
                <w:rFonts w:ascii="Arial" w:cs="Arial" w:eastAsia="Arial" w:hAnsi="Arial"/>
                <w:sz w:val="18"/>
                <w:szCs w:val="18"/>
                <w:color w:val="auto"/>
              </w:rPr>
              <w:t>Amendments and Waivers</w:t>
            </w:r>
          </w:p>
        </w:tc>
        <w:tc>
          <w:tcPr>
            <w:tcW w:w="32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12.8.</w:t>
            </w:r>
          </w:p>
        </w:tc>
        <w:tc>
          <w:tcPr>
            <w:tcW w:w="6560" w:type="dxa"/>
            <w:vAlign w:val="bottom"/>
          </w:tcPr>
          <w:p>
            <w:pPr>
              <w:ind w:left="40"/>
              <w:spacing w:after="0"/>
              <w:rPr>
                <w:sz w:val="20"/>
                <w:szCs w:val="20"/>
                <w:color w:val="auto"/>
              </w:rPr>
            </w:pPr>
            <w:r>
              <w:rPr>
                <w:rFonts w:ascii="Arial" w:cs="Arial" w:eastAsia="Arial" w:hAnsi="Arial"/>
                <w:sz w:val="18"/>
                <w:szCs w:val="18"/>
                <w:color w:val="auto"/>
              </w:rPr>
              <w:t>Nonliability of Administrative Agent and Lenders</w:t>
            </w:r>
          </w:p>
        </w:tc>
        <w:tc>
          <w:tcPr>
            <w:tcW w:w="3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8"/>
              </w:rPr>
              <w:t>Section 12.9.</w:t>
            </w:r>
          </w:p>
        </w:tc>
        <w:tc>
          <w:tcPr>
            <w:tcW w:w="6560" w:type="dxa"/>
            <w:vAlign w:val="bottom"/>
          </w:tcPr>
          <w:p>
            <w:pPr>
              <w:ind w:left="40"/>
              <w:spacing w:after="0"/>
              <w:rPr>
                <w:sz w:val="20"/>
                <w:szCs w:val="20"/>
                <w:color w:val="auto"/>
              </w:rPr>
            </w:pPr>
            <w:r>
              <w:rPr>
                <w:rFonts w:ascii="Arial" w:cs="Arial" w:eastAsia="Arial" w:hAnsi="Arial"/>
                <w:sz w:val="18"/>
                <w:szCs w:val="18"/>
                <w:color w:val="auto"/>
              </w:rPr>
              <w:t>Confidentiality</w:t>
            </w:r>
          </w:p>
        </w:tc>
        <w:tc>
          <w:tcPr>
            <w:tcW w:w="3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12.10.</w:t>
            </w:r>
          </w:p>
        </w:tc>
        <w:tc>
          <w:tcPr>
            <w:tcW w:w="656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32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12.11.</w:t>
            </w:r>
          </w:p>
        </w:tc>
        <w:tc>
          <w:tcPr>
            <w:tcW w:w="6560" w:type="dxa"/>
            <w:vAlign w:val="bottom"/>
          </w:tcPr>
          <w:p>
            <w:pPr>
              <w:ind w:left="40"/>
              <w:spacing w:after="0"/>
              <w:rPr>
                <w:sz w:val="20"/>
                <w:szCs w:val="20"/>
                <w:color w:val="auto"/>
              </w:rPr>
            </w:pPr>
            <w:r>
              <w:rPr>
                <w:rFonts w:ascii="Arial" w:cs="Arial" w:eastAsia="Arial" w:hAnsi="Arial"/>
                <w:sz w:val="18"/>
                <w:szCs w:val="18"/>
                <w:color w:val="auto"/>
              </w:rPr>
              <w:t>Termination; Survival</w:t>
            </w:r>
          </w:p>
        </w:tc>
        <w:tc>
          <w:tcPr>
            <w:tcW w:w="32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12.12.</w:t>
            </w:r>
          </w:p>
        </w:tc>
        <w:tc>
          <w:tcPr>
            <w:tcW w:w="6560" w:type="dxa"/>
            <w:vAlign w:val="bottom"/>
          </w:tcPr>
          <w:p>
            <w:pPr>
              <w:ind w:left="40"/>
              <w:spacing w:after="0"/>
              <w:rPr>
                <w:sz w:val="20"/>
                <w:szCs w:val="20"/>
                <w:color w:val="auto"/>
              </w:rPr>
            </w:pPr>
            <w:r>
              <w:rPr>
                <w:rFonts w:ascii="Arial" w:cs="Arial" w:eastAsia="Arial" w:hAnsi="Arial"/>
                <w:sz w:val="18"/>
                <w:szCs w:val="18"/>
                <w:color w:val="auto"/>
              </w:rPr>
              <w:t>Severability of Provisions</w:t>
            </w:r>
          </w:p>
        </w:tc>
        <w:tc>
          <w:tcPr>
            <w:tcW w:w="3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12.13.</w:t>
            </w:r>
          </w:p>
        </w:tc>
        <w:tc>
          <w:tcPr>
            <w:tcW w:w="656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3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12.14.</w:t>
            </w:r>
          </w:p>
        </w:tc>
        <w:tc>
          <w:tcPr>
            <w:tcW w:w="656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3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12.15.</w:t>
            </w:r>
          </w:p>
        </w:tc>
        <w:tc>
          <w:tcPr>
            <w:tcW w:w="6560" w:type="dxa"/>
            <w:vAlign w:val="bottom"/>
          </w:tcPr>
          <w:p>
            <w:pPr>
              <w:ind w:left="40"/>
              <w:spacing w:after="0"/>
              <w:rPr>
                <w:sz w:val="20"/>
                <w:szCs w:val="20"/>
                <w:color w:val="auto"/>
              </w:rPr>
            </w:pPr>
            <w:r>
              <w:rPr>
                <w:rFonts w:ascii="Arial" w:cs="Arial" w:eastAsia="Arial" w:hAnsi="Arial"/>
                <w:sz w:val="18"/>
                <w:szCs w:val="18"/>
                <w:color w:val="auto"/>
              </w:rPr>
              <w:t>Obligations with Respect to Loan Parties</w:t>
            </w:r>
          </w:p>
        </w:tc>
        <w:tc>
          <w:tcPr>
            <w:tcW w:w="3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12.16.</w:t>
            </w:r>
          </w:p>
        </w:tc>
        <w:tc>
          <w:tcPr>
            <w:tcW w:w="6560" w:type="dxa"/>
            <w:vAlign w:val="bottom"/>
          </w:tcPr>
          <w:p>
            <w:pPr>
              <w:ind w:left="40"/>
              <w:spacing w:after="0"/>
              <w:rPr>
                <w:sz w:val="20"/>
                <w:szCs w:val="20"/>
                <w:color w:val="auto"/>
              </w:rPr>
            </w:pPr>
            <w:r>
              <w:rPr>
                <w:rFonts w:ascii="Arial" w:cs="Arial" w:eastAsia="Arial" w:hAnsi="Arial"/>
                <w:sz w:val="18"/>
                <w:szCs w:val="18"/>
                <w:color w:val="auto"/>
              </w:rPr>
              <w:t>Independence of Covenants</w:t>
            </w:r>
          </w:p>
        </w:tc>
        <w:tc>
          <w:tcPr>
            <w:tcW w:w="3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12.17.</w:t>
            </w:r>
          </w:p>
        </w:tc>
        <w:tc>
          <w:tcPr>
            <w:tcW w:w="6560" w:type="dxa"/>
            <w:vAlign w:val="bottom"/>
          </w:tcPr>
          <w:p>
            <w:pPr>
              <w:ind w:left="40"/>
              <w:spacing w:after="0"/>
              <w:rPr>
                <w:sz w:val="20"/>
                <w:szCs w:val="20"/>
                <w:color w:val="auto"/>
              </w:rPr>
            </w:pPr>
            <w:r>
              <w:rPr>
                <w:rFonts w:ascii="Arial" w:cs="Arial" w:eastAsia="Arial" w:hAnsi="Arial"/>
                <w:sz w:val="18"/>
                <w:szCs w:val="18"/>
                <w:color w:val="auto"/>
              </w:rPr>
              <w:t>Limitation of Liability</w:t>
            </w:r>
          </w:p>
        </w:tc>
        <w:tc>
          <w:tcPr>
            <w:tcW w:w="3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12.18.</w:t>
            </w:r>
          </w:p>
        </w:tc>
        <w:tc>
          <w:tcPr>
            <w:tcW w:w="6560" w:type="dxa"/>
            <w:vAlign w:val="bottom"/>
          </w:tcPr>
          <w:p>
            <w:pPr>
              <w:ind w:left="40"/>
              <w:spacing w:after="0"/>
              <w:rPr>
                <w:sz w:val="20"/>
                <w:szCs w:val="20"/>
                <w:color w:val="auto"/>
              </w:rPr>
            </w:pPr>
            <w:r>
              <w:rPr>
                <w:rFonts w:ascii="Arial" w:cs="Arial" w:eastAsia="Arial" w:hAnsi="Arial"/>
                <w:sz w:val="18"/>
                <w:szCs w:val="18"/>
                <w:color w:val="auto"/>
              </w:rPr>
              <w:t>Entire Agreement</w:t>
            </w:r>
          </w:p>
        </w:tc>
        <w:tc>
          <w:tcPr>
            <w:tcW w:w="32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12.19.</w:t>
            </w:r>
          </w:p>
        </w:tc>
        <w:tc>
          <w:tcPr>
            <w:tcW w:w="6560" w:type="dxa"/>
            <w:vAlign w:val="bottom"/>
          </w:tcPr>
          <w:p>
            <w:pPr>
              <w:ind w:left="40"/>
              <w:spacing w:after="0"/>
              <w:rPr>
                <w:sz w:val="20"/>
                <w:szCs w:val="20"/>
                <w:color w:val="auto"/>
              </w:rPr>
            </w:pPr>
            <w:r>
              <w:rPr>
                <w:rFonts w:ascii="Arial" w:cs="Arial" w:eastAsia="Arial" w:hAnsi="Arial"/>
                <w:sz w:val="18"/>
                <w:szCs w:val="18"/>
                <w:color w:val="auto"/>
              </w:rPr>
              <w:t>Construction</w:t>
            </w:r>
          </w:p>
        </w:tc>
        <w:tc>
          <w:tcPr>
            <w:tcW w:w="32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12.20.</w:t>
            </w:r>
          </w:p>
        </w:tc>
        <w:tc>
          <w:tcPr>
            <w:tcW w:w="6560" w:type="dxa"/>
            <w:vAlign w:val="bottom"/>
          </w:tcPr>
          <w:p>
            <w:pPr>
              <w:ind w:left="40"/>
              <w:spacing w:after="0"/>
              <w:rPr>
                <w:sz w:val="20"/>
                <w:szCs w:val="20"/>
                <w:color w:val="auto"/>
              </w:rPr>
            </w:pPr>
            <w:r>
              <w:rPr>
                <w:rFonts w:ascii="Arial" w:cs="Arial" w:eastAsia="Arial" w:hAnsi="Arial"/>
                <w:sz w:val="18"/>
                <w:szCs w:val="18"/>
                <w:color w:val="auto"/>
              </w:rPr>
              <w:t>Headings</w:t>
            </w:r>
          </w:p>
        </w:tc>
        <w:tc>
          <w:tcPr>
            <w:tcW w:w="32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2"/>
        </w:trPr>
        <w:tc>
          <w:tcPr>
            <w:tcW w:w="1500" w:type="dxa"/>
            <w:vAlign w:val="bottom"/>
          </w:tcPr>
          <w:p>
            <w:pPr>
              <w:ind w:left="440"/>
              <w:spacing w:after="0"/>
              <w:rPr>
                <w:sz w:val="20"/>
                <w:szCs w:val="20"/>
                <w:color w:val="auto"/>
              </w:rPr>
            </w:pPr>
            <w:r>
              <w:rPr>
                <w:rFonts w:ascii="Arial" w:cs="Arial" w:eastAsia="Arial" w:hAnsi="Arial"/>
                <w:sz w:val="18"/>
                <w:szCs w:val="18"/>
                <w:color w:val="auto"/>
                <w:w w:val="90"/>
              </w:rPr>
              <w:t>Section 12.21.</w:t>
            </w:r>
          </w:p>
        </w:tc>
        <w:tc>
          <w:tcPr>
            <w:tcW w:w="6560" w:type="dxa"/>
            <w:vAlign w:val="bottom"/>
          </w:tcPr>
          <w:p>
            <w:pPr>
              <w:ind w:left="40"/>
              <w:spacing w:after="0"/>
              <w:rPr>
                <w:sz w:val="20"/>
                <w:szCs w:val="20"/>
                <w:color w:val="auto"/>
              </w:rPr>
            </w:pPr>
            <w:r>
              <w:rPr>
                <w:rFonts w:ascii="Arial" w:cs="Arial" w:eastAsia="Arial" w:hAnsi="Arial"/>
                <w:sz w:val="18"/>
                <w:szCs w:val="18"/>
                <w:color w:val="auto"/>
              </w:rPr>
              <w:t>Limitation of Liability of Trustees, Etc.</w:t>
            </w:r>
          </w:p>
        </w:tc>
        <w:tc>
          <w:tcPr>
            <w:tcW w:w="32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SCHEDULE I</w:t>
            </w:r>
          </w:p>
        </w:tc>
        <w:tc>
          <w:tcPr>
            <w:tcW w:w="6560" w:type="dxa"/>
            <w:vAlign w:val="bottom"/>
          </w:tcPr>
          <w:p>
            <w:pPr>
              <w:ind w:left="800"/>
              <w:spacing w:after="0"/>
              <w:rPr>
                <w:sz w:val="20"/>
                <w:szCs w:val="20"/>
                <w:color w:val="auto"/>
              </w:rPr>
            </w:pPr>
            <w:r>
              <w:rPr>
                <w:rFonts w:ascii="Arial" w:cs="Arial" w:eastAsia="Arial" w:hAnsi="Arial"/>
                <w:sz w:val="18"/>
                <w:szCs w:val="18"/>
                <w:color w:val="auto"/>
              </w:rPr>
              <w:t>Commitments</w:t>
            </w:r>
          </w:p>
        </w:tc>
        <w:tc>
          <w:tcPr>
            <w:tcW w:w="3260" w:type="dxa"/>
            <w:vAlign w:val="bottom"/>
          </w:tcPr>
          <w:p>
            <w:pPr>
              <w:spacing w:after="0"/>
              <w:rPr>
                <w:sz w:val="24"/>
                <w:szCs w:val="24"/>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w w:val="95"/>
              </w:rPr>
              <w:t>SCHEDULE 1.1.(a)</w:t>
            </w:r>
          </w:p>
        </w:tc>
        <w:tc>
          <w:tcPr>
            <w:tcW w:w="6560" w:type="dxa"/>
            <w:vAlign w:val="bottom"/>
          </w:tcPr>
          <w:p>
            <w:pPr>
              <w:ind w:left="800"/>
              <w:spacing w:after="0"/>
              <w:rPr>
                <w:sz w:val="20"/>
                <w:szCs w:val="20"/>
                <w:color w:val="auto"/>
              </w:rPr>
            </w:pPr>
            <w:r>
              <w:rPr>
                <w:rFonts w:ascii="Arial" w:cs="Arial" w:eastAsia="Arial" w:hAnsi="Arial"/>
                <w:sz w:val="18"/>
                <w:szCs w:val="18"/>
                <w:color w:val="auto"/>
              </w:rPr>
              <w:t>List of Loan Parties</w:t>
            </w:r>
          </w:p>
        </w:tc>
        <w:tc>
          <w:tcPr>
            <w:tcW w:w="3260" w:type="dxa"/>
            <w:vAlign w:val="bottom"/>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w w:val="95"/>
              </w:rPr>
              <w:t>SCHEDULE 1.1.(b)</w:t>
            </w:r>
          </w:p>
        </w:tc>
        <w:tc>
          <w:tcPr>
            <w:tcW w:w="6560" w:type="dxa"/>
            <w:vAlign w:val="bottom"/>
          </w:tcPr>
          <w:p>
            <w:pPr>
              <w:ind w:left="800"/>
              <w:spacing w:after="0"/>
              <w:rPr>
                <w:sz w:val="20"/>
                <w:szCs w:val="20"/>
                <w:color w:val="auto"/>
              </w:rPr>
            </w:pPr>
            <w:r>
              <w:rPr>
                <w:rFonts w:ascii="Arial" w:cs="Arial" w:eastAsia="Arial" w:hAnsi="Arial"/>
                <w:sz w:val="18"/>
                <w:szCs w:val="18"/>
                <w:color w:val="auto"/>
              </w:rPr>
              <w:t>Existing Letters of Credit</w:t>
            </w:r>
          </w:p>
        </w:tc>
        <w:tc>
          <w:tcPr>
            <w:tcW w:w="3260" w:type="dxa"/>
            <w:vAlign w:val="bottom"/>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w w:val="95"/>
              </w:rPr>
              <w:t>SCHEDULE 6.1.(b)</w:t>
            </w:r>
          </w:p>
        </w:tc>
        <w:tc>
          <w:tcPr>
            <w:tcW w:w="6560" w:type="dxa"/>
            <w:vAlign w:val="bottom"/>
          </w:tcPr>
          <w:p>
            <w:pPr>
              <w:ind w:left="800"/>
              <w:spacing w:after="0"/>
              <w:rPr>
                <w:sz w:val="20"/>
                <w:szCs w:val="20"/>
                <w:color w:val="auto"/>
              </w:rPr>
            </w:pPr>
            <w:r>
              <w:rPr>
                <w:rFonts w:ascii="Arial" w:cs="Arial" w:eastAsia="Arial" w:hAnsi="Arial"/>
                <w:sz w:val="18"/>
                <w:szCs w:val="18"/>
                <w:color w:val="auto"/>
              </w:rPr>
              <w:t>Ownership Structure</w:t>
            </w:r>
          </w:p>
        </w:tc>
        <w:tc>
          <w:tcPr>
            <w:tcW w:w="3260" w:type="dxa"/>
            <w:vAlign w:val="bottom"/>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w w:val="98"/>
              </w:rPr>
              <w:t>SCHEDULE 6.1.(f)</w:t>
            </w:r>
          </w:p>
        </w:tc>
        <w:tc>
          <w:tcPr>
            <w:tcW w:w="6560" w:type="dxa"/>
            <w:vAlign w:val="bottom"/>
          </w:tcPr>
          <w:p>
            <w:pPr>
              <w:ind w:left="800"/>
              <w:spacing w:after="0"/>
              <w:rPr>
                <w:sz w:val="20"/>
                <w:szCs w:val="20"/>
                <w:color w:val="auto"/>
              </w:rPr>
            </w:pPr>
            <w:r>
              <w:rPr>
                <w:rFonts w:ascii="Arial" w:cs="Arial" w:eastAsia="Arial" w:hAnsi="Arial"/>
                <w:sz w:val="18"/>
                <w:szCs w:val="18"/>
                <w:color w:val="auto"/>
              </w:rPr>
              <w:t>Properties</w:t>
            </w:r>
          </w:p>
        </w:tc>
        <w:tc>
          <w:tcPr>
            <w:tcW w:w="3260" w:type="dxa"/>
            <w:vAlign w:val="bottom"/>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w w:val="95"/>
              </w:rPr>
              <w:t>SCHEDULE 6.1.(g)</w:t>
            </w:r>
          </w:p>
        </w:tc>
        <w:tc>
          <w:tcPr>
            <w:tcW w:w="6560" w:type="dxa"/>
            <w:vAlign w:val="bottom"/>
          </w:tcPr>
          <w:p>
            <w:pPr>
              <w:ind w:left="800"/>
              <w:spacing w:after="0"/>
              <w:rPr>
                <w:sz w:val="20"/>
                <w:szCs w:val="20"/>
                <w:color w:val="auto"/>
              </w:rPr>
            </w:pPr>
            <w:r>
              <w:rPr>
                <w:rFonts w:ascii="Arial" w:cs="Arial" w:eastAsia="Arial" w:hAnsi="Arial"/>
                <w:sz w:val="18"/>
                <w:szCs w:val="18"/>
                <w:color w:val="auto"/>
              </w:rPr>
              <w:t>Indebtedness and Guaranties</w:t>
            </w:r>
          </w:p>
        </w:tc>
        <w:tc>
          <w:tcPr>
            <w:tcW w:w="3260" w:type="dxa"/>
            <w:vAlign w:val="bottom"/>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w w:val="99"/>
              </w:rPr>
              <w:t>SCHEDULE 6.1.(i)</w:t>
            </w:r>
          </w:p>
        </w:tc>
        <w:tc>
          <w:tcPr>
            <w:tcW w:w="6560" w:type="dxa"/>
            <w:vAlign w:val="bottom"/>
          </w:tcPr>
          <w:p>
            <w:pPr>
              <w:ind w:left="800"/>
              <w:spacing w:after="0"/>
              <w:rPr>
                <w:sz w:val="20"/>
                <w:szCs w:val="20"/>
                <w:color w:val="auto"/>
              </w:rPr>
            </w:pPr>
            <w:r>
              <w:rPr>
                <w:rFonts w:ascii="Arial" w:cs="Arial" w:eastAsia="Arial" w:hAnsi="Arial"/>
                <w:sz w:val="18"/>
                <w:szCs w:val="18"/>
                <w:color w:val="auto"/>
              </w:rPr>
              <w:t>Litigation</w:t>
            </w:r>
          </w:p>
        </w:tc>
        <w:tc>
          <w:tcPr>
            <w:tcW w:w="3260" w:type="dxa"/>
            <w:vAlign w:val="bottom"/>
          </w:tcPr>
          <w:p>
            <w:pPr>
              <w:spacing w:after="0"/>
              <w:rPr>
                <w:sz w:val="18"/>
                <w:szCs w:val="18"/>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8"/>
                <w:szCs w:val="18"/>
                <w:color w:val="auto"/>
                <w:w w:val="96"/>
              </w:rPr>
              <w:t>SCHEDULE 6.1.(z)</w:t>
            </w:r>
          </w:p>
        </w:tc>
        <w:tc>
          <w:tcPr>
            <w:tcW w:w="6560" w:type="dxa"/>
            <w:vAlign w:val="bottom"/>
          </w:tcPr>
          <w:p>
            <w:pPr>
              <w:ind w:left="800"/>
              <w:spacing w:after="0"/>
              <w:rPr>
                <w:sz w:val="20"/>
                <w:szCs w:val="20"/>
                <w:color w:val="auto"/>
              </w:rPr>
            </w:pPr>
            <w:r>
              <w:rPr>
                <w:rFonts w:ascii="Arial" w:cs="Arial" w:eastAsia="Arial" w:hAnsi="Arial"/>
                <w:sz w:val="18"/>
                <w:szCs w:val="18"/>
                <w:color w:val="auto"/>
              </w:rPr>
              <w:t>Unencumbered Assets</w:t>
            </w:r>
          </w:p>
        </w:tc>
        <w:tc>
          <w:tcPr>
            <w:tcW w:w="326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320"/>
          </w:cols>
          <w:pgMar w:left="240" w:top="28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EXHIBIT 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Assignment and Assumption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-205105</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Form of Bid Rate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Designation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Guaranty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Borrowing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Continuation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Conversion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Swingline Borrowing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Revolving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Swingline Note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Form of Transfer Authorizer Designation Form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of Bid Rate Quote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Bid Rate Quote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Bid Rate Quote Acceptance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Opinion of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Compliance Certificate</w:t>
      </w:r>
    </w:p>
    <w:p>
      <w:pPr>
        <w:spacing w:after="0" w:line="151" w:lineRule="exact"/>
        <w:rPr>
          <w:sz w:val="20"/>
          <w:szCs w:val="20"/>
          <w:color w:val="auto"/>
        </w:rPr>
      </w:pPr>
    </w:p>
    <w:p>
      <w:pPr>
        <w:sectPr>
          <w:pgSz w:w="11900" w:h="16838" w:orient="portrait"/>
          <w:cols w:equalWidth="0" w:num="2">
            <w:col w:w="1580" w:space="720"/>
            <w:col w:w="7919"/>
          </w:cols>
          <w:pgMar w:left="240" w:top="280" w:right="1440" w:bottom="1440" w:gutter="0" w:footer="0" w:header="0"/>
        </w:sectPr>
      </w:pPr>
    </w:p>
    <w:p>
      <w:pPr>
        <w:ind w:left="5540"/>
        <w:spacing w:after="0"/>
        <w:rPr>
          <w:sz w:val="20"/>
          <w:szCs w:val="20"/>
          <w:color w:val="auto"/>
        </w:rPr>
      </w:pPr>
      <w:r>
        <w:rPr>
          <w:rFonts w:ascii="Arial" w:cs="Arial" w:eastAsia="Arial" w:hAnsi="Arial"/>
          <w:sz w:val="16"/>
          <w:szCs w:val="16"/>
          <w:color w:val="auto"/>
        </w:rPr>
        <w:t>- iv -</w:t>
      </w:r>
    </w:p>
    <w:p>
      <w:pPr>
        <w:sectPr>
          <w:pgSz w:w="11900" w:h="16838" w:orient="portrait"/>
          <w:cols w:equalWidth="0" w:num="1">
            <w:col w:w="10219"/>
          </w:cols>
          <w:pgMar w:left="240" w:top="280" w:right="1440" w:bottom="1440" w:gutter="0" w:footer="0" w:header="0"/>
          <w:type w:val="continuous"/>
        </w:sectPr>
      </w:pPr>
    </w:p>
    <w:bookmarkStart w:id="9" w:name="page10"/>
    <w:bookmarkEnd w:id="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CREDIT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July 7, 2011, by and among FEDERAL REALTY INVESTMENT TRUST, a real estate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investment trust formed under the laws of the State of Maryland (the “</w:t>
      </w:r>
      <w:r>
        <w:rPr>
          <w:rFonts w:ascii="Arial" w:cs="Arial" w:eastAsia="Arial" w:hAnsi="Arial"/>
          <w:sz w:val="16"/>
          <w:szCs w:val="16"/>
          <w:b w:val="1"/>
          <w:bCs w:val="1"/>
          <w:color w:val="auto"/>
        </w:rPr>
        <w:t>Borrower</w:t>
      </w:r>
      <w:r>
        <w:rPr>
          <w:rFonts w:ascii="Arial" w:cs="Arial" w:eastAsia="Arial" w:hAnsi="Arial"/>
          <w:sz w:val="16"/>
          <w:szCs w:val="16"/>
          <w:color w:val="auto"/>
        </w:rPr>
        <w:t>”), each of the financial institutions initially a signatory hereto together with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successors and permitted assignees under Section 12.6. (the “</w:t>
      </w:r>
      <w:r>
        <w:rPr>
          <w:rFonts w:ascii="Arial" w:cs="Arial" w:eastAsia="Arial" w:hAnsi="Arial"/>
          <w:sz w:val="16"/>
          <w:szCs w:val="16"/>
          <w:b w:val="1"/>
          <w:bCs w:val="1"/>
          <w:color w:val="auto"/>
        </w:rPr>
        <w:t>Lenders</w:t>
      </w:r>
      <w:r>
        <w:rPr>
          <w:rFonts w:ascii="Arial" w:cs="Arial" w:eastAsia="Arial" w:hAnsi="Arial"/>
          <w:sz w:val="16"/>
          <w:szCs w:val="16"/>
          <w:color w:val="auto"/>
        </w:rPr>
        <w:t>”), WELLS FARGO BANK, NATIONAL ASSOCIATION, as Administrative Agent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(together with its successors and permitted assigns, the “</w:t>
      </w:r>
      <w:r>
        <w:rPr>
          <w:rFonts w:ascii="Arial" w:cs="Arial" w:eastAsia="Arial" w:hAnsi="Arial"/>
          <w:sz w:val="16"/>
          <w:szCs w:val="16"/>
          <w:b w:val="1"/>
          <w:bCs w:val="1"/>
          <w:color w:val="auto"/>
        </w:rPr>
        <w:t>Administrative Agent</w:t>
      </w:r>
      <w:r>
        <w:rPr>
          <w:rFonts w:ascii="Arial" w:cs="Arial" w:eastAsia="Arial" w:hAnsi="Arial"/>
          <w:sz w:val="16"/>
          <w:szCs w:val="16"/>
          <w:color w:val="auto"/>
        </w:rPr>
        <w:t>”) and PNC BANK, NATIONAL ASSOCIATION, as Syndication Agent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Syndication Agent</w:t>
      </w:r>
      <w:r>
        <w:rPr>
          <w:rFonts w:ascii="Arial" w:cs="Arial" w:eastAsia="Arial" w:hAnsi="Arial"/>
          <w:sz w:val="16"/>
          <w:szCs w:val="16"/>
          <w:color w:val="auto"/>
        </w:rPr>
        <w:t>”), and each of WELLS FARGO SECURITIES, LLC and PNC CAPITAL MARKETS LLC, as a Lead Arranger and Book Manager (each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Arranger</w:t>
      </w:r>
      <w:r>
        <w:rPr>
          <w:rFonts w:ascii="Arial" w:cs="Arial" w:eastAsia="Arial" w:hAnsi="Arial"/>
          <w:sz w:val="18"/>
          <w:szCs w:val="18"/>
          <w:color w:val="auto"/>
        </w:rPr>
        <w:t>”).</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WHEREAS, the Administrative Agent, the Issuing Bank and the Lenders desire to make available to the Borrower an unsecured revolving credit facility in the initial amount of $400,000,000 with a $50,000,000 swingline subfacility and a letter of credit subfacility of up to $50,000,000, on the terms and conditions contained herein.</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the parties hereto agree as follows: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 D</w:t>
      </w:r>
      <w:r>
        <w:rPr>
          <w:rFonts w:ascii="Arial" w:cs="Arial" w:eastAsia="Arial" w:hAnsi="Arial"/>
          <w:sz w:val="14"/>
          <w:szCs w:val="14"/>
          <w:b w:val="1"/>
          <w:bCs w:val="1"/>
          <w:color w:val="auto"/>
        </w:rPr>
        <w:t>EFINITIONS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terms defined elsewhere herein, the following terms shall have the following meanings for the purposes of this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Absolute Rate</w:t>
      </w:r>
      <w:r>
        <w:rPr>
          <w:rFonts w:ascii="Arial" w:cs="Arial" w:eastAsia="Arial" w:hAnsi="Arial"/>
          <w:sz w:val="18"/>
          <w:szCs w:val="18"/>
          <w:color w:val="auto"/>
        </w:rPr>
        <w:t>” has the meaning given that term in Section 2.2.(c)(ii)(C).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Absolute Rate Auction</w:t>
      </w:r>
      <w:r>
        <w:rPr>
          <w:rFonts w:ascii="Arial" w:cs="Arial" w:eastAsia="Arial" w:hAnsi="Arial"/>
          <w:sz w:val="18"/>
          <w:szCs w:val="18"/>
          <w:color w:val="auto"/>
        </w:rPr>
        <w:t>” means a solicitation of Bid Rate Quotes setting forth Absolute Rates pursuant to Section 2.2.</w:t>
      </w:r>
    </w:p>
    <w:p>
      <w:pPr>
        <w:spacing w:after="0" w:line="171"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Absolute Rate Loan</w:t>
      </w:r>
      <w:r>
        <w:rPr>
          <w:rFonts w:ascii="Arial" w:cs="Arial" w:eastAsia="Arial" w:hAnsi="Arial"/>
          <w:sz w:val="18"/>
          <w:szCs w:val="18"/>
          <w:color w:val="auto"/>
        </w:rPr>
        <w:t>” means a Bid Rate Loan, the interest rate on which is determined on the basis of an Absolute Rate pursuant to an Absolute Rate Auction.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Accession Agreement</w:t>
      </w:r>
      <w:r>
        <w:rPr>
          <w:rFonts w:ascii="Arial" w:cs="Arial" w:eastAsia="Arial" w:hAnsi="Arial"/>
          <w:sz w:val="18"/>
          <w:szCs w:val="18"/>
          <w:color w:val="auto"/>
        </w:rPr>
        <w:t>” means an Accession Agreement substantially in the form of Annex I to the Guaranty.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Costs</w:t>
      </w:r>
      <w:r>
        <w:rPr>
          <w:rFonts w:ascii="Arial" w:cs="Arial" w:eastAsia="Arial" w:hAnsi="Arial"/>
          <w:sz w:val="18"/>
          <w:szCs w:val="18"/>
          <w:color w:val="auto"/>
        </w:rPr>
        <w:t>” has the meaning given that term in Section 4.1.(b).</w:t>
      </w:r>
    </w:p>
    <w:p>
      <w:pPr>
        <w:spacing w:after="0" w:line="171" w:lineRule="exact"/>
        <w:rPr>
          <w:sz w:val="20"/>
          <w:szCs w:val="20"/>
          <w:color w:val="auto"/>
        </w:rPr>
      </w:pPr>
    </w:p>
    <w:p>
      <w:pPr>
        <w:ind w:right="3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EBITDA</w:t>
      </w:r>
      <w:r>
        <w:rPr>
          <w:rFonts w:ascii="Arial" w:cs="Arial" w:eastAsia="Arial" w:hAnsi="Arial"/>
          <w:sz w:val="18"/>
          <w:szCs w:val="18"/>
          <w:color w:val="auto"/>
        </w:rPr>
        <w:t xml:space="preserve">” means, for any given period, (a) the EBITDA of the Borrower and its Subsidiaries determined on a consolidated basis for such period (including the Borrower’s Ownership Share of EBITDA of its Unconsolidated Affiliates as set forth in clause (b) of the definition of EBITDA),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Capital Reserves.</w:t>
      </w:r>
    </w:p>
    <w:p>
      <w:pPr>
        <w:spacing w:after="0" w:line="13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Total Asset Value</w:t>
      </w:r>
      <w:r>
        <w:rPr>
          <w:rFonts w:ascii="Arial" w:cs="Arial" w:eastAsia="Arial" w:hAnsi="Arial"/>
          <w:sz w:val="18"/>
          <w:szCs w:val="18"/>
          <w:color w:val="auto"/>
        </w:rPr>
        <w:t>” means Total Asset Value determined exclusive of assets that are owned by Excluded Subsidiaries, Unconsolidated Affiliates or the Specified Non-Wholly Owned Subsidiaries.</w:t>
      </w:r>
    </w:p>
    <w:p>
      <w:pPr>
        <w:spacing w:after="0" w:line="120"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means Wells Fargo Bank, National Association as contractual representative of the Lenders under this Agreement, or any successor Administrative Agent appointed pursuant to Section 11.8.</w:t>
      </w:r>
    </w:p>
    <w:p>
      <w:pPr>
        <w:sectPr>
          <w:pgSz w:w="11900" w:h="16838" w:orient="portrait"/>
          <w:cols w:equalWidth="0" w:num="1">
            <w:col w:w="11400"/>
          </w:cols>
          <w:pgMar w:left="240" w:top="274" w:right="259" w:bottom="1440" w:gutter="0" w:footer="0" w:header="0"/>
        </w:sectPr>
      </w:pPr>
    </w:p>
    <w:bookmarkStart w:id="10" w:name="page11"/>
    <w:bookmarkEnd w:id="10"/>
    <w:p>
      <w:pPr>
        <w:ind w:right="10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means the Administrative Questionnaire completed by each Lender and delivered to the Administrative Agent in a form supplied by the Administrative Agent to the Lenders from time to time.</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 In no event shall the Administrative Agent or any Lender be deemed to be an Affiliate of the Borrower.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 Date</w:t>
      </w:r>
      <w:r>
        <w:rPr>
          <w:rFonts w:ascii="Arial" w:cs="Arial" w:eastAsia="Arial" w:hAnsi="Arial"/>
          <w:sz w:val="18"/>
          <w:szCs w:val="18"/>
          <w:color w:val="auto"/>
        </w:rPr>
        <w:t>” means the date as of which this Agreement is dated.</w:t>
      </w:r>
    </w:p>
    <w:p>
      <w:pPr>
        <w:spacing w:after="0" w:line="171"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Facility Fee</w:t>
      </w:r>
      <w:r>
        <w:rPr>
          <w:rFonts w:ascii="Arial" w:cs="Arial" w:eastAsia="Arial" w:hAnsi="Arial"/>
          <w:sz w:val="18"/>
          <w:szCs w:val="18"/>
          <w:color w:val="auto"/>
        </w:rPr>
        <w:t>” means the percentage set forth in the table below corresponding to the Level at which the “Applicable Margin” is determined in accordance with the definition thereof:</w:t>
      </w:r>
    </w:p>
    <w:p>
      <w:pPr>
        <w:spacing w:after="0" w:line="16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Level</w:t>
            </w:r>
          </w:p>
        </w:tc>
        <w:tc>
          <w:tcPr>
            <w:tcW w:w="74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Facility Fee</w:t>
            </w:r>
          </w:p>
        </w:tc>
        <w:tc>
          <w:tcPr>
            <w:tcW w:w="0" w:type="dxa"/>
            <w:vAlign w:val="bottom"/>
          </w:tcPr>
          <w:p>
            <w:pPr>
              <w:spacing w:after="0"/>
              <w:rPr>
                <w:sz w:val="1"/>
                <w:szCs w:val="1"/>
                <w:color w:val="auto"/>
              </w:rPr>
            </w:pPr>
          </w:p>
        </w:tc>
      </w:tr>
      <w:tr>
        <w:trPr>
          <w:trHeight w:val="20"/>
        </w:trPr>
        <w:tc>
          <w:tcPr>
            <w:tcW w:w="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65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0" w:type="dxa"/>
            <w:vAlign w:val="bottom"/>
            <w:vMerge w:val="continue"/>
            <w:shd w:val="clear" w:color="auto" w:fill="CCEEFF"/>
          </w:tcPr>
          <w:p>
            <w:pPr>
              <w:spacing w:after="0"/>
              <w:rPr>
                <w:sz w:val="17"/>
                <w:szCs w:val="17"/>
                <w:color w:val="auto"/>
              </w:rPr>
            </w:pPr>
          </w:p>
        </w:tc>
        <w:tc>
          <w:tcPr>
            <w:tcW w:w="656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0.175%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7440" w:type="dxa"/>
            <w:vAlign w:val="bottom"/>
            <w:gridSpan w:val="3"/>
          </w:tcPr>
          <w:p>
            <w:pPr>
              <w:jc w:val="right"/>
              <w:ind w:right="60"/>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7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0.250%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7440" w:type="dxa"/>
            <w:vAlign w:val="bottom"/>
            <w:gridSpan w:val="3"/>
          </w:tcPr>
          <w:p>
            <w:pPr>
              <w:jc w:val="right"/>
              <w:ind w:right="60"/>
              <w:spacing w:after="0"/>
              <w:rPr>
                <w:sz w:val="20"/>
                <w:szCs w:val="20"/>
                <w:color w:val="auto"/>
              </w:rPr>
            </w:pPr>
            <w:r>
              <w:rPr>
                <w:rFonts w:ascii="Arial" w:cs="Arial" w:eastAsia="Arial" w:hAnsi="Arial"/>
                <w:sz w:val="18"/>
                <w:szCs w:val="18"/>
                <w:color w:val="auto"/>
              </w:rPr>
              <w:t>0.350%</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7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0.450%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Any change in the applicable Level at which the Applicable Margin is determined shall result in a corresponding and simultaneous change in the Applicable Facility Fee. The provisions of this definition shall be subject to Section 2.5.(c).</w:t>
      </w:r>
    </w:p>
    <w:p>
      <w:pPr>
        <w:spacing w:after="0" w:line="126"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w:t>
      </w:r>
      <w:r>
        <w:rPr>
          <w:rFonts w:ascii="Arial" w:cs="Arial" w:eastAsia="Arial" w:hAnsi="Arial"/>
          <w:sz w:val="16"/>
          <w:szCs w:val="16"/>
          <w:color w:val="auto"/>
        </w:rPr>
        <w:t>” means all applicable provisions of international, foreign, federal, state and local statutes, treaties, rules, guidelines, regulations, ordinances, codes, executive orders, and administrative or judicial precedents or authorities, including the interpretation, implementation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0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Margin</w:t>
      </w:r>
      <w:r>
        <w:rPr>
          <w:rFonts w:ascii="Arial" w:cs="Arial" w:eastAsia="Arial" w:hAnsi="Arial"/>
          <w:sz w:val="16"/>
          <w:szCs w:val="16"/>
          <w:color w:val="auto"/>
        </w:rPr>
        <w:t>” means the percentage rate set forth in the table below corresponding to the level (each a “</w:t>
      </w:r>
      <w:r>
        <w:rPr>
          <w:rFonts w:ascii="Arial" w:cs="Arial" w:eastAsia="Arial" w:hAnsi="Arial"/>
          <w:sz w:val="16"/>
          <w:szCs w:val="16"/>
          <w:b w:val="1"/>
          <w:bCs w:val="1"/>
          <w:color w:val="auto"/>
        </w:rPr>
        <w:t>Level</w:t>
      </w:r>
      <w:r>
        <w:rPr>
          <w:rFonts w:ascii="Arial" w:cs="Arial" w:eastAsia="Arial" w:hAnsi="Arial"/>
          <w:sz w:val="16"/>
          <w:szCs w:val="16"/>
          <w:color w:val="auto"/>
        </w:rPr>
        <w:t>”) into which the Borrower’s Credit Rating then falls. As of the Agreement Date, the Applicable Margin is determined based on Level 2. Any change in the Borrower’s Credit Rating which would cause it to move to a different Level shall be effective as of the first Business Day of the first calendar month immediately following receipt by the Administrative Agent of written notice delivered by the Borrower in accordance with Section 8.4.(n) that the Borrower’s Credit Rating has changed; provided, however, if the Borrower has not delivered the notice required by such Section but the Administrative Agent becomes aware that the Borrower’s Credit Rating has changed, then the Administrative Agent may, in its sole discretion, adjust the Level by written notice to the Borrower (provided, however, that the Administrative Agent’s failure to give such notice shall not change the effectiveness of the adjustment of the Level) effective as of the first Business Day of the first calendar month following the date the Administrative Agent becomes aware that the Borrower’s Credit Rating has changed. During any period that the Borrower has received two Credit Ratings that are not equivalent, the Applicable Margin shall be determined based on the Level corresponding to the higher of such two Credit Ratings unless the difference in the Credit Ratings is greater than one ratings level, in which case the Applicable Margin shall be determined by reference to the ratings level immediately below the higher of the two Credit Ratings. During any period for which the Borrower has received a Credit Rating from only one Rating Agency, then the Applicable Margin shall be determined based on such Credit Rating. During any period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11" w:name="page12"/>
    <w:bookmarkEnd w:id="11"/>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the Borrower has not received a Credit Rating from any Rating Agency, the Applicable Margin shall be determined based on Level 5. The provisions of this definition shall be subject to Section 2.5.(c).</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86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89"/>
              </w:rPr>
              <w:t>Borrower’s Credit Rating</w:t>
            </w:r>
          </w:p>
        </w:tc>
        <w:tc>
          <w:tcPr>
            <w:tcW w:w="21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9"/>
              </w:rPr>
              <w:t>Applicable Margin</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3860" w:type="dxa"/>
            <w:vAlign w:val="bottom"/>
            <w:gridSpan w:val="2"/>
            <w:vMerge w:val="continue"/>
          </w:tcPr>
          <w:p>
            <w:pPr>
              <w:spacing w:after="0"/>
              <w:rPr>
                <w:sz w:val="11"/>
                <w:szCs w:val="11"/>
                <w:color w:val="auto"/>
              </w:rPr>
            </w:pPr>
          </w:p>
        </w:tc>
        <w:tc>
          <w:tcPr>
            <w:tcW w:w="212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96"/>
              </w:rPr>
              <w:t>for</w:t>
            </w:r>
          </w:p>
        </w:tc>
        <w:tc>
          <w:tcPr>
            <w:tcW w:w="11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7"/>
              </w:rPr>
              <w:t>Applicable</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8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(S&amp;P/Moody’s or</w:t>
            </w:r>
          </w:p>
        </w:tc>
        <w:tc>
          <w:tcPr>
            <w:tcW w:w="21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Revolving Loans that</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Margin for all</w:t>
            </w:r>
          </w:p>
        </w:tc>
        <w:tc>
          <w:tcPr>
            <w:tcW w:w="0" w:type="dxa"/>
            <w:vAlign w:val="bottom"/>
          </w:tcPr>
          <w:p>
            <w:pPr>
              <w:spacing w:after="0"/>
              <w:rPr>
                <w:sz w:val="1"/>
                <w:szCs w:val="1"/>
                <w:color w:val="auto"/>
              </w:rPr>
            </w:pPr>
          </w:p>
        </w:tc>
      </w:tr>
      <w:tr>
        <w:trPr>
          <w:trHeight w:val="16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Level</w:t>
            </w:r>
          </w:p>
        </w:tc>
        <w:tc>
          <w:tcPr>
            <w:tcW w:w="2080" w:type="dxa"/>
            <w:vAlign w:val="bottom"/>
          </w:tcPr>
          <w:p>
            <w:pPr>
              <w:spacing w:after="0"/>
              <w:rPr>
                <w:sz w:val="14"/>
                <w:szCs w:val="14"/>
                <w:color w:val="auto"/>
              </w:rPr>
            </w:pPr>
          </w:p>
        </w:tc>
        <w:tc>
          <w:tcPr>
            <w:tcW w:w="38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6"/>
              </w:rPr>
              <w:t>equivalent)</w:t>
            </w:r>
          </w:p>
        </w:tc>
        <w:tc>
          <w:tcPr>
            <w:tcW w:w="21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1"/>
              </w:rPr>
              <w:t>are LIBOR Loans</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Base Rate Loans</w:t>
            </w:r>
          </w:p>
        </w:tc>
        <w:tc>
          <w:tcPr>
            <w:tcW w:w="0" w:type="dxa"/>
            <w:vAlign w:val="bottom"/>
          </w:tcPr>
          <w:p>
            <w:pPr>
              <w:spacing w:after="0"/>
              <w:rPr>
                <w:sz w:val="1"/>
                <w:szCs w:val="1"/>
                <w:color w:val="auto"/>
              </w:rPr>
            </w:pPr>
          </w:p>
        </w:tc>
      </w:tr>
      <w:tr>
        <w:trPr>
          <w:trHeight w:val="20"/>
        </w:trPr>
        <w:tc>
          <w:tcPr>
            <w:tcW w:w="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2080" w:type="dxa"/>
            <w:vAlign w:val="bottom"/>
            <w:vMerge w:val="restart"/>
            <w:shd w:val="clear" w:color="auto" w:fill="CCEEFF"/>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vMerge w:val="continue"/>
            <w:shd w:val="clear" w:color="auto" w:fill="CCEEFF"/>
          </w:tcPr>
          <w:p>
            <w:pPr>
              <w:spacing w:after="0"/>
              <w:rPr>
                <w:sz w:val="17"/>
                <w:szCs w:val="17"/>
                <w:color w:val="auto"/>
              </w:rPr>
            </w:pPr>
          </w:p>
        </w:tc>
        <w:tc>
          <w:tcPr>
            <w:tcW w:w="2080" w:type="dxa"/>
            <w:vAlign w:val="bottom"/>
            <w:vMerge w:val="continue"/>
            <w:shd w:val="clear" w:color="auto" w:fill="CCEEFF"/>
          </w:tcPr>
          <w:p>
            <w:pPr>
              <w:spacing w:after="0"/>
              <w:rPr>
                <w:sz w:val="17"/>
                <w:szCs w:val="17"/>
                <w:color w:val="auto"/>
              </w:rPr>
            </w:pPr>
          </w:p>
        </w:tc>
        <w:tc>
          <w:tcPr>
            <w:tcW w:w="3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A-/A3 (or equivalent) or better</w:t>
            </w:r>
          </w:p>
        </w:tc>
        <w:tc>
          <w:tcPr>
            <w:tcW w:w="700" w:type="dxa"/>
            <w:vAlign w:val="bottom"/>
            <w:vMerge w:val="continue"/>
            <w:shd w:val="clear" w:color="auto" w:fill="CCEEFF"/>
          </w:tcPr>
          <w:p>
            <w:pPr>
              <w:spacing w:after="0"/>
              <w:rPr>
                <w:sz w:val="17"/>
                <w:szCs w:val="17"/>
                <w:color w:val="auto"/>
              </w:rPr>
            </w:pPr>
          </w:p>
        </w:tc>
        <w:tc>
          <w:tcPr>
            <w:tcW w:w="2120" w:type="dxa"/>
            <w:vAlign w:val="bottom"/>
            <w:gridSpan w:val="2"/>
            <w:shd w:val="clear" w:color="auto" w:fill="CCEEFF"/>
          </w:tcPr>
          <w:p>
            <w:pPr>
              <w:jc w:val="right"/>
              <w:ind w:right="740"/>
              <w:spacing w:after="0" w:line="203" w:lineRule="exact"/>
              <w:rPr>
                <w:sz w:val="20"/>
                <w:szCs w:val="20"/>
                <w:color w:val="auto"/>
              </w:rPr>
            </w:pPr>
            <w:r>
              <w:rPr>
                <w:rFonts w:ascii="Arial" w:cs="Arial" w:eastAsia="Arial" w:hAnsi="Arial"/>
                <w:sz w:val="18"/>
                <w:szCs w:val="18"/>
                <w:color w:val="auto"/>
              </w:rPr>
              <w:t>1.075%</w:t>
            </w:r>
          </w:p>
        </w:tc>
        <w:tc>
          <w:tcPr>
            <w:tcW w:w="11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5940" w:type="dxa"/>
            <w:vAlign w:val="bottom"/>
            <w:gridSpan w:val="3"/>
          </w:tcPr>
          <w:p>
            <w:pPr>
              <w:ind w:left="2080"/>
              <w:spacing w:after="0"/>
              <w:rPr>
                <w:sz w:val="20"/>
                <w:szCs w:val="20"/>
                <w:color w:val="auto"/>
              </w:rPr>
            </w:pPr>
            <w:r>
              <w:rPr>
                <w:rFonts w:ascii="Arial" w:cs="Arial" w:eastAsia="Arial" w:hAnsi="Arial"/>
                <w:sz w:val="18"/>
                <w:szCs w:val="18"/>
                <w:color w:val="auto"/>
              </w:rPr>
              <w:t>BBB+/Baa1 (or equivalent)</w:t>
            </w:r>
          </w:p>
        </w:tc>
        <w:tc>
          <w:tcPr>
            <w:tcW w:w="2120" w:type="dxa"/>
            <w:vAlign w:val="bottom"/>
            <w:gridSpan w:val="2"/>
          </w:tcPr>
          <w:p>
            <w:pPr>
              <w:jc w:val="right"/>
              <w:ind w:right="740"/>
              <w:spacing w:after="0"/>
              <w:rPr>
                <w:sz w:val="20"/>
                <w:szCs w:val="20"/>
                <w:color w:val="auto"/>
              </w:rPr>
            </w:pPr>
            <w:r>
              <w:rPr>
                <w:rFonts w:ascii="Arial" w:cs="Arial" w:eastAsia="Arial" w:hAnsi="Arial"/>
                <w:sz w:val="18"/>
                <w:szCs w:val="18"/>
                <w:color w:val="auto"/>
              </w:rPr>
              <w:t>1.15%</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5940" w:type="dxa"/>
            <w:vAlign w:val="bottom"/>
            <w:gridSpan w:val="3"/>
            <w:shd w:val="clear" w:color="auto" w:fill="CCEEFF"/>
          </w:tcPr>
          <w:p>
            <w:pPr>
              <w:ind w:left="2080"/>
              <w:spacing w:after="0"/>
              <w:rPr>
                <w:sz w:val="20"/>
                <w:szCs w:val="20"/>
                <w:color w:val="auto"/>
              </w:rPr>
            </w:pPr>
            <w:r>
              <w:rPr>
                <w:rFonts w:ascii="Arial" w:cs="Arial" w:eastAsia="Arial" w:hAnsi="Arial"/>
                <w:sz w:val="18"/>
                <w:szCs w:val="18"/>
                <w:color w:val="auto"/>
              </w:rPr>
              <w:t>BBB/Baa2 (or equivalent)</w:t>
            </w:r>
          </w:p>
        </w:tc>
        <w:tc>
          <w:tcPr>
            <w:tcW w:w="2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1.35%</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5940" w:type="dxa"/>
            <w:vAlign w:val="bottom"/>
            <w:gridSpan w:val="3"/>
          </w:tcPr>
          <w:p>
            <w:pPr>
              <w:ind w:left="2080"/>
              <w:spacing w:after="0"/>
              <w:rPr>
                <w:sz w:val="20"/>
                <w:szCs w:val="20"/>
                <w:color w:val="auto"/>
              </w:rPr>
            </w:pPr>
            <w:r>
              <w:rPr>
                <w:rFonts w:ascii="Arial" w:cs="Arial" w:eastAsia="Arial" w:hAnsi="Arial"/>
                <w:sz w:val="18"/>
                <w:szCs w:val="18"/>
                <w:color w:val="auto"/>
              </w:rPr>
              <w:t>BBB-/Baa3 (or equivalent)</w:t>
            </w:r>
          </w:p>
        </w:tc>
        <w:tc>
          <w:tcPr>
            <w:tcW w:w="2120" w:type="dxa"/>
            <w:vAlign w:val="bottom"/>
            <w:gridSpan w:val="2"/>
          </w:tcPr>
          <w:p>
            <w:pPr>
              <w:jc w:val="right"/>
              <w:ind w:right="740"/>
              <w:spacing w:after="0"/>
              <w:rPr>
                <w:sz w:val="20"/>
                <w:szCs w:val="20"/>
                <w:color w:val="auto"/>
              </w:rPr>
            </w:pPr>
            <w:r>
              <w:rPr>
                <w:rFonts w:ascii="Arial" w:cs="Arial" w:eastAsia="Arial" w:hAnsi="Arial"/>
                <w:sz w:val="18"/>
                <w:szCs w:val="18"/>
                <w:color w:val="auto"/>
              </w:rPr>
              <w:t>1.65%</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5940" w:type="dxa"/>
            <w:vAlign w:val="bottom"/>
            <w:gridSpan w:val="3"/>
            <w:shd w:val="clear" w:color="auto" w:fill="CCEEFF"/>
          </w:tcPr>
          <w:p>
            <w:pPr>
              <w:ind w:left="2080"/>
              <w:spacing w:after="0"/>
              <w:rPr>
                <w:sz w:val="20"/>
                <w:szCs w:val="20"/>
                <w:color w:val="auto"/>
              </w:rPr>
            </w:pPr>
            <w:r>
              <w:rPr>
                <w:rFonts w:ascii="Arial" w:cs="Arial" w:eastAsia="Arial" w:hAnsi="Arial"/>
                <w:sz w:val="18"/>
                <w:szCs w:val="18"/>
                <w:color w:val="auto"/>
              </w:rPr>
              <w:t>Lower than BBB-/Baa3 (or equivalent)</w:t>
            </w:r>
          </w:p>
        </w:tc>
        <w:tc>
          <w:tcPr>
            <w:tcW w:w="2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1.95%</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means any Fund that is administered or managed by (a) a Lender, (b) an Affiliate of a Lender, or (c) an entity or an Affiliate of any entity that administers or manages a Lender.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Arranger</w:t>
      </w:r>
      <w:r>
        <w:rPr>
          <w:rFonts w:ascii="Arial" w:cs="Arial" w:eastAsia="Arial" w:hAnsi="Arial"/>
          <w:sz w:val="16"/>
          <w:szCs w:val="16"/>
          <w:color w:val="auto"/>
        </w:rPr>
        <w:t>” has the meaning set forth in the introductory paragraph hereof and shall include each Arranger’s successors and permitted assigns.</w:t>
      </w:r>
    </w:p>
    <w:p>
      <w:pPr>
        <w:spacing w:after="0" w:line="194"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Assumption</w:t>
      </w:r>
      <w:r>
        <w:rPr>
          <w:rFonts w:ascii="Arial" w:cs="Arial" w:eastAsia="Arial" w:hAnsi="Arial"/>
          <w:sz w:val="18"/>
          <w:szCs w:val="18"/>
          <w:color w:val="auto"/>
        </w:rPr>
        <w:t>” means an Assignment and Assumption Agreement among a Lender, an Eligible Assignee and the Administrative Agent, substantially in the form of Exhibit A.</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means the Bankruptcy Code of 1978, as amended.</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w:t>
      </w:r>
      <w:r>
        <w:rPr>
          <w:rFonts w:ascii="Arial" w:cs="Arial" w:eastAsia="Arial" w:hAnsi="Arial"/>
          <w:sz w:val="18"/>
          <w:szCs w:val="18"/>
          <w:color w:val="auto"/>
        </w:rPr>
        <w:t>” means the LIBOR Market Index Rate; provided, that if for any reason the LIBOR Market Index Rate is unavailable, Base Rate shall mean the per annum rate of interest equal to the Federal Funds Rate plus one and one-half of one percent (1.50%).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 Loan</w:t>
      </w:r>
      <w:r>
        <w:rPr>
          <w:rFonts w:ascii="Arial" w:cs="Arial" w:eastAsia="Arial" w:hAnsi="Arial"/>
          <w:sz w:val="18"/>
          <w:szCs w:val="18"/>
          <w:color w:val="auto"/>
        </w:rPr>
        <w:t>” means a Revolving Loan bearing interest at a rate based on the Base Rate.</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Arrangement</w:t>
      </w:r>
      <w:r>
        <w:rPr>
          <w:rFonts w:ascii="Arial" w:cs="Arial" w:eastAsia="Arial" w:hAnsi="Arial"/>
          <w:sz w:val="18"/>
          <w:szCs w:val="18"/>
          <w:color w:val="auto"/>
        </w:rPr>
        <w:t>” means at any time an employee benefit plan within the meaning of Section 3(3) of ERISA which is not a Plan or a Multiemployer Plan and which is maintained or otherwise contributed to by any member of the ERISA Group.</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Rate Borrowing</w:t>
      </w:r>
      <w:r>
        <w:rPr>
          <w:rFonts w:ascii="Arial" w:cs="Arial" w:eastAsia="Arial" w:hAnsi="Arial"/>
          <w:sz w:val="18"/>
          <w:szCs w:val="18"/>
          <w:color w:val="auto"/>
        </w:rPr>
        <w:t>” has the meaning given that term in Section 2.2.(b).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Rate Loan</w:t>
      </w:r>
      <w:r>
        <w:rPr>
          <w:rFonts w:ascii="Arial" w:cs="Arial" w:eastAsia="Arial" w:hAnsi="Arial"/>
          <w:sz w:val="18"/>
          <w:szCs w:val="18"/>
          <w:color w:val="auto"/>
        </w:rPr>
        <w:t>” means a loan made by a Lender under Section 2.2.(f).</w:t>
      </w:r>
    </w:p>
    <w:p>
      <w:pPr>
        <w:spacing w:after="0" w:line="17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Rate Note</w:t>
      </w:r>
      <w:r>
        <w:rPr>
          <w:rFonts w:ascii="Arial" w:cs="Arial" w:eastAsia="Arial" w:hAnsi="Arial"/>
          <w:sz w:val="18"/>
          <w:szCs w:val="18"/>
          <w:color w:val="auto"/>
        </w:rPr>
        <w:t>” means a promissory note of the Borrower substantially in the form of Exhibit B, payable to the order of a Lender as originally in effect and otherwise duly completed.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Bid Rate Quote</w:t>
      </w:r>
      <w:r>
        <w:rPr>
          <w:rFonts w:ascii="Arial" w:cs="Arial" w:eastAsia="Arial" w:hAnsi="Arial"/>
          <w:sz w:val="16"/>
          <w:szCs w:val="16"/>
          <w:color w:val="auto"/>
        </w:rPr>
        <w:t>” means an offer in accordance with Section 2.2.(c) by a Lender to make a Bid Rate Loan with one single specified interest rate.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Rate Quote Request</w:t>
      </w:r>
      <w:r>
        <w:rPr>
          <w:rFonts w:ascii="Arial" w:cs="Arial" w:eastAsia="Arial" w:hAnsi="Arial"/>
          <w:sz w:val="18"/>
          <w:szCs w:val="18"/>
          <w:color w:val="auto"/>
        </w:rPr>
        <w:t>” has the meaning given that term in Section 2.2.(b).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w:t>
      </w:r>
      <w:r>
        <w:rPr>
          <w:rFonts w:ascii="Arial" w:cs="Arial" w:eastAsia="Arial" w:hAnsi="Arial"/>
          <w:sz w:val="16"/>
          <w:szCs w:val="16"/>
          <w:color w:val="auto"/>
        </w:rPr>
        <w:t>” has the meaning set forth in the introductory paragraph hereof and shall include the Borrower’s successors and permitted assigns.</w:t>
      </w:r>
    </w:p>
    <w:p>
      <w:pPr>
        <w:spacing w:after="0" w:line="18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80"/>
          </w:cols>
          <w:pgMar w:left="240" w:top="280" w:right="27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Borrower Information</w:t>
      </w:r>
      <w:r>
        <w:rPr>
          <w:rFonts w:ascii="Arial" w:cs="Arial" w:eastAsia="Arial" w:hAnsi="Arial"/>
          <w:sz w:val="18"/>
          <w:szCs w:val="18"/>
          <w:color w:val="auto"/>
        </w:rPr>
        <w:t>” has the meaning given that term in Section 2.5.(c).</w:t>
      </w:r>
    </w:p>
    <w:p>
      <w:pPr>
        <w:spacing w:after="0" w:line="171" w:lineRule="exact"/>
        <w:rPr>
          <w:sz w:val="20"/>
          <w:szCs w:val="20"/>
          <w:color w:val="auto"/>
        </w:rPr>
      </w:pPr>
    </w:p>
    <w:p>
      <w:pPr>
        <w:jc w:val="both"/>
        <w:ind w:right="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a day of the week (but not a Saturday, Sunday or holiday) on which the offices of the Administrative Agent in San Francisco, California are open to the public for carrying on substantially all of the Administrative Agent’s business functions, and (b) if such day relates to a LIBOR Loan, any such day that is also a day on which dealings in Dollars are carried on in the London interbank market. Unless specifically referenced in this Agreement as a Business Day, all references to “days” shall be to calendar days.</w:t>
      </w:r>
    </w:p>
    <w:p>
      <w:pPr>
        <w:spacing w:after="0" w:line="13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Reserves</w:t>
      </w:r>
      <w:r>
        <w:rPr>
          <w:rFonts w:ascii="Arial" w:cs="Arial" w:eastAsia="Arial" w:hAnsi="Arial"/>
          <w:sz w:val="16"/>
          <w:szCs w:val="16"/>
          <w:color w:val="auto"/>
        </w:rPr>
        <w:t xml:space="preserve">” means, for any period and with respect to any: (i) portion of a Property developed with improvements utilized for the retail sale of goods or services, office space or other use (other than residential apartments), an amount equal to (a) $0.15 per square foot </w:t>
      </w:r>
      <w:r>
        <w:rPr>
          <w:rFonts w:ascii="Arial" w:cs="Arial" w:eastAsia="Arial" w:hAnsi="Arial"/>
          <w:sz w:val="16"/>
          <w:szCs w:val="16"/>
          <w:u w:val="single" w:color="auto"/>
          <w:color w:val="auto"/>
        </w:rPr>
        <w:t>times</w:t>
      </w:r>
      <w:r>
        <w:rPr>
          <w:rFonts w:ascii="Arial" w:cs="Arial" w:eastAsia="Arial" w:hAnsi="Arial"/>
          <w:sz w:val="16"/>
          <w:szCs w:val="16"/>
          <w:color w:val="auto"/>
        </w:rPr>
        <w:t>, (b) a fraction, the numerator of which is the number of days in such period and the denominator of which is 365; provided, however, no capital reserves shall be required with respect to any portion of any such Property which is leased under a ground lease to a third party that owns the improvements on such portion of such Property; or</w:t>
      </w:r>
    </w:p>
    <w:p>
      <w:pPr>
        <w:spacing w:after="0" w:line="3" w:lineRule="exact"/>
        <w:rPr>
          <w:sz w:val="20"/>
          <w:szCs w:val="20"/>
          <w:color w:val="auto"/>
        </w:rPr>
      </w:pPr>
    </w:p>
    <w:p>
      <w:pPr>
        <w:ind w:firstLine="8"/>
        <w:spacing w:after="0" w:line="292" w:lineRule="auto"/>
        <w:tabs>
          <w:tab w:leader="none" w:pos="258"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Multifamily Property or any portion of a Property developed with improvements utilized as residential apartments (other than Properties having less than 20 residential units), an amount equal to (a) $200 per apartment unit in such Multifamily Property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(b) a fraction, the numerator of which is the number of days in such period and the denominator of which is 365. If the term Capital Reserves is used without reference to any specific Property, then the amount shall be determined on an aggregate basis with respect to all Office Properties, Retail Properties and Multifamily Properties of the Borrower and its Subsidiaries and a proportionate share of all Office, Retail and Multifamily Properties of all Unconsolidated Affiliates.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Capitalization Rate</w:t>
      </w:r>
      <w:r>
        <w:rPr>
          <w:rFonts w:ascii="Arial" w:cs="Arial" w:eastAsia="Arial" w:hAnsi="Arial"/>
          <w:sz w:val="18"/>
          <w:szCs w:val="18"/>
          <w:color w:val="auto"/>
        </w:rPr>
        <w:t>” means 7.25%.</w:t>
      </w:r>
    </w:p>
    <w:p>
      <w:pPr>
        <w:spacing w:after="0" w:line="171"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 Obligation</w:t>
      </w:r>
      <w:r>
        <w:rPr>
          <w:rFonts w:ascii="Arial" w:cs="Arial" w:eastAsia="Arial" w:hAnsi="Arial"/>
          <w:sz w:val="18"/>
          <w:szCs w:val="18"/>
          <w:color w:val="auto"/>
        </w:rPr>
        <w:t>” means obligations under a lease that are required to be capitalized for financial reporting purposes in accordance with GAAP. The amount of a Capitalized Lease Obligation is the capitalized amount of such obligation as would be required to be reflected on a balance sheet of the applicable Person prepared in accordance with GAAP as of the applicable date.</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Collateralize</w:t>
      </w:r>
      <w:r>
        <w:rPr>
          <w:rFonts w:ascii="Arial" w:cs="Arial" w:eastAsia="Arial" w:hAnsi="Arial"/>
          <w:sz w:val="18"/>
          <w:szCs w:val="18"/>
          <w:color w:val="auto"/>
        </w:rPr>
        <w:t>” means, to pledge and deposit with or deliver to the Administrative Agent, for the benefit of the Issuing Bank or the Lenders, as collateral for Letter of Credit Liabilities or obligations of Lenders to fund participations in respect of Letter of Credit Liabilities, cash, or deposit account balances or, if the Administrative Agent and the Issuing Bank shall agree in their sole discretion, other credit support, in each case pursuant to documentation in form and substance satisfactory to the Administrative Agent and the Issuing Bank. “Cash Collateral” shall have a meaning correlative to the foregoing and shall include the proceeds of such cash collateral and other credit support, but shall not include any deposit accounts (or other assets) of Borrower not specifically designated by the Borrower as “Cash Collateral.”</w:t>
      </w:r>
    </w:p>
    <w:p>
      <w:pPr>
        <w:spacing w:after="0" w:line="13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 securities issued, guaranteed or insured by the United States of America or any of its agencies with maturities of not more than one year from the date acquired; (b)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Organisation for Economic Cooperation and Development, or a political subdivision of any such country, acting through a branch or agency, which bank has capital and unimpaired surplus in excess of $500,000,000 and which bank or its holding company has a short-term commercial paper rating of at least A-2 or the equivalent by S&amp;P or at least P-2 or the equivalent by Moody’s; (c) reverse repurchase agreements with terms of not more than seven days from the date acquired, for securities of the type described in clause (a) above and entered into</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80"/>
          </w:cols>
          <w:pgMar w:left="240" w:top="274" w:right="279" w:bottom="1440" w:gutter="0" w:footer="0" w:header="0"/>
        </w:sectPr>
      </w:pPr>
    </w:p>
    <w:bookmarkStart w:id="13" w:name="page14"/>
    <w:bookmarkEnd w:id="1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only with commercial banks having the qualifications described in clause (b) above; (d)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 (e) investments in money market funds registered under the Investment Company Act of 1940, as amended, which have net assets of at least $500,000,000 and at least 85% of whose assets consist of securities and other obligations of the type described in clauses (a) through (d) above.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as to a Lender, such Lender’s Revolving Commitment.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has the meaning given that term in Section 8.3.</w:t>
      </w:r>
    </w:p>
    <w:p>
      <w:pPr>
        <w:spacing w:after="0" w:line="171"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Continue</w:t>
      </w:r>
      <w:r>
        <w:rPr>
          <w:rFonts w:ascii="Arial" w:cs="Arial" w:eastAsia="Arial" w:hAnsi="Arial"/>
          <w:sz w:val="18"/>
          <w:szCs w:val="18"/>
          <w:color w:val="auto"/>
        </w:rPr>
        <w:t>”, “</w:t>
      </w:r>
      <w:r>
        <w:rPr>
          <w:rFonts w:ascii="Arial" w:cs="Arial" w:eastAsia="Arial" w:hAnsi="Arial"/>
          <w:sz w:val="18"/>
          <w:szCs w:val="18"/>
          <w:b w:val="1"/>
          <w:bCs w:val="1"/>
          <w:color w:val="auto"/>
        </w:rPr>
        <w:t>Continuation</w:t>
      </w:r>
      <w:r>
        <w:rPr>
          <w:rFonts w:ascii="Arial" w:cs="Arial" w:eastAsia="Arial" w:hAnsi="Arial"/>
          <w:sz w:val="18"/>
          <w:szCs w:val="18"/>
          <w:color w:val="auto"/>
        </w:rPr>
        <w:t>” and “</w:t>
      </w:r>
      <w:r>
        <w:rPr>
          <w:rFonts w:ascii="Arial" w:cs="Arial" w:eastAsia="Arial" w:hAnsi="Arial"/>
          <w:sz w:val="18"/>
          <w:szCs w:val="18"/>
          <w:b w:val="1"/>
          <w:bCs w:val="1"/>
          <w:color w:val="auto"/>
        </w:rPr>
        <w:t>Continued</w:t>
      </w:r>
      <w:r>
        <w:rPr>
          <w:rFonts w:ascii="Arial" w:cs="Arial" w:eastAsia="Arial" w:hAnsi="Arial"/>
          <w:sz w:val="18"/>
          <w:szCs w:val="18"/>
          <w:color w:val="auto"/>
        </w:rPr>
        <w:t>” each refers to the continuation of a LIBOR Loan from one Interest Period to another Interest Period pursuant to Section 2.9.</w:t>
      </w:r>
    </w:p>
    <w:p>
      <w:pPr>
        <w:spacing w:after="0" w:line="120"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Construction-in-Process”</w:t>
      </w:r>
      <w:r>
        <w:rPr>
          <w:rFonts w:ascii="Arial" w:cs="Arial" w:eastAsia="Arial" w:hAnsi="Arial"/>
          <w:sz w:val="18"/>
          <w:szCs w:val="18"/>
          <w:color w:val="auto"/>
        </w:rPr>
        <w:t xml:space="preserve"> means cash expenditures for land and improvements (including indirect costs internally allocated and development costs) in accordance with GAAP on all Development Properties.</w:t>
      </w:r>
    </w:p>
    <w:p>
      <w:pPr>
        <w:spacing w:after="0" w:line="120" w:lineRule="exact"/>
        <w:rPr>
          <w:sz w:val="20"/>
          <w:szCs w:val="20"/>
          <w:color w:val="auto"/>
        </w:rPr>
      </w:pPr>
    </w:p>
    <w:p>
      <w:pPr>
        <w:ind w:right="30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74"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Controlled Property</w:t>
      </w:r>
      <w:r>
        <w:rPr>
          <w:rFonts w:ascii="Arial" w:cs="Arial" w:eastAsia="Arial" w:hAnsi="Arial"/>
          <w:sz w:val="16"/>
          <w:szCs w:val="16"/>
          <w:color w:val="auto"/>
        </w:rPr>
        <w:t>” means a Property which is an Eligible Property that is owned in fee simple (or leased under a Ground Lease) by a Guarantor that is not a Wholly Owned Subsidiary and with respect to which the Borrower or such Guarantor has the right to take the following actions without the need to obtain the consent of any Person (other than the Requisite Lenders if required pursuant to the Loan Documents): (A) to create Liens on such Property as security for Indebtedness of the Borrower or such Guarantor, as applicable and (B) to sell, convey, transfer or otherwise dispose of such Property.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w:t>
      </w:r>
      <w:r>
        <w:rPr>
          <w:rFonts w:ascii="Arial" w:cs="Arial" w:eastAsia="Arial" w:hAnsi="Arial"/>
          <w:sz w:val="16"/>
          <w:szCs w:val="16"/>
          <w:color w:val="auto"/>
        </w:rPr>
        <w:t>”, “</w:t>
      </w:r>
      <w:r>
        <w:rPr>
          <w:rFonts w:ascii="Arial" w:cs="Arial" w:eastAsia="Arial" w:hAnsi="Arial"/>
          <w:sz w:val="16"/>
          <w:szCs w:val="16"/>
          <w:b w:val="1"/>
          <w:bCs w:val="1"/>
          <w:color w:val="auto"/>
        </w:rPr>
        <w:t>Conversion</w:t>
      </w:r>
      <w:r>
        <w:rPr>
          <w:rFonts w:ascii="Arial" w:cs="Arial" w:eastAsia="Arial" w:hAnsi="Arial"/>
          <w:sz w:val="16"/>
          <w:szCs w:val="16"/>
          <w:color w:val="auto"/>
        </w:rPr>
        <w:t>” and “</w:t>
      </w:r>
      <w:r>
        <w:rPr>
          <w:rFonts w:ascii="Arial" w:cs="Arial" w:eastAsia="Arial" w:hAnsi="Arial"/>
          <w:sz w:val="16"/>
          <w:szCs w:val="16"/>
          <w:b w:val="1"/>
          <w:bCs w:val="1"/>
          <w:color w:val="auto"/>
        </w:rPr>
        <w:t>Converted</w:t>
      </w:r>
      <w:r>
        <w:rPr>
          <w:rFonts w:ascii="Arial" w:cs="Arial" w:eastAsia="Arial" w:hAnsi="Arial"/>
          <w:sz w:val="16"/>
          <w:szCs w:val="16"/>
          <w:color w:val="auto"/>
        </w:rPr>
        <w:t>” each refers to the conversion of a Loan of one Type into a Loan of another Type pursuant to Section 2.10.</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Event</w:t>
      </w:r>
      <w:r>
        <w:rPr>
          <w:rFonts w:ascii="Arial" w:cs="Arial" w:eastAsia="Arial" w:hAnsi="Arial"/>
          <w:sz w:val="16"/>
          <w:szCs w:val="16"/>
          <w:color w:val="auto"/>
        </w:rPr>
        <w:t>” means any of the following: (a) the making (or deemed making) of any Loan, (b) the Conversion of a Base Rate Loan into a LIBOR Loan,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 the Continuation of a LIBOR Loan and (d) the issuance of a Letter of Credit.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Rating</w:t>
      </w:r>
      <w:r>
        <w:rPr>
          <w:rFonts w:ascii="Arial" w:cs="Arial" w:eastAsia="Arial" w:hAnsi="Arial"/>
          <w:sz w:val="18"/>
          <w:szCs w:val="18"/>
          <w:color w:val="auto"/>
        </w:rPr>
        <w:t>” means the rating assigned by a Rating Agency to the senior unsecured long term Indebtedness of a Person.</w:t>
      </w:r>
    </w:p>
    <w:p>
      <w:pPr>
        <w:spacing w:after="0" w:line="171"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Applicable Laws relating to the relief of debtors in the United States of America or other applicable jurisdictions from time to time in effect.</w:t>
      </w:r>
    </w:p>
    <w:p>
      <w:pPr>
        <w:spacing w:after="0" w:line="132"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of the events specified in Section 10.1., whether or not there has been satisfied any requirement for the giving of notice, the lapse of time, or both.</w:t>
      </w:r>
    </w:p>
    <w:p>
      <w:pPr>
        <w:spacing w:after="0" w:line="120"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Defaulting Lender</w:t>
      </w:r>
      <w:r>
        <w:rPr>
          <w:rFonts w:ascii="Arial" w:cs="Arial" w:eastAsia="Arial" w:hAnsi="Arial"/>
          <w:sz w:val="16"/>
          <w:szCs w:val="16"/>
          <w:color w:val="auto"/>
        </w:rPr>
        <w:t>” means, subject to Section 3.9.(f), any Lender that (a) has failed to (i) fund all or any portion of its Loans within 2 Business Days of the date such Loans were required to be funded hereunder unless such Lender notifies the Administrative Agent and the Borrower in writing that such</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40" w:top="280" w:right="279" w:bottom="1440" w:gutter="0" w:footer="0" w:header="0"/>
        </w:sectPr>
      </w:pPr>
    </w:p>
    <w:bookmarkStart w:id="14" w:name="page15"/>
    <w:bookmarkEnd w:id="14"/>
    <w:p>
      <w:pPr>
        <w:jc w:val="both"/>
        <w:ind w:right="30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failure is the result of such Lender’s reasonable determination (such reasonableness to be confirmed by the Administrative Agent) that one or more conditions precedent to funding (each of which conditions precedent, together with any applicable default, shall be specifically identified in such writing furnished to the Administrative Agent and the Borrower on or prior to the date which is one Business Day before the request for such funding is submitted by the Borrower in order to be effective to exclude such Lender from being a “Defaulting Lender” hereunder with respect to such requested funding) has not been satisfied, or</w:t>
      </w:r>
    </w:p>
    <w:p>
      <w:pPr>
        <w:spacing w:after="0" w:line="3" w:lineRule="exact"/>
        <w:rPr>
          <w:sz w:val="20"/>
          <w:szCs w:val="20"/>
          <w:color w:val="auto"/>
        </w:rPr>
      </w:pPr>
    </w:p>
    <w:p>
      <w:pPr>
        <w:ind w:firstLine="8"/>
        <w:spacing w:after="0" w:line="284" w:lineRule="auto"/>
        <w:tabs>
          <w:tab w:leader="none" w:pos="258" w:val="left"/>
        </w:tabs>
        <w:numPr>
          <w:ilvl w:val="0"/>
          <w:numId w:val="4"/>
        </w:numPr>
        <w:rPr>
          <w:rFonts w:ascii="Arial" w:cs="Arial" w:eastAsia="Arial" w:hAnsi="Arial"/>
          <w:sz w:val="16"/>
          <w:szCs w:val="16"/>
          <w:color w:val="auto"/>
        </w:rPr>
      </w:pPr>
      <w:r>
        <w:rPr>
          <w:rFonts w:ascii="Arial" w:cs="Arial" w:eastAsia="Arial" w:hAnsi="Arial"/>
          <w:sz w:val="16"/>
          <w:szCs w:val="16"/>
          <w:color w:val="auto"/>
        </w:rPr>
        <w:t>pay to the Administrative Agent, the Issuing Bank, the Swingline Lender or any other Lender any other amount required to be paid by it hereunder (including in respect of its participation in Letters of Credit or Swingline Loans) within 2 Business Days of the date when due, (b) has notified the Borrower, the Administrative Agent, the Issuing Bank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(such reasonableness to be confirmed by the Administrative Agent) that a condition precedent to funding (which condition precedent, together with any applicable default, shall be specifically identified in such writing or public statement furnished to the Administrative Agent and the Borrower on or prior to the date which is one Business Day before the request for such funding is submitted by the Borrower in order to be effective to exclude such Lender from being a “Defaulting Lender” hereunder with respect to such requested funding) cannot be satisfied), (c) has failed, within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Section 3.9.(f)) upon delivery of written notice of such determination to the Borrower, the Issuing Bank, the Swingline Lender and each Lender.</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Derivatives Contract</w:t>
      </w:r>
      <w:r>
        <w:rPr>
          <w:rFonts w:ascii="Arial" w:cs="Arial" w:eastAsia="Arial" w:hAnsi="Arial"/>
          <w:sz w:val="16"/>
          <w:szCs w:val="16"/>
          <w:color w:val="auto"/>
        </w:rPr>
        <w:t>” means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commitment on the part of a Loan Party to enter into any of the foregoing), whether or not any such transaction is governed by or subject to any master agreement. Not in limitation of the foregoing, the term “Derivatives Contract” includes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80" w:right="239" w:bottom="1440" w:gutter="0" w:footer="0" w:header="0"/>
        </w:sectPr>
      </w:pPr>
    </w:p>
    <w:bookmarkStart w:id="15" w:name="page16"/>
    <w:bookmarkEnd w:id="1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Derivatives Support Document</w:t>
      </w:r>
      <w:r>
        <w:rPr>
          <w:rFonts w:ascii="Arial" w:cs="Arial" w:eastAsia="Arial" w:hAnsi="Arial"/>
          <w:sz w:val="16"/>
          <w:szCs w:val="16"/>
          <w:color w:val="auto"/>
        </w:rPr>
        <w:t>” means (i) any Credit Support Annex comprising part of (and as defined in) any Specified Derivatives Contract, and</w:t>
      </w:r>
    </w:p>
    <w:p>
      <w:pPr>
        <w:spacing w:after="0" w:line="44" w:lineRule="exact"/>
        <w:rPr>
          <w:sz w:val="20"/>
          <w:szCs w:val="20"/>
          <w:color w:val="auto"/>
        </w:rPr>
      </w:pPr>
    </w:p>
    <w:p>
      <w:pPr>
        <w:ind w:right="40" w:firstLine="8"/>
        <w:spacing w:after="0" w:line="323" w:lineRule="auto"/>
        <w:tabs>
          <w:tab w:leader="none" w:pos="258"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document or agreement pursuant to which cash, deposit accounts, securities accounts or similar financial asset collateral are pledged to or made available for set-off by, a Specified Derivatives Provider, including any banker’s lien or similar right, securing or supporting Specified Derivatives Obligation.</w:t>
      </w:r>
    </w:p>
    <w:p>
      <w:pPr>
        <w:spacing w:after="0" w:line="87"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Derivatives Termination Value</w:t>
      </w:r>
      <w:r>
        <w:rPr>
          <w:rFonts w:ascii="Arial" w:cs="Arial" w:eastAsia="Arial" w:hAnsi="Arial"/>
          <w:sz w:val="16"/>
          <w:szCs w:val="16"/>
          <w:color w:val="auto"/>
        </w:rPr>
        <w:t>” means, in respect of any one or more Derivatives Contracts, after taking into account the effect of any legally enforceable netting agreement relating to such Derivatives Contracts, (a) for any date on or after the date such Derivatives Contracts have been closed out and termination value(s) determined in accordance therewith, such termination value(s), and (b) for any date prior to the date referenced in clause (a) the amount(s) determined as the mark-to-market value(s) for such Derivatives Contracts, as determined based upon one or more mid-market or other readily available quotations provided by any recognized dealer in such Derivatives Contracts (which may include the Administrative Agent or any Lender).</w:t>
      </w:r>
    </w:p>
    <w:p>
      <w:pPr>
        <w:spacing w:after="0" w:line="108"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Lender</w:t>
      </w:r>
      <w:r>
        <w:rPr>
          <w:rFonts w:ascii="Arial" w:cs="Arial" w:eastAsia="Arial" w:hAnsi="Arial"/>
          <w:sz w:val="16"/>
          <w:szCs w:val="16"/>
          <w:color w:val="auto"/>
        </w:rPr>
        <w:t>” means a special purpose corporation which is an Affiliate of, or sponsored by, a Lender, that is engaged in making, purchasing or otherwise investing in commercial loans in the ordinary course of its business and that issues (or the parent of which issues) commercial paper rated at least P-1 (or the then equivalent grade) by Moody’s or A-1 (or the then equivalent grade) by S&amp;P that, in either case, (a) is organized under the laws of the United States of America or any state thereof, (b) shall have become a party to this Agreement pursuant to Section 12.6.(h) and (c) is not otherwise a Lender.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Designating Lender</w:t>
      </w:r>
      <w:r>
        <w:rPr>
          <w:rFonts w:ascii="Arial" w:cs="Arial" w:eastAsia="Arial" w:hAnsi="Arial"/>
          <w:sz w:val="18"/>
          <w:szCs w:val="18"/>
          <w:color w:val="auto"/>
        </w:rPr>
        <w:t>” has the meaning given that term in Section 12.6.(h).</w:t>
      </w:r>
    </w:p>
    <w:p>
      <w:pPr>
        <w:spacing w:after="0" w:line="171" w:lineRule="exact"/>
        <w:rPr>
          <w:sz w:val="20"/>
          <w:szCs w:val="20"/>
          <w:color w:val="auto"/>
        </w:rPr>
      </w:pPr>
    </w:p>
    <w:p>
      <w:pPr>
        <w:ind w:right="540" w:firstLine="456"/>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Designation Agreement</w:t>
      </w:r>
      <w:r>
        <w:rPr>
          <w:rFonts w:ascii="Arial" w:cs="Arial" w:eastAsia="Arial" w:hAnsi="Arial"/>
          <w:sz w:val="15"/>
          <w:szCs w:val="15"/>
          <w:color w:val="auto"/>
        </w:rPr>
        <w:t>” means a Designation Agreement between a Lender and a Designated Lender and accepted by the Administrative Agent, substantially in the form of Exhibit C or such other form as may be agreed to by such Lender, such Designated Lender and the Administrative Agent.</w:t>
      </w:r>
    </w:p>
    <w:p>
      <w:pPr>
        <w:spacing w:after="0" w:line="51"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 Property</w:t>
      </w:r>
      <w:r>
        <w:rPr>
          <w:rFonts w:ascii="Arial" w:cs="Arial" w:eastAsia="Arial" w:hAnsi="Arial"/>
          <w:sz w:val="18"/>
          <w:szCs w:val="18"/>
          <w:color w:val="auto"/>
        </w:rPr>
        <w:t>” means a Property that otherwise qualifies as an Eligible Property except it is not yet a Retail Property, an Office Property or a Multifamily Property but is being developed, or will have development commencing within 12 months of any date of determination, to become one. A Development Property will cease to constitute a Development Property upon the earlier to occur of (a) the date that is six months past substantial completion of such Property and (b) achieving an Occupancy Rate of 85.0%.</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171"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EBITDA</w:t>
      </w:r>
      <w:r>
        <w:rPr>
          <w:rFonts w:ascii="Arial" w:cs="Arial" w:eastAsia="Arial" w:hAnsi="Arial"/>
          <w:sz w:val="16"/>
          <w:szCs w:val="16"/>
          <w:color w:val="auto"/>
        </w:rPr>
        <w:t xml:space="preserve">” means, with respect to a Person for any period: (a) net income (or loss) of such Person for such period determined on a consolidated basis, in accordance with GAAP, exclusive of the following (but only to the extent included in determination of such net income (loss)): (i) depreciation and amortization expense; (ii) Interest Expense; (iii) income tax expense; and (iv) extraordinary or non-recurring gains and losses;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such Person’s Ownership Share of EBITDA (as determined in a manner consistent with the foregoing clause (a)) of its Unconsolidated Affiliates. EBITDA will be adjusted to remove all impact of straight lining of rents required under GAAP and amortization of intangibles pursuant to FASB ASC 805.</w:t>
      </w:r>
    </w:p>
    <w:p>
      <w:pPr>
        <w:spacing w:after="0" w:line="108"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later of (a) the Agreement Date and (b) the date on which all of the conditions precedent set forth in Section 5.1. shall have been fulfilled or waived by all of the Lenders.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80"/>
          </w:cols>
          <w:pgMar w:left="240" w:top="274" w:right="279" w:bottom="1440" w:gutter="0" w:footer="0" w:header="0"/>
        </w:sectPr>
      </w:pPr>
    </w:p>
    <w:bookmarkStart w:id="16" w:name="page17"/>
    <w:bookmarkEnd w:id="16"/>
    <w:p>
      <w:pPr>
        <w:ind w:right="20" w:firstLine="456"/>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Eligible Assignee</w:t>
      </w:r>
      <w:r>
        <w:rPr>
          <w:rFonts w:ascii="Arial" w:cs="Arial" w:eastAsia="Arial" w:hAnsi="Arial"/>
          <w:sz w:val="16"/>
          <w:szCs w:val="16"/>
          <w:color w:val="auto"/>
        </w:rPr>
        <w:t>” means (a) a Lender, (b) an Affiliate of a Lender, (c) an Approved Fund and (d) any other Person (other than a natural person) approved by the Administrative Agent (such approval not to be unreasonably withheld or delayed); provided that notwithstanding the foregoing, “Eligible Assignee” shall not include the Borrower, any of the Borrower’s Affiliates or Subsidiaries or any Defaulting Lender.</w:t>
      </w:r>
    </w:p>
    <w:p>
      <w:pPr>
        <w:spacing w:after="0" w:line="9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Property</w:t>
      </w:r>
      <w:r>
        <w:rPr>
          <w:rFonts w:ascii="Arial" w:cs="Arial" w:eastAsia="Arial" w:hAnsi="Arial"/>
          <w:sz w:val="16"/>
          <w:szCs w:val="16"/>
          <w:color w:val="auto"/>
        </w:rPr>
        <w:t>” means a Property which satisfies all of the following requirements: (a) such Property is a Retail Property, an Office Property or a Multifamily Property; (b) neither such Property, nor any interest of the Borrower, any Subsidiary or any Unconsolidated Affiliate therein (and if such Property is owned by a Subsidiary or Unconsolidated Affiliate, none of the Borrower’s direct or indirect ownership interests in such Subsidiary or Unconsolidated Affiliate) is subject to any Lien other than Permitted Liens (excluding Permitted Liens of the type described in clauses (g) and (h) of the definition thereof) or subject to any Negative Pledge; (c) 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and (d) if (i) such Property is leased by the Borrower, a Subsidiary or Unconsolidated Affiliate pursuant to a Ground Lease or other lease, (ii) the lessor’s interest in such Property is subject to a mortgage and (iii) such Ground Lease or lease is subordinate to such mortgage, then the mortgagee shall have executed a customary non-disturbance agreement with respect to the rights of the Borrower, such Subsidiary or Unconsolidated Affiliate under the Ground Lease or other lease.</w:t>
      </w:r>
    </w:p>
    <w:p>
      <w:pPr>
        <w:spacing w:after="0" w:line="11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any Applicable Law relating to environmental protection or the manufacture, storage, remediation, disposal or clean-up of Hazardous Materials including, without limitation, the following: Clean Air Act, 42 U.S.C. § 7401 et seq.; Federal Water Pollution Control Act, 33 U.S.C. § 1251 et seq.; Solid Waste Disposal Act, as amended by the Resource Conservation and Recovery Act, 42 U.S.C. § 6901 et seq.; Comprehensive Environmental Response, Compensation and Liability Act, 42 U.S.C. § 9601 et seq.; National Environmental Policy Act, 42 U.S.C. § 4321 et seq.; regulations of the Environmental Protection Agency, any applicable rule of common law and any judicial interpretation thereof relating primarily to the environment or Hazardous Materials, and, to the extent constituting Applicable Law, any analogous or comparable state or local laws, regulations or ordinances that concern Hazardous Materials or protection of the environment.</w:t>
      </w:r>
    </w:p>
    <w:p>
      <w:pPr>
        <w:spacing w:after="0" w:line="11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Interest</w:t>
      </w:r>
      <w:r>
        <w:rPr>
          <w:rFonts w:ascii="Arial" w:cs="Arial" w:eastAsia="Arial" w:hAnsi="Arial"/>
          <w:sz w:val="16"/>
          <w:szCs w:val="16"/>
          <w:color w:val="auto"/>
        </w:rPr>
        <w:t>”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11"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Issuance</w:t>
      </w:r>
      <w:r>
        <w:rPr>
          <w:rFonts w:ascii="Arial" w:cs="Arial" w:eastAsia="Arial" w:hAnsi="Arial"/>
          <w:sz w:val="18"/>
          <w:szCs w:val="18"/>
          <w:color w:val="auto"/>
        </w:rPr>
        <w:t>” means any issuance or sale by a Person of any Equity Interest in such Person and shall in any event include the issuance of any Equity Interest upon the conversion or exchange of any security constituting Indebtedness that is convertible or exchangeable, or is being converted or exchanged, for Equity Interests.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in effect from time to time.</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274" w:right="239" w:bottom="1440" w:gutter="0" w:footer="0" w:header="0"/>
        </w:sectPr>
      </w:pPr>
    </w:p>
    <w:bookmarkStart w:id="17" w:name="page18"/>
    <w:bookmarkEnd w:id="17"/>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ERISA Event</w:t>
      </w:r>
      <w:r>
        <w:rPr>
          <w:rFonts w:ascii="Arial" w:cs="Arial" w:eastAsia="Arial" w:hAnsi="Arial"/>
          <w:sz w:val="16"/>
          <w:szCs w:val="16"/>
          <w:color w:val="auto"/>
        </w:rPr>
        <w:t>” means, with respect to the ERISA Group, (a) any “reportable event” as defined in Section 4043 of ERISA with respect to a Plan (other than an event for which the 30-day notice period is waived); (b) the withdrawal of a member of the ERISA Group from a Plan subject to Section 4063 of ERISA during a plan year in which it was a “substantial employer” as defined in Section 4001(a)(2) of ERISA or a cessation of operations that is treated as such a withdrawal under Section 4062(e) of ERISA; (c) the incurrence by a member of the ERISA Group of any liability with respect to the withdrawal or partial withdrawal from any Multiemployer Plan; (d) the incurrence by any member of the ERISA Group of any liability under Title IV of ERISA with respect to the termination of any Plan or Multiemployer Plan; (e) the ERISA group receives notice of the institution of proceedings to terminate a Plan or Multiemployer Plan by the PBGC; (f) the failure by any member of the ERISA Group to make when due required contributions to a Multiemployer Plan or Plan unless such failure is cured within 30 days or the filing pursuant to Section 412(c) of the Internal Revenue Code or Section 302(c) of ERISA of an application for a waiver of the minimum funding standard; (g) any other event or condition that might reasonably be expected to constitute grounds under Section 4042 of ERISA for the termination of, or the appointment of a trustee to administer, any Plan or Multiemployer Plan or the imposition of liability under Section 4069 or 4212(c) of ERISA; (h) the receipt by any member of the ERISA Group of any notice or the receipt by any Multiemployer Plan from any member of the ERISA Group of any notice, concerning the imposition of Withdrawal Liability or a determination that a Multiemployer Plan is, or is expected to be, insolvent (within the meaning of Section 4245 of ERISA), in reorganization (within the meaning of Section 4241 of ERISA), or in “critical” status (within the meaning of Section 432 of the Internal Revenue Code or Section 305 of ERISA); (i) the ERISA Group receives notice of the imposition of any liability under Title IV of ERISA, other than for PBGC premiums due but not delinquent under Section 4007 of ERISA, upon any member of the ERISA Group or the imposition of any Lien in favor of the PBGC under Title IV of ERISA; or (j) the ERISA Group receives notice of a determination that a Plan is, or is reasonably expected to be, in “at risk” status (within the meaning of Section 430 of the Internal Revenue Code or Section 303 of ERISA).</w:t>
      </w:r>
    </w:p>
    <w:p>
      <w:pPr>
        <w:spacing w:after="0" w:line="121"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Group</w:t>
      </w:r>
      <w:r>
        <w:rPr>
          <w:rFonts w:ascii="Arial" w:cs="Arial" w:eastAsia="Arial" w:hAnsi="Arial"/>
          <w:sz w:val="18"/>
          <w:szCs w:val="18"/>
          <w:color w:val="auto"/>
        </w:rPr>
        <w:t>” means the Borrower, any Subsidiary and all members of a controlled group of corporations and all trades or businesses (whether or not incorporated) under common control which, together with the Borrower or any Subsidiary, are treated as a single employer under Section 414 of the Internal Revenue Code.</w:t>
      </w:r>
    </w:p>
    <w:p>
      <w:pPr>
        <w:spacing w:after="0" w:line="132"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specified in Section 10.1., provided that any requirement for notice or lapse of time or any other condition has been satisfied.</w:t>
      </w:r>
    </w:p>
    <w:p>
      <w:pPr>
        <w:spacing w:after="0" w:line="120" w:lineRule="exact"/>
        <w:rPr>
          <w:sz w:val="20"/>
          <w:szCs w:val="20"/>
          <w:color w:val="auto"/>
        </w:rPr>
      </w:pPr>
    </w:p>
    <w:p>
      <w:pPr>
        <w:ind w:right="18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Subsidiary</w:t>
      </w:r>
      <w:r>
        <w:rPr>
          <w:rFonts w:ascii="Arial" w:cs="Arial" w:eastAsia="Arial" w:hAnsi="Arial"/>
          <w:sz w:val="16"/>
          <w:szCs w:val="16"/>
          <w:color w:val="auto"/>
        </w:rPr>
        <w:t>” means any Subsidiary (a) holding title to assets that are or are to become collateral for any Secured Indebtedness of such Subsidiary and (b) that is prohibited from Guarantying the Indebtedness of any other Person pursuant to (i) any document, instrument, or agreement evidencing such Secured Indebtedness or (ii) a provision of such Subsidiary’s organizational documents which provision was included in such Subsidiary’s organizational documents as a condition to the extension of such Secured Indebtedness.</w:t>
      </w:r>
    </w:p>
    <w:p>
      <w:pPr>
        <w:spacing w:after="0" w:line="103"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means that certain Credit Agreement dated as of July 28, 2006, by and among Borrower, each of the financial institutions initially a signatory thereto together with their assignees pursuant to section 12.5.(d) thereof, Wachovia Capital Markets, LLC, as sole lead arranger and sole book manager, Wachovia Bank, National Association, as agent, and each of the other parties thereto as amended, restated, supplemented, or otherwise modified from time to time.</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Letters of Credit</w:t>
      </w:r>
      <w:r>
        <w:rPr>
          <w:rFonts w:ascii="Arial" w:cs="Arial" w:eastAsia="Arial" w:hAnsi="Arial"/>
          <w:sz w:val="18"/>
          <w:szCs w:val="18"/>
          <w:color w:val="auto"/>
        </w:rPr>
        <w:t>” means the letters of credit described on Schedule 1.1.(b).</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40" w:top="274" w:right="259" w:bottom="1440" w:gutter="0" w:footer="0" w:header="0"/>
        </w:sectPr>
      </w:pPr>
    </w:p>
    <w:bookmarkStart w:id="18" w:name="page19"/>
    <w:bookmarkEnd w:id="18"/>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Fair Market Value</w:t>
      </w:r>
      <w:r>
        <w:rPr>
          <w:rFonts w:ascii="Arial" w:cs="Arial" w:eastAsia="Arial" w:hAnsi="Arial"/>
          <w:sz w:val="16"/>
          <w:szCs w:val="16"/>
          <w:color w:val="auto"/>
        </w:rPr>
        <w:t>” means, with respect to (a) a security listed on a national securities exchange or the NASDAQ National Market, the price of such security as reported on such exchange or market by any widely recognized reporting method customarily relied upon by financial institutions and (b) any other property, the price which could be negotiated in an arm’s-length free market transaction, for cash, between a willing seller and a willing buyer, neither of which is under pressure or compulsion to complete the transaction. Except as otherwise provided herein, Fair Market Value shall be determined by the Board of Trustees of the Borrower (or an authorized committee thereof) acting in good faith conclusively evidenced by a board resolution or written consent thereof delivered to the Administrative Agent or, with respect to any asset valued at no more than $1,000,000, such determination may be made by the chief financial officer of the Borrower evidenced by an officer’s certificate delivered to the Administrative Agent.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FASB ASC</w:t>
      </w:r>
      <w:r>
        <w:rPr>
          <w:rFonts w:ascii="Arial" w:cs="Arial" w:eastAsia="Arial" w:hAnsi="Arial"/>
          <w:sz w:val="18"/>
          <w:szCs w:val="18"/>
          <w:color w:val="auto"/>
        </w:rPr>
        <w:t>” means the Accounting Standards Codification of the Financial Accounting Standards Board.</w:t>
      </w:r>
    </w:p>
    <w:p>
      <w:pPr>
        <w:spacing w:after="0" w:line="171" w:lineRule="exact"/>
        <w:rPr>
          <w:sz w:val="20"/>
          <w:szCs w:val="20"/>
          <w:color w:val="auto"/>
        </w:rPr>
      </w:pPr>
    </w:p>
    <w:p>
      <w:pPr>
        <w:ind w:right="14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Federal Funds Rate</w:t>
      </w:r>
      <w:r>
        <w:rPr>
          <w:rFonts w:ascii="Arial" w:cs="Arial" w:eastAsia="Arial" w:hAnsi="Arial"/>
          <w:sz w:val="16"/>
          <w:szCs w:val="16"/>
          <w:color w:val="auto"/>
        </w:rPr>
        <w:t>”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the Administrative Agent.</w:t>
      </w:r>
    </w:p>
    <w:p>
      <w:pPr>
        <w:spacing w:after="0" w:line="108"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that certain fee letter dated as of May 16, 2011, by and between the Borrower, the Administrative Agent, the Syndication Agent and the Arrangers.</w:t>
      </w:r>
    </w:p>
    <w:p>
      <w:pPr>
        <w:spacing w:after="0" w:line="120"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Fees</w:t>
      </w:r>
      <w:r>
        <w:rPr>
          <w:rFonts w:ascii="Arial" w:cs="Arial" w:eastAsia="Arial" w:hAnsi="Arial"/>
          <w:sz w:val="18"/>
          <w:szCs w:val="18"/>
          <w:color w:val="auto"/>
        </w:rPr>
        <w:t>” means the fees and commissions provided for or referred to in Section 3.5. and any other fees payable by the Borrower hereunder, under any other Loan Document or under the Fee Letter.</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Fixed Charges</w:t>
      </w:r>
      <w:r>
        <w:rPr>
          <w:rFonts w:ascii="Arial" w:cs="Arial" w:eastAsia="Arial" w:hAnsi="Arial"/>
          <w:sz w:val="16"/>
          <w:szCs w:val="16"/>
          <w:color w:val="auto"/>
        </w:rPr>
        <w:t xml:space="preserve">” means, for any period, the sum of (a) Interest Expense of the Borrower and its Subsidiaries determined on a consolidated basis and of Unconsolidated Affiliates for such period, (b) all regularly scheduled principal payments made with respect to Indebtedness of the Borrower, its Subsidiaries and its Unconsolidated Affiliates during such period, other than any balloon, bullet or similar principal payment which repays such Indebtedness in full, and (c) all Preferred Dividends paid by the Borrower, its Subsidiaries and Unconsolidated Affiliates during such period (other than such payments to the Borrower and any Guarantor (including any payments ultimately made to a Guarantor which may pass through a Subsidiary which is not a Guarantor so long as such amounts are subsequently passed to a Guarantor promptly after such initial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only the Borrower’s Ownership Share of the amounts (other than inter-company amounts) set forth in clauses (a) through (c) above with respect to Unconsolidated Affiliates of the Borrower shall be included in determinations of Fixed Charges.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Foreign Lender</w:t>
      </w:r>
      <w:r>
        <w:rPr>
          <w:rFonts w:ascii="Arial" w:cs="Arial" w:eastAsia="Arial" w:hAnsi="Arial"/>
          <w:sz w:val="16"/>
          <w:szCs w:val="16"/>
          <w:color w:val="auto"/>
        </w:rPr>
        <w:t>” means any Lender that is organized under the laws of a jurisdiction other than that in which the Borrower is resident for tax purposes.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definition, the United States of America, each State thereof and the District of Columbia shall be deemed to constitute a single jurisdiction.</w:t>
      </w:r>
    </w:p>
    <w:p>
      <w:pPr>
        <w:spacing w:after="0" w:line="182"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Fronting Exposure</w:t>
      </w:r>
      <w:r>
        <w:rPr>
          <w:rFonts w:ascii="Arial" w:cs="Arial" w:eastAsia="Arial" w:hAnsi="Arial"/>
          <w:sz w:val="18"/>
          <w:szCs w:val="18"/>
          <w:color w:val="auto"/>
        </w:rPr>
        <w:t>” means, at any time there is a Defaulting Lender, (a) with respect to the Issuing Bank, such Defaulting Lender’s Revolving Commitment Percentage of the outstanding Letter of Credit Liabilities other than Letter of Credit Liabilities as to which such Defaulting Lender’s participation obligation has been reallocated to other Lenders or Cash Collateralized in accordance with the terms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74" w:right="239" w:bottom="1440" w:gutter="0" w:footer="0" w:header="0"/>
        </w:sectPr>
      </w:pPr>
    </w:p>
    <w:bookmarkStart w:id="19" w:name="page20"/>
    <w:bookmarkEnd w:id="19"/>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hereof, and (b) with respect to the Swingline Lender, such Defaulting Lender’s Revolving Commitment Percentage of outstanding Swingline Loans other than Swingline Loans as to which such Defaulting Lender’s participation obligation has been reallocated to other Lenders.</w:t>
      </w:r>
    </w:p>
    <w:p>
      <w:pPr>
        <w:spacing w:after="0" w:line="126"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2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Funds From Operations</w:t>
      </w:r>
      <w:r>
        <w:rPr>
          <w:rFonts w:ascii="Arial" w:cs="Arial" w:eastAsia="Arial" w:hAnsi="Arial"/>
          <w:sz w:val="16"/>
          <w:szCs w:val="16"/>
          <w:color w:val="auto"/>
        </w:rPr>
        <w:t>” means, with respect to a Person and for a given period, (a) net income (loss) of such Person, excluding gains (or losses) from debt restructuring and sales of property, plus (b) depreciation with respect to such Person’s real estate assets and amortization (other than amortization of deferred financing costs), and after adjustments for unconsolidated partnerships and joint ventures. Adjustments for unconsolidated partnership and joint ventures will be calculated to reflect funds from operations on the same basis. For purposes of this Agreement, Funds From Operations shall be calculated consistent with the White Paper on Funds from Operations dated April 2002 issued by National Association of Real Estate Investment Trusts, Inc., but without giving effect to any supplements, amendments or other modifications promulgated after the Agreement Date.</w:t>
      </w:r>
    </w:p>
    <w:p>
      <w:pPr>
        <w:spacing w:after="0" w:line="11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(including Statement of Financial Accounting Standards No. 168, “The FASB Accounting Standards Codification”) or in such other statements by such other entity as may be approved by a significant segment of the accounting profession in the United States of America, which are applicable to the circumstances as of the date of determination.</w:t>
      </w:r>
    </w:p>
    <w:p>
      <w:pPr>
        <w:spacing w:after="0" w:line="139"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Approvals</w:t>
      </w:r>
      <w:r>
        <w:rPr>
          <w:rFonts w:ascii="Arial" w:cs="Arial" w:eastAsia="Arial" w:hAnsi="Arial"/>
          <w:sz w:val="18"/>
          <w:szCs w:val="18"/>
          <w:color w:val="auto"/>
        </w:rPr>
        <w:t>” means all authorizations, consents, approvals, licenses and exemptions of, registrations and filings with, and reports to, all Governmental Authorities.</w:t>
      </w:r>
    </w:p>
    <w:p>
      <w:pPr>
        <w:spacing w:after="0" w:line="12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national, state or local government (whether domestic or foreign), any political subdivision thereof or any other governmental, quasi-governmental, judicial, administrative, public or statutory instrumentality, authority,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 and any group or body charged with setting financial, accounting, or regulatory capital rules or standards (including, without limitation, the Financial Accounting Standards Board, the Bank for International Settlements, or the Basel Committee on Banking Supervision or similar authority to any of the foregoing).</w:t>
      </w:r>
    </w:p>
    <w:p>
      <w:pPr>
        <w:spacing w:after="0" w:line="111" w:lineRule="exact"/>
        <w:rPr>
          <w:sz w:val="20"/>
          <w:szCs w:val="20"/>
          <w:color w:val="auto"/>
        </w:rPr>
      </w:pPr>
    </w:p>
    <w:p>
      <w:pPr>
        <w:ind w:firstLine="456"/>
        <w:spacing w:after="0" w:line="31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Ground Lease</w:t>
      </w:r>
      <w:r>
        <w:rPr>
          <w:rFonts w:ascii="Arial" w:cs="Arial" w:eastAsia="Arial" w:hAnsi="Arial"/>
          <w:sz w:val="15"/>
          <w:szCs w:val="15"/>
          <w:color w:val="auto"/>
        </w:rPr>
        <w:t>” means a ground lease or master lease containing the following terms and conditions: (a) a remaining term (exclusive of any unexercised extension options) of thirty (30) years or more from the Agreement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 under such lease, including ability to sublease; and (e) such other rights customarily required by mortgagees making a loan secured by the interest of the holder of the leasehold estate demised pursuant to a ground lease or master lease.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00"/>
          </w:cols>
          <w:pgMar w:left="240" w:top="280" w:right="259" w:bottom="1440" w:gutter="0" w:footer="0" w:header="0"/>
        </w:sectPr>
      </w:pPr>
    </w:p>
    <w:bookmarkStart w:id="20" w:name="page21"/>
    <w:bookmarkEnd w:id="20"/>
    <w:p>
      <w:pPr>
        <w:ind w:right="70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Guarantor</w:t>
      </w:r>
      <w:r>
        <w:rPr>
          <w:rFonts w:ascii="Arial" w:cs="Arial" w:eastAsia="Arial" w:hAnsi="Arial"/>
          <w:sz w:val="18"/>
          <w:szCs w:val="18"/>
          <w:color w:val="auto"/>
        </w:rPr>
        <w:t>” means, individually and collectively, as the context shall require: (i) all Material Subsidiaries (other than Excluded Subsidiaries and Subsidiaries owning Non-Controlled Properties), and (ii) any Subsidiary that elects to become a Guarantor.</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Guaranty</w:t>
      </w:r>
      <w:r>
        <w:rPr>
          <w:rFonts w:ascii="Arial" w:cs="Arial" w:eastAsia="Arial" w:hAnsi="Arial"/>
          <w:sz w:val="16"/>
          <w:szCs w:val="16"/>
          <w:color w:val="auto"/>
        </w:rPr>
        <w:t>”, “</w:t>
      </w:r>
      <w:r>
        <w:rPr>
          <w:rFonts w:ascii="Arial" w:cs="Arial" w:eastAsia="Arial" w:hAnsi="Arial"/>
          <w:sz w:val="16"/>
          <w:szCs w:val="16"/>
          <w:b w:val="1"/>
          <w:bCs w:val="1"/>
          <w:color w:val="auto"/>
        </w:rPr>
        <w:t>Guaranteed</w:t>
      </w:r>
      <w:r>
        <w:rPr>
          <w:rFonts w:ascii="Arial" w:cs="Arial" w:eastAsia="Arial" w:hAnsi="Arial"/>
          <w:sz w:val="16"/>
          <w:szCs w:val="16"/>
          <w:color w:val="auto"/>
        </w:rPr>
        <w:t>”, “</w:t>
      </w:r>
      <w:r>
        <w:rPr>
          <w:rFonts w:ascii="Arial" w:cs="Arial" w:eastAsia="Arial" w:hAnsi="Arial"/>
          <w:sz w:val="16"/>
          <w:szCs w:val="16"/>
          <w:b w:val="1"/>
          <w:bCs w:val="1"/>
          <w:color w:val="auto"/>
        </w:rPr>
        <w:t>Guarantying</w:t>
      </w:r>
      <w:r>
        <w:rPr>
          <w:rFonts w:ascii="Arial" w:cs="Arial" w:eastAsia="Arial" w:hAnsi="Arial"/>
          <w:sz w:val="16"/>
          <w:szCs w:val="16"/>
          <w:color w:val="auto"/>
        </w:rPr>
        <w:t>” or to “</w:t>
      </w:r>
      <w:r>
        <w:rPr>
          <w:rFonts w:ascii="Arial" w:cs="Arial" w:eastAsia="Arial" w:hAnsi="Arial"/>
          <w:sz w:val="16"/>
          <w:szCs w:val="16"/>
          <w:b w:val="1"/>
          <w:bCs w:val="1"/>
          <w:color w:val="auto"/>
        </w:rPr>
        <w:t>Guarantee</w:t>
      </w:r>
      <w:r>
        <w:rPr>
          <w:rFonts w:ascii="Arial" w:cs="Arial" w:eastAsia="Arial" w:hAnsi="Arial"/>
          <w:sz w:val="16"/>
          <w:szCs w:val="16"/>
          <w:color w:val="auto"/>
        </w:rPr>
        <w:t>” as applied to any obligation means and includes: (a) a guaranty (other than by endorsement of negotiable instruments for collection or deposit in the ordinary course of business), directly or indirectly, in any manner, of any part or all of such 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 (i) the purchase of securities or obligations, (ii) the purchase, sale or lease (as lessee or lessor) of property or the purchase or sale 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down by beneficiaries of letters of credit (including Letters of Credit), or (v) the supplying of funds to or investing in a Person on account of all or any part of such Person’s obligation under a Guaranty of any obligation or indemnifying or holding harmless, in any way, such Person against any part or all of such obligation. As the context requires, “Guaranty” shall also mean the guaranty executed and delivered pursuant to Section 5.1. or 7.14. and substantially in the form of Exhibit D.</w:t>
      </w:r>
    </w:p>
    <w:p>
      <w:pPr>
        <w:spacing w:after="0" w:line="11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with respect to a Person, at the time of computation thereof, all of the following (without duplication): (a) all obligations of such Person in respect of money borrowed; (b) all obligations of such Person (other than trade debt incurred in the ordinary course of business),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services rendered; (c) accounts payable and dividends payable; (d) Capitalized Lease Obligations of such Person (including ground leases to the extent required under GAAP to be reported as a liability) and any sale leaseback transactions or other transaction by which such Person shall remain liable as lessee (or the economic equivalent thereof) of any real or personal property that it has sold or leased to another Person; (e) all reimbursement obligations of such Person under any letters of credit or acceptances (whether or not the same have been presented for payment); (f) all Off-Balance Sheet Obligations of such Person; (g)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(h) all obligations of such Person in respect of any purchase obligation, repurchase obligation, takeout commitment or forward equity commitment, in each case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274" w:right="239" w:bottom="1440" w:gutter="0" w:footer="0" w:header="0"/>
        </w:sectPr>
      </w:pPr>
    </w:p>
    <w:bookmarkStart w:id="21" w:name="page22"/>
    <w:bookmarkEnd w:id="21"/>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evidenced by a binding agreement (excluding any such obligation to the extent the obligation can be satisfied by the issuance of Equity Interests (other than Mandatorily Redeemable Stock)); (i) net obligations under any Derivatives Contract not entered into as a hedge against existing Indebtedness (which shall be deemed to have an amount equal to the Derivatives Termination Value thereof at such time but in no event shall be less than zero); (j) all Indebtedness of other Persons which such Person has guaranteed or is otherwise recourse to such Person (except for guaranties of customary exceptions for fraud, misapplication of funds, environmental indemnities and other similar exceptions to recourse liability (but not exceptions relating to bankruptcy, insolvency, receivership or other similar events)); (k)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and (l) such Person’s Ownership Share of the Indebtedness of any Unconsolidated Affiliate of such Person. By way of example only and not in limitation of the preceding sentence, Indebtedness of any Person shall include Indebtedness of any partnership or joint venture in which such Person is a general partner or joint venturer to the extent of such Person’s Ownership Share of such partnership or joint venture (except if such Indebtedness, or any portion thereof, is recourse to such Person, in which case the greater of such Person’s Ownership Share of such Indebtedness or the amount of the recourse portion of the Indebtedness, shall be included as Indebtedness of such Person). All Loans and Letter of Credit Liabilities shall constitute Indebtedness of the Borrower.</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has the meaning given that term in Section 6.1.(s).</w:t>
      </w:r>
    </w:p>
    <w:p>
      <w:pPr>
        <w:spacing w:after="0" w:line="1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Expense</w:t>
      </w:r>
      <w:r>
        <w:rPr>
          <w:rFonts w:ascii="Arial" w:cs="Arial" w:eastAsia="Arial" w:hAnsi="Arial"/>
          <w:sz w:val="18"/>
          <w:szCs w:val="18"/>
          <w:color w:val="auto"/>
        </w:rPr>
        <w:t>” means, for any period, without duplication, (a) total interest expense of the Borrower and its Subsidiaries determined on a consolidated basis in accordance with GAAP for such period, including capitalized interest not funded under a construction loan on a consolidated basis, plus (b) the Borrower’s Ownership Share of total interest expense of Unconsolidated Affiliates determined in accordance with GAAP for such period, including capitalized interest not funded under a construction loan.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w:t>
      </w:r>
    </w:p>
    <w:p>
      <w:pPr>
        <w:spacing w:after="0" w:line="177" w:lineRule="exact"/>
        <w:rPr>
          <w:sz w:val="20"/>
          <w:szCs w:val="20"/>
          <w:color w:val="auto"/>
        </w:rPr>
      </w:pPr>
    </w:p>
    <w:p>
      <w:pPr>
        <w:ind w:firstLine="464"/>
        <w:spacing w:after="0" w:line="294" w:lineRule="auto"/>
        <w:tabs>
          <w:tab w:leader="none" w:pos="695"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 respect to each LIBOR Loan, each period commencing on the date such LIBOR Loan is made, or in the case of the Continuation of a LIBOR Loan the last day of the preceding Interest Period for such Loan, and ending on the seventh day thereafter or on the numerically corresponding day in the first, third or sixth calendar month thereafter, as the Borrower may select in a Notice of Borrowing, Notice of Continuation or Notice of Conversion, as the case may be, except that each Interest Period that commences on the last Business Day of a calendar month (or on any day for which there is no numerically corresponding day in the appropriate subsequent calendar month) shall end on the last Business Day of the appropriate subsequent calendar month; and</w:t>
      </w:r>
    </w:p>
    <w:p>
      <w:pPr>
        <w:spacing w:after="0" w:line="115" w:lineRule="exact"/>
        <w:rPr>
          <w:rFonts w:ascii="Arial" w:cs="Arial" w:eastAsia="Arial" w:hAnsi="Arial"/>
          <w:sz w:val="16"/>
          <w:szCs w:val="16"/>
          <w:color w:val="auto"/>
        </w:rPr>
      </w:pPr>
    </w:p>
    <w:p>
      <w:pPr>
        <w:ind w:right="240" w:firstLine="464"/>
        <w:spacing w:after="0" w:line="268"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respect to each Bid Rate Loan, the period commencing on the date such Bid Rate Loan is made and ending on any Business Day not less than 7 nor more than 180 days thereafter, as the Borrower may select as provided in Section 2.2.(b).</w:t>
      </w:r>
    </w:p>
    <w:p>
      <w:pPr>
        <w:spacing w:after="0" w:line="13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Notwithstanding the foregoing: (i) if any Interest Period would otherwise end after the Revolving Termination Date, such Interest Period shall end on the Revolving Termination Date; and (ii) each Interest Period that would otherwise end on a day which is not a Business Day shall end on the immediately following Business Day (or, if such immediately following Business Day falls in the next calendar month, on the immediately preceding Business Day).</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Revenue Code</w:t>
      </w:r>
      <w:r>
        <w:rPr>
          <w:rFonts w:ascii="Arial" w:cs="Arial" w:eastAsia="Arial" w:hAnsi="Arial"/>
          <w:sz w:val="18"/>
          <w:szCs w:val="18"/>
          <w:color w:val="auto"/>
        </w:rPr>
        <w:t>” means the Internal Revenue Code of 1986, as amended.</w:t>
      </w:r>
    </w:p>
    <w:p>
      <w:pPr>
        <w:spacing w:after="0" w:line="16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280" w:right="259" w:bottom="1440" w:gutter="0" w:footer="0" w:header="0"/>
        </w:sectPr>
      </w:pPr>
    </w:p>
    <w:bookmarkStart w:id="22" w:name="page23"/>
    <w:bookmarkEnd w:id="22"/>
    <w:p>
      <w:pPr>
        <w:ind w:right="8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Investment</w:t>
      </w:r>
      <w:r>
        <w:rPr>
          <w:rFonts w:ascii="Arial" w:cs="Arial" w:eastAsia="Arial" w:hAnsi="Arial"/>
          <w:sz w:val="16"/>
          <w:szCs w:val="16"/>
          <w:color w:val="auto"/>
        </w:rPr>
        <w:t>” means, (x)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and (y) with respect to any Property or other asset, the acquisition thereof. Any binding commitment to make an Investment in any other Person, as well as any option of another Person to require an Investment in such Person, shall constitute an Investment.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Rating</w:t>
      </w:r>
      <w:r>
        <w:rPr>
          <w:rFonts w:ascii="Arial" w:cs="Arial" w:eastAsia="Arial" w:hAnsi="Arial"/>
          <w:sz w:val="18"/>
          <w:szCs w:val="18"/>
          <w:color w:val="auto"/>
        </w:rPr>
        <w:t>” means a Credit Rating of BBB-/Baa3 (or the equivalent) or higher from a Rating Agency.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Issuing Bank</w:t>
      </w:r>
      <w:r>
        <w:rPr>
          <w:rFonts w:ascii="Arial" w:cs="Arial" w:eastAsia="Arial" w:hAnsi="Arial"/>
          <w:sz w:val="18"/>
          <w:szCs w:val="18"/>
          <w:color w:val="auto"/>
        </w:rPr>
        <w:t>” means Wells Fargo in its capacity as issuer of Letters of Credit pursuant to Section 2.3.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Disbursement</w:t>
      </w:r>
      <w:r>
        <w:rPr>
          <w:rFonts w:ascii="Arial" w:cs="Arial" w:eastAsia="Arial" w:hAnsi="Arial"/>
          <w:sz w:val="18"/>
          <w:szCs w:val="18"/>
          <w:color w:val="auto"/>
        </w:rPr>
        <w:t>” has the meaning given to that term in Section 3.9.(b).</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w:t>
      </w:r>
      <w:r>
        <w:rPr>
          <w:rFonts w:ascii="Arial" w:cs="Arial" w:eastAsia="Arial" w:hAnsi="Arial"/>
          <w:sz w:val="16"/>
          <w:szCs w:val="16"/>
          <w:color w:val="auto"/>
        </w:rPr>
        <w:t>” means each financial institution from time to time party hereto as a “Lender” or a “Designated Lender,” together with its respective successors and permitted assigns, and, as the context requires, includes the Swingline Lender; provided, however, that the term “Lender” (i) shall exclude each Designated Lender when used in reference to any Loan other than a Bid Rate Loan, the Commitments or terms relating to any Loan other than a Bid Rate Loan and shall further exclude each Designated Lender for all other purposes under the Loan Documents except that any Designated Lender which funds a Bid Rate Loan shall, subject to Section 12.6.(d), have only the rights (including the rights given to a Lender contained in Sections 12.2. and 12.10.) and obligations of a Lender associated with holding such Bid Rate Loan and (ii) except as otherwise expressly provided herein, shall exclude any Lender (or its Affiliates) in its capacity as a Specified Derivatives Provider.</w:t>
      </w:r>
    </w:p>
    <w:p>
      <w:pPr>
        <w:spacing w:after="0" w:line="113"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Lending Office</w:t>
      </w:r>
      <w:r>
        <w:rPr>
          <w:rFonts w:ascii="Arial" w:cs="Arial" w:eastAsia="Arial" w:hAnsi="Arial"/>
          <w:sz w:val="18"/>
          <w:szCs w:val="18"/>
          <w:color w:val="auto"/>
        </w:rPr>
        <w:t>” means, for each Lender and for each Type of Loan, the office of such Lender specified in such Lender’s Administrative Questionnaire or in the applicable Assignment and Assumption, or such other office of such Lender as such Lender may notify the Administrative Agent in writing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has the meaning given that term in Section 2.3.(a).</w:t>
      </w:r>
    </w:p>
    <w:p>
      <w:pPr>
        <w:spacing w:after="0" w:line="171"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Collateral Account</w:t>
      </w:r>
      <w:r>
        <w:rPr>
          <w:rFonts w:ascii="Arial" w:cs="Arial" w:eastAsia="Arial" w:hAnsi="Arial"/>
          <w:sz w:val="18"/>
          <w:szCs w:val="18"/>
          <w:color w:val="auto"/>
        </w:rPr>
        <w:t>” means a special deposit account maintained by the Administrative Agent, for the benefit of the Administrative Agent, the Issuing Bank and the Lenders, and under its sole dominion and control.</w:t>
      </w:r>
    </w:p>
    <w:p>
      <w:pPr>
        <w:spacing w:after="0" w:line="120" w:lineRule="exact"/>
        <w:rPr>
          <w:sz w:val="20"/>
          <w:szCs w:val="20"/>
          <w:color w:val="auto"/>
        </w:rPr>
      </w:pPr>
    </w:p>
    <w:p>
      <w:pPr>
        <w:ind w:right="32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Letter of Credit Documents</w:t>
      </w:r>
      <w:r>
        <w:rPr>
          <w:rFonts w:ascii="Arial" w:cs="Arial" w:eastAsia="Arial" w:hAnsi="Arial"/>
          <w:sz w:val="16"/>
          <w:szCs w:val="16"/>
          <w:color w:val="auto"/>
        </w:rPr>
        <w:t>” means, with respect to any Letter of Credit, collectively, any application therefor, any certificate or other document presented in connection with a drawing under such Letter of Credit and any other agreement, instrument or other document governing or providing for (a) the rights and obligations of the parties concerned or at risk with respect to such Letter of Credit or (b) any collateral security for any of such obligations.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00"/>
          </w:cols>
          <w:pgMar w:left="240" w:top="274" w:right="259" w:bottom="1440" w:gutter="0" w:footer="0" w:header="0"/>
        </w:sectPr>
      </w:pPr>
    </w:p>
    <w:bookmarkStart w:id="23" w:name="page24"/>
    <w:bookmarkEnd w:id="23"/>
    <w:p>
      <w:pPr>
        <w:ind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Letter of Credit Liabilities</w:t>
      </w:r>
      <w:r>
        <w:rPr>
          <w:rFonts w:ascii="Arial" w:cs="Arial" w:eastAsia="Arial" w:hAnsi="Arial"/>
          <w:sz w:val="16"/>
          <w:szCs w:val="16"/>
          <w:color w:val="auto"/>
        </w:rPr>
        <w:t>” means, without duplication, at any time and in respect of any Letter of Credit, the sum of (a) the Stated Amount of such Letter of Credit plus (b) the aggregate unpaid principal amount of all Reimbursement Obligations of the Borrower at such time due and payable in respect of all drawings made under such Letter of Credit. For purposes of this Agreement, a Lender (other than the Lender then acting as Issuing Bank) shall be deemed to hold a Letter of Credit Liability in an amount equal to its participation interest under Section 2.3. in the related Letter of Credit, and the Lender then acting as the Issuing Bank shall be deemed to hold a Letter of Credit Liability in an amount equal to its retained interest in the related Letter of Credit after giving effect to the acquisition by the Lenders (other than the Lender then acting as the Issuing Bank) of their participation interests under such Section.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Level</w:t>
      </w:r>
      <w:r>
        <w:rPr>
          <w:rFonts w:ascii="Arial" w:cs="Arial" w:eastAsia="Arial" w:hAnsi="Arial"/>
          <w:sz w:val="18"/>
          <w:szCs w:val="18"/>
          <w:color w:val="auto"/>
        </w:rPr>
        <w:t>” has the meaning given that term in the definition of the term “Applicable Margin.”</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w:t>
      </w:r>
      <w:r>
        <w:rPr>
          <w:rFonts w:ascii="Arial" w:cs="Arial" w:eastAsia="Arial" w:hAnsi="Arial"/>
          <w:sz w:val="16"/>
          <w:szCs w:val="16"/>
          <w:color w:val="auto"/>
        </w:rPr>
        <w:t xml:space="preserve">” means, for the Interest Period for any LIBOR Loan, the rate of interest, rounded up to the nearest whole multiple of one-hundredth of one percent (0.01%), obtained by dividing (i) the rate of interest referred to as the BBA (British Bankers’ Association) LIBOR rate as set forth by any service selected by the Administrative Agent that has been nominated by the British Bankers’ Association as an authorized information vendor for the purpose of displaying such rate for deposits in Dollars at approximately 9:00 a.m. Pacific time, two (2) Business Days prior to the date of commencement of such Interest Period for purposes of calculating effective rates of interest for loans or obligations making reference thereto, for an amount approximately equal to the applicable LIBOR Loan and for a period of time approximately equal to such Interest Period </w:t>
      </w:r>
      <w:r>
        <w:rPr>
          <w:rFonts w:ascii="Arial" w:cs="Arial" w:eastAsia="Arial" w:hAnsi="Arial"/>
          <w:sz w:val="16"/>
          <w:szCs w:val="16"/>
          <w:u w:val="single" w:color="auto"/>
          <w:color w:val="auto"/>
        </w:rPr>
        <w:t>by</w:t>
      </w:r>
      <w:r>
        <w:rPr>
          <w:rFonts w:ascii="Arial" w:cs="Arial" w:eastAsia="Arial" w:hAnsi="Arial"/>
          <w:sz w:val="16"/>
          <w:szCs w:val="16"/>
          <w:color w:val="auto"/>
        </w:rPr>
        <w:t xml:space="preserve"> (ii) a percentage equal to 1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stated maximum rate (stated as a decimal) of all reserves, if any, required to be maintained with respect to Eurocurrency funding (currently referred to as “Eurocurrency liabilities”) as specified in Regulation D of the Board of Governors of the Federal Reserve System (or against any other category of liabilities which includes deposits by reference to which the interest rate on LIBOR Loans is determined or any applicable category of extensions of credit or other assets which includes loans by an office of any Lender outside of the United States of America). Any change in such maximum rate shall result in a change in LIBOR on the date on which such change in such maximum rate becomes effective.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Auction</w:t>
      </w:r>
      <w:r>
        <w:rPr>
          <w:rFonts w:ascii="Arial" w:cs="Arial" w:eastAsia="Arial" w:hAnsi="Arial"/>
          <w:sz w:val="18"/>
          <w:szCs w:val="18"/>
          <w:color w:val="auto"/>
        </w:rPr>
        <w:t>” means a solicitation of Bid Rate Quotes setting forth LIBOR Margin Loans based on LIBOR pursuant to Section 2.2.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Loan</w:t>
      </w:r>
      <w:r>
        <w:rPr>
          <w:rFonts w:ascii="Arial" w:cs="Arial" w:eastAsia="Arial" w:hAnsi="Arial"/>
          <w:sz w:val="18"/>
          <w:szCs w:val="18"/>
          <w:color w:val="auto"/>
        </w:rPr>
        <w:t>” means a Revolving Loan bearing interest at a rate based on LIBOR.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Margin</w:t>
      </w:r>
      <w:r>
        <w:rPr>
          <w:rFonts w:ascii="Arial" w:cs="Arial" w:eastAsia="Arial" w:hAnsi="Arial"/>
          <w:sz w:val="18"/>
          <w:szCs w:val="18"/>
          <w:color w:val="auto"/>
        </w:rPr>
        <w:t>” has the meaning given that term in Section 2.2.(c)(ii)(D).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 Margin Loan</w:t>
      </w:r>
      <w:r>
        <w:rPr>
          <w:rFonts w:ascii="Arial" w:cs="Arial" w:eastAsia="Arial" w:hAnsi="Arial"/>
          <w:sz w:val="16"/>
          <w:szCs w:val="16"/>
          <w:color w:val="auto"/>
        </w:rPr>
        <w:t>” means a Bid Rate Loan the interest rate on which is determined on the basis of LIBOR pursuant to a LIBOR Auction.</w:t>
      </w:r>
    </w:p>
    <w:p>
      <w:pPr>
        <w:spacing w:after="0" w:line="194"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Market Index Rate</w:t>
      </w:r>
      <w:r>
        <w:rPr>
          <w:rFonts w:ascii="Arial" w:cs="Arial" w:eastAsia="Arial" w:hAnsi="Arial"/>
          <w:sz w:val="18"/>
          <w:szCs w:val="18"/>
          <w:color w:val="auto"/>
        </w:rPr>
        <w:t>” means, for any day, LIBOR as of that day that would be applicable for a LIBOR Loan having a one-month Interest Period determined at approximately 9:00 a.m. Pacific time for such day (or if such day is not a Business Day, the immediately preceding Business Day). The LIBOR Market Index Rate shall be determined on a daily basis.</w:t>
      </w:r>
    </w:p>
    <w:p>
      <w:pPr>
        <w:spacing w:after="0" w:line="132"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as applied to the property of any Person means: (a) any security interest, encumbrance, mortgage, deed to secure debt, deed of trust, assignment of leases and rents, pledge, lien, hypothecation, assignment, charge or lease constituting a Capitalized Lease Obligation, conditional sale or other title retention agreement, or other security title or encumbrance of any kind in respect of any property of such Person, or upon the income, rents or profits therefrom; (b) any arrangement, express or implied, under which any property of such Person is transferred, sequestered or otherwise identified for the purpose of</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00"/>
          </w:cols>
          <w:pgMar w:left="240" w:top="274" w:right="259" w:bottom="1440" w:gutter="0" w:footer="0" w:header="0"/>
        </w:sectPr>
      </w:pPr>
    </w:p>
    <w:bookmarkStart w:id="24" w:name="page25"/>
    <w:bookmarkEnd w:id="24"/>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subjecting the same to the payment of Indebtedness or performance of any other obligation in priority to the payment of the general, unsecured creditors of such Person; and (c) the filing of any financing statement under the UCC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Uniform Commercial Code or its equivalent as in effect in an applicable jurisdiction or (ii) in connection with a sale or other disposition of accounts or other assets not prohibited by this Agreement in a transaction not otherwise constituting or giving rise to a Lien.</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 Revolving Loan, a Bid Rate Loan or a Swingline Loan.</w:t>
      </w:r>
    </w:p>
    <w:p>
      <w:pPr>
        <w:spacing w:after="0" w:line="171" w:lineRule="exact"/>
        <w:rPr>
          <w:sz w:val="20"/>
          <w:szCs w:val="20"/>
          <w:color w:val="auto"/>
        </w:rPr>
      </w:pPr>
    </w:p>
    <w:p>
      <w:pPr>
        <w:jc w:val="both"/>
        <w:ind w:right="4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w:t>
      </w:r>
      <w:r>
        <w:rPr>
          <w:rFonts w:ascii="Arial" w:cs="Arial" w:eastAsia="Arial" w:hAnsi="Arial"/>
          <w:sz w:val="18"/>
          <w:szCs w:val="18"/>
          <w:color w:val="auto"/>
        </w:rPr>
        <w:t>” means this Agreement, each Note, the Guaranty, each Letter of Credit Document and each other document or instrument now or hereafter executed and delivered by a Loan Party in connection with, pursuant to or relating to this Agreement (other than the Fee Letter and any Specified Derivatives Contract).</w:t>
      </w:r>
    </w:p>
    <w:p>
      <w:pPr>
        <w:spacing w:after="0" w:line="132"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Party</w:t>
      </w:r>
      <w:r>
        <w:rPr>
          <w:rFonts w:ascii="Arial" w:cs="Arial" w:eastAsia="Arial" w:hAnsi="Arial"/>
          <w:sz w:val="18"/>
          <w:szCs w:val="18"/>
          <w:color w:val="auto"/>
        </w:rPr>
        <w:t>” means each of the Borrower, each other Person who guarantees all or a portion of the Obligations. Schedule 1.1.(a) sets forth the Loan Parties in addition to the Borrower as of the Agreement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Major Default</w:t>
      </w:r>
      <w:r>
        <w:rPr>
          <w:rFonts w:ascii="Arial" w:cs="Arial" w:eastAsia="Arial" w:hAnsi="Arial"/>
          <w:sz w:val="16"/>
          <w:szCs w:val="16"/>
          <w:color w:val="auto"/>
        </w:rPr>
        <w:t>” means a Default resulting from the occurrence of any of the events described in Section 10.1.(a), Section 10.1.(e) or Section 10.1.(f).</w:t>
      </w:r>
    </w:p>
    <w:p>
      <w:pPr>
        <w:spacing w:after="0" w:line="194" w:lineRule="exact"/>
        <w:rPr>
          <w:sz w:val="20"/>
          <w:szCs w:val="20"/>
          <w:color w:val="auto"/>
        </w:rPr>
      </w:pPr>
    </w:p>
    <w:p>
      <w:pPr>
        <w:ind w:right="20" w:firstLine="456"/>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Mandatorily Redeemable Stock</w:t>
      </w:r>
      <w:r>
        <w:rPr>
          <w:rFonts w:ascii="Arial" w:cs="Arial" w:eastAsia="Arial" w:hAnsi="Arial"/>
          <w:sz w:val="15"/>
          <w:szCs w:val="15"/>
          <w:color w:val="auto"/>
        </w:rPr>
        <w:t>” means, with respect to a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 (b) is convertible into or exchangeable or exercisable for Indebtedness or Mandatorily Redeemable Stock, or</w:t>
      </w:r>
    </w:p>
    <w:p>
      <w:pPr>
        <w:spacing w:after="0" w:line="3" w:lineRule="exact"/>
        <w:rPr>
          <w:sz w:val="20"/>
          <w:szCs w:val="20"/>
          <w:color w:val="auto"/>
        </w:rPr>
      </w:pPr>
    </w:p>
    <w:p>
      <w:pPr>
        <w:ind w:firstLine="8"/>
        <w:spacing w:after="0" w:line="292" w:lineRule="auto"/>
        <w:tabs>
          <w:tab w:leader="none" w:pos="239" w:val="left"/>
        </w:tabs>
        <w:numPr>
          <w:ilvl w:val="0"/>
          <w:numId w:val="7"/>
        </w:numPr>
        <w:rPr>
          <w:rFonts w:ascii="Arial" w:cs="Arial" w:eastAsia="Arial" w:hAnsi="Arial"/>
          <w:sz w:val="16"/>
          <w:szCs w:val="16"/>
          <w:color w:val="auto"/>
        </w:rPr>
      </w:pPr>
      <w:r>
        <w:rPr>
          <w:rFonts w:ascii="Arial" w:cs="Arial" w:eastAsia="Arial" w:hAnsi="Arial"/>
          <w:sz w:val="16"/>
          <w:szCs w:val="16"/>
          <w:color w:val="auto"/>
        </w:rPr>
        <w:t>is redeemable at the option of the holder thereof, in whole or in part (other than an Equity Interest which is redeemable solely in exchange for common stock or other equivalent common Equity Interests); in each case, on or prior to the Revolving Termination Date. For purposes of this definition, Equity Interests in any of the following Subsidiaries which the Borrower is obligated to acquire pursuant to currently existing agreements (as in effect on the date hereof) with the holders of such Equity Interest shall not be considered to be Mandatorily Redeemable Stock: Congressional Plaza Associates, LLC, NVI-Avenue, LLC, Street Retail West 7, L.P., FR Pike 7 Limited Partnership, Federal Realty Partners L.P. and FR Leesburg Plaza, LP.</w:t>
      </w:r>
    </w:p>
    <w:p>
      <w:pPr>
        <w:spacing w:after="0" w:line="111" w:lineRule="exact"/>
        <w:rPr>
          <w:sz w:val="20"/>
          <w:szCs w:val="20"/>
          <w:color w:val="auto"/>
        </w:rPr>
      </w:pPr>
    </w:p>
    <w:p>
      <w:pPr>
        <w:ind w:right="22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 materially adverse effect on (a) the business, assets, liabilities, financial condition or results of operations of the Borrower and its Subsidiaries taken as a whole, (b) the ability of the Borrower or any other Loan Party to perform its obligations under any Loan Document to which it is a party, (c) the validity or enforceability of any of the Loan Documents, (d) the rights and remedies of the Lenders, the Issuing Bank and the Administrative Agent under any of the Loan Documents or (e) the timely payment of the principal of or interest on the Loans or other amounts payable in connection therewith or the timely payment of all Reimbursement Obligations.</w:t>
      </w:r>
    </w:p>
    <w:p>
      <w:pPr>
        <w:spacing w:after="0" w:line="108" w:lineRule="exact"/>
        <w:rPr>
          <w:sz w:val="20"/>
          <w:szCs w:val="20"/>
          <w:color w:val="auto"/>
        </w:rPr>
      </w:pPr>
    </w:p>
    <w:p>
      <w:pPr>
        <w:jc w:val="both"/>
        <w:ind w:right="2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Contract</w:t>
      </w:r>
      <w:r>
        <w:rPr>
          <w:rFonts w:ascii="Arial" w:cs="Arial" w:eastAsia="Arial" w:hAnsi="Arial"/>
          <w:sz w:val="16"/>
          <w:szCs w:val="16"/>
          <w:color w:val="auto"/>
        </w:rPr>
        <w:t>” means any contract or other arrangement (other than Loan Documents, the Fee Letter and Specified Derivatives Contracts), whether written or oral, to which the Borrower, any Subsidiary or any other Loan Party is a party as to which the breach, nonperformance, cancellation or failure to renew (if renewable by its terms) by any party thereto could reasonably be expected to have a Material Adverse Effect.</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360"/>
          </w:cols>
          <w:pgMar w:left="240" w:top="280" w:right="29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Material Indebtedness</w:t>
      </w:r>
      <w:r>
        <w:rPr>
          <w:rFonts w:ascii="Arial" w:cs="Arial" w:eastAsia="Arial" w:hAnsi="Arial"/>
          <w:sz w:val="18"/>
          <w:szCs w:val="18"/>
          <w:color w:val="auto"/>
        </w:rPr>
        <w:t>” has the meaning given that term in Section 10.1.(d).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“Material Subsidiary” </w:t>
      </w:r>
      <w:r>
        <w:rPr>
          <w:rFonts w:ascii="Arial" w:cs="Arial" w:eastAsia="Arial" w:hAnsi="Arial"/>
          <w:sz w:val="18"/>
          <w:szCs w:val="18"/>
          <w:color w:val="auto"/>
        </w:rPr>
        <w:t>means any Subsidiary to which more than 2% of Adjusted Total Asset Value is attributable on an individual basis.</w:t>
      </w:r>
    </w:p>
    <w:p>
      <w:pPr>
        <w:spacing w:after="0" w:line="171"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Mixed-Use Project</w:t>
      </w:r>
      <w:r>
        <w:rPr>
          <w:rFonts w:ascii="Arial" w:cs="Arial" w:eastAsia="Arial" w:hAnsi="Arial"/>
          <w:sz w:val="18"/>
          <w:szCs w:val="18"/>
          <w:color w:val="auto"/>
        </w:rPr>
        <w:t>” means any mixed-use project that includes or will include a Retail Property and will also include a Multifamily Property and/or an Office Property.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its successors.</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means a mortgage, deed of trust, deed to secure debt or similar security instrument made by a Person owning an interest in real estate granting a Lien on such interest in real estate as security for the payment of Indebtedness.</w:t>
      </w:r>
    </w:p>
    <w:p>
      <w:pPr>
        <w:spacing w:after="0" w:line="120"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 Receivable</w:t>
      </w:r>
      <w:r>
        <w:rPr>
          <w:rFonts w:ascii="Arial" w:cs="Arial" w:eastAsia="Arial" w:hAnsi="Arial"/>
          <w:sz w:val="18"/>
          <w:szCs w:val="18"/>
          <w:color w:val="auto"/>
        </w:rPr>
        <w:t>” means a promissory note or similarly structured investment secured by a Mortgage of which the Borrower, its Subsidiaries or its Unconsolidated Affiliates is the holder and retains the rights of collection of all payments thereunder including, without limitation, mezzanine debt and preferred equity investments secured by individual or portfolio properties.</w:t>
      </w:r>
    </w:p>
    <w:p>
      <w:pPr>
        <w:spacing w:after="0" w:line="132"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at any time a multiemployer plan within the meaning of Section 4001(a)(3) of ERISA to which any member of the ERISA Group is then making or accruing an obligation to make contributions or has within the preceding six plan years made contributions, including for these purposes any Person which ceased to be a member of the ERISA Group during such six-year period.</w:t>
      </w:r>
    </w:p>
    <w:p>
      <w:pPr>
        <w:spacing w:after="0" w:line="13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Multifamily Property</w:t>
      </w:r>
      <w:r>
        <w:rPr>
          <w:rFonts w:ascii="Arial" w:cs="Arial" w:eastAsia="Arial" w:hAnsi="Arial"/>
          <w:sz w:val="18"/>
          <w:szCs w:val="18"/>
          <w:color w:val="auto"/>
        </w:rPr>
        <w:t>” means a Property improved with, and from which at least 80% of the rental income is derived from, residential apartments, which may include a Property that is a part of a Mixed-Use Project.</w:t>
      </w:r>
    </w:p>
    <w:p>
      <w:pPr>
        <w:spacing w:after="0" w:line="12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Negative Pledge</w:t>
      </w:r>
      <w:r>
        <w:rPr>
          <w:rFonts w:ascii="Arial" w:cs="Arial" w:eastAsia="Arial" w:hAnsi="Arial"/>
          <w:sz w:val="18"/>
          <w:szCs w:val="18"/>
          <w:color w:val="auto"/>
        </w:rPr>
        <w:t>” means, with respect to a given asset, any provision of a document, instrument or agreement (other than any Loan Document) which 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w:t>
      </w:r>
    </w:p>
    <w:p>
      <w:pPr>
        <w:spacing w:after="0" w:line="13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Operating Income</w:t>
      </w:r>
      <w:r>
        <w:rPr>
          <w:rFonts w:ascii="Arial" w:cs="Arial" w:eastAsia="Arial" w:hAnsi="Arial"/>
          <w:sz w:val="16"/>
          <w:szCs w:val="16"/>
          <w:color w:val="auto"/>
        </w:rPr>
        <w:t xml:space="preserve">” means, for any Property and for a given period, the sum of the following (without duplication and determined on a consistent basis with prior periods): (a) rents and other revenues received in the ordinary course from such Property (including proceeds of rent loss insurance but excluding pre-paid rents and revenues and security deposits except to the extent applied in satisfaction of tenants’ obligations for rent)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all expenses paid (excluding interest but including an appropriate accrual for taxes and insurance) related to the ownership, operation or maintenance of such Property, including but not limited to 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the Borrower, its Subsidiaries or, to the extent applicable its Unconsolidated Affiliates and any property management fees)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the Capital Reserves for such Property as of the end of such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(d) the greater of (i) the actual property management fee paid during such period with respect to</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380"/>
          </w:cols>
          <w:pgMar w:left="240" w:top="274"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Property and (ii) an imputed management fee in the amount equal to 3.0% of the gross revenues for such Property for such period.</w:t>
      </w:r>
    </w:p>
    <w:p>
      <w:pPr>
        <w:spacing w:after="0" w:line="165" w:lineRule="exact"/>
        <w:rPr>
          <w:sz w:val="20"/>
          <w:szCs w:val="20"/>
          <w:color w:val="auto"/>
        </w:rPr>
      </w:pPr>
    </w:p>
    <w:p>
      <w:pPr>
        <w:jc w:val="both"/>
        <w:ind w:right="2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Proceeds</w:t>
      </w:r>
      <w:r>
        <w:rPr>
          <w:rFonts w:ascii="Arial" w:cs="Arial" w:eastAsia="Arial" w:hAnsi="Arial"/>
          <w:sz w:val="18"/>
          <w:szCs w:val="18"/>
          <w:color w:val="auto"/>
        </w:rPr>
        <w:t>” means with respect to any Equity Issuance by a Person, the aggregate amount of all cash and the Fair Market Value of all other property (other than securities of such Person being converted or exchanged in connection with such Equity Issuance) received by such Person in respect of such Equity Issuance net of investment banking fees, legal fees, accountants’ fees, underwriting discounts and commissions and other customary fees and expenses actually incurred by such Person in connection with such Equity Issuance.</w:t>
      </w:r>
    </w:p>
    <w:p>
      <w:pPr>
        <w:spacing w:after="0" w:line="136"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Non-Controlled Property</w:t>
      </w:r>
      <w:r>
        <w:rPr>
          <w:rFonts w:ascii="Arial" w:cs="Arial" w:eastAsia="Arial" w:hAnsi="Arial"/>
          <w:sz w:val="16"/>
          <w:szCs w:val="16"/>
          <w:color w:val="auto"/>
        </w:rPr>
        <w:t>” means an Eligible Property owned in fee simple (or leased under a Ground Lease) by (a) an Unconsolidated Affiliate or (b) a Subsidiary that is not a Wholly Owned Subsidiary but which Property does not otherwise qualify as a Controlled Property.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means, at any time, each Lender that is not a Defaulting Lender at such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means a Revolving Note, a Bid Rate Note or a Swingline Note.</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means a notice substantially in the form of Exhibit E (or such other form reasonably acceptable to the Administrative Agent and containing the information required in such Exhibit) to be delivered to the Administrative Agent pursuant to Section 2.1.(b) evidencing the Borrower’s request for a borrowing of Revolving Loans.</w:t>
      </w:r>
    </w:p>
    <w:p>
      <w:pPr>
        <w:spacing w:after="0" w:line="132"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Continuation</w:t>
      </w:r>
      <w:r>
        <w:rPr>
          <w:rFonts w:ascii="Arial" w:cs="Arial" w:eastAsia="Arial" w:hAnsi="Arial"/>
          <w:sz w:val="18"/>
          <w:szCs w:val="18"/>
          <w:color w:val="auto"/>
        </w:rPr>
        <w:t>” means a notice substantially in the form of Exhibit F (or such other form reasonably acceptable to the Administrative Agent and containing the information required in such Exhibit) to be delivered to the Administrative Agent pursuant to Section 2.9. evidencing the Borrower’s request for the Continuation of a LIBOR Loan.</w:t>
      </w:r>
    </w:p>
    <w:p>
      <w:pPr>
        <w:spacing w:after="0" w:line="132"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w:t>
      </w:r>
      <w:r>
        <w:rPr>
          <w:rFonts w:ascii="Arial" w:cs="Arial" w:eastAsia="Arial" w:hAnsi="Arial"/>
          <w:sz w:val="18"/>
          <w:szCs w:val="18"/>
          <w:color w:val="auto"/>
        </w:rPr>
        <w:t>” means a notice substantially in the form of Exhibit G (or such other form reasonably acceptable to the Administrative Agent and containing the information required in such Exhibit) to be delivered to the Administrative Agent pursuant to Section 2.10. evidencing the Borrower’s request for the Conversion of a Loan from one Type to another Type.</w:t>
      </w:r>
    </w:p>
    <w:p>
      <w:pPr>
        <w:spacing w:after="0" w:line="132"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Swingline Borrowing</w:t>
      </w:r>
      <w:r>
        <w:rPr>
          <w:rFonts w:ascii="Arial" w:cs="Arial" w:eastAsia="Arial" w:hAnsi="Arial"/>
          <w:sz w:val="18"/>
          <w:szCs w:val="18"/>
          <w:color w:val="auto"/>
        </w:rPr>
        <w:t>” means a notice substantially in the form of Exhibit H (or such other form reasonably acceptable to the Administrative Agent and containing the information required in such Exhibit) to be delivered to the Swingline Lender pursuant to Section 2.4.(b) evidencing the Borrower’s request for a Swingline Loan.</w:t>
      </w:r>
    </w:p>
    <w:p>
      <w:pPr>
        <w:spacing w:after="0" w:line="132"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individually and collectively: (a) the aggregate principal balance of, and all accrued and unpaid interest on, all Loans; (b) all Reimbursement Obligations and all other Letter of Credit Liabilities; and (c) all other indebtedness, liabilities, obligations, covenants and duties of the Borrower and the other Loan Parties owing to the Administrative Agent, the Issuing Bank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 For the avoidance of doubt, “Obligations” shall not include Specified Derivatives Obligations.</w:t>
      </w:r>
    </w:p>
    <w:p>
      <w:pPr>
        <w:spacing w:after="0" w:line="111"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Occupancy Rate</w:t>
      </w:r>
      <w:r>
        <w:rPr>
          <w:rFonts w:ascii="Arial" w:cs="Arial" w:eastAsia="Arial" w:hAnsi="Arial"/>
          <w:sz w:val="18"/>
          <w:szCs w:val="18"/>
          <w:color w:val="auto"/>
        </w:rPr>
        <w:t>” means, with respect to a Property at any time, the ratio, expressed as a percentage, of (a) the net rentable square footage of such Property for which the Borrower, a Subsidiary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00"/>
          </w:cols>
          <w:pgMar w:left="240" w:top="280" w:right="259" w:bottom="1440" w:gutter="0" w:footer="0" w:header="0"/>
        </w:sectPr>
      </w:pPr>
    </w:p>
    <w:bookmarkStart w:id="27" w:name="page28"/>
    <w:bookmarkEnd w:id="27"/>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to the extent applicable, an Unconsolidated Affiliate, is collecting rent, or for which a lease has been signed but the term has not yet commenced, to (b) the total square footage of such Property available for lease; </w:t>
      </w:r>
      <w:r>
        <w:rPr>
          <w:rFonts w:ascii="Arial" w:cs="Arial" w:eastAsia="Arial" w:hAnsi="Arial"/>
          <w:sz w:val="18"/>
          <w:szCs w:val="18"/>
          <w:i w:val="1"/>
          <w:iCs w:val="1"/>
          <w:color w:val="auto"/>
        </w:rPr>
        <w:t>provided</w:t>
      </w:r>
      <w:r>
        <w:rPr>
          <w:rFonts w:ascii="Arial" w:cs="Arial" w:eastAsia="Arial" w:hAnsi="Arial"/>
          <w:sz w:val="18"/>
          <w:szCs w:val="18"/>
          <w:color w:val="auto"/>
        </w:rPr>
        <w:t>, that, in the case of a Multifamily Property, “Occupancy Rate” means the ratio, expressed as a percentage, of (a) the net rentable units of such Multifamily Property for which the Borrower, a Subsidiary or, to the extent applicable, an Unconsolidated Affiliate is collecting rent, or for which a lease has been signed but the term has not yet commenced, to (b) the total units of such Multifamily Property available for lease.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has the meaning given that term in Section 6.1.(x).</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 Property</w:t>
      </w:r>
      <w:r>
        <w:rPr>
          <w:rFonts w:ascii="Arial" w:cs="Arial" w:eastAsia="Arial" w:hAnsi="Arial"/>
          <w:sz w:val="18"/>
          <w:szCs w:val="18"/>
          <w:color w:val="auto"/>
        </w:rPr>
        <w:t>” means a Property improved with a building or buildings the substantial use of which is office space, which may include a Property that is part of a Mixed-Use Project.</w:t>
      </w:r>
    </w:p>
    <w:p>
      <w:pPr>
        <w:spacing w:after="0" w:line="120"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Off-Balance Sheet Obligations</w:t>
      </w:r>
      <w:r>
        <w:rPr>
          <w:rFonts w:ascii="Arial" w:cs="Arial" w:eastAsia="Arial" w:hAnsi="Arial"/>
          <w:sz w:val="16"/>
          <w:szCs w:val="16"/>
          <w:color w:val="auto"/>
        </w:rPr>
        <w:t>” means liabilities and obligations of the Borrower, any Subsidiary or any other Person in respect of “off-balance sheet arrangements” (as defined in Item 303(a)(4)(ii) of Regulation S-K promulgated under the Securities Act) which the Borrower would be required to disclose in the “Management’s Discussion and Analysis of Financial Condition and Results of Operations” section of the Borrower’s report on Form 10-Q or Form 10-K (or their equivalents) which the Borrower is required to file with the Securities and Exchange Commission (or any Governmental Authority substituted therefor).</w:t>
      </w:r>
    </w:p>
    <w:p>
      <w:pPr>
        <w:spacing w:after="0" w:line="10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Ownership Share</w:t>
      </w:r>
      <w:r>
        <w:rPr>
          <w:rFonts w:ascii="Arial" w:cs="Arial" w:eastAsia="Arial" w:hAnsi="Arial"/>
          <w:sz w:val="18"/>
          <w:szCs w:val="18"/>
          <w:color w:val="auto"/>
        </w:rPr>
        <w:t>” means, with respect to any Subsidiary of a Person (other than a Wholly Owned Subsidiary) or any Unconsolidated Affiliate of a Person, the greater of (a) such Person’s relative nominal direct and indirect ownership interest (expressed as a percentage) in such Subsidiary or Unconsolidated Affiliate and (b) subject to compliance with Section 8.4.(p), such Person’s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has the meaning given that term in Section 12.6.(d).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and any successor agency.</w:t>
      </w:r>
    </w:p>
    <w:p>
      <w:pPr>
        <w:spacing w:after="0" w:line="171"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Liens</w:t>
      </w:r>
      <w:r>
        <w:rPr>
          <w:rFonts w:ascii="Arial" w:cs="Arial" w:eastAsia="Arial" w:hAnsi="Arial"/>
          <w:sz w:val="15"/>
          <w:szCs w:val="15"/>
          <w:color w:val="auto"/>
        </w:rPr>
        <w:t>” means, with respect to any asset or property of a Person, (a) (i) Liens securing taxes, assessments and other charges or levies imposed by any Governmental Authority (excluding any Lien imposed pursuant to any of the provisions of ERISA or pursuant to any Environmental Laws) or (ii) the claims of materialmen, mechanics, carriers, warehousemen or landlords for labor, materials, supplies or rentals incurred in the ordinary course of business, which, in each case, are not at the time required to be paid or discharged under Section 7.6.; (b) Liens consisting of deposits or pledges made, in the ordinary course of business, in connection with, or to secure payment of, obligations under workmen’s compensation, unemployment insurance or similar Applicable Laws;</w:t>
      </w:r>
    </w:p>
    <w:p>
      <w:pPr>
        <w:ind w:right="40" w:firstLine="8"/>
        <w:spacing w:after="0" w:line="290" w:lineRule="auto"/>
        <w:tabs>
          <w:tab w:leader="none" w:pos="239" w:val="left"/>
        </w:tabs>
        <w:numPr>
          <w:ilvl w:val="0"/>
          <w:numId w:val="8"/>
        </w:numPr>
        <w:rPr>
          <w:rFonts w:ascii="Arial" w:cs="Arial" w:eastAsia="Arial" w:hAnsi="Arial"/>
          <w:sz w:val="16"/>
          <w:szCs w:val="16"/>
          <w:color w:val="auto"/>
        </w:rPr>
      </w:pPr>
      <w:r>
        <w:rPr>
          <w:rFonts w:ascii="Arial" w:cs="Arial" w:eastAsia="Arial" w:hAnsi="Arial"/>
          <w:sz w:val="16"/>
          <w:szCs w:val="16"/>
          <w:color w:val="auto"/>
        </w:rPr>
        <w:t>Liens consisting of encumbrances in the nature of zoning restrictions, easements, and rights or restrictions of record on the use of real property, which do not materially detract from the value of such property or materially impair the use thereof in the business of such Person; (d) the rights of tenants under leases or subleases not interfering with the ordinary conduct of business of such Person; (e) Liens in favor of the Administrative Agent for its benefit and the benefit of the Lenders, the Issuing Bank, and each Specified Derivatives Provider; (f) Liens in favor of the Borrower or a Guarantor securing obligations owing by a Subsidiary to the Borrower or a Guarantor, which obligations have been subordinated to the obligations owing by the Borrower and the Guarantors under the Loan Documents on terms satisfactory to the Administrative</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400"/>
          </w:cols>
          <w:pgMar w:left="240" w:top="280" w:right="259" w:bottom="1440" w:gutter="0" w:footer="0" w:header="0"/>
        </w:sectPr>
      </w:pPr>
    </w:p>
    <w:bookmarkStart w:id="28" w:name="page29"/>
    <w:bookmarkEnd w:id="28"/>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 (g) Liens in existence as of the Agreement Date and set forth on Part II of Schedule 6.1.(f); and (h) Liens securing Indebtedness permitted by the Loan Documents.</w:t>
      </w:r>
    </w:p>
    <w:p>
      <w:pPr>
        <w:spacing w:after="0" w:line="126"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limited partnership, general partnership, joint stock company, limited liability company, limited liability partnership, joint venture, association, company, trust, bank, trust company, land trust, business trust or other organization, whether or not a legal entity, or any other nongovernmental entity, or any Governmental Authority.</w:t>
      </w:r>
    </w:p>
    <w:p>
      <w:pPr>
        <w:spacing w:after="0" w:line="132"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at any time an employee pension benefit plan (other than a Multiemployer Plan) which is covered by Title IV of ERISA or subject to the minimum funding standards under Section 412 of the Internal Revenue Code and either (a) is maintained, or contributed to, by any member of the ERISA Group for employees of any member of the ERISA Group or (b) has at any time within the preceding six years been maintained, or contributed to, by any Person which was at such time a member of the ERISA Group for employees of any Person which was at such time a member of the ERISA Group.</w:t>
      </w:r>
    </w:p>
    <w:p>
      <w:pPr>
        <w:spacing w:after="0" w:line="103" w:lineRule="exact"/>
        <w:rPr>
          <w:sz w:val="20"/>
          <w:szCs w:val="20"/>
          <w:color w:val="auto"/>
        </w:rPr>
      </w:pPr>
    </w:p>
    <w:p>
      <w:pPr>
        <w:ind w:right="3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Post-Default Rate</w:t>
      </w:r>
      <w:r>
        <w:rPr>
          <w:rFonts w:ascii="Arial" w:cs="Arial" w:eastAsia="Arial" w:hAnsi="Arial"/>
          <w:sz w:val="18"/>
          <w:szCs w:val="18"/>
          <w:color w:val="auto"/>
        </w:rPr>
        <w:t xml:space="preserve">” means, in respect of any principal of any Loan or any Reimbursement Obligation that is not paid when due (whether at stated maturity, by acceleration, by optional or mandatory prepayment or otherwise), a rate per annum equal to the Base Rate as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four percent (4.0%).</w:t>
      </w:r>
    </w:p>
    <w:p>
      <w:pPr>
        <w:spacing w:after="0" w:line="132"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Dividends</w:t>
      </w:r>
      <w:r>
        <w:rPr>
          <w:rFonts w:ascii="Arial" w:cs="Arial" w:eastAsia="Arial" w:hAnsi="Arial"/>
          <w:sz w:val="16"/>
          <w:szCs w:val="16"/>
          <w:color w:val="auto"/>
        </w:rPr>
        <w:t>” means, for any period and without duplication, all Restricted Payments paid during such period on Preferred Equity issued by the Borrower, a Subsidiary or an Unconsolidated Affiliate. Preferred Dividends shall not include dividends or distributions (a) paid or payable solely in Equity Interests (other than Mandatorily Redeemable Stock) payable to holders of such class of Equity Interests; (b) paid or payable to the Borrower or a Subsidiary; or (c) constituting balloon, bullet or similar redemptions resulting in the redemption of Preferred Equity in full.</w:t>
      </w:r>
    </w:p>
    <w:p>
      <w:pPr>
        <w:spacing w:after="0" w:line="103"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Equity</w:t>
      </w:r>
      <w:r>
        <w:rPr>
          <w:rFonts w:ascii="Arial" w:cs="Arial" w:eastAsia="Arial" w:hAnsi="Arial"/>
          <w:sz w:val="18"/>
          <w:szCs w:val="18"/>
          <w:color w:val="auto"/>
        </w:rPr>
        <w:t>” means, with respect to any Person, Equity Interests in such Person which are entitled to preference or priority over any other Equity Interest in such Person in respect of the payment of dividends or distribution of assets upon liquidation or both.</w:t>
      </w:r>
    </w:p>
    <w:p>
      <w:pPr>
        <w:spacing w:after="0" w:line="120" w:lineRule="exact"/>
        <w:rPr>
          <w:sz w:val="20"/>
          <w:szCs w:val="20"/>
          <w:color w:val="auto"/>
        </w:rPr>
      </w:pPr>
    </w:p>
    <w:p>
      <w:pPr>
        <w:ind w:right="50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 Office</w:t>
      </w:r>
      <w:r>
        <w:rPr>
          <w:rFonts w:ascii="Arial" w:cs="Arial" w:eastAsia="Arial" w:hAnsi="Arial"/>
          <w:sz w:val="16"/>
          <w:szCs w:val="16"/>
          <w:color w:val="auto"/>
        </w:rPr>
        <w:t>” means the office of the Administrative Agent located at 608 Second Avenue South, Minneapolis, Minnesota 55402, or any other subsequent office that the Administrative Agent shall have specified as the Principal Office by written notice to the Borrower and the Lenders.</w:t>
      </w:r>
    </w:p>
    <w:p>
      <w:pPr>
        <w:spacing w:after="0" w:line="74"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any parcel of real property owned or leased (in whole or in part) or operated by the Borrower, any Subsidiary or any Unconsolidated Affiliate of the Borrower and which is located in a state of the United States of America or the District of Columbia.</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Plan</w:t>
      </w:r>
      <w:r>
        <w:rPr>
          <w:rFonts w:ascii="Arial" w:cs="Arial" w:eastAsia="Arial" w:hAnsi="Arial"/>
          <w:sz w:val="18"/>
          <w:szCs w:val="18"/>
          <w:color w:val="auto"/>
        </w:rPr>
        <w:t>” means a Benefit Arrangement that is intended to be tax-qualified under Section 401(a) of the Internal Revenue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Agency</w:t>
      </w:r>
      <w:r>
        <w:rPr>
          <w:rFonts w:ascii="Arial" w:cs="Arial" w:eastAsia="Arial" w:hAnsi="Arial"/>
          <w:sz w:val="18"/>
          <w:szCs w:val="18"/>
          <w:color w:val="auto"/>
        </w:rPr>
        <w:t>” means S&amp;P or Moody’s.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given that term in Section 12.6.(c).</w:t>
      </w:r>
    </w:p>
    <w:p>
      <w:pPr>
        <w:spacing w:after="0" w:line="1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Change</w:t>
      </w:r>
      <w:r>
        <w:rPr>
          <w:rFonts w:ascii="Arial" w:cs="Arial" w:eastAsia="Arial" w:hAnsi="Arial"/>
          <w:sz w:val="18"/>
          <w:szCs w:val="18"/>
          <w:color w:val="auto"/>
        </w:rPr>
        <w:t>” means, with respect to any Lender, any change effective after the Agreement Date in Applicable Law (including without limitation, Regulation D of the Board of Governors of the Federal Reserve System) or the adoption or making after such date of any interpretation, directive or request applying to a class of banks, including such Lender, of or under any Applicable Law (whether or not having the force of law and whether or not failure to comply therewith would be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360"/>
          </w:cols>
          <w:pgMar w:left="240" w:top="280" w:right="299" w:bottom="1440" w:gutter="0" w:footer="0" w:header="0"/>
        </w:sectPr>
      </w:pPr>
    </w:p>
    <w:bookmarkStart w:id="29" w:name="page30"/>
    <w:bookmarkEnd w:id="29"/>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unlawful) by any Governmental Authority or monetary authority charged with the interpretation, implementation or administration thereof or compliance by any Lender with any request or directive regarding capital adequacy. Notwithstanding anything herein to the contrary, (a) the Dodd-Frank Wall Street Reform and Consumer Protection Act and all requests, rules, regulations, guidelines, interpretations or directives thereunder or issued in connection therewith (whether or not having the force of law and whether or not failure to comply therewith would be unlawful) and (b)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and whether or not failure to comply therewith would be unlawful), in each case pursuant to Basel III, shall in each case be deemed to be a “Regulatory Change”, regardless of the date enacted, adopted, promulgated, implemented or issued.</w:t>
      </w:r>
    </w:p>
    <w:p>
      <w:pPr>
        <w:spacing w:after="0" w:line="139"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Reimbursement Obligation</w:t>
      </w:r>
      <w:r>
        <w:rPr>
          <w:rFonts w:ascii="Arial" w:cs="Arial" w:eastAsia="Arial" w:hAnsi="Arial"/>
          <w:sz w:val="18"/>
          <w:szCs w:val="18"/>
          <w:color w:val="auto"/>
        </w:rPr>
        <w:t>” means the absolute, unconditional and irrevocable obligation of the Borrower to reimburse the Issuing Bank for any drawing honored by the Issuing Bank under a Letter of Credit.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REIT</w:t>
      </w:r>
      <w:r>
        <w:rPr>
          <w:rFonts w:ascii="Arial" w:cs="Arial" w:eastAsia="Arial" w:hAnsi="Arial"/>
          <w:sz w:val="18"/>
          <w:szCs w:val="18"/>
          <w:color w:val="auto"/>
        </w:rPr>
        <w:t>” means a Person qualifying for treatment as a “real estate investment trust” under the Internal Revenue Code.</w:t>
      </w:r>
    </w:p>
    <w:p>
      <w:pPr>
        <w:spacing w:after="0" w:line="17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means, with respect to any Person, such Person’s Affiliates and the partners, directors, officers, employees, agents and advisors of such Person and of such Person’s Affiliates.</w:t>
      </w:r>
    </w:p>
    <w:p>
      <w:pPr>
        <w:spacing w:after="0" w:line="12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Requisite Lenders</w:t>
      </w:r>
      <w:r>
        <w:rPr>
          <w:rFonts w:ascii="Arial" w:cs="Arial" w:eastAsia="Arial" w:hAnsi="Arial"/>
          <w:sz w:val="16"/>
          <w:szCs w:val="16"/>
          <w:color w:val="auto"/>
        </w:rPr>
        <w:t>” means, as of any date, (a) Lenders having at least 66-2/3% of the aggregate amount of the Revolving Commitments or (b) if the Revolving Commitments have been terminated or reduced to zero, Lenders holding at least 66-2/3% of the principal amount of the aggregate outstanding Loans and Letter of Credit Liabilities; provided that in determining such percentage at any given time, all then existing Defaulting Lenders will be disregarded and excluded. For purposes of this definition, a Lender shall be deemed to hold a Swingline Loan or a Letter of Credit Liability to the extent such Lender has acquired a participation therein under the terms of this Agreement and has not failed to perform its obligations in respect of such participation.</w:t>
      </w:r>
    </w:p>
    <w:p>
      <w:pPr>
        <w:spacing w:after="0" w:line="108" w:lineRule="exact"/>
        <w:rPr>
          <w:sz w:val="20"/>
          <w:szCs w:val="20"/>
          <w:color w:val="auto"/>
        </w:rPr>
      </w:pPr>
    </w:p>
    <w:p>
      <w:pPr>
        <w:jc w:val="both"/>
        <w:ind w:right="30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Responsible Officer</w:t>
      </w:r>
      <w:r>
        <w:rPr>
          <w:rFonts w:ascii="Arial" w:cs="Arial" w:eastAsia="Arial" w:hAnsi="Arial"/>
          <w:sz w:val="16"/>
          <w:szCs w:val="16"/>
          <w:color w:val="auto"/>
        </w:rPr>
        <w:t>” means with respect to the Borrower or any Subsidiary, the chief executive officer, the chief financial officer, the treasurer or the chief operating officer of the Borrower or such Subsidiary and, solely in the case of the Borrower, the vice president-chief accounting officer of the Borrower.</w:t>
      </w:r>
    </w:p>
    <w:p>
      <w:pPr>
        <w:spacing w:after="0" w:line="74" w:lineRule="exact"/>
        <w:rPr>
          <w:sz w:val="20"/>
          <w:szCs w:val="20"/>
          <w:color w:val="auto"/>
        </w:rPr>
      </w:pPr>
    </w:p>
    <w:p>
      <w:pPr>
        <w:ind w:right="28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Payment</w:t>
      </w:r>
      <w:r>
        <w:rPr>
          <w:rFonts w:ascii="Arial" w:cs="Arial" w:eastAsia="Arial" w:hAnsi="Arial"/>
          <w:sz w:val="16"/>
          <w:szCs w:val="16"/>
          <w:color w:val="auto"/>
        </w:rPr>
        <w:t>” means (a) any dividend or other distribution, direct or indirect, on account of any Equity Interest of the Borrower or any of its Subsidiaries now or hereafter outstanding, except a dividend payable solely in shares of that class of Equity Interests to the holders of that class; (b) any redemption, conversion, exchange, retirement, sinking fund or similar payment, purchase or other acquisition for value, direct or indirect, of any shares of any Equity Interest of the Borrower or any of its Subsidiaries now or hereafter outstanding; and (c) any payment made to retire, or to obtain the surrender of, any outstanding warrants, options or other rights to acquire any Equity Interests of the Borrower or any of its Subsidiaries now or hereafter outstanding.</w:t>
      </w:r>
    </w:p>
    <w:p>
      <w:pPr>
        <w:spacing w:after="0" w:line="10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Retail Property</w:t>
      </w:r>
      <w:r>
        <w:rPr>
          <w:rFonts w:ascii="Arial" w:cs="Arial" w:eastAsia="Arial" w:hAnsi="Arial"/>
          <w:sz w:val="18"/>
          <w:szCs w:val="18"/>
          <w:color w:val="auto"/>
        </w:rPr>
        <w:t>” means each Property listed on Part I of Schedule 6.1.(f) hereto as a Retail Property and any other Property, a substantial use of which is the retail sale of goods and services, which may include a Property that is part of a Mixed-Use Project.</w:t>
      </w:r>
    </w:p>
    <w:p>
      <w:pPr>
        <w:spacing w:after="0" w:line="120"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Commitment</w:t>
      </w:r>
      <w:r>
        <w:rPr>
          <w:rFonts w:ascii="Arial" w:cs="Arial" w:eastAsia="Arial" w:hAnsi="Arial"/>
          <w:sz w:val="18"/>
          <w:szCs w:val="18"/>
          <w:color w:val="auto"/>
        </w:rPr>
        <w:t>” means, as to each Lender (other than the Swingline Lender), such Lender’s obligation to make Revolving Loans pursuant to Section 2.1., to issue (in the case of the Issuing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00"/>
          </w:cols>
          <w:pgMar w:left="240" w:top="280" w:right="259" w:bottom="1440" w:gutter="0" w:footer="0" w:header="0"/>
        </w:sectPr>
      </w:pPr>
    </w:p>
    <w:bookmarkStart w:id="30" w:name="page31"/>
    <w:bookmarkEnd w:id="30"/>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and to participate (in the case of the other Lenders) in Letters of Credit pursuant to Section 2.3.(i), and to participate in Swingline Loans pursuant to Section 2.4.(e), in an amount up to, but not exceeding the amount set forth for such Lender on Schedule I as such Lender’s “Revolving Commitment Amount” or as set forth in any applicable Assignment and Assumption, or agreement executed by a Lender becoming a party hereto in accordance with Section 2.16., as the same may be reduced from time to time pursuant to Section 2.12. or increased or reduced as appropriate to reflect any assignments to or by such Lender effected in accordance with Section 12.6. or increased as appropriate to reflect any increase effected in accordance with Section 2.16.</w:t>
      </w:r>
    </w:p>
    <w:p>
      <w:pPr>
        <w:spacing w:after="0" w:line="110"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Commitment Percentage</w:t>
      </w:r>
      <w:r>
        <w:rPr>
          <w:rFonts w:ascii="Arial" w:cs="Arial" w:eastAsia="Arial" w:hAnsi="Arial"/>
          <w:sz w:val="16"/>
          <w:szCs w:val="16"/>
          <w:color w:val="auto"/>
        </w:rPr>
        <w:t>” means, as to each Lender with a Revolving Commitment, the ratio, expressed as a percentage, of (a) the amount of such Lender’s Revolving Commitment to (b) the aggregate amount of the Revolving Commitments of all Lenders; provided, however, that if at the time of determination the Revolving Commitments have been terminated or been reduced to zero, the “Revolving Commitment Percentage” of each Lender with a Revolving Commitment shall be the “Revolving Commitment Percentage” of such Lender in effect immediately prior to such termination or reduction.</w:t>
      </w:r>
    </w:p>
    <w:p>
      <w:pPr>
        <w:spacing w:after="0" w:line="103"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Exposure</w:t>
      </w:r>
      <w:r>
        <w:rPr>
          <w:rFonts w:ascii="Arial" w:cs="Arial" w:eastAsia="Arial" w:hAnsi="Arial"/>
          <w:sz w:val="18"/>
          <w:szCs w:val="18"/>
          <w:color w:val="auto"/>
        </w:rPr>
        <w:t>” means, as to any Lender at any time, the aggregate principal amount at such time of its outstanding Revolving Loans and such Lender’s participation in Letter of Credit Liabilities and Swingline Loans at such time.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w:t>
      </w:r>
      <w:r>
        <w:rPr>
          <w:rFonts w:ascii="Arial" w:cs="Arial" w:eastAsia="Arial" w:hAnsi="Arial"/>
          <w:sz w:val="18"/>
          <w:szCs w:val="18"/>
          <w:color w:val="auto"/>
        </w:rPr>
        <w:t>” means a loan made by a Lender to the Borrower pursuant to Section 2.1.(a).</w:t>
      </w:r>
    </w:p>
    <w:p>
      <w:pPr>
        <w:spacing w:after="0" w:line="171"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Note</w:t>
      </w:r>
      <w:r>
        <w:rPr>
          <w:rFonts w:ascii="Arial" w:cs="Arial" w:eastAsia="Arial" w:hAnsi="Arial"/>
          <w:sz w:val="18"/>
          <w:szCs w:val="18"/>
          <w:color w:val="auto"/>
        </w:rPr>
        <w:t>” means a promissory note of the Borrower substantially in the form of Exhibit I, payable to the order of a Lender in a principal amount equal to the amount of such Lender’s Revolving Commitment.</w:t>
      </w:r>
    </w:p>
    <w:p>
      <w:pPr>
        <w:spacing w:after="0" w:line="120" w:lineRule="exact"/>
        <w:rPr>
          <w:sz w:val="20"/>
          <w:szCs w:val="20"/>
          <w:color w:val="auto"/>
        </w:rPr>
      </w:pPr>
    </w:p>
    <w:p>
      <w:pPr>
        <w:ind w:right="9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Termination Date</w:t>
      </w:r>
      <w:r>
        <w:rPr>
          <w:rFonts w:ascii="Arial" w:cs="Arial" w:eastAsia="Arial" w:hAnsi="Arial"/>
          <w:sz w:val="18"/>
          <w:szCs w:val="18"/>
          <w:color w:val="auto"/>
        </w:rPr>
        <w:t>” means July 6, 2015, or such later date to which the Revolving Termination Date may be extended pursuant to Section 2.13.</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 Services, a division of The McGraw-Hill Companies, Inc. and its successors.</w:t>
      </w:r>
    </w:p>
    <w:p>
      <w:pPr>
        <w:spacing w:after="0" w:line="171"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Indebtedness</w:t>
      </w:r>
      <w:r>
        <w:rPr>
          <w:rFonts w:ascii="Arial" w:cs="Arial" w:eastAsia="Arial" w:hAnsi="Arial"/>
          <w:sz w:val="18"/>
          <w:szCs w:val="18"/>
          <w:color w:val="auto"/>
        </w:rPr>
        <w:t xml:space="preserve">” means, with respect to any Person, (a) all Indebtedness of such Person that is secured in any manner by any Lien on any property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such Person’s Ownership Share of the Secured Indebtedness of any of such Person’s Unconsolidated Affiliates.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from time to time, together with all rules and regulations issued thereunder.</w:t>
      </w:r>
    </w:p>
    <w:p>
      <w:pPr>
        <w:spacing w:after="0" w:line="194"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Exchange Act</w:t>
      </w:r>
      <w:r>
        <w:rPr>
          <w:rFonts w:ascii="Arial" w:cs="Arial" w:eastAsia="Arial" w:hAnsi="Arial"/>
          <w:sz w:val="18"/>
          <w:szCs w:val="18"/>
          <w:color w:val="auto"/>
        </w:rPr>
        <w:t>” means the Securities Exchange Act of 1934, as amended from time to time, together with all rules and regulations issued thereunder.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Significant Subsidiary</w:t>
      </w:r>
      <w:r>
        <w:rPr>
          <w:rFonts w:ascii="Arial" w:cs="Arial" w:eastAsia="Arial" w:hAnsi="Arial"/>
          <w:sz w:val="16"/>
          <w:szCs w:val="16"/>
          <w:color w:val="auto"/>
        </w:rPr>
        <w:t>” means any Subsidiary to which more than $50,000,000 of Total Asset Value is attributable on an individual basis.</w:t>
      </w:r>
    </w:p>
    <w:p>
      <w:pPr>
        <w:spacing w:after="0" w:line="194"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means, when used with respect to any Person, that (a) the fair value and the fair salable value of its assets (excluding any Indebtedness due from any Affiliate of such Person) are each in excess of the fair valuation of its total liabilities (including all contingent liabilities computed at the amount which, in light of all facts and circumstances existing at such time, represents the amount that could reasonably be expected to become an actual and matured liability); (b) such Person is able to pay its debts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380"/>
          </w:cols>
          <w:pgMar w:left="240" w:top="280" w:right="279" w:bottom="1440" w:gutter="0" w:footer="0" w:header="0"/>
        </w:sectPr>
      </w:pPr>
    </w:p>
    <w:bookmarkStart w:id="31" w:name="page32"/>
    <w:bookmarkEnd w:id="31"/>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other obligations in the ordinary course as they mature; and (c) such Person has capital not unreasonably small to carry on its business and all business in which it proposes to be engaged.</w:t>
      </w:r>
    </w:p>
    <w:p>
      <w:pPr>
        <w:spacing w:after="0" w:line="126" w:lineRule="exact"/>
        <w:rPr>
          <w:sz w:val="20"/>
          <w:szCs w:val="20"/>
          <w:color w:val="auto"/>
        </w:rPr>
      </w:pPr>
    </w:p>
    <w:p>
      <w:pPr>
        <w:jc w:val="both"/>
        <w:ind w:right="4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Derivatives Contract</w:t>
      </w:r>
      <w:r>
        <w:rPr>
          <w:rFonts w:ascii="Arial" w:cs="Arial" w:eastAsia="Arial" w:hAnsi="Arial"/>
          <w:sz w:val="18"/>
          <w:szCs w:val="18"/>
          <w:color w:val="auto"/>
        </w:rPr>
        <w:t>” means any Derivatives Contract, together with any Derivatives Support Document relating thereto, that is made or entered into at any time, or in effect at any time now or hereafter, whether as a result of an assignment or transfer or otherwise, between the Borrower or any Subsidiary of the Borrower and any Specified Derivatives Provider.</w:t>
      </w:r>
    </w:p>
    <w:p>
      <w:pPr>
        <w:spacing w:after="0" w:line="132"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Derivatives Obligations</w:t>
      </w:r>
      <w:r>
        <w:rPr>
          <w:rFonts w:ascii="Arial" w:cs="Arial" w:eastAsia="Arial" w:hAnsi="Arial"/>
          <w:sz w:val="18"/>
          <w:szCs w:val="18"/>
          <w:color w:val="auto"/>
        </w:rPr>
        <w:t>” means all indebtedness, liabilities, obligations, covenants and duties of the Borrower or its Subsidiaries under or in respect of any Specified Derivatives Contract, whether direct or indirect, absolute or contingent, due or not due, liquidated or unliquidated, and whether or not evidenced by any written confirmation.</w:t>
      </w:r>
    </w:p>
    <w:p>
      <w:pPr>
        <w:spacing w:after="0" w:line="132"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Derivatives Provider</w:t>
      </w:r>
      <w:r>
        <w:rPr>
          <w:rFonts w:ascii="Arial" w:cs="Arial" w:eastAsia="Arial" w:hAnsi="Arial"/>
          <w:sz w:val="18"/>
          <w:szCs w:val="18"/>
          <w:color w:val="auto"/>
        </w:rPr>
        <w:t>” means any Lender, or any Affiliate of a Lender that is a party to a Derivatives Contract at the time the Derivatives Contract is entered into.</w:t>
      </w:r>
    </w:p>
    <w:p>
      <w:pPr>
        <w:spacing w:after="0" w:line="12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Non-Wholly Owned Subsidiary</w:t>
      </w:r>
      <w:r>
        <w:rPr>
          <w:rFonts w:ascii="Arial" w:cs="Arial" w:eastAsia="Arial" w:hAnsi="Arial"/>
          <w:sz w:val="18"/>
          <w:szCs w:val="18"/>
          <w:color w:val="auto"/>
        </w:rPr>
        <w:t>” means each of Congressional Plaza Associates, LLC, FRIT Escondido Promenade, LLC, NVI-Avenue, LLC, and Street Retail West 7, L.P.</w:t>
      </w:r>
    </w:p>
    <w:p>
      <w:pPr>
        <w:spacing w:after="0" w:line="12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Amount</w:t>
      </w:r>
      <w:r>
        <w:rPr>
          <w:rFonts w:ascii="Arial" w:cs="Arial" w:eastAsia="Arial" w:hAnsi="Arial"/>
          <w:sz w:val="18"/>
          <w:szCs w:val="18"/>
          <w:color w:val="auto"/>
        </w:rPr>
        <w:t>” means the amount available to be drawn by a beneficiary under a Letter of Credit from time to time, as such amount may be increased or reduced from time to time in accordance with the terms of such Letter of Credit.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Stabilized Property</w:t>
      </w:r>
      <w:r>
        <w:rPr>
          <w:rFonts w:ascii="Arial" w:cs="Arial" w:eastAsia="Arial" w:hAnsi="Arial"/>
          <w:sz w:val="18"/>
          <w:szCs w:val="18"/>
          <w:color w:val="auto"/>
        </w:rPr>
        <w:t>” means a property that is not a Development Property.</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for any Person, any corporation, partnership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w:t>
      </w:r>
    </w:p>
    <w:p>
      <w:pPr>
        <w:spacing w:after="0" w:line="139" w:lineRule="exact"/>
        <w:rPr>
          <w:sz w:val="20"/>
          <w:szCs w:val="20"/>
          <w:color w:val="auto"/>
        </w:rPr>
      </w:pPr>
    </w:p>
    <w:p>
      <w:pPr>
        <w:ind w:right="340" w:firstLine="456"/>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Swingline Commitment</w:t>
      </w:r>
      <w:r>
        <w:rPr>
          <w:rFonts w:ascii="Arial" w:cs="Arial" w:eastAsia="Arial" w:hAnsi="Arial"/>
          <w:sz w:val="15"/>
          <w:szCs w:val="15"/>
          <w:color w:val="auto"/>
        </w:rPr>
        <w:t>” means the Swingline Lender’s obligation to make Swingline Loans pursuant to Section 2.4. in an amount up to, but not exceeding the amount set forth in the first sentence of Section 2.4.(a), as such amount may be reduced from time to time in accordance with the terms hereof.</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Lender</w:t>
      </w:r>
      <w:r>
        <w:rPr>
          <w:rFonts w:ascii="Arial" w:cs="Arial" w:eastAsia="Arial" w:hAnsi="Arial"/>
          <w:sz w:val="18"/>
          <w:szCs w:val="18"/>
          <w:color w:val="auto"/>
        </w:rPr>
        <w:t>” means Wells Fargo.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Loan</w:t>
      </w:r>
      <w:r>
        <w:rPr>
          <w:rFonts w:ascii="Arial" w:cs="Arial" w:eastAsia="Arial" w:hAnsi="Arial"/>
          <w:sz w:val="18"/>
          <w:szCs w:val="18"/>
          <w:color w:val="auto"/>
        </w:rPr>
        <w:t>” means a loan made by the Swingline Lender to the Borrower pursuant to Section 2.4.</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Maturity Date</w:t>
      </w:r>
      <w:r>
        <w:rPr>
          <w:rFonts w:ascii="Arial" w:cs="Arial" w:eastAsia="Arial" w:hAnsi="Arial"/>
          <w:sz w:val="18"/>
          <w:szCs w:val="18"/>
          <w:color w:val="auto"/>
        </w:rPr>
        <w:t>” means the date which is seven (7) Business Days prior to the Revolving Termination Date.</w:t>
      </w:r>
    </w:p>
    <w:p>
      <w:pPr>
        <w:spacing w:after="0" w:line="171" w:lineRule="exact"/>
        <w:rPr>
          <w:sz w:val="20"/>
          <w:szCs w:val="20"/>
          <w:color w:val="auto"/>
        </w:rPr>
      </w:pPr>
    </w:p>
    <w:p>
      <w:pPr>
        <w:ind w:right="40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Swingline Note</w:t>
      </w:r>
      <w:r>
        <w:rPr>
          <w:rFonts w:ascii="Arial" w:cs="Arial" w:eastAsia="Arial" w:hAnsi="Arial"/>
          <w:sz w:val="16"/>
          <w:szCs w:val="16"/>
          <w:color w:val="auto"/>
        </w:rPr>
        <w:t>” means the promissory note of the Borrower substantially in the form of Exhibit J, payable to the order of the Swingline Lender in a principal amount equal to the amount of the Swingline Commitment as originally in effect and otherwise duly completed.</w:t>
      </w:r>
    </w:p>
    <w:p>
      <w:pPr>
        <w:spacing w:after="0" w:line="74" w:lineRule="exact"/>
        <w:rPr>
          <w:sz w:val="20"/>
          <w:szCs w:val="20"/>
          <w:color w:val="auto"/>
        </w:rPr>
      </w:pPr>
    </w:p>
    <w:p>
      <w:pPr>
        <w:ind w:right="8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Tangible Net Worth</w:t>
      </w:r>
      <w:r>
        <w:rPr>
          <w:rFonts w:ascii="Arial" w:cs="Arial" w:eastAsia="Arial" w:hAnsi="Arial"/>
          <w:sz w:val="18"/>
          <w:szCs w:val="18"/>
          <w:color w:val="auto"/>
        </w:rPr>
        <w:t xml:space="preserve">” means, as of a given date, the shareholders’ (including common and preferred shareholders) equity of the Borrower and Subsidiaries determined on a consolidated basis </w:t>
      </w:r>
      <w:r>
        <w:rPr>
          <w:rFonts w:ascii="Arial" w:cs="Arial" w:eastAsia="Arial" w:hAnsi="Arial"/>
          <w:sz w:val="18"/>
          <w:szCs w:val="18"/>
          <w:u w:val="single" w:color="auto"/>
          <w:color w:val="auto"/>
        </w:rPr>
        <w:t>plus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00"/>
          </w:cols>
          <w:pgMar w:left="240" w:top="280" w:right="259" w:bottom="1440" w:gutter="0" w:footer="0" w:header="0"/>
        </w:sectPr>
      </w:pPr>
    </w:p>
    <w:bookmarkStart w:id="32" w:name="page33"/>
    <w:bookmarkEnd w:id="32"/>
    <w:p>
      <w:pPr>
        <w:ind w:right="20" w:firstLine="8"/>
        <w:spacing w:after="0" w:line="256" w:lineRule="auto"/>
        <w:tabs>
          <w:tab w:leader="none" w:pos="239"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accumulated depreciation and amortization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following (to the extent reflected in determining such shareholders’ equity of the Borrower and its Subsidiaries): (b) the amount of any write-up in the book value of any assets contained in any balance sheet resulting from revaluation thereof or any write-up in excess of the cost of such assets acquired, and (c) all amounts appearing on the assets side of any such balance sheet for assets which would be classified as intangible assets under GAAP, all determined on a consolidated basis.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has the meaning given that term in Section 3.10.</w:t>
      </w:r>
    </w:p>
    <w:p>
      <w:pPr>
        <w:spacing w:after="0" w:line="171" w:lineRule="exact"/>
        <w:rPr>
          <w:sz w:val="20"/>
          <w:szCs w:val="20"/>
          <w:color w:val="auto"/>
        </w:rPr>
      </w:pPr>
    </w:p>
    <w:p>
      <w:pPr>
        <w:ind w:right="160" w:firstLine="456"/>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Total Asset Value</w:t>
      </w:r>
      <w:r>
        <w:rPr>
          <w:rFonts w:ascii="Arial" w:cs="Arial" w:eastAsia="Arial" w:hAnsi="Arial"/>
          <w:sz w:val="15"/>
          <w:szCs w:val="15"/>
          <w:color w:val="auto"/>
        </w:rPr>
        <w:t xml:space="preserve">” means the sum of all of the following of the Borrower and its Subsidiaries on a consolidated basis determined in accordance with GAAP applied on a consistent basis: (a) cash and cash equivalents,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(b) with respect to each Stabilized Property owned by the Borrower or any Subsidiary,</w:t>
      </w:r>
    </w:p>
    <w:p>
      <w:pPr>
        <w:ind w:firstLine="8"/>
        <w:spacing w:after="0" w:line="287" w:lineRule="auto"/>
        <w:tabs>
          <w:tab w:leader="none" w:pos="21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EBITDA attributable to such Property for the fiscal quarter most recently ended (adjusted for acquisitions and dispositions) times (ii) 4, divided by (iii) the Capitalization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GAAP book value of Properties acquired during the most recent quarter,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Construction-in-Process,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the GAAP book value of accounts receivables from tenants (limited to rent, common area maintenance fees, taxes, insurance and other reimbursable expenses collected in the normal course of business net of bad debt expense and adjusted to exclude the impact of straight lining), plus (f) the GAAP book value of Unimproved Land, Mortgage Receivables and other promissory notes. The annualized EBITDA from each Stabilized Property can not be less than zero. Borrower’s Ownership Share of assets held by Unconsolidated Affiliates will be included in Total Asset Value calculations consistent with the above described treatment for wholly owned assets. For purposes of determining Total Asset Value, EBITDA from Properties acquired or disposed of by the Borrower and its Subsidiaries during the period of determination shall be excluded from clause (b) above.</w:t>
      </w:r>
    </w:p>
    <w:p>
      <w:pPr>
        <w:spacing w:after="0" w:line="118"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Total Budgeted Cost</w:t>
      </w:r>
      <w:r>
        <w:rPr>
          <w:rFonts w:ascii="Arial" w:cs="Arial" w:eastAsia="Arial" w:hAnsi="Arial"/>
          <w:sz w:val="15"/>
          <w:szCs w:val="15"/>
          <w:color w:val="auto"/>
        </w:rPr>
        <w:t>” means, at any time, the aggregate amount of all costs (net of third party contributions to, or reimbursement of, costs) budgeted to be paid, incurred or otherwise expended or accrued by the Borrower, a Subsidiary or an Unconsolidated Affiliate with respect to such Property to complete development and achieve a stabilized Occupancy Rate as reasonably determined by the Borrower in good faith, including without limitation, all amounts budgeted with respect to all of the following: (a) acquisition of land and any related improvements; (b) a reserve for construction interest; (c) an operating deficit reserve; (d) tenant improvements; (e) leasing costs and commissions, (f) infrastructure costs and (g) other hard and soft costs associated with the development or redevelopment of such Property. Total Budgeted Costs shall also include the fully budgeted costs of Properties under development, acquired or to be acquired pursuant to purchase agreements or being developed by third parties under a loan that the Borrower, its Subsidiary or an Unconsolidated Affiliate has guaranteed or otherwise has liability for the payment thereof. If a Property is owned by an Unconsolidated Affiliate the Total Budgeted Cost shall be equal to the product of</w:t>
      </w:r>
    </w:p>
    <w:p>
      <w:pPr>
        <w:spacing w:after="0" w:line="5" w:lineRule="exact"/>
        <w:rPr>
          <w:sz w:val="20"/>
          <w:szCs w:val="20"/>
          <w:color w:val="auto"/>
        </w:rPr>
      </w:pPr>
    </w:p>
    <w:p>
      <w:pPr>
        <w:ind w:right="340" w:firstLine="8"/>
        <w:spacing w:after="0" w:line="261" w:lineRule="auto"/>
        <w:tabs>
          <w:tab w:leader="none" w:pos="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Borrower’s Ownership Share in such Unconsolidated Affiliate and (ii) the Total Budgeted Cost of such Property as calculated in accordance with this definition.</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Indebtedness</w:t>
      </w:r>
      <w:r>
        <w:rPr>
          <w:rFonts w:ascii="Arial" w:cs="Arial" w:eastAsia="Arial" w:hAnsi="Arial"/>
          <w:sz w:val="18"/>
          <w:szCs w:val="18"/>
          <w:color w:val="auto"/>
        </w:rPr>
        <w:t xml:space="preserve">” means (a) all Indebtedness of the Borrower and its Subsidiaries determined on a consolidated basis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such Person’s Ownership Share of the Indebtedness of the Borrower’s Unconsolidated Affiliates. Notwithstanding the use of GAAP, the calculation of Total Indebtedness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320"/>
          </w:cols>
          <w:pgMar w:left="240" w:top="280" w:right="339" w:bottom="1440" w:gutter="0" w:footer="0" w:header="0"/>
        </w:sectPr>
      </w:pPr>
    </w:p>
    <w:bookmarkStart w:id="33" w:name="page34"/>
    <w:bookmarkEnd w:id="33"/>
    <w:p>
      <w:pPr>
        <w:ind w:right="240" w:firstLine="456"/>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Transfer Authorizer Designation Form</w:t>
      </w:r>
      <w:r>
        <w:rPr>
          <w:rFonts w:ascii="Arial" w:cs="Arial" w:eastAsia="Arial" w:hAnsi="Arial"/>
          <w:sz w:val="16"/>
          <w:szCs w:val="16"/>
          <w:color w:val="auto"/>
        </w:rPr>
        <w:t>” means a form substantially in the form of Exhibit K to be delivered to the Administrative Agent pursuant to Section 5.1.(a), as the same may be amended, restated or modified from time to time with the prior written approval of the Administrative Agent.</w:t>
      </w:r>
    </w:p>
    <w:p>
      <w:pPr>
        <w:spacing w:after="0" w:line="74"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with respect to any Revolving Loan, refers to whether such Loan or portion thereof is a LIBOR Loan or a Base Rate Loan, or, in the case of a Bid Rate Loan only, an Absolute Rate Loan or a LIBOR Margin Loan.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as in effect in any applicable jurisdiction.</w:t>
      </w:r>
    </w:p>
    <w:p>
      <w:pPr>
        <w:spacing w:after="0" w:line="171" w:lineRule="exact"/>
        <w:rPr>
          <w:sz w:val="20"/>
          <w:szCs w:val="20"/>
          <w:color w:val="auto"/>
        </w:rPr>
      </w:pPr>
    </w:p>
    <w:p>
      <w:pPr>
        <w:ind w:right="8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Unconsolidated Affiliate</w:t>
      </w:r>
      <w:r>
        <w:rPr>
          <w:rFonts w:ascii="Arial" w:cs="Arial" w:eastAsia="Arial" w:hAnsi="Arial"/>
          <w:sz w:val="15"/>
          <w:szCs w:val="15"/>
          <w:color w:val="auto"/>
        </w:rPr>
        <w:t>” means, with respect to any Person, any other Person in whom such Person holds, either directly or indirectly through any of such Person’s Subsidiaries,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Unencumbered Adjusted NOI</w:t>
      </w:r>
      <w:r>
        <w:rPr>
          <w:rFonts w:ascii="Arial" w:cs="Arial" w:eastAsia="Arial" w:hAnsi="Arial"/>
          <w:sz w:val="16"/>
          <w:szCs w:val="16"/>
          <w:color w:val="auto"/>
        </w:rPr>
        <w:t>” means the aggregate Net Operating Income from each (i) Wholly Owned Property; (ii) Controlled Property; and</w:t>
      </w:r>
    </w:p>
    <w:p>
      <w:pPr>
        <w:spacing w:after="0" w:line="44" w:lineRule="exact"/>
        <w:rPr>
          <w:sz w:val="20"/>
          <w:szCs w:val="20"/>
          <w:color w:val="auto"/>
        </w:rPr>
      </w:pPr>
    </w:p>
    <w:p>
      <w:pPr>
        <w:jc w:val="both"/>
        <w:ind w:firstLine="8"/>
        <w:spacing w:after="0" w:line="254" w:lineRule="auto"/>
        <w:tabs>
          <w:tab w:leader="none" w:pos="3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Non-Controlled Property (limited as set forth below) all of which are Stabilized Properties and have been owned for the entire period and as adjusted for any non-recurring items during the reporting period. The Unencumbered Adjusted NOI for each Property cannot be less than zero. For purposes of this definition, Net Operating Income from Non Controlled Properties is limited to the following properties: Congressional Plaza, Congressional Plaza Apartments, Escondido Promenade, Galaxy Building (Hollywood) and 7001 Hollywood Blvd (Peterson).</w:t>
      </w:r>
    </w:p>
    <w:p>
      <w:pPr>
        <w:spacing w:after="0" w:line="13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Unencumbered Asset Value</w:t>
      </w:r>
      <w:r>
        <w:rPr>
          <w:rFonts w:ascii="Arial" w:cs="Arial" w:eastAsia="Arial" w:hAnsi="Arial"/>
          <w:sz w:val="16"/>
          <w:szCs w:val="16"/>
          <w:color w:val="auto"/>
        </w:rPr>
        <w:t>” means (a) the annualized most recent reporting period Unencumbered Adjusted NOI divided by the Capitalization Rate, plus (b) the GAAP book value of all assets acquired during the most recent quarter which assets are not subject to any Liens other than Permitted Liens (excluding Permitted Liens of the type described in clauses (g) and (h) of the definition thereof) or subject to any Negative Pledge, plus (c) the GAAP book value of Development Property not subject to any Lien other than Permitted Liens (excluding Permitted Liens of the type described in clauses (g) and (h) of the definition thereof) or subject to any Negative Pledge. For purposes of this definition, to the extent that more than 20% of Unencumbered Asset Value would be attributable to Controlled Properties, Non-Controlled Properties and Development Properties such excess shall be excluded.</w:t>
      </w:r>
    </w:p>
    <w:p>
      <w:pPr>
        <w:spacing w:after="0" w:line="11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Unimproved Land</w:t>
      </w:r>
      <w:r>
        <w:rPr>
          <w:rFonts w:ascii="Arial" w:cs="Arial" w:eastAsia="Arial" w:hAnsi="Arial"/>
          <w:sz w:val="18"/>
          <w:szCs w:val="18"/>
          <w:color w:val="auto"/>
        </w:rPr>
        <w:t>” means land on which no development (other than paving or other improvements that are not material and are temporary in nature) has occurred and for which no development is planned in the following 12 months.</w:t>
      </w:r>
    </w:p>
    <w:p>
      <w:pPr>
        <w:spacing w:after="0" w:line="12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Unsecured Indebtedness</w:t>
      </w:r>
      <w:r>
        <w:rPr>
          <w:rFonts w:ascii="Arial" w:cs="Arial" w:eastAsia="Arial" w:hAnsi="Arial"/>
          <w:sz w:val="18"/>
          <w:szCs w:val="18"/>
          <w:color w:val="auto"/>
        </w:rPr>
        <w:t>” means Total Indebtedness which is not Secured Indebtedness. Indebtedness that is secured solely by Equity Interests and is recourse to the Borrower or its Subsidiaries shall be considered to be Unsecured Indebtedness.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Wells Fargo</w:t>
      </w:r>
      <w:r>
        <w:rPr>
          <w:rFonts w:ascii="Arial" w:cs="Arial" w:eastAsia="Arial" w:hAnsi="Arial"/>
          <w:sz w:val="18"/>
          <w:szCs w:val="18"/>
          <w:color w:val="auto"/>
        </w:rPr>
        <w:t>” means Wells Fargo Bank, National Association, and its successors and permitted assigns.</w:t>
      </w:r>
    </w:p>
    <w:p>
      <w:pPr>
        <w:spacing w:after="0" w:line="17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Property</w:t>
      </w:r>
      <w:r>
        <w:rPr>
          <w:rFonts w:ascii="Arial" w:cs="Arial" w:eastAsia="Arial" w:hAnsi="Arial"/>
          <w:sz w:val="18"/>
          <w:szCs w:val="18"/>
          <w:color w:val="auto"/>
        </w:rPr>
        <w:t>” means an Eligible Property which is wholly owned in fee simple (or leased under a Ground Lease) by only the Borrower or a Guarantor that is a Wholly Owned Subsidiary.</w:t>
      </w:r>
    </w:p>
    <w:p>
      <w:pPr>
        <w:spacing w:after="0" w:line="120"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means any Subsidiary of a Person in respect of which all of the Equity Interests (other than, in the case of a corporation, directors’ qualifying shares) are at the time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380"/>
          </w:cols>
          <w:pgMar w:left="240" w:top="274" w:right="279" w:bottom="1440" w:gutter="0" w:footer="0" w:header="0"/>
        </w:sectPr>
      </w:pPr>
    </w:p>
    <w:bookmarkStart w:id="34" w:name="page35"/>
    <w:bookmarkEnd w:id="34"/>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directly or indirectly owned or controlled by such Person or one or more other Subsidiaries of such Person or by such Person and one or more other Subsidiaries of such Person.</w:t>
      </w:r>
    </w:p>
    <w:p>
      <w:pPr>
        <w:spacing w:after="0" w:line="126"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means any liability as a result of a complete or partial withdrawal from a Multiemployer Plan as such terms are defined in Part I of Subtitle E of Title IV of ERISA.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General; References to Pacific Time.</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Unless otherwise indicated, all accounting terms, ratios and measurements shall be interpreted or determined in accordance with GAAP from time to time; provided that, if at any time any change in GAAP would affect the computation of any financial ratio or requirement set forth in any Loan Document, and either the Borrower or the Requisite Lenders shall so request, the Administrative Agent, the Lenders and the Borrower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preceding sentence, the calculation of liabilities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 Accordingly, the amount of liabilities shall be the historical cost basis, which generally is the contractual amount owed adjusted for amortization or accretion of any premium or discount. References in this Agreement to “Sections”, “Articles”, “Exhibits” and “Schedules” are to sections, articles, exhibits and schedules herein and hereto unless otherwise indicated. References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not otherwise stated herein or 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Whenever reference is made to Borrower’s knowledge or awareness, or a similar qualification, knowledge or awareness means the actual knowledge of Borrower’s Responsible Officers after reasonable investigation and consultation with Borrower’s regional chief operating officers. Unless explicitly set forth to the contrary, a reference to “Subsidiary” means a Subsidiary of the Borrower or a Subsidiary of such Subsidiary, a reference to an “Affiliate” means a reference to an Affiliate of the Borrower and a reference to an “Unconsolidated Affiliate” means an Unconsolidated Affiliate of the Borrower. Titles and captions of Articles, Sections, subsections and clauses in this Agreement are for convenience only, and neither limit nor amplify the provisions of this Agreement. Unless otherwise indicated, all references to time are references to Pacific time.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Financial Attributes of Non-Wholly Owned Subsidiaries.</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Except as expressly set forth herein, when determining compliance by the Borrower with any financial covenant contained in any of the Loan Documents only the Ownership Share of the Borrower of the financial attributes of a Subsidiary that is not a Wholly Owned Subsidiary shall be included.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00"/>
          </w:cols>
          <w:pgMar w:left="240" w:top="280" w:right="2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Revolving Loans.</w:t>
      </w:r>
    </w:p>
    <w:p>
      <w:pPr>
        <w:spacing w:after="0" w:line="96" w:lineRule="exact"/>
        <w:rPr>
          <w:sz w:val="20"/>
          <w:szCs w:val="20"/>
          <w:color w:val="auto"/>
        </w:rPr>
      </w:pPr>
    </w:p>
    <w:p>
      <w:pPr>
        <w:ind w:firstLine="464"/>
        <w:spacing w:after="0" w:line="289" w:lineRule="auto"/>
        <w:tabs>
          <w:tab w:leader="none" w:pos="695"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Making of Revolving Loans</w:t>
      </w:r>
      <w:r>
        <w:rPr>
          <w:rFonts w:ascii="Arial" w:cs="Arial" w:eastAsia="Arial" w:hAnsi="Arial"/>
          <w:sz w:val="16"/>
          <w:szCs w:val="16"/>
          <w:color w:val="auto"/>
        </w:rPr>
        <w:t>. Subject to the terms and conditions set forth in this Agreement, including without limitation, Section 2.15., each Lender severally and not jointly agrees to make Revolving Loans to the Borrower during the period from and including the Effective Date to but excluding the Revolving Termination Date, in an aggregate principal amount at any one time outstanding up to, but not exceeding, such Lender’s Revolving Commitment. Each borrowing of Base Rate Loans shall be in an aggregate minimum amount of $1,000,000 and integral multiples of $500,000 in excess thereof. Each borrowing and Continuation under Section 2.9. of, and each Conversion under Section 2.10. of Base Rate Loans into, LIBOR Loans shall be in an aggregate minimum of $1,000,000 and integral multiples of $1,000,000 in excess of that amount. Notwithstanding the immediately preceding two sentences but subject to Section 2.15., a borrowing of Revolving Loans may be in the aggregate amount of the unused Revolving Commitments. Within the foregoing limits and subject to the terms and conditions of this Agreement, the Borrower may borrow, repay and reborrow Revolving Loans.</w:t>
      </w:r>
    </w:p>
    <w:p>
      <w:pPr>
        <w:spacing w:after="0" w:line="118" w:lineRule="exact"/>
        <w:rPr>
          <w:rFonts w:ascii="Arial" w:cs="Arial" w:eastAsia="Arial" w:hAnsi="Arial"/>
          <w:sz w:val="16"/>
          <w:szCs w:val="16"/>
          <w:color w:val="auto"/>
        </w:rPr>
      </w:pPr>
    </w:p>
    <w:p>
      <w:pPr>
        <w:ind w:right="100" w:firstLine="464"/>
        <w:spacing w:after="0" w:line="286" w:lineRule="auto"/>
        <w:tabs>
          <w:tab w:leader="none" w:pos="705"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Requests for Revolving Loans</w:t>
      </w:r>
      <w:r>
        <w:rPr>
          <w:rFonts w:ascii="Arial" w:cs="Arial" w:eastAsia="Arial" w:hAnsi="Arial"/>
          <w:sz w:val="16"/>
          <w:szCs w:val="16"/>
          <w:color w:val="auto"/>
        </w:rPr>
        <w:t>. Not later than 11:00 a.m. Pacific time at least one (1) Business Day prior to a borrowing of Revolving Loans that are to be Base Rate Loans and not later than 11:00 a.m. Pacific time at least three (3) Business Days prior to a borrowing of Revolving Loans that are to be LIBOR Loans, the Borrower shall deliver to the Administrative Agent a Notice of Borrowing or telephone notice thereof. Each Notice of Borrowing shall specify the aggregate principal amount of the Revolving Loans to be borrowed, the date such Revolving Loans are to be borrowed (which must be a Business Day), the use of the proceeds of such Revolving Loans, the Type of the requested Revolving Loans, and if such Revolving Loans are to be LIBOR Loans, the initial Interest Period for such Revolving Loans. Any telephone notice shall include all information to be specified in a written Notice of Borrowing and shall be promptly confirmed in writing by the Borrower pursuant to a Notice of Borrowing sent to the Administrative Agent by telecopy on the same day of the giving of such telephonic notice. Each Notice of Borrowing or any telephone notice of a borrowing shall be irrevocable once given and binding on the Borrower. Prior to delivering a Notice of Borrowing, the Borrower may (without specifying whether a Revolving Loan will be a Base Rate Loan or a LIBOR Loan) request that the Administrative Agent provide the Borrower with the most recent LIBOR available to the Administrative Agent. The Administrative Agent shall provide such quoted rate to the Borrower on the date of such request or as soon as possible thereafter.</w:t>
      </w:r>
    </w:p>
    <w:p>
      <w:pPr>
        <w:spacing w:after="0" w:line="127" w:lineRule="exact"/>
        <w:rPr>
          <w:rFonts w:ascii="Arial" w:cs="Arial" w:eastAsia="Arial" w:hAnsi="Arial"/>
          <w:sz w:val="16"/>
          <w:szCs w:val="16"/>
          <w:color w:val="auto"/>
        </w:rPr>
      </w:pPr>
    </w:p>
    <w:p>
      <w:pPr>
        <w:ind w:right="60" w:firstLine="464"/>
        <w:spacing w:after="0" w:line="291" w:lineRule="auto"/>
        <w:tabs>
          <w:tab w:leader="none" w:pos="695"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Funding of Revolving Loans</w:t>
      </w:r>
      <w:r>
        <w:rPr>
          <w:rFonts w:ascii="Arial" w:cs="Arial" w:eastAsia="Arial" w:hAnsi="Arial"/>
          <w:sz w:val="16"/>
          <w:szCs w:val="16"/>
          <w:color w:val="auto"/>
        </w:rPr>
        <w:t>. Promptly after receipt of a Notice of Borrowing under the immediately preceding subsection (b), the Administrative Agent shall notify each Lender of the proposed borrowing. Each Lender shall deposit an amount equal to the Revolving Loan to be made by such Lender to the Borrower with the Administrative Agent at the Principal Office, in immediately available funds not later than 8:00 a.m. Pacific time on the date of such proposed Revolving Loans. Subject to fulfillment of the conditions set forth in Section 5.2., the Administrative Agent shall make available to the Borrower in the account specified in the Transfer Authorizer Designation Form, not later than 9:00 a.m. Pacific time on the date of the requested borrowing of Revolving Loans, the proceeds of such amounts received by the Administrative Agent.</w:t>
      </w:r>
    </w:p>
    <w:p>
      <w:pPr>
        <w:spacing w:after="0" w:line="120" w:lineRule="exact"/>
        <w:rPr>
          <w:rFonts w:ascii="Arial" w:cs="Arial" w:eastAsia="Arial" w:hAnsi="Arial"/>
          <w:sz w:val="16"/>
          <w:szCs w:val="16"/>
          <w:color w:val="auto"/>
        </w:rPr>
      </w:pPr>
    </w:p>
    <w:p>
      <w:pPr>
        <w:jc w:val="both"/>
        <w:ind w:right="280" w:firstLine="464"/>
        <w:spacing w:after="0" w:line="298" w:lineRule="auto"/>
        <w:tabs>
          <w:tab w:leader="none" w:pos="705"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Assumptions Regarding Funding by Lenders</w:t>
      </w:r>
      <w:r>
        <w:rPr>
          <w:rFonts w:ascii="Arial" w:cs="Arial" w:eastAsia="Arial" w:hAnsi="Arial"/>
          <w:sz w:val="16"/>
          <w:szCs w:val="16"/>
          <w:color w:val="auto"/>
        </w:rPr>
        <w:t>. With respect to Revolving Loans to be made after the Effective Date, unless the Administrative Agent shall have been notified by any Lender that such Lender will not make available to the Administrative Agent a Revolving Loan to be made by such Lender in connection with any borrowing, the Administrative Agent may assume that such Lender will make the proceeds of such Revolving Loan available to the Administrative Agent in accordance with this Section, and the Administrative Agent may (but shall not be obligated to), in reliance upon such</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400"/>
          </w:cols>
          <w:pgMar w:left="240" w:top="274" w:right="259" w:bottom="1440" w:gutter="0" w:footer="0" w:header="0"/>
        </w:sectPr>
      </w:pPr>
    </w:p>
    <w:bookmarkStart w:id="36" w:name="page37"/>
    <w:bookmarkEnd w:id="3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assumption, make available to the Borrower the amount of such Revolving Loan to be provided by such Lender. If the Administrative Agent makes the amount of such Revolving Loan available to the Borrower prior to its receipt of any proceeds of Revolving Loans by any Lender, then if such Lender has not funded its Revolving Loans prior to the time set forth therefor in clause (c) above, the Administrative Agent shall use reasonable efforts to notify the Borrower that such Lender has failed to fund by the time required therefore; provided, however, that the Administrative Agent’s failure to provide such notice shall not result in any liability to the Administrative Agent and shall not affect any other provision set forth herein. In such event, if such Lender does not make available to the Administrative Agent the proceeds of such Revolving Loan, then such Lender and the Borrower severally agree to pay to the Administrative Agent on demand the amount of such Revolving Loan with interest thereon, for each day from and including the date such Revolving Loan is made available to the Borrower but excluding the date of payment to the Administrative Agent, at (i) in the case of a payment to be made by such Lender, the Federal Funds Rate and (ii) in the case of a payment to be made by the Borrower, the interest rate applicable to Base Rate Loans. Notwithstanding the prior sentence, if any Lender shall fail to make available to the Administrative Agent the proceeds of a Revolving Loan on the date and at the time specified in Section 2.1.(c) but shall make such proceeds available to the Administrative Agent at a later time on such date, such Lender shall pay to the Administrative Agent one day’s worth of interest computed in accordance with clause (i) of the immediately preceding sentence, unless such Lender can provide evidence reasonably satisfactory to the Administrative Agent that such Lender has timely made such proceeds available to the Administrative Agent, including, without limitation, a Fed Reference Number screen shot evidencing the date and time such Lender’s wire was sent. If the Borrower and such Lender shall pay the amount of such interest to the Administrative Agent for the same or overlapping period, the Administrative Agent shall promptly remit to the Borrower the amount of such interest paid by the Borrower for such period. If such Lender pays to the Administrative Agent the amount of such Revolving Loan, the amount so paid shall constitute such Lender’s Revolving Loan included in the borrowing. Any payment by the Borrower shall be without prejudice to any claim the Borrower may have against a Lender that shall have failed to make available the proceeds of a Revolving Loan to be made by such Lender.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Bid Rate Loans.</w:t>
      </w:r>
    </w:p>
    <w:p>
      <w:pPr>
        <w:spacing w:after="0" w:line="96" w:lineRule="exact"/>
        <w:rPr>
          <w:sz w:val="20"/>
          <w:szCs w:val="20"/>
          <w:color w:val="auto"/>
        </w:rPr>
      </w:pPr>
    </w:p>
    <w:p>
      <w:pPr>
        <w:jc w:val="both"/>
        <w:ind w:right="160" w:firstLine="464"/>
        <w:spacing w:after="0" w:line="256"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Bid Rate Loans</w:t>
      </w:r>
      <w:r>
        <w:rPr>
          <w:rFonts w:ascii="Arial" w:cs="Arial" w:eastAsia="Arial" w:hAnsi="Arial"/>
          <w:sz w:val="18"/>
          <w:szCs w:val="18"/>
          <w:color w:val="auto"/>
        </w:rPr>
        <w:t>. At any time during the period from the Effective Date to but excluding the Revolving Termination Date, and so long as the Borrower continues to maintain an Investment Grade Rating, the Borrower may, as set forth in this Section, request the Lenders to make offers to make Bid Rate Loans to the Borrower in Dollars. The Lenders may, but shall have no obligation to, make such offers and the Borrower may, but shall have no obligation to, accept any such offers in the manner set forth in this Section.</w:t>
      </w:r>
    </w:p>
    <w:p>
      <w:pPr>
        <w:spacing w:after="0" w:line="143" w:lineRule="exact"/>
        <w:rPr>
          <w:rFonts w:ascii="Arial" w:cs="Arial" w:eastAsia="Arial" w:hAnsi="Arial"/>
          <w:sz w:val="18"/>
          <w:szCs w:val="18"/>
          <w:color w:val="auto"/>
        </w:rPr>
      </w:pPr>
    </w:p>
    <w:p>
      <w:pPr>
        <w:ind w:right="60" w:firstLine="464"/>
        <w:spacing w:after="0" w:line="290" w:lineRule="auto"/>
        <w:tabs>
          <w:tab w:leader="none" w:pos="705"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Requests for Bid Rate Loans</w:t>
      </w:r>
      <w:r>
        <w:rPr>
          <w:rFonts w:ascii="Arial" w:cs="Arial" w:eastAsia="Arial" w:hAnsi="Arial"/>
          <w:sz w:val="16"/>
          <w:szCs w:val="16"/>
          <w:color w:val="auto"/>
        </w:rPr>
        <w:t>. When the Borrower wishes to request from the Lenders offers to make Bid Rate Loans, it shall give the Administrative Agent notice (a “</w:t>
      </w:r>
      <w:r>
        <w:rPr>
          <w:rFonts w:ascii="Arial" w:cs="Arial" w:eastAsia="Arial" w:hAnsi="Arial"/>
          <w:sz w:val="16"/>
          <w:szCs w:val="16"/>
          <w:b w:val="1"/>
          <w:bCs w:val="1"/>
          <w:color w:val="auto"/>
        </w:rPr>
        <w:t>Bid Rate Quote Request</w:t>
      </w:r>
      <w:r>
        <w:rPr>
          <w:rFonts w:ascii="Arial" w:cs="Arial" w:eastAsia="Arial" w:hAnsi="Arial"/>
          <w:sz w:val="16"/>
          <w:szCs w:val="16"/>
          <w:color w:val="auto"/>
        </w:rPr>
        <w:t>”) so as to be received no later than 11:00 a.m. Pacific time on (x) the Business Day immediately preceding the date of borrowing proposed therein, in the case of an Absolute Rate Auction and (y) the date four (4) Business Days prior to the proposed date of borrowing, in the case of a LIBOR Auction. The Administrative Agent shall deliver to each Lender a copy of each Bid Rate Quote Request promptly upon receipt thereof by the Administrative Agent. The Borrower may request offers to make Bid Rate Loans for up to four (4) different Interest Periods in any one Bid Rate Quote Request; provided that if granted each separate Interest Period shall be deemed to be a separate borrowing (a “</w:t>
      </w:r>
      <w:r>
        <w:rPr>
          <w:rFonts w:ascii="Arial" w:cs="Arial" w:eastAsia="Arial" w:hAnsi="Arial"/>
          <w:sz w:val="16"/>
          <w:szCs w:val="16"/>
          <w:b w:val="1"/>
          <w:bCs w:val="1"/>
          <w:color w:val="auto"/>
        </w:rPr>
        <w:t>Bid Rate Borrowing</w:t>
      </w:r>
      <w:r>
        <w:rPr>
          <w:rFonts w:ascii="Arial" w:cs="Arial" w:eastAsia="Arial" w:hAnsi="Arial"/>
          <w:sz w:val="16"/>
          <w:szCs w:val="16"/>
          <w:color w:val="auto"/>
        </w:rPr>
        <w:t>”). Each Bid Rate Quote Request shall be substantially in the form of Exhibit L and shall specify as to each Bid Rate Borrowing all of the following:</w:t>
      </w:r>
    </w:p>
    <w:p>
      <w:pPr>
        <w:spacing w:after="0" w:line="37" w:lineRule="exact"/>
        <w:rPr>
          <w:rFonts w:ascii="Arial" w:cs="Arial" w:eastAsia="Arial" w:hAnsi="Arial"/>
          <w:sz w:val="16"/>
          <w:szCs w:val="16"/>
          <w:color w:val="auto"/>
        </w:rPr>
      </w:pPr>
    </w:p>
    <w:p>
      <w:pPr>
        <w:ind w:left="1120" w:hanging="217"/>
        <w:spacing w:after="0"/>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proposed date of such Bid Rate Borrowing, which shall be a Business Day;</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400"/>
          </w:cols>
          <w:pgMar w:left="240" w:top="280" w:right="259" w:bottom="1440" w:gutter="0" w:footer="0" w:header="0"/>
        </w:sectPr>
      </w:pPr>
    </w:p>
    <w:bookmarkStart w:id="37" w:name="page38"/>
    <w:bookmarkEnd w:id="37"/>
    <w:p>
      <w:pPr>
        <w:ind w:left="460" w:right="240" w:firstLine="443"/>
        <w:spacing w:after="0" w:line="268" w:lineRule="auto"/>
        <w:tabs>
          <w:tab w:leader="none" w:pos="1157"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aggregate amount of such Bid Rate Borrowing which shall be in a minimum amount of $5,000,000 and integral multiples of $1,000,000 in excess thereof which shall not cause any of the limits specified in Section 2.15. to be violated;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Bid Rate Quote Request is for LIBOR Margin Loans or Absolute Rate Loans; and</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duration of the Interest Period applicable thereto, which shall not extend beyond the Revolving Termination Date.</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Borrower shall not deliver any Bid Rate Quote Request within five Business Days (or such other number of days as the Borrower and the Administrative Agent may agree) of the giving of any other Bid Rate Quote Request and the Borrower shall not deliver more than four Bid Rate Quote Requests in any calendar month.</w:t>
      </w:r>
    </w:p>
    <w:p>
      <w:pPr>
        <w:spacing w:after="0" w:line="140" w:lineRule="exact"/>
        <w:rPr>
          <w:sz w:val="20"/>
          <w:szCs w:val="20"/>
          <w:color w:val="auto"/>
        </w:rPr>
      </w:pPr>
    </w:p>
    <w:p>
      <w:pPr>
        <w:ind w:left="700" w:hanging="23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Bid Rate Quotes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0" w:firstLine="443"/>
        <w:spacing w:after="0" w:line="287" w:lineRule="auto"/>
        <w:tabs>
          <w:tab w:leader="none" w:pos="1108" w:val="left"/>
        </w:tabs>
        <w:numPr>
          <w:ilvl w:val="1"/>
          <w:numId w:val="16"/>
        </w:numPr>
        <w:rPr>
          <w:rFonts w:ascii="Arial" w:cs="Arial" w:eastAsia="Arial" w:hAnsi="Arial"/>
          <w:sz w:val="16"/>
          <w:szCs w:val="16"/>
          <w:color w:val="auto"/>
        </w:rPr>
      </w:pPr>
      <w:r>
        <w:rPr>
          <w:rFonts w:ascii="Arial" w:cs="Arial" w:eastAsia="Arial" w:hAnsi="Arial"/>
          <w:sz w:val="16"/>
          <w:szCs w:val="16"/>
          <w:color w:val="auto"/>
        </w:rPr>
        <w:t>Each Lender may submit one or more Bid Rate Quotes, each containing an offer to make a Bid Rate Loan in response to any Bid Rate Quote Request; provided that, if the Borrower’s request under Section 2.2.(b) specified more than one Interest Period, such Lender may make a single submission containing only one Bid Rate Quote for each such Interest Period. Each Bid Rate Quote must be submitted to the Administrative Agent not later than 8:30 a.m. Pacific time (x) on the proposed date of borrowing, in the case of an Absolute Rate Auction and (y) on the date three (3) Business Days prior to the proposed date of borrowing, in the case of a LIBOR Auction, and in either case the Administrative Agent shall disregard any Bid Rate Quote received after such time; provided that the Lender then acting as the Administrative Agent may submit a Bid Rate Quote only if it notifies the Borrower of the terms of the offer contained therein not later than 30 minutes prior to the latest time by which the Lenders must submit applicable Bid Rate Quotes. Any Bid Rate Quote so made shall be irrevocable except with the consent of the Administrative Agent given at the request of the Borrower. Such Bid Rate Loans may be funded by a Lender’s Designated Lender (if any) as provided in Section 12.6.(d); however, such Lender shall not be required to specify in its Bid Rate Quote whether such Bid Rate Loan will be funded by such Designated Lender.</w:t>
      </w:r>
    </w:p>
    <w:p>
      <w:pPr>
        <w:spacing w:after="0" w:line="41" w:lineRule="exact"/>
        <w:rPr>
          <w:rFonts w:ascii="Arial" w:cs="Arial" w:eastAsia="Arial" w:hAnsi="Arial"/>
          <w:sz w:val="16"/>
          <w:szCs w:val="16"/>
          <w:color w:val="auto"/>
        </w:rPr>
      </w:pPr>
    </w:p>
    <w:p>
      <w:pPr>
        <w:ind w:left="1160" w:hanging="257"/>
        <w:spacing w:after="0"/>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Each Bid Rate Quote shall be substantially in the form of Exhibit M and shall specify:</w:t>
      </w:r>
    </w:p>
    <w:p>
      <w:pPr>
        <w:spacing w:after="0" w:line="90" w:lineRule="exact"/>
        <w:rPr>
          <w:rFonts w:ascii="Arial" w:cs="Arial" w:eastAsia="Arial" w:hAnsi="Arial"/>
          <w:sz w:val="18"/>
          <w:szCs w:val="18"/>
          <w:color w:val="auto"/>
        </w:rPr>
      </w:pPr>
    </w:p>
    <w:p>
      <w:pPr>
        <w:ind w:left="1620" w:hanging="279"/>
        <w:spacing w:after="0"/>
        <w:tabs>
          <w:tab w:leader="none" w:pos="16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proposed date of borrowing and the Interest Period therefor;</w:t>
      </w:r>
    </w:p>
    <w:p>
      <w:pPr>
        <w:spacing w:after="0" w:line="90" w:lineRule="exact"/>
        <w:rPr>
          <w:rFonts w:ascii="Arial" w:cs="Arial" w:eastAsia="Arial" w:hAnsi="Arial"/>
          <w:sz w:val="18"/>
          <w:szCs w:val="18"/>
          <w:color w:val="auto"/>
        </w:rPr>
      </w:pPr>
    </w:p>
    <w:p>
      <w:pPr>
        <w:jc w:val="both"/>
        <w:ind w:left="920" w:firstLine="421"/>
        <w:spacing w:after="0" w:line="298" w:lineRule="auto"/>
        <w:tabs>
          <w:tab w:leader="none" w:pos="1618" w:val="left"/>
        </w:tabs>
        <w:numPr>
          <w:ilvl w:val="2"/>
          <w:numId w:val="16"/>
        </w:numPr>
        <w:rPr>
          <w:rFonts w:ascii="Arial" w:cs="Arial" w:eastAsia="Arial" w:hAnsi="Arial"/>
          <w:sz w:val="16"/>
          <w:szCs w:val="16"/>
          <w:color w:val="auto"/>
        </w:rPr>
      </w:pPr>
      <w:r>
        <w:rPr>
          <w:rFonts w:ascii="Arial" w:cs="Arial" w:eastAsia="Arial" w:hAnsi="Arial"/>
          <w:sz w:val="16"/>
          <w:szCs w:val="16"/>
          <w:color w:val="auto"/>
        </w:rPr>
        <w:t>the principal amount of the Bid Rate Loan for which each such offer is being made; provided that the aggregate principal amount of all Bid Rate Loans for which a Lender submits Bid Rate Quotes (x) may be greater or less than the Revolving Commitment of such Lender but (y) shall not exceed the principal amount of the Bid Rate Borrowing for a particular Interest Period for which offers were requested; provided further that any Bid Rate Quote shall be in a minimum amount of $1,000,000 and integral multiples of $500,000 in excess thereof;</w:t>
      </w:r>
    </w:p>
    <w:p>
      <w:pPr>
        <w:spacing w:after="0" w:line="31" w:lineRule="exact"/>
        <w:rPr>
          <w:rFonts w:ascii="Arial" w:cs="Arial" w:eastAsia="Arial" w:hAnsi="Arial"/>
          <w:sz w:val="16"/>
          <w:szCs w:val="16"/>
          <w:color w:val="auto"/>
        </w:rPr>
      </w:pPr>
    </w:p>
    <w:p>
      <w:pPr>
        <w:ind w:left="920" w:right="340" w:firstLine="421"/>
        <w:spacing w:after="0" w:line="268" w:lineRule="auto"/>
        <w:tabs>
          <w:tab w:leader="none" w:pos="1618" w:val="left"/>
        </w:tabs>
        <w:numPr>
          <w:ilvl w:val="2"/>
          <w:numId w:val="16"/>
        </w:numPr>
        <w:rPr>
          <w:rFonts w:ascii="Arial" w:cs="Arial" w:eastAsia="Arial" w:hAnsi="Arial"/>
          <w:sz w:val="18"/>
          <w:szCs w:val="18"/>
          <w:color w:val="auto"/>
        </w:rPr>
      </w:pPr>
      <w:r>
        <w:rPr>
          <w:rFonts w:ascii="Arial" w:cs="Arial" w:eastAsia="Arial" w:hAnsi="Arial"/>
          <w:sz w:val="18"/>
          <w:szCs w:val="18"/>
          <w:color w:val="auto"/>
        </w:rPr>
        <w:t>in the case of an Absolute Rate Auction, the rate of interest per annum (rounded upwards, if necessary, to the nearest 1/1,000th of 1%) offered for each such Absolute Rate Loan (the “</w:t>
      </w:r>
      <w:r>
        <w:rPr>
          <w:rFonts w:ascii="Arial" w:cs="Arial" w:eastAsia="Arial" w:hAnsi="Arial"/>
          <w:sz w:val="18"/>
          <w:szCs w:val="18"/>
          <w:b w:val="1"/>
          <w:bCs w:val="1"/>
          <w:color w:val="auto"/>
        </w:rPr>
        <w:t>Absolute Rate</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3"/>
          <w:numId w:val="16"/>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400"/>
          </w:cols>
          <w:pgMar w:left="240" w:top="280" w:right="259" w:bottom="1440" w:gutter="0" w:footer="0" w:header="0"/>
        </w:sectPr>
      </w:pPr>
    </w:p>
    <w:bookmarkStart w:id="38" w:name="page39"/>
    <w:bookmarkEnd w:id="38"/>
    <w:p>
      <w:pPr>
        <w:jc w:val="both"/>
        <w:ind w:left="460" w:right="360" w:firstLine="421"/>
        <w:spacing w:after="0" w:line="262" w:lineRule="auto"/>
        <w:tabs>
          <w:tab w:leader="none" w:pos="1167"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 LIBOR Auction, the margin above or below applicable LIBOR (the “</w:t>
      </w:r>
      <w:r>
        <w:rPr>
          <w:rFonts w:ascii="Arial" w:cs="Arial" w:eastAsia="Arial" w:hAnsi="Arial"/>
          <w:sz w:val="18"/>
          <w:szCs w:val="18"/>
          <w:b w:val="1"/>
          <w:bCs w:val="1"/>
          <w:color w:val="auto"/>
        </w:rPr>
        <w:t>LIBOR Margin</w:t>
      </w:r>
      <w:r>
        <w:rPr>
          <w:rFonts w:ascii="Arial" w:cs="Arial" w:eastAsia="Arial" w:hAnsi="Arial"/>
          <w:sz w:val="18"/>
          <w:szCs w:val="18"/>
          <w:color w:val="auto"/>
        </w:rPr>
        <w:t>”) offered for each such LIBOR Margin Loan, expressed as a percentage (rounded upwards, if necessary, to the nearest 1/1,000th of 1%) to be added to (or subtracted from) the applicable LIBOR; and</w:t>
      </w:r>
    </w:p>
    <w:p>
      <w:pPr>
        <w:spacing w:after="0" w:line="57" w:lineRule="exact"/>
        <w:rPr>
          <w:rFonts w:ascii="Arial" w:cs="Arial" w:eastAsia="Arial" w:hAnsi="Arial"/>
          <w:sz w:val="18"/>
          <w:szCs w:val="18"/>
          <w:color w:val="auto"/>
        </w:rPr>
      </w:pPr>
    </w:p>
    <w:p>
      <w:pPr>
        <w:ind w:left="1140" w:hanging="259"/>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identity of the quoting Lender.</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Unless otherwise agreed by the Administrative Agent and the Borrower, no Bid Rate Quote shall contain qualifying, conditional or similar language or propose terms other than or in addition to those set forth in the applicable Bid Rate Quote Request and, in particular, no Bid Rate Quote may be conditioned upon acceptance by the Borrower of all (or some specified minimum) of the principal amount of the Bid Rate Loan for which such Bid Rate Quote is being made.</w:t>
      </w:r>
    </w:p>
    <w:p>
      <w:pPr>
        <w:spacing w:after="0" w:line="143" w:lineRule="exact"/>
        <w:rPr>
          <w:sz w:val="20"/>
          <w:szCs w:val="20"/>
          <w:color w:val="auto"/>
        </w:rPr>
      </w:pPr>
    </w:p>
    <w:p>
      <w:pPr>
        <w:ind w:left="-460" w:firstLine="464"/>
        <w:spacing w:after="0" w:line="289" w:lineRule="auto"/>
        <w:tabs>
          <w:tab w:leader="none" w:pos="245"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Notification by Administrative Agent</w:t>
      </w:r>
      <w:r>
        <w:rPr>
          <w:rFonts w:ascii="Arial" w:cs="Arial" w:eastAsia="Arial" w:hAnsi="Arial"/>
          <w:sz w:val="16"/>
          <w:szCs w:val="16"/>
          <w:color w:val="auto"/>
        </w:rPr>
        <w:t>. The Administrative Agent shall, as promptly as practicable after the Bid Rate Quotes are submitted (but in any event not later than 9:30 a.m. Pacific time (x) on the proposed date of borrowing, in the case of an Absolute Rate Auction or (y) on the date three (3) Business Days prior to the proposed date of borrowing, in the case of a LIBOR Auction), notify the Borrower of the terms (i) of any Bid Rate Quote submitted by a Lender that is in accordance with Section 2.2.(c) and (ii) of any Bid Rate Quote that amends, modifies or is otherwise inconsistent with a previous Bid Rate Quote submitted by such Lender with respect to the same Bid Rate Quote Request. Any such subsequent Bid Rate Quote shall be disregarded by the Administrative Agent unless such subsequent Bid Rate Quote is submitted solely to correct a manifest error in such former Bid Rate Quote. The Administrative Agent’s notice to the Borrower shall specify (A) the aggregate principal amount of the Bid Rate Borrowing for which offers have been received and (B) the principal amounts and Absolute Rates or LIBOR Margins, as applicable, so offered by each Lender (identifying the Lender that made such Bid Rate Quote).</w:t>
      </w:r>
    </w:p>
    <w:p>
      <w:pPr>
        <w:spacing w:after="0" w:line="118" w:lineRule="exact"/>
        <w:rPr>
          <w:rFonts w:ascii="Arial" w:cs="Arial" w:eastAsia="Arial" w:hAnsi="Arial"/>
          <w:sz w:val="16"/>
          <w:szCs w:val="16"/>
          <w:color w:val="auto"/>
        </w:rPr>
      </w:pPr>
    </w:p>
    <w:p>
      <w:pPr>
        <w:ind w:left="240" w:hanging="236"/>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Acceptance by Borrower</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Not later than 10:30 a.m. Pacific time (x) on the proposed date of borrowing, in the case of an Absolute Rate Auction and (y) on the date three</w:t>
      </w:r>
    </w:p>
    <w:p>
      <w:pPr>
        <w:spacing w:after="0" w:line="38" w:lineRule="exact"/>
        <w:rPr>
          <w:rFonts w:ascii="Arial" w:cs="Arial" w:eastAsia="Arial" w:hAnsi="Arial"/>
          <w:sz w:val="16"/>
          <w:szCs w:val="16"/>
          <w:color w:val="auto"/>
        </w:rPr>
      </w:pPr>
    </w:p>
    <w:p>
      <w:pPr>
        <w:spacing w:after="0" w:line="320" w:lineRule="auto"/>
        <w:rPr>
          <w:rFonts w:ascii="Arial" w:cs="Arial" w:eastAsia="Arial" w:hAnsi="Arial"/>
          <w:sz w:val="16"/>
          <w:szCs w:val="16"/>
          <w:color w:val="auto"/>
        </w:rPr>
      </w:pPr>
      <w:r>
        <w:rPr>
          <w:rFonts w:ascii="Arial" w:cs="Arial" w:eastAsia="Arial" w:hAnsi="Arial"/>
          <w:sz w:val="15"/>
          <w:szCs w:val="15"/>
          <w:color w:val="auto"/>
        </w:rPr>
        <w:t>(3) Business Days prior to the proposed date of borrowing, in the case of a LIBOR Auction, the Borrower shall notify the Administrative Agent of its acceptance or nonacceptance of the Bid Rate Quotes so notified to it pursuant to Section 2.2.(d). which notice shall be in the form of Exhibit N. In the case of acceptance, such notice shall specify the aggregate principal amount of Bid Rate Quotes for each Interest Period that are accepted. The failure of the Borrower to give such notice by such time shall constitute nonacceptance. The Borrower may accept any Bid Rate Quote in whole or in part; provided that:</w:t>
      </w:r>
    </w:p>
    <w:p>
      <w:pPr>
        <w:spacing w:after="0" w:line="19" w:lineRule="exact"/>
        <w:rPr>
          <w:rFonts w:ascii="Arial" w:cs="Arial" w:eastAsia="Arial" w:hAnsi="Arial"/>
          <w:sz w:val="16"/>
          <w:szCs w:val="16"/>
          <w:color w:val="auto"/>
        </w:rPr>
      </w:pPr>
    </w:p>
    <w:p>
      <w:pPr>
        <w:ind w:left="1160" w:hanging="279"/>
        <w:spacing w:after="0"/>
        <w:tabs>
          <w:tab w:leader="none" w:pos="1160" w:val="left"/>
        </w:tabs>
        <w:numPr>
          <w:ilvl w:val="2"/>
          <w:numId w:val="18"/>
        </w:numPr>
        <w:rPr>
          <w:rFonts w:ascii="Arial" w:cs="Arial" w:eastAsia="Arial" w:hAnsi="Arial"/>
          <w:sz w:val="16"/>
          <w:szCs w:val="16"/>
          <w:color w:val="auto"/>
        </w:rPr>
      </w:pPr>
      <w:r>
        <w:rPr>
          <w:rFonts w:ascii="Arial" w:cs="Arial" w:eastAsia="Arial" w:hAnsi="Arial"/>
          <w:sz w:val="16"/>
          <w:szCs w:val="16"/>
          <w:color w:val="auto"/>
        </w:rPr>
        <w:t>the aggregate principal amount of each Bid Rate Borrowing may not exceed the applicable amount set forth in the related Bid Rate Quote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Request;</w:t>
      </w:r>
    </w:p>
    <w:p>
      <w:pPr>
        <w:spacing w:after="0" w:line="83" w:lineRule="exact"/>
        <w:rPr>
          <w:rFonts w:ascii="Arial" w:cs="Arial" w:eastAsia="Arial" w:hAnsi="Arial"/>
          <w:sz w:val="16"/>
          <w:szCs w:val="16"/>
          <w:color w:val="auto"/>
        </w:rPr>
      </w:pPr>
    </w:p>
    <w:p>
      <w:pPr>
        <w:ind w:left="460" w:right="240" w:firstLine="421"/>
        <w:spacing w:after="0" w:line="268" w:lineRule="auto"/>
        <w:tabs>
          <w:tab w:leader="none" w:pos="1158" w:val="left"/>
        </w:tabs>
        <w:numPr>
          <w:ilvl w:val="2"/>
          <w:numId w:val="18"/>
        </w:numPr>
        <w:rPr>
          <w:rFonts w:ascii="Arial" w:cs="Arial" w:eastAsia="Arial" w:hAnsi="Arial"/>
          <w:sz w:val="18"/>
          <w:szCs w:val="18"/>
          <w:color w:val="auto"/>
        </w:rPr>
      </w:pPr>
      <w:r>
        <w:rPr>
          <w:rFonts w:ascii="Arial" w:cs="Arial" w:eastAsia="Arial" w:hAnsi="Arial"/>
          <w:sz w:val="18"/>
          <w:szCs w:val="18"/>
          <w:color w:val="auto"/>
        </w:rPr>
        <w:t>the aggregate principal amount of each Bid Rate Borrowing shall comply with the provisions of Section 2.2.(b)(ii) and together with all other Bid Rate Loans then outstanding shall not cause the limits specified in Section 2.15. to be violated;</w:t>
      </w:r>
    </w:p>
    <w:p>
      <w:pPr>
        <w:spacing w:after="0" w:line="50" w:lineRule="exact"/>
        <w:rPr>
          <w:rFonts w:ascii="Arial" w:cs="Arial" w:eastAsia="Arial" w:hAnsi="Arial"/>
          <w:sz w:val="18"/>
          <w:szCs w:val="18"/>
          <w:color w:val="auto"/>
        </w:rPr>
      </w:pPr>
    </w:p>
    <w:p>
      <w:pPr>
        <w:ind w:left="460" w:right="300" w:firstLine="421"/>
        <w:spacing w:after="0" w:line="268" w:lineRule="auto"/>
        <w:tabs>
          <w:tab w:leader="none" w:pos="1158" w:val="left"/>
        </w:tabs>
        <w:numPr>
          <w:ilvl w:val="2"/>
          <w:numId w:val="18"/>
        </w:numPr>
        <w:rPr>
          <w:rFonts w:ascii="Arial" w:cs="Arial" w:eastAsia="Arial" w:hAnsi="Arial"/>
          <w:sz w:val="18"/>
          <w:szCs w:val="18"/>
          <w:color w:val="auto"/>
        </w:rPr>
      </w:pPr>
      <w:r>
        <w:rPr>
          <w:rFonts w:ascii="Arial" w:cs="Arial" w:eastAsia="Arial" w:hAnsi="Arial"/>
          <w:sz w:val="18"/>
          <w:szCs w:val="18"/>
          <w:color w:val="auto"/>
        </w:rPr>
        <w:t>acceptance of Bid Rate Quotes may be made only in ascending order of Absolute Rates or LIBOR Margins, as applicable, in each case beginning with the lowest rate so offered;</w:t>
      </w:r>
    </w:p>
    <w:p>
      <w:pPr>
        <w:spacing w:after="0" w:line="118" w:lineRule="exact"/>
        <w:rPr>
          <w:rFonts w:ascii="Arial" w:cs="Arial" w:eastAsia="Arial" w:hAnsi="Arial"/>
          <w:sz w:val="18"/>
          <w:szCs w:val="18"/>
          <w:color w:val="auto"/>
        </w:rPr>
      </w:pPr>
    </w:p>
    <w:p>
      <w:pPr>
        <w:ind w:left="5160" w:hanging="96"/>
        <w:spacing w:after="0"/>
        <w:tabs>
          <w:tab w:leader="none" w:pos="5160" w:val="left"/>
        </w:tabs>
        <w:numPr>
          <w:ilvl w:val="3"/>
          <w:numId w:val="18"/>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0920"/>
          </w:cols>
          <w:pgMar w:left="700" w:top="274" w:right="279" w:bottom="1440" w:gutter="0" w:footer="0" w:header="0"/>
        </w:sectPr>
      </w:pPr>
    </w:p>
    <w:bookmarkStart w:id="39" w:name="page40"/>
    <w:bookmarkEnd w:id="39"/>
    <w:p>
      <w:pPr>
        <w:ind w:left="13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 any acceptance in part by the Borrower shall be in a minimum amount of $1,000,000 and integral multiples of $500,000 in excess thereof;</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84" w:lineRule="exact"/>
        <w:rPr>
          <w:sz w:val="20"/>
          <w:szCs w:val="20"/>
          <w:color w:val="auto"/>
        </w:rPr>
      </w:pPr>
    </w:p>
    <w:p>
      <w:pPr>
        <w:ind w:left="920" w:right="880" w:firstLine="421"/>
        <w:spacing w:after="0" w:line="268" w:lineRule="auto"/>
        <w:tabs>
          <w:tab w:leader="none" w:pos="1608"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Borrower may not accept any Bid Rate Quote that fails to comply with Section 2.2.(c) or otherwise fails to comply with the requirements of this Agreement.</w:t>
      </w:r>
    </w:p>
    <w:p>
      <w:pPr>
        <w:spacing w:after="0" w:line="50" w:lineRule="exact"/>
        <w:rPr>
          <w:rFonts w:ascii="Arial" w:cs="Arial" w:eastAsia="Arial" w:hAnsi="Arial"/>
          <w:sz w:val="18"/>
          <w:szCs w:val="18"/>
          <w:color w:val="auto"/>
        </w:rPr>
      </w:pPr>
    </w:p>
    <w:p>
      <w:pPr>
        <w:ind w:left="460" w:firstLine="443"/>
        <w:spacing w:after="0" w:line="255" w:lineRule="auto"/>
        <w:tabs>
          <w:tab w:leader="none" w:pos="1157"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Bid Rate Quotes are made by two or more Lenders with the same Absolute Rates or LIBOR Margins, as applicable, for a greater aggregate principal amount than the amount in respect of which Bid Rate Quotes are permitted to be accepted for the related Interest Period, the principal amount of Bid Rate Loans in respect of which such Bid Rate Quotes are accepted shall be allocated by the Administrative Agent among such Lenders in proportion to the aggregate principal amount of such Bid Rate Quotes. Determinations by the Administrative Agent of the amounts of Bid Rate Loans shall be conclusive in the absence of manifest error.</w:t>
      </w:r>
    </w:p>
    <w:p>
      <w:pPr>
        <w:spacing w:after="0" w:line="142" w:lineRule="exact"/>
        <w:rPr>
          <w:rFonts w:ascii="Arial" w:cs="Arial" w:eastAsia="Arial" w:hAnsi="Arial"/>
          <w:sz w:val="18"/>
          <w:szCs w:val="18"/>
          <w:color w:val="auto"/>
        </w:rPr>
      </w:pPr>
    </w:p>
    <w:p>
      <w:pPr>
        <w:ind w:right="20" w:firstLine="464"/>
        <w:spacing w:after="0" w:line="286" w:lineRule="auto"/>
        <w:tabs>
          <w:tab w:leader="none" w:pos="676"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Obligation to Make Bid Rate Loans</w:t>
      </w:r>
      <w:r>
        <w:rPr>
          <w:rFonts w:ascii="Arial" w:cs="Arial" w:eastAsia="Arial" w:hAnsi="Arial"/>
          <w:sz w:val="16"/>
          <w:szCs w:val="16"/>
          <w:color w:val="auto"/>
        </w:rPr>
        <w:t>. The Administrative Agent shall promptly (and in any event not later than (x) 11:30 a.m. Pacific time on the proposed date of borrowing of Absolute Rate Loans and (y) on the date three (3) Business Days prior to the proposed date of borrowing of LIBOR Margin Loans) notify each Lender as to whose Bid Rate Quote has been accepted and the amount and rate thereof. A Lender who is notified that it has been selected to make a Bid Rate Loan may designate its Designated Lender (if any) to fund such Bid Rate Loan on its behalf, as described in Section 12.6.(d). Any Designated Lender which funds a Bid Rate Loan shall on and after the time of such funding become the obligee in respect of such Bid Rate Loan and be entitled to receive payment thereof when due. No Lender shall be relieved of its obligation to fund a Bid Rate Loan, and no Designated Lender shall assume such obligation, prior to the time the applicable Bid Rate Loan is funded. Any Lender whose offer to make any Bid Rate Loan has been accepted shall, not later than 12:30 p.m. Pacific time on the date specified for the making of such Loan, make the amount of such Loan available to the Administrative Agent at its Principal Office in immediately available funds, for the account of the Borrower. The amount so received by the Administrative Agent shall, subject to the terms and conditions of this Agreement, be made available to the Borrower not later than 1:30 p.m. Pacific time on such date by depositing the same, in immediately available funds, in an account of the Borrower designated by the Borrower.</w:t>
      </w:r>
    </w:p>
    <w:p>
      <w:pPr>
        <w:spacing w:after="0" w:line="127" w:lineRule="exact"/>
        <w:rPr>
          <w:rFonts w:ascii="Arial" w:cs="Arial" w:eastAsia="Arial" w:hAnsi="Arial"/>
          <w:sz w:val="16"/>
          <w:szCs w:val="16"/>
          <w:color w:val="auto"/>
        </w:rPr>
      </w:pPr>
    </w:p>
    <w:p>
      <w:pPr>
        <w:ind w:right="140" w:firstLine="464"/>
        <w:spacing w:after="0" w:line="268"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 Effect on Revolving Commitment</w:t>
      </w:r>
      <w:r>
        <w:rPr>
          <w:rFonts w:ascii="Arial" w:cs="Arial" w:eastAsia="Arial" w:hAnsi="Arial"/>
          <w:sz w:val="18"/>
          <w:szCs w:val="18"/>
          <w:color w:val="auto"/>
        </w:rPr>
        <w:t>. Except for the purpose and to the extent expressly stated in Section 2.12. and 2.15., the amount of any Bid Rate Loan made by any Lender shall not constitute a utilization of such Lender’s Revolving Commitment.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Letters of Credit.</w:t>
      </w:r>
    </w:p>
    <w:p>
      <w:pPr>
        <w:spacing w:after="0" w:line="96" w:lineRule="exact"/>
        <w:rPr>
          <w:sz w:val="20"/>
          <w:szCs w:val="20"/>
          <w:color w:val="auto"/>
        </w:rPr>
      </w:pPr>
    </w:p>
    <w:p>
      <w:pPr>
        <w:jc w:val="both"/>
        <w:ind w:right="120" w:firstLine="464"/>
        <w:spacing w:after="0" w:line="298" w:lineRule="auto"/>
        <w:tabs>
          <w:tab w:leader="none" w:pos="695"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Letters of Credit</w:t>
      </w:r>
      <w:r>
        <w:rPr>
          <w:rFonts w:ascii="Arial" w:cs="Arial" w:eastAsia="Arial" w:hAnsi="Arial"/>
          <w:sz w:val="16"/>
          <w:szCs w:val="16"/>
          <w:color w:val="auto"/>
        </w:rPr>
        <w:t>. Subject to the terms and conditions of this Agreement, including without limitation, Section 2.15., the Issuing Bank, on behalf of the Lenders, agrees to issue for the account of the Borrower during the period from and including the Effective Date to, but excluding, the date thirty (30) days prior to the Revolving Termination Date, one or more standby letters of credit (each a “</w:t>
      </w:r>
      <w:r>
        <w:rPr>
          <w:rFonts w:ascii="Arial" w:cs="Arial" w:eastAsia="Arial" w:hAnsi="Arial"/>
          <w:sz w:val="16"/>
          <w:szCs w:val="16"/>
          <w:b w:val="1"/>
          <w:bCs w:val="1"/>
          <w:color w:val="auto"/>
        </w:rPr>
        <w:t>Letter of Credit</w:t>
      </w:r>
      <w:r>
        <w:rPr>
          <w:rFonts w:ascii="Arial" w:cs="Arial" w:eastAsia="Arial" w:hAnsi="Arial"/>
          <w:sz w:val="16"/>
          <w:szCs w:val="16"/>
          <w:color w:val="auto"/>
        </w:rPr>
        <w:t>”) up to a maximum aggregate Stated Amount at any one time outstanding not to exceed $50,000,000 as such amount may be reduced from time to time in accordance with the terms hereof.</w:t>
      </w:r>
    </w:p>
    <w:p>
      <w:pPr>
        <w:spacing w:after="0" w:line="112" w:lineRule="exact"/>
        <w:rPr>
          <w:rFonts w:ascii="Arial" w:cs="Arial" w:eastAsia="Arial" w:hAnsi="Arial"/>
          <w:sz w:val="16"/>
          <w:szCs w:val="16"/>
          <w:color w:val="auto"/>
        </w:rPr>
      </w:pPr>
    </w:p>
    <w:p>
      <w:pPr>
        <w:ind w:right="160" w:firstLine="464"/>
        <w:spacing w:after="0" w:line="259"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Terms of Letters of Credit</w:t>
      </w:r>
      <w:r>
        <w:rPr>
          <w:rFonts w:ascii="Arial" w:cs="Arial" w:eastAsia="Arial" w:hAnsi="Arial"/>
          <w:sz w:val="18"/>
          <w:szCs w:val="18"/>
          <w:color w:val="auto"/>
        </w:rPr>
        <w:t>. At the time of issuance, the amount, form, terms and conditions of each Letter of Credit, and of any drafts or acceptances thereunder, shall be subject to approval by the Issuing Bank and the Borrower (which approval, in the case of the Borrower shall not be unreasonably withheld). Notwithstanding the foregoing, in no event may (i) the expiration date of any</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420"/>
          </w:cols>
          <w:pgMar w:left="240" w:top="280" w:right="239" w:bottom="1440" w:gutter="0" w:footer="0" w:header="0"/>
        </w:sectPr>
      </w:pPr>
    </w:p>
    <w:bookmarkStart w:id="40" w:name="page41"/>
    <w:bookmarkEnd w:id="4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of Credit extend beyond the date that is thirty (30) days prior to the Revolving Termination Date, or (ii) any Letter of Credit have an initial duration in excess of one year; provided, however, (i) a Letter of Credit may contain a provision providing for the automatic extension of the expiration date in the absence of a notice of non-renewal from the Issuing Bank but, subject to the following clause (ii) in no event shall any such provision permit the extension of the expiration date of such Letter of Credit beyond the date that is thirty (30) days prior to the Revolving Termination Date and (ii) a Letter of Credit may be extended to up to one year past the Revolving Termination Date so long as the Borrower provides Cash Collateral for the full amount of such Letter of Credit no later than thirty</w:t>
      </w:r>
    </w:p>
    <w:p>
      <w:pPr>
        <w:spacing w:after="0" w:line="2" w:lineRule="exact"/>
        <w:rPr>
          <w:sz w:val="20"/>
          <w:szCs w:val="20"/>
          <w:color w:val="auto"/>
        </w:rPr>
      </w:pPr>
    </w:p>
    <w:p>
      <w:pPr>
        <w:ind w:right="140" w:firstLine="8"/>
        <w:spacing w:after="0" w:line="261" w:lineRule="auto"/>
        <w:tabs>
          <w:tab w:leader="none" w:pos="3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days prior to the Revolving Termination Date. The initial Stated Amount of each Letter of Credit shall be at least $50,000 (or such lesser amount as may be acceptable to the Issuing Bank, the Administrative Agent and the Borrower).</w:t>
      </w:r>
    </w:p>
    <w:p>
      <w:pPr>
        <w:spacing w:after="0" w:line="137" w:lineRule="exact"/>
        <w:rPr>
          <w:rFonts w:ascii="Arial" w:cs="Arial" w:eastAsia="Arial" w:hAnsi="Arial"/>
          <w:sz w:val="18"/>
          <w:szCs w:val="18"/>
          <w:color w:val="auto"/>
        </w:rPr>
      </w:pPr>
    </w:p>
    <w:p>
      <w:pPr>
        <w:ind w:firstLine="464"/>
        <w:spacing w:after="0" w:line="283" w:lineRule="auto"/>
        <w:tabs>
          <w:tab w:leader="none" w:pos="695"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Requests for Issuance of Letters of Credit</w:t>
      </w:r>
      <w:r>
        <w:rPr>
          <w:rFonts w:ascii="Arial" w:cs="Arial" w:eastAsia="Arial" w:hAnsi="Arial"/>
          <w:sz w:val="16"/>
          <w:szCs w:val="16"/>
          <w:color w:val="auto"/>
        </w:rPr>
        <w:t>. The Borrower shall give the Issuing Bank and the Administrative Agent written notice (or telephonic notice which shall specify the information to be included in a written notice and shall be promptly confirmed in writing by the Borrower pursuant to a written notice sent to the Administrative Agent on the same day of the giving of such telephonic notice) at least five (5) Business Days prior to the requested date of issuance of a Letter of Credit, such notice to describe in reasonable detail the proposed terms of such Letter of Credit and the nature of the transactions or obligations proposed to be supported by such Letter of Credit, and in any event shall set forth with respect to such Letter of Credit the proposed (i) initial Stated Amount,</w:t>
      </w:r>
    </w:p>
    <w:p>
      <w:pPr>
        <w:spacing w:after="0" w:line="2" w:lineRule="exact"/>
        <w:rPr>
          <w:rFonts w:ascii="Arial" w:cs="Arial" w:eastAsia="Arial" w:hAnsi="Arial"/>
          <w:sz w:val="16"/>
          <w:szCs w:val="16"/>
          <w:color w:val="auto"/>
        </w:rPr>
      </w:pPr>
    </w:p>
    <w:p>
      <w:pPr>
        <w:ind w:right="20"/>
        <w:spacing w:after="0" w:line="286" w:lineRule="auto"/>
        <w:rPr>
          <w:rFonts w:ascii="Arial" w:cs="Arial" w:eastAsia="Arial" w:hAnsi="Arial"/>
          <w:sz w:val="16"/>
          <w:szCs w:val="16"/>
          <w:color w:val="auto"/>
        </w:rPr>
      </w:pPr>
      <w:r>
        <w:rPr>
          <w:rFonts w:ascii="Arial" w:cs="Arial" w:eastAsia="Arial" w:hAnsi="Arial"/>
          <w:sz w:val="16"/>
          <w:szCs w:val="16"/>
          <w:color w:val="auto"/>
        </w:rPr>
        <w:t>(ii) beneficiary, and (iii) expiration date. The Borrower shall also execute and deliver such customary applications and agreements for standby letters of credit, and other forms as requested from time to time by the Issuing Bank. Provided the Borrower has given the notice prescribed by the first sentence of this subsection and delivered such applications and agreements referred to in the preceding sentence, subject to the other terms and conditions of this Agreement, including the satisfaction of any applicable conditions precedent set forth in Article 5.2., the Issuing Bank shall issue the requested Letter of Credit on the requested date of issuance for the benefit of the stipulated beneficiary but in no event prior to the date five (5) Business Days following the date after which the Issuing Bank has received all of the items required to be delivered to it under this subsection. The Issuing Bank shall not at any time be obligated to issue any Letter of Credit if such issuance would conflict with, or cause the Administrative Agent or any Lender to exceed any limits imposed by, any Applicable Law. References herein to “issue” and derivations thereof with respect to Letters of Credit shall also include extensions or modifications of any outstanding Letters of Credit, unless the context otherwise requires. Upon the written request of the Borrower, the Issuing Bank shall deliver to the Borrower a copy of each issued Letter of Credit within a reasonable time after the date of issuance thereof. To the extent any term of a Letter of Credit Document is inconsistent with a term of any Loan Document, the term of such Loan Document shall control.</w:t>
      </w:r>
    </w:p>
    <w:p>
      <w:pPr>
        <w:spacing w:after="0" w:line="120" w:lineRule="exact"/>
        <w:rPr>
          <w:rFonts w:ascii="Arial" w:cs="Arial" w:eastAsia="Arial" w:hAnsi="Arial"/>
          <w:sz w:val="16"/>
          <w:szCs w:val="16"/>
          <w:color w:val="auto"/>
        </w:rPr>
      </w:pPr>
    </w:p>
    <w:p>
      <w:pPr>
        <w:ind w:right="80" w:firstLine="464"/>
        <w:spacing w:after="0" w:line="288" w:lineRule="auto"/>
        <w:tabs>
          <w:tab w:leader="none" w:pos="705"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Reimbursement Obligations</w:t>
      </w:r>
      <w:r>
        <w:rPr>
          <w:rFonts w:ascii="Arial" w:cs="Arial" w:eastAsia="Arial" w:hAnsi="Arial"/>
          <w:sz w:val="16"/>
          <w:szCs w:val="16"/>
          <w:color w:val="auto"/>
        </w:rPr>
        <w:t>. Upon receipt by the Issuing Bank from the beneficiary of a Letter of Credit of any demand for payment under such Letter of Credit, the Issuing Bank shall promptly notify the Borrower and the Administrative Agent of the amount to be paid by the Issuing Bank as a result of such demand and the date on which payment is to be made by the Issuing Bank to such beneficiary in respect of such demand; provided, however, that the Issuing Bank’s failure to give, or delay in giving, such notice shall not discharge the Borrower in any respect from the applicable Reimbursement Obligation. The Borrower hereby absolutely, unconditionally and irrevocably agrees to pay and reimburse the Issuing Bank for the amount of each demand for payment under such Letter of Credit at or prior to the date on which payment is to be made by the Issuing Bank to the beneficiary thereunder, without presentment, demand, protest or other formalities of any kind (other than notice of such payment as expressly provided in this subsection). Upon receipt by the Issuing Bank of any payment in respect of any Reimbursement Obligation, the Issuing Bank shall promptly pay to each Lender that has acquired a participation therein under the second sentence of the immediately following subsection (i) such Lender’s Revolving Commitment Percentage of such payment.</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400"/>
          </w:cols>
          <w:pgMar w:left="240" w:top="280" w:right="259" w:bottom="1440" w:gutter="0" w:footer="0" w:header="0"/>
        </w:sectPr>
      </w:pPr>
    </w:p>
    <w:bookmarkStart w:id="41" w:name="page42"/>
    <w:bookmarkEnd w:id="41"/>
    <w:p>
      <w:pPr>
        <w:ind w:left="-464" w:right="60" w:firstLine="464"/>
        <w:spacing w:after="0" w:line="287" w:lineRule="auto"/>
        <w:tabs>
          <w:tab w:leader="none" w:pos="231"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Manner of Reimbursement</w:t>
      </w:r>
      <w:r>
        <w:rPr>
          <w:rFonts w:ascii="Arial" w:cs="Arial" w:eastAsia="Arial" w:hAnsi="Arial"/>
          <w:sz w:val="16"/>
          <w:szCs w:val="16"/>
          <w:color w:val="auto"/>
        </w:rPr>
        <w:t>. Upon its receipt of a notice referred to in the immediately preceding subsection (d), the Borrower shall advise the Administrative Agent and the Issuing Bank whether or not the Borrower intends to borrow hereunder to finance its obligation to reimburse the Issuing Bank for the amount of the related demand for payment and, if it does, the Borrower shall submit a timely request for such borrowing as provided in the applicable provisions of this Agreement. If the Borrower fails to so advise the Administrative Agent and the Issuing Bank, or if the Borrower fails to reimburse the Issuing Bank for a demand for payment under a Letter of Credit by the date of such payment, the failure of which the Issuing Bank shall promptly notify the Administrative Agent, then (i) if the applicable conditions contained in Article V. would permit the making of Revolving Loans, the Borrower shall be deemed to have requested a borrowing of Revolving Loans (which shall be Base Rate Loans) in an amount equal to the unpaid Reimbursement Obligation and the Administrative Agent shall give each Lender prompt notice of the amount of the Revolving Loan to be made available to the Administrative Agent not later than 10:00 a.m. Pacific time and (ii) if such conditions would not permit the making of Revolving Loans, the provisions of subsection (j) of this Section shall apply. The limitations set forth in the second sentence of Section 2.1.(a) shall not apply to any borrowing of Base Rate Loans under this subsection.</w:t>
      </w:r>
    </w:p>
    <w:p>
      <w:pPr>
        <w:spacing w:after="0" w:line="122" w:lineRule="exact"/>
        <w:rPr>
          <w:rFonts w:ascii="Arial" w:cs="Arial" w:eastAsia="Arial" w:hAnsi="Arial"/>
          <w:sz w:val="16"/>
          <w:szCs w:val="16"/>
          <w:color w:val="auto"/>
        </w:rPr>
      </w:pPr>
    </w:p>
    <w:p>
      <w:pPr>
        <w:ind w:left="-464" w:right="160" w:firstLine="464"/>
        <w:spacing w:after="0" w:line="256" w:lineRule="auto"/>
        <w:tabs>
          <w:tab w:leader="none" w:pos="21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Effect of Letters of Credit on Revolving Commitments</w:t>
      </w:r>
      <w:r>
        <w:rPr>
          <w:rFonts w:ascii="Arial" w:cs="Arial" w:eastAsia="Arial" w:hAnsi="Arial"/>
          <w:sz w:val="18"/>
          <w:szCs w:val="18"/>
          <w:color w:val="auto"/>
        </w:rPr>
        <w:t>. Upon the issuance by the Issuing Bank of any Letter of Credit and until such Letter of Credit shall have expired or been cancelled, the Revolving Commitment of each Lender shall be deemed to be utilized for all purposes of this Agreement in an amount equal to the product of (i) such Lender’s Revolving Commitment Percentage and (ii) the sum of (A) the Stated Amount of such Letter of Credit plus (B) any related Reimbursement Obligations then outstanding.</w:t>
      </w:r>
    </w:p>
    <w:p>
      <w:pPr>
        <w:spacing w:after="0" w:line="143" w:lineRule="exact"/>
        <w:rPr>
          <w:rFonts w:ascii="Arial" w:cs="Arial" w:eastAsia="Arial" w:hAnsi="Arial"/>
          <w:sz w:val="18"/>
          <w:szCs w:val="18"/>
          <w:color w:val="auto"/>
        </w:rPr>
      </w:pPr>
    </w:p>
    <w:p>
      <w:pPr>
        <w:ind w:left="-464" w:firstLine="464"/>
        <w:spacing w:after="0" w:line="284" w:lineRule="auto"/>
        <w:tabs>
          <w:tab w:leader="none" w:pos="241"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Issuing Bank’s Duties Regarding Letters of Credit; Unconditional Nature of Reimbursement Obligations</w:t>
      </w:r>
      <w:r>
        <w:rPr>
          <w:rFonts w:ascii="Arial" w:cs="Arial" w:eastAsia="Arial" w:hAnsi="Arial"/>
          <w:sz w:val="16"/>
          <w:szCs w:val="16"/>
          <w:color w:val="auto"/>
        </w:rPr>
        <w:t>. In examining documents presented in connection with drawings under Letters of Credit and making payments under such Letters of Credit against such documents, the Issuing Bank shall only be required to use the same standard of care as it uses in connection with examining documents presented in connection with drawings under letters of credit in which it has not sold participations and making payments under such letters of credit. The Borrower assumes all risks of the acts and omissions of, or misuse of the Letters of Credit by, the respective beneficiaries of such Letters of Credit. In furtherance and not in limitation of the foregoing, none of the Issuing Bank, Administrative Agent or any of the Lenders shall be responsible for, and the Borrower’s obligations in respect of Letters of Credit shall not be affected in any manner by, (i) the form, validity, sufficiency, accuracy, genuineness or legal effects of any document submitted by any party in connection with the application for and issuance of or any drawing honored under any Letter of Credit even if such document should in fact prove to be in any or all respects invalid, insufficient, inaccurate, fraudulent or forged; (ii) the validity or sufficiency of any instrument transferring or assigning or purporting to transfer or assign any Letter of Credit, or the rights or benefits thereunder or proceeds thereof, in whole or in part, which may prove to be invalid or ineffective for any reason; (iii) failure of the beneficiary of any Letter of Credit to comply fully with conditions required in order to draw upon such Letter of Credit; (iv) errors, omissions, interruptions or delays in transmission or delivery of any messages, by mail, cable, facsimile, electronic mail, telecopy or otherwise, whether or not they be in cipher; (v) errors in interpretation of technical terms; (vi) any loss or delay in the transmission or otherwise of any document required in order to make a drawing under any Letter of Credit, or of the proceeds thereof; (vii) the misapplication by the beneficiary of any Letter of Credit, or of the proceeds of any drawing under any Letter of Credit; or (viii) any consequences arising from causes beyond the control of the Issuing Bank, Administrative Agent or the Lenders. None of the above shall affect, impair or prevent the vesting of any of the Issuing Bank’s or Administrative Agent’s rights or powers hereunder. Any action taken or omitted to be taken by the Issuing Bank under or in connection with any Letter of Credit, if taken or omitted in the absence of gross negligence or willful misconduct (as determined by a court of competent jurisdiction in a final, non-appealable judgment), shall</w:t>
      </w:r>
    </w:p>
    <w:p>
      <w:pPr>
        <w:spacing w:after="0" w:line="119" w:lineRule="exact"/>
        <w:rPr>
          <w:rFonts w:ascii="Arial" w:cs="Arial" w:eastAsia="Arial" w:hAnsi="Arial"/>
          <w:sz w:val="16"/>
          <w:szCs w:val="16"/>
          <w:color w:val="auto"/>
        </w:rPr>
      </w:pPr>
    </w:p>
    <w:p>
      <w:pPr>
        <w:ind w:left="5156" w:hanging="96"/>
        <w:spacing w:after="0"/>
        <w:tabs>
          <w:tab w:leader="none" w:pos="5156" w:val="left"/>
        </w:tabs>
        <w:numPr>
          <w:ilvl w:val="1"/>
          <w:numId w:val="24"/>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0936"/>
          </w:cols>
          <w:pgMar w:left="704" w:top="280" w:right="259" w:bottom="1440" w:gutter="0" w:footer="0" w:header="0"/>
        </w:sectPr>
      </w:pPr>
    </w:p>
    <w:bookmarkStart w:id="42" w:name="page43"/>
    <w:bookmarkEnd w:id="4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create against the Issuing Bank any liability to the Borrower, the Administrative Agent or any Lender. In this connection, the obligation of the Borrower to reimburse the Issuing Bank for any drawing made under any Letter of Credit, and to repay any Revolving Loan made pursuant to the second sentence of the immediately preceding subsection (e), shall be absolute, unconditional and irrevocable and shall be paid strictly in accordance with the terms of this Agreement and any other applicable Letter of Credit Document under all circumstances whatsoever, including without limitation, the following circumstances: (A) any lack of validity or enforceability of any Letter of Credit Document or any term or provisions therein; (B) any amendment or waiver of or any consent to departure from all or any of the Letter of Credit Documents; (C) the existence of any claim, setoff, defense or other right which the Borrower may have at any time against the Issuing Bank, the Administrative Agent or any Lender, any beneficiary of a Letter of Credit or any other Person, whether in connection with this Agreement, the transactions contemplated hereby or in the Letter of Credit Documents or any unrelated transaction; (D) any breach of contract or dispute between the Borrower, the Issuing Bank, the Administrative Agent, any Lender or any other Person; (E) any demand, statement or any other document presented under a Letter of Credit proving to be forged, fraudulent, invalid or insufficient in any respect or any statement therein or made in connection therewith being untrue or inaccurate in any respect whatsoever; (F) any non-application or misapplication by the beneficiary of a Letter of Credit or of the proceeds of any drawing under such Letter of Credit; (G) payment by the Issuing Bank under any Letter of Credit against presentation of a draft or certificate which does not strictly comply with the terms of such Letter of Credit; and (H) any other act, omission to act, delay or circumstance whatsoever that might, but for the provisions of this Section, constitute a legal or equitable defense to or discharge of the Borrower’s Reimbursement Obligations. Notwithstanding anything to the contrary contained in this Section or Section 12.10., but not in limitation of the Borrower’s unconditional obligation to reimburse the Issuing Bank for any drawing made under a Letter of Credit as provided in this Section and to repay any Revolving Loan made pursuant to the second sentence of the immediately preceding subsection (e), the Borrower shall have no obligation to indemnify the Administrative Agent, the Issuing Bank or any Lender in respect of any liability incurred by the Administrative Agent, the Issuing Bank or such Lender arising solely out of the gross negligence or willful misconduct of the Administrative Agent, the Issuing Bank or such Lender in respect of a Letter of Credit as determined by a court of competent jurisdiction in a final, non-appealable judgment. Except as otherwise provided in this Section, nothing in this Section shall affect any rights the Borrower may have with respect to the gross negligence or willful misconduct of the Administrative Agent, the Issuing Bank or any Lender with respect to any Letter of Credit.</w:t>
      </w:r>
    </w:p>
    <w:p>
      <w:pPr>
        <w:spacing w:after="0" w:line="128" w:lineRule="exact"/>
        <w:rPr>
          <w:sz w:val="20"/>
          <w:szCs w:val="20"/>
          <w:color w:val="auto"/>
        </w:rPr>
      </w:pPr>
    </w:p>
    <w:p>
      <w:pPr>
        <w:ind w:right="20" w:firstLine="464"/>
        <w:spacing w:after="0" w:line="291" w:lineRule="auto"/>
        <w:tabs>
          <w:tab w:leader="none" w:pos="705"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Amendments, Etc</w:t>
      </w:r>
      <w:r>
        <w:rPr>
          <w:rFonts w:ascii="Arial" w:cs="Arial" w:eastAsia="Arial" w:hAnsi="Arial"/>
          <w:sz w:val="16"/>
          <w:szCs w:val="16"/>
          <w:color w:val="auto"/>
        </w:rPr>
        <w:t>. The issuance by the Issuing Bank of any amendment, supplement or other modification to any Letter of Credit shall be subject to the same conditions applicable under this Agreement to the issuance of new Letters of Credit (including, without limitation, that the request therefor be made through the Issuing Bank), and no such amendment, supplement or other modification shall be issued unless either (i) the respective Letter of Credit affected thereby would have complied with such conditions had it originally been issued hereunder in such amended, supplemented or modified form or (ii) the Administrative Agent and Requisite Lenders (or all of the Lenders if required by Section 12.7.) shall have consented thereto. In connection with any such amendment, supplement or other modification, the Borrower shall pay the fees, if any, payable under the last sentence of Section 3.5.(c).</w:t>
      </w:r>
    </w:p>
    <w:p>
      <w:pPr>
        <w:spacing w:after="0" w:line="120" w:lineRule="exact"/>
        <w:rPr>
          <w:rFonts w:ascii="Arial" w:cs="Arial" w:eastAsia="Arial" w:hAnsi="Arial"/>
          <w:sz w:val="16"/>
          <w:szCs w:val="16"/>
          <w:color w:val="auto"/>
        </w:rPr>
      </w:pPr>
    </w:p>
    <w:p>
      <w:pPr>
        <w:ind w:right="40" w:firstLine="464"/>
        <w:spacing w:after="0" w:line="254" w:lineRule="auto"/>
        <w:tabs>
          <w:tab w:leader="none" w:pos="66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Lenders’ Participation in Letters of Credit</w:t>
      </w:r>
      <w:r>
        <w:rPr>
          <w:rFonts w:ascii="Arial" w:cs="Arial" w:eastAsia="Arial" w:hAnsi="Arial"/>
          <w:sz w:val="18"/>
          <w:szCs w:val="18"/>
          <w:color w:val="auto"/>
        </w:rPr>
        <w:t>. Immediately upon (i) the Effective Date with respect to all Existing Letters of Credit and (ii) the date of issuance by the Issuing Bank of any Letter of Credit, each Lender shall be deemed to have absolutely, irrevocably and unconditionally purchased and received from the Issuing Bank, without recourse or warranty, an undivided interest and participation to the extent of such Lender’s Revolving Commitment Percentage of the liability of the Issuing Bank with respect to such Letter of Credit and each Lender thereby shall absolutely, unconditionally and irrevocably assume, as primary obligor and not as surety, and shall be unconditionally obligated to the Issuing Bank to pay and discharge when due, such Lender’s Revolving Commitment Percentage of the Issuing Bank’s</w:t>
      </w:r>
    </w:p>
    <w:p>
      <w:pPr>
        <w:spacing w:after="0" w:line="130" w:lineRule="exact"/>
        <w:rPr>
          <w:rFonts w:ascii="Arial" w:cs="Arial" w:eastAsia="Arial" w:hAnsi="Arial"/>
          <w:sz w:val="18"/>
          <w:szCs w:val="18"/>
          <w:color w:val="auto"/>
        </w:rPr>
      </w:pPr>
    </w:p>
    <w:p>
      <w:pPr>
        <w:ind w:left="5620" w:hanging="96"/>
        <w:spacing w:after="0"/>
        <w:tabs>
          <w:tab w:leader="none" w:pos="5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400"/>
          </w:cols>
          <w:pgMar w:left="240" w:top="280" w:right="259" w:bottom="1440" w:gutter="0" w:footer="0" w:header="0"/>
        </w:sectPr>
      </w:pPr>
    </w:p>
    <w:bookmarkStart w:id="43" w:name="page44"/>
    <w:bookmarkEnd w:id="43"/>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liability under such Letter of Credit. In addition, upon the making of each payment by a Lender to the Administrative Agent for the account of the Issuing Bank in respect of any Letter of Credit pursuant to the immediately following subsection (j), such Lender shall, automatically and without any further action on the part of the Issuing Bank, Administrative Agent or such Lender, acquire (i) a participation in an amount equal to such payment in the Reimbursement Obligation owing to the Issuing Bank by the Borrower in respect of such Letter of Credit and (ii) a participation in a percentage equal to such Lender’s Revolving Commitment Percentage in any interest or other amounts payable by the Borrower in respect of such Reimbursement Obligation (other than the Fees payable to the Issuing Bank pursuant to the second and the last sentences of Section 3.5.(c)).</w:t>
      </w:r>
    </w:p>
    <w:p>
      <w:pPr>
        <w:spacing w:after="0" w:line="120" w:lineRule="exact"/>
        <w:rPr>
          <w:sz w:val="20"/>
          <w:szCs w:val="20"/>
          <w:color w:val="auto"/>
        </w:rPr>
      </w:pPr>
    </w:p>
    <w:p>
      <w:pPr>
        <w:ind w:right="120" w:firstLine="464"/>
        <w:spacing w:after="0" w:line="302" w:lineRule="auto"/>
        <w:tabs>
          <w:tab w:leader="none" w:pos="666" w:val="left"/>
        </w:tabs>
        <w:numPr>
          <w:ilvl w:val="1"/>
          <w:numId w:val="26"/>
        </w:numPr>
        <w:rPr>
          <w:rFonts w:ascii="Arial" w:cs="Arial" w:eastAsia="Arial" w:hAnsi="Arial"/>
          <w:sz w:val="15"/>
          <w:szCs w:val="15"/>
          <w:color w:val="auto"/>
        </w:rPr>
      </w:pPr>
      <w:r>
        <w:rPr>
          <w:rFonts w:ascii="Arial" w:cs="Arial" w:eastAsia="Arial" w:hAnsi="Arial"/>
          <w:sz w:val="15"/>
          <w:szCs w:val="15"/>
          <w:u w:val="single" w:color="auto"/>
          <w:color w:val="auto"/>
        </w:rPr>
        <w:t>Payment Obligation of Lenders</w:t>
      </w:r>
      <w:r>
        <w:rPr>
          <w:rFonts w:ascii="Arial" w:cs="Arial" w:eastAsia="Arial" w:hAnsi="Arial"/>
          <w:sz w:val="15"/>
          <w:szCs w:val="15"/>
          <w:color w:val="auto"/>
        </w:rPr>
        <w:t>. Each Lender severally agrees to pay to the Administrative Agent, for the account of the Issuing Bank, on demand in immediately available funds in Dollars the amount of such Lender’s Revolving Commitment Percentage of each drawing paid by the Issuing Bank under each Letter of Credit to the extent such amount is not reimbursed by the Borrower pursuant to the immediately preceding subsection (d); provided, however, that with respect to any drawing under any Letter of Credit, the maximum amount that any Lender shall be required to fund, whether as a Revolving Loan or as a participation, shall not exceed such Lender’s Revolving Commitment Percentage of such drawing. If the notice referenced in the second sentence of Section 2.3.</w:t>
      </w:r>
    </w:p>
    <w:p>
      <w:pPr>
        <w:spacing w:after="0" w:line="1" w:lineRule="exact"/>
        <w:rPr>
          <w:rFonts w:ascii="Arial" w:cs="Arial" w:eastAsia="Arial" w:hAnsi="Arial"/>
          <w:sz w:val="15"/>
          <w:szCs w:val="15"/>
          <w:color w:val="auto"/>
        </w:rPr>
      </w:pPr>
    </w:p>
    <w:p>
      <w:pPr>
        <w:ind w:left="240" w:hanging="232"/>
        <w:spacing w:after="0"/>
        <w:tabs>
          <w:tab w:leader="none" w:pos="2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is received by a Lender not later than 9:00 a.m. Pacific time, then such Lender shall make such payment available to the Administrative Agent not later than</w:t>
      </w:r>
    </w:p>
    <w:p>
      <w:pPr>
        <w:spacing w:after="0" w:line="32" w:lineRule="exact"/>
        <w:rPr>
          <w:rFonts w:ascii="Arial" w:cs="Arial" w:eastAsia="Arial" w:hAnsi="Arial"/>
          <w:sz w:val="16"/>
          <w:szCs w:val="16"/>
          <w:color w:val="auto"/>
        </w:rPr>
      </w:pPr>
    </w:p>
    <w:p>
      <w:pPr>
        <w:ind w:right="40"/>
        <w:spacing w:after="0" w:line="288" w:lineRule="auto"/>
        <w:rPr>
          <w:rFonts w:ascii="Arial" w:cs="Arial" w:eastAsia="Arial" w:hAnsi="Arial"/>
          <w:sz w:val="16"/>
          <w:szCs w:val="16"/>
          <w:color w:val="auto"/>
        </w:rPr>
      </w:pPr>
      <w:r>
        <w:rPr>
          <w:rFonts w:ascii="Arial" w:cs="Arial" w:eastAsia="Arial" w:hAnsi="Arial"/>
          <w:sz w:val="16"/>
          <w:szCs w:val="16"/>
          <w:color w:val="auto"/>
        </w:rPr>
        <w:t>12:00 p.m. Pacific time on the date of demand therefor; otherwise, such payment shall be made available to the Administrative Agent not later than 11:00 a.m. Pacific time on the next succeeding Business Day. Each Lender’s obligation to make such payments to the Administrative Agent under this subsection, and the Administrative Agent’s right to receive the same for the account of the Issuing Bank, shall be absolute, irrevocable and unconditional and shall not be affected in any way by any circumstance whatsoever, including without limitation, (i) the failure of any other Lender to make its payment under this subsection, (ii) the financial condition of the Borrower or any other Loan Party, (iii) the existence of any Default or Event of Default, including any Event of Default described in Section 10.1.(e) or (f) or (iv) the termination of the Revolving Commitments. Each such payment to the Administrative Agent for the account of the Issuing Bank shall be made without any offset, abatement, withholding or deduction whatsoever.</w:t>
      </w:r>
    </w:p>
    <w:p>
      <w:pPr>
        <w:spacing w:after="0" w:line="122" w:lineRule="exact"/>
        <w:rPr>
          <w:rFonts w:ascii="Arial" w:cs="Arial" w:eastAsia="Arial" w:hAnsi="Arial"/>
          <w:sz w:val="16"/>
          <w:szCs w:val="16"/>
          <w:color w:val="auto"/>
        </w:rPr>
      </w:pPr>
    </w:p>
    <w:p>
      <w:pPr>
        <w:ind w:right="60" w:firstLine="464"/>
        <w:spacing w:after="0" w:line="291" w:lineRule="auto"/>
        <w:tabs>
          <w:tab w:leader="none" w:pos="705"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Information to Lenders</w:t>
      </w:r>
      <w:r>
        <w:rPr>
          <w:rFonts w:ascii="Arial" w:cs="Arial" w:eastAsia="Arial" w:hAnsi="Arial"/>
          <w:sz w:val="16"/>
          <w:szCs w:val="16"/>
          <w:color w:val="auto"/>
        </w:rPr>
        <w:t>. Promptly following any change in Letters of Credit outstanding, the Issuing Bank shall deliver to the Administrative Agent, who shall promptly deliver the same to each Lender and the Borrower, a notice describing the aggregate amount of all Letters of Credit outstanding at such time. Upon the request of any Lender from time to time, the Issuing Bank shall deliver any other information reasonably requested by such Lender with respect to each Letter of Credit then outstanding. Other than as set forth in this subsection, the Issuing Bank shall have no duty to notify the Lenders regarding the issuance or other matters regarding Letters of Credit issued hereunder. The failure of the Issuing Bank to perform its requirements under this subsection shall not relieve any Lender from its obligations under the immediately preceding subsection (j).</w:t>
      </w:r>
    </w:p>
    <w:p>
      <w:pPr>
        <w:spacing w:after="0" w:line="120" w:lineRule="exact"/>
        <w:rPr>
          <w:rFonts w:ascii="Arial" w:cs="Arial" w:eastAsia="Arial" w:hAnsi="Arial"/>
          <w:sz w:val="16"/>
          <w:szCs w:val="16"/>
          <w:color w:val="auto"/>
        </w:rPr>
      </w:pPr>
    </w:p>
    <w:p>
      <w:pPr>
        <w:ind w:right="420" w:firstLine="464"/>
        <w:spacing w:after="0" w:line="332" w:lineRule="auto"/>
        <w:tabs>
          <w:tab w:leader="none" w:pos="666"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Existing Letters of Credit</w:t>
      </w:r>
      <w:r>
        <w:rPr>
          <w:rFonts w:ascii="Arial" w:cs="Arial" w:eastAsia="Arial" w:hAnsi="Arial"/>
          <w:sz w:val="16"/>
          <w:szCs w:val="16"/>
          <w:color w:val="auto"/>
        </w:rPr>
        <w:t>. The parties agree that each Existing Letter of Credit shall, from and after the Effective Date, be deemed to be a Letter of Credit issued under this Agreement and shall be subject to and governed by the terms and conditions of this Agreement and the other Loan Documents.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Swingline Loans.</w:t>
      </w:r>
    </w:p>
    <w:p>
      <w:pPr>
        <w:spacing w:after="0" w:line="96" w:lineRule="exact"/>
        <w:rPr>
          <w:sz w:val="20"/>
          <w:szCs w:val="20"/>
          <w:color w:val="auto"/>
        </w:rPr>
      </w:pPr>
    </w:p>
    <w:p>
      <w:pPr>
        <w:ind w:firstLine="464"/>
        <w:spacing w:after="0" w:line="268"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Swingline Loans</w:t>
      </w:r>
      <w:r>
        <w:rPr>
          <w:rFonts w:ascii="Arial" w:cs="Arial" w:eastAsia="Arial" w:hAnsi="Arial"/>
          <w:sz w:val="18"/>
          <w:szCs w:val="18"/>
          <w:color w:val="auto"/>
        </w:rPr>
        <w:t>. Subject to the terms and conditions hereof, including without limitation Section 2.15., the Swingline Lender agrees to make Swingline Loans to the Borrower, during the period from the Effective Date to but excluding the Swingline Maturity Date, in an aggregate</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420"/>
          </w:cols>
          <w:pgMar w:left="240" w:top="280" w:right="239" w:bottom="1440" w:gutter="0" w:footer="0" w:header="0"/>
        </w:sectPr>
      </w:pPr>
    </w:p>
    <w:bookmarkStart w:id="44" w:name="page45"/>
    <w:bookmarkEnd w:id="44"/>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amount at any one time outstanding up to, but not exceeding, $50,000,000, as such amount may be reduced from time to time in accordance with the terms hereof. If at any time the aggregate principal amount of the Swingline Loans outstanding at such time exceeds the Swingline Commitment in effect at such time, the Borrower shall immediately pay the Administrative Agent for the account of the Swingline Lender the amount of such excess. Subject to the terms and conditions of this Agreement, the Borrower may borrow, repay and reborrow Swingline Loans hereunder. The borrowing of a Swingline Loan shall not constitute usage of any Lender’s Revolving Commitment for purposes of calculation of the fee payable under Section 3.5.(b).</w:t>
      </w:r>
    </w:p>
    <w:p>
      <w:pPr>
        <w:spacing w:after="0" w:line="116" w:lineRule="exact"/>
        <w:rPr>
          <w:sz w:val="20"/>
          <w:szCs w:val="20"/>
          <w:color w:val="auto"/>
        </w:rPr>
      </w:pPr>
    </w:p>
    <w:p>
      <w:pPr>
        <w:ind w:right="60" w:firstLine="464"/>
        <w:spacing w:after="0" w:line="253"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Procedure for Borrowing Swingline Loans</w:t>
      </w:r>
      <w:r>
        <w:rPr>
          <w:rFonts w:ascii="Arial" w:cs="Arial" w:eastAsia="Arial" w:hAnsi="Arial"/>
          <w:sz w:val="18"/>
          <w:szCs w:val="18"/>
          <w:color w:val="auto"/>
        </w:rPr>
        <w:t>. The Borrower shall give the Administrative Agent and the Swingline Lender notice pursuant to a Notice of Swingline Borrowing or telephonic notice of each borrowing of a Swingline Loan. Each Notice of Swingline Borrowing shall be delivered to the Swingline Lender no later than 11:00 a.m. Pacific time on the proposed date of such borrowing. Any telephonic notice shall include all information to be specified in a written Notice of Swingline Borrowing and shall be promptly confirmed in writing by the Borrower pursuant to a Notice of Swingline Borrowing sent to the Swingline Lender by telecopy on the same day of the giving of such telephonic notice. Not later than 1:00 p.m. Pacific time on the date of the requested Swingline Loan and subject to satisfaction of the applicable conditions set forth in Article 5.2. for such borrowing, the Swingline Lender will make the proceeds of such Swingline Loan available to the Borrower in Dollars, in immediately available funds, at the account specified by the Borrower in the Notice of Swingline Borrowing.</w:t>
      </w:r>
    </w:p>
    <w:p>
      <w:pPr>
        <w:spacing w:after="0" w:line="145" w:lineRule="exact"/>
        <w:rPr>
          <w:rFonts w:ascii="Arial" w:cs="Arial" w:eastAsia="Arial" w:hAnsi="Arial"/>
          <w:sz w:val="18"/>
          <w:szCs w:val="18"/>
          <w:color w:val="auto"/>
        </w:rPr>
      </w:pPr>
    </w:p>
    <w:p>
      <w:pPr>
        <w:ind w:right="180" w:firstLine="464"/>
        <w:spacing w:after="0" w:line="254"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Swingline Loans shall bear interest at a per annum rate equal to the Base Rate as in effect from time to time plus the Applicable Margin for Base Rate Loans or at such other rate or rates as the Borrower and the Swingline Lender may agree from time to time in writing. Interest on Swingline Loans is solely for the account of the Swingline Lender (except to the extent a Lender acquires a participating interest in a Swingline Loan pursuant to the immediately following subsection (e)). All accrued and unpaid interest on Swingline Loans shall be payable on the dates and in the manner provided in Section 2.5. with respect to interest on Base Rate Loans (except as the Swingline Lender and the Borrower may otherwise agree in writing in connection with any particular Swingline Loan).</w:t>
      </w:r>
    </w:p>
    <w:p>
      <w:pPr>
        <w:spacing w:after="0" w:line="144" w:lineRule="exact"/>
        <w:rPr>
          <w:rFonts w:ascii="Arial" w:cs="Arial" w:eastAsia="Arial" w:hAnsi="Arial"/>
          <w:sz w:val="18"/>
          <w:szCs w:val="18"/>
          <w:color w:val="auto"/>
        </w:rPr>
      </w:pPr>
    </w:p>
    <w:p>
      <w:pPr>
        <w:ind w:firstLine="464"/>
        <w:spacing w:after="0" w:line="254"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Swingline Loan Amounts, Etc</w:t>
      </w:r>
      <w:r>
        <w:rPr>
          <w:rFonts w:ascii="Arial" w:cs="Arial" w:eastAsia="Arial" w:hAnsi="Arial"/>
          <w:sz w:val="18"/>
          <w:szCs w:val="18"/>
          <w:color w:val="auto"/>
        </w:rPr>
        <w:t>. Each Swingline Loan shall be in the minimum amount of $50,000 and integral multiples of $50,000 in excess thereof, or such other minimum amounts agreed to by the Swingline Lender and the Borrower. Any voluntary prepayment of a Swingline Loan must be in integral multiples of $50,000 or the aggregate principal amount of all outstanding Swingline Loans (or such other minimum amounts upon which the Swingline Lender and the Borrower may agree) and in connection with any such prepayment, the Borrower must give the Swingline Lender and the Administrative Agent prior written notice thereof no later than 10:00 a.m. Pacific time on the day prior to the date of such prepayment. The Swingline Loans shall, in addition to this Agreement, be evidenced by the Swingline Note.</w:t>
      </w:r>
    </w:p>
    <w:p>
      <w:pPr>
        <w:spacing w:after="0" w:line="144" w:lineRule="exact"/>
        <w:rPr>
          <w:rFonts w:ascii="Arial" w:cs="Arial" w:eastAsia="Arial" w:hAnsi="Arial"/>
          <w:sz w:val="18"/>
          <w:szCs w:val="18"/>
          <w:color w:val="auto"/>
        </w:rPr>
      </w:pPr>
    </w:p>
    <w:p>
      <w:pPr>
        <w:ind w:right="60" w:firstLine="464"/>
        <w:spacing w:after="0" w:line="289" w:lineRule="auto"/>
        <w:tabs>
          <w:tab w:leader="none" w:pos="695"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Repayment and Participations of Swingline Loans</w:t>
      </w:r>
      <w:r>
        <w:rPr>
          <w:rFonts w:ascii="Arial" w:cs="Arial" w:eastAsia="Arial" w:hAnsi="Arial"/>
          <w:sz w:val="16"/>
          <w:szCs w:val="16"/>
          <w:color w:val="auto"/>
        </w:rPr>
        <w:t>. The Borrower agrees to repay each Swingline Loan within one Business Day of demand therefor by the Swingline Lender and, in any event, within five (5) Business Days after the date such Swingline Loan was made; provided, that the proceeds of a Swingline Loan may not be used to pay a Swingline Loan. Notwithstanding the foregoing, the Borrower shall repay the entire outstanding principal amount of, and all accrued but unpaid interest on, the Swingline Loans on the Swingline Maturity Date (or such earlier date as the Swingline Lender and the Borrower may agree in writing). In lieu of demanding repayment of any outstanding Swingline Loan from the Borrower, the Swingline Lender may, on behalf of the Borrower (which hereby irrevocably directs the Swingline Lender to act on its behalf), request a borrowing of Revolving Loans that are Base Rate Loans from the Lenders in an amount equal to the principal balance of such Swingline Loan. The amount limitations contained in the second sentence of Section 2.1.(a) shall not apply to any borrowing of</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400"/>
          </w:cols>
          <w:pgMar w:left="240" w:top="280" w:right="259" w:bottom="1440" w:gutter="0" w:footer="0" w:header="0"/>
        </w:sectPr>
      </w:pPr>
    </w:p>
    <w:bookmarkStart w:id="45" w:name="page46"/>
    <w:bookmarkEnd w:id="45"/>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Revolving Loans made pursuant to this subsection. The Swingline Lender shall give notice to the Administrative Agent of any such borrowing of Revolving Loans not later than 9:00 a.m. Pacific time at least one Business Day prior to the proposed date of such borrowing. Promptly after receipt of such notice of borrowing of Revolving Loans from the Swingline Lender under the immediately preceding sentence, the Administrative Agent shall notify each Lender of the proposed borrowing. Not later than 9:00 a.m. Pacific time on the proposed date of such borrowing, each Lender will make available to the Administrative Agent at the Principal Office for the account of the Swingline Lender, in immediately available funds, the proceeds of the Revolving Loan to be made by such Lender. The Administrative Agent shall pay the proceeds of such Revolving Loans to the Swingline Lender, which shall apply such proceeds to repay such Swingline Loan. If the Lenders are prohibited from making Revolving Loans required to be made under this subsection for any reason whatsoever, including without limitation, the occurrence of any of the Defaults or Events of Default described in Sections 10.1.(e) or (f)), each Lender shall purchase from the Swingline Lender, without recourse or warranty, an undivided interest and participation to the extent of such Lender’s Revolving Commitment Percentage of such Swingline Loan, by directly purchasing a participation in such Swingline Loan in such amount and paying the proceeds thereof to the Administrative Agent for the account of the Swingline Lender in Dollars and in immediately available funds. A Lender’s obligation to purchase such a participation in a Swingline Loan shall be absolute and unconditional and shall not be affected by any circumstance whatsoever, including without limitation, (i) any claim of setoff, counterclaim, recoupment, defense or other right which such Lender or any other Person may have or claim against the Administrative Agent, the Swingline Lender or any other Person whatsoever,</w:t>
      </w:r>
    </w:p>
    <w:p>
      <w:pPr>
        <w:spacing w:after="0" w:line="5"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occurrence or continuation of a Default or Event of Default (including without limitation, any of the Defaults or Events of Default described in Sections</w:t>
      </w:r>
    </w:p>
    <w:p>
      <w:pPr>
        <w:spacing w:after="0" w:line="32" w:lineRule="exact"/>
        <w:rPr>
          <w:rFonts w:ascii="Arial" w:cs="Arial" w:eastAsia="Arial" w:hAnsi="Arial"/>
          <w:sz w:val="16"/>
          <w:szCs w:val="16"/>
          <w:color w:val="auto"/>
        </w:rPr>
      </w:pPr>
    </w:p>
    <w:p>
      <w:pPr>
        <w:ind w:right="100"/>
        <w:spacing w:after="0" w:line="281" w:lineRule="auto"/>
        <w:rPr>
          <w:rFonts w:ascii="Arial" w:cs="Arial" w:eastAsia="Arial" w:hAnsi="Arial"/>
          <w:sz w:val="16"/>
          <w:szCs w:val="16"/>
          <w:color w:val="auto"/>
        </w:rPr>
      </w:pPr>
      <w:r>
        <w:rPr>
          <w:rFonts w:ascii="Arial" w:cs="Arial" w:eastAsia="Arial" w:hAnsi="Arial"/>
          <w:sz w:val="16"/>
          <w:szCs w:val="16"/>
          <w:color w:val="auto"/>
        </w:rPr>
        <w:t>10.1. (e) or (f)), or the termination of any Lender’s Revolving Commitment, (iii) the existence (or alleged existence) of an event or condition which has had or could have a Material Adverse Effect, (iv) any breach of any Loan Document by the Administrative Agent, any Lender, the Borrower or any other Loan Party, or</w:t>
      </w:r>
    </w:p>
    <w:p>
      <w:pPr>
        <w:spacing w:after="0" w:line="1" w:lineRule="exact"/>
        <w:rPr>
          <w:rFonts w:ascii="Arial" w:cs="Arial" w:eastAsia="Arial" w:hAnsi="Arial"/>
          <w:sz w:val="16"/>
          <w:szCs w:val="16"/>
          <w:color w:val="auto"/>
        </w:rPr>
      </w:pPr>
    </w:p>
    <w:p>
      <w:pPr>
        <w:ind w:right="40" w:firstLine="8"/>
        <w:spacing w:after="0" w:line="309" w:lineRule="auto"/>
        <w:tabs>
          <w:tab w:leader="none" w:pos="249" w:val="left"/>
        </w:tabs>
        <w:numPr>
          <w:ilvl w:val="0"/>
          <w:numId w:val="31"/>
        </w:numPr>
        <w:rPr>
          <w:rFonts w:ascii="Arial" w:cs="Arial" w:eastAsia="Arial" w:hAnsi="Arial"/>
          <w:sz w:val="15"/>
          <w:szCs w:val="15"/>
          <w:color w:val="auto"/>
        </w:rPr>
      </w:pPr>
      <w:r>
        <w:rPr>
          <w:rFonts w:ascii="Arial" w:cs="Arial" w:eastAsia="Arial" w:hAnsi="Arial"/>
          <w:sz w:val="15"/>
          <w:szCs w:val="15"/>
          <w:color w:val="auto"/>
        </w:rPr>
        <w:t>any other circumstance, happening or event whatsoever, whether or not similar to any of the foregoing. If such amount is not in fact made available to the Swingline Lender by any Lender, the Swingline Lender shall be entitled to recover such amount on demand from such Lender, together with accrued interest thereon for each day from the date of demand thereof, at the Federal Funds Rate. If such Lender does not pay such amount forthwith upon the Swingline Lender’s demand therefor, and until such time as such Lender makes the required payment, the Swingline Lender shall be deemed to continue to have outstanding Swingline Loans in the amount of such unpaid participation obligation for all purposes of the Loan Documents (other than those provisions requiring the other Lenders to purchase a participation therein). Further, such Lender shall be deemed to have assigned any and all payments made of principal and interest on its Revolving Loans, and any other amounts due it hereunder, to the Swingline Lender to fund Swingline Loans in the amount of the participation in Swingline Loans that such Lender failed to purchase pursuant to this Section until such amount has been purchased (as a result of such assignment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Rates and Payment of Interest on Loans.</w:t>
      </w:r>
    </w:p>
    <w:p>
      <w:pPr>
        <w:spacing w:after="0" w:line="96" w:lineRule="exact"/>
        <w:rPr>
          <w:sz w:val="20"/>
          <w:szCs w:val="20"/>
          <w:color w:val="auto"/>
        </w:rPr>
      </w:pPr>
    </w:p>
    <w:p>
      <w:pPr>
        <w:ind w:right="140" w:firstLine="464"/>
        <w:spacing w:after="0" w:line="259"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The Borrower promises to pay to the Administrative Agent for the account of each Lender interest on the unpaid principal amount of each Loan made by such Lender for the period from and including the date of the making of such Loan to but excluding the date such Loan shall be paid in full, at the following per annum rates:</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1"/>
          <w:numId w:val="32"/>
        </w:numPr>
        <w:rPr>
          <w:rFonts w:ascii="Arial" w:cs="Arial" w:eastAsia="Arial" w:hAnsi="Arial"/>
          <w:sz w:val="15"/>
          <w:szCs w:val="15"/>
          <w:color w:val="auto"/>
        </w:rPr>
      </w:pPr>
      <w:r>
        <w:rPr>
          <w:rFonts w:ascii="Arial" w:cs="Arial" w:eastAsia="Arial" w:hAnsi="Arial"/>
          <w:sz w:val="15"/>
          <w:szCs w:val="15"/>
          <w:color w:val="auto"/>
        </w:rPr>
        <w:t>during such periods as such Loan is a Base Rate Loan, at the Base Rate (as in effect from time to time), plus the Applicable Margin for Base Rate</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Loans;</w:t>
      </w:r>
    </w:p>
    <w:p>
      <w:pPr>
        <w:spacing w:after="0" w:line="83" w:lineRule="exact"/>
        <w:rPr>
          <w:rFonts w:ascii="Arial" w:cs="Arial" w:eastAsia="Arial" w:hAnsi="Arial"/>
          <w:sz w:val="15"/>
          <w:szCs w:val="15"/>
          <w:color w:val="auto"/>
        </w:rPr>
      </w:pPr>
    </w:p>
    <w:p>
      <w:pPr>
        <w:ind w:left="460" w:right="440" w:firstLine="443"/>
        <w:spacing w:after="0" w:line="268" w:lineRule="auto"/>
        <w:tabs>
          <w:tab w:leader="none" w:pos="115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during such periods as such Loan is a LIBOR Loan, at LIBOR for such Loan for the Interest Period therefor, plus the Applicable Margin for LIBOR Loans;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32"/>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420"/>
          </w:cols>
          <w:pgMar w:left="240" w:top="280" w:right="239" w:bottom="1440" w:gutter="0" w:footer="0" w:header="0"/>
        </w:sectPr>
      </w:pPr>
    </w:p>
    <w:bookmarkStart w:id="46" w:name="page47"/>
    <w:bookmarkEnd w:id="46"/>
    <w:p>
      <w:pPr>
        <w:ind w:left="460" w:right="280" w:firstLine="443"/>
        <w:spacing w:after="0" w:line="268" w:lineRule="auto"/>
        <w:tabs>
          <w:tab w:leader="none" w:pos="1205"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such Loan is an Absolute Rate Loan, at the Absolute Rate for such Loan for the Interest Period therefor quoted by the Lender making such Loan in accordance with Section 2.2.; and</w:t>
      </w:r>
    </w:p>
    <w:p>
      <w:pPr>
        <w:spacing w:after="0" w:line="50" w:lineRule="exact"/>
        <w:rPr>
          <w:rFonts w:ascii="Arial" w:cs="Arial" w:eastAsia="Arial" w:hAnsi="Arial"/>
          <w:sz w:val="18"/>
          <w:szCs w:val="18"/>
          <w:color w:val="auto"/>
        </w:rPr>
      </w:pPr>
    </w:p>
    <w:p>
      <w:pPr>
        <w:ind w:left="460" w:right="240" w:firstLine="443"/>
        <w:spacing w:after="0" w:line="268" w:lineRule="auto"/>
        <w:tabs>
          <w:tab w:leader="none" w:pos="11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such Loan is a LIBOR Margin Loan, at LIBOR for such Loan for the Interest Period therefor plus the LIBOR Margin quoted by the Lender making such Loan in accordance with Section 2.2.</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Notwithstanding the foregoing, while an Event of Default exists, the Borrower shall pay to the Administrative Agent for the account of each Lender and the Issuing Bank, as the case may be, interest at the Post-Default Rate on the outstanding principal amount of any Loan made by such Lender, on all Reimbursement Obligations and on any other amount payable by the Borrower hereunder or under the Notes held by such Lender to or for the account of such Lender (including without limitation, accrued but unpaid interest to the extent permitted under Applicable Law).</w:t>
      </w:r>
    </w:p>
    <w:p>
      <w:pPr>
        <w:spacing w:after="0" w:line="113" w:lineRule="exact"/>
        <w:rPr>
          <w:sz w:val="20"/>
          <w:szCs w:val="20"/>
          <w:color w:val="auto"/>
        </w:rPr>
      </w:pPr>
    </w:p>
    <w:p>
      <w:pPr>
        <w:ind w:firstLine="464"/>
        <w:spacing w:after="0" w:line="291" w:lineRule="auto"/>
        <w:tabs>
          <w:tab w:leader="none" w:pos="70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Payment of Interest</w:t>
      </w:r>
      <w:r>
        <w:rPr>
          <w:rFonts w:ascii="Arial" w:cs="Arial" w:eastAsia="Arial" w:hAnsi="Arial"/>
          <w:sz w:val="16"/>
          <w:szCs w:val="16"/>
          <w:color w:val="auto"/>
        </w:rPr>
        <w:t>. All accrued and unpaid interest on the outstanding principal amount of each Loan shall be payable (i) monthly in arrears on the first day of each month, commencing with the first full calendar month occurring after the Effective Date and (ii) on any date on which the principal balance of such Loan is due and payable in full (whether at maturity, due to acceleration or otherwise). Interest payable at the Post-Default Rate shall be payable from time to time on demand. Promptly after the determination of any interest rate provided for herein or any change therein, the Administrative Agent shall give notice thereof to the Lenders to which such interest is payable and to the Borrower. All determinations by the Administrative Agent of an interest rate hereunder shall be conclusive and binding on the Lenders and the Borrower for all purposes, absent manifest error.</w:t>
      </w:r>
    </w:p>
    <w:p>
      <w:pPr>
        <w:spacing w:after="0" w:line="120" w:lineRule="exact"/>
        <w:rPr>
          <w:rFonts w:ascii="Arial" w:cs="Arial" w:eastAsia="Arial" w:hAnsi="Arial"/>
          <w:sz w:val="16"/>
          <w:szCs w:val="16"/>
          <w:color w:val="auto"/>
        </w:rPr>
      </w:pPr>
    </w:p>
    <w:p>
      <w:pPr>
        <w:ind w:left="700" w:hanging="23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Borrower Information Used to Determine Applicable Interest Rates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00" w:firstLine="443"/>
        <w:spacing w:after="0" w:line="291" w:lineRule="auto"/>
        <w:tabs>
          <w:tab w:leader="none" w:pos="1108"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parties understand that the applicable interest rate for the Obligations and certain fees set forth herein may be determined and/or adjusted from time to time based upon certain financial ratios and/or other information to be provided or certified to the Lenders by the Borrower (the “</w:t>
      </w:r>
      <w:r>
        <w:rPr>
          <w:rFonts w:ascii="Arial" w:cs="Arial" w:eastAsia="Arial" w:hAnsi="Arial"/>
          <w:sz w:val="16"/>
          <w:szCs w:val="16"/>
          <w:b w:val="1"/>
          <w:bCs w:val="1"/>
          <w:color w:val="auto"/>
        </w:rPr>
        <w:t>Borrower</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 If it is subsequently determined that any such Borrower Information was incorrect (for whatever reason, including without limitation</w:t>
      </w:r>
      <w:r>
        <w:rPr>
          <w:rFonts w:ascii="Arial" w:cs="Arial" w:eastAsia="Arial" w:hAnsi="Arial"/>
          <w:sz w:val="16"/>
          <w:szCs w:val="16"/>
          <w:b w:val="1"/>
          <w:bCs w:val="1"/>
          <w:color w:val="auto"/>
        </w:rPr>
        <w:t xml:space="preserve"> </w:t>
      </w:r>
      <w:r>
        <w:rPr>
          <w:rFonts w:ascii="Arial" w:cs="Arial" w:eastAsia="Arial" w:hAnsi="Arial"/>
          <w:sz w:val="16"/>
          <w:szCs w:val="16"/>
          <w:color w:val="auto"/>
        </w:rPr>
        <w:t>because of a subsequent restatement of earnings by the Borrower)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w:t>
      </w:r>
    </w:p>
    <w:p>
      <w:pPr>
        <w:spacing w:after="0" w:line="39" w:lineRule="exact"/>
        <w:rPr>
          <w:rFonts w:ascii="Arial" w:cs="Arial" w:eastAsia="Arial" w:hAnsi="Arial"/>
          <w:sz w:val="16"/>
          <w:szCs w:val="16"/>
          <w:color w:val="auto"/>
        </w:rPr>
      </w:pPr>
    </w:p>
    <w:p>
      <w:pPr>
        <w:ind w:left="460" w:right="60" w:firstLine="443"/>
        <w:spacing w:after="0" w:line="290" w:lineRule="auto"/>
        <w:tabs>
          <w:tab w:leader="none" w:pos="1157" w:val="left"/>
        </w:tabs>
        <w:numPr>
          <w:ilvl w:val="1"/>
          <w:numId w:val="34"/>
        </w:numPr>
        <w:rPr>
          <w:rFonts w:ascii="Arial" w:cs="Arial" w:eastAsia="Arial" w:hAnsi="Arial"/>
          <w:sz w:val="16"/>
          <w:szCs w:val="16"/>
          <w:color w:val="auto"/>
        </w:rPr>
      </w:pPr>
      <w:r>
        <w:rPr>
          <w:rFonts w:ascii="Arial" w:cs="Arial" w:eastAsia="Arial" w:hAnsi="Arial"/>
          <w:sz w:val="16"/>
          <w:szCs w:val="16"/>
          <w:color w:val="auto"/>
        </w:rPr>
        <w:t>In the event the Borrower’s Credit Rating from one or more Rating Agency is downgraded and such downgrade results in an increase in the Applicable Margin or Applicable Facility Fee, but such higher Credit Rating is subsequently restored and the increased Applicable Margin or Applicable Facility Fee would no longer be applicable within 90 days from the first day such downgrade was effective, the Borrower will receive a credit for incremental borrowing costs and fees paid by the Borrower during such 90 day period solely as a result of the downgrade and increase in the Applicable Margin and/or Applicable Facility Fee. Additionally, in the event the Borrower’s Credit Rating from one or more Rating Agency is upgraded and such upgrade results in a decrease in the Applicable Margin or Applicable Facility Fee, but such lower Credit Rating is subsequently restored and the decreased Applicable Margin or Applicable Facility Fee would no longer be applicable within 90 days from the first day such upgrade was effective, the</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380"/>
          </w:cols>
          <w:pgMar w:left="240" w:top="280" w:right="279" w:bottom="1440" w:gutter="0" w:footer="0" w:header="0"/>
        </w:sectPr>
      </w:pPr>
    </w:p>
    <w:bookmarkStart w:id="47" w:name="page48"/>
    <w:bookmarkEnd w:id="47"/>
    <w:p>
      <w:pPr>
        <w:ind w:left="460"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Borrower will pay the incremental borrowing costs and fees which would have otherwise been payable during such 90 day period had the upgrade not occurred.</w:t>
      </w:r>
    </w:p>
    <w:p>
      <w:pPr>
        <w:spacing w:after="0" w:line="51" w:lineRule="exact"/>
        <w:rPr>
          <w:sz w:val="20"/>
          <w:szCs w:val="20"/>
          <w:color w:val="auto"/>
        </w:rPr>
      </w:pPr>
    </w:p>
    <w:p>
      <w:pPr>
        <w:ind w:left="460" w:firstLine="443"/>
        <w:spacing w:after="0" w:line="294" w:lineRule="auto"/>
        <w:tabs>
          <w:tab w:leader="none" w:pos="120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Administrative Agent shall promptly notify the Borrower in writing of any additional interest and fees due or of any interest and fees credited because of such recalculation or changed Credit Rating, and, to the extent additional fees and interest are due, the Borrower shall pay such additional interest or fees due to the Administrative Agent, for the account of each Lender, within five (5) Business Days of receipt of such written notice. Any recalculation of interest or fees required by this Section 2.5.(c) shall survive the termination of this Agreement, and this provision shall not in any way limit any of the Administrative Agent’s, the Issuing Bank’s, or any Lender’s other rights under this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Number of Interest Periods.</w:t>
      </w:r>
    </w:p>
    <w:p>
      <w:pPr>
        <w:spacing w:after="0" w:line="96" w:lineRule="exact"/>
        <w:rPr>
          <w:sz w:val="20"/>
          <w:szCs w:val="20"/>
          <w:color w:val="auto"/>
        </w:rPr>
      </w:pPr>
    </w:p>
    <w:p>
      <w:pPr>
        <w:ind w:left="700" w:hanging="23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may be no more than ten (10) different Interest Periods for Revolving Loans outstanding at the same time.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may be no more than six (6) different Interest Periods for Bid Rate Loans outstanding at the same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2.7. Repayment of Loans.</w:t>
      </w:r>
    </w:p>
    <w:p>
      <w:pPr>
        <w:spacing w:after="0" w:line="96" w:lineRule="exact"/>
        <w:rPr>
          <w:sz w:val="20"/>
          <w:szCs w:val="20"/>
          <w:color w:val="auto"/>
        </w:rPr>
      </w:pPr>
    </w:p>
    <w:p>
      <w:pPr>
        <w:ind w:right="80" w:firstLine="464"/>
        <w:spacing w:after="0" w:line="268"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The Borrower shall repay the entire outstanding principal amount of, and all accrued but unpaid interest on, the Revolving Loans on the Revolving Termination Date.</w:t>
      </w:r>
    </w:p>
    <w:p>
      <w:pPr>
        <w:spacing w:after="0" w:line="131"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Bid Rate Loans</w:t>
      </w:r>
      <w:r>
        <w:rPr>
          <w:rFonts w:ascii="Arial" w:cs="Arial" w:eastAsia="Arial" w:hAnsi="Arial"/>
          <w:sz w:val="18"/>
          <w:szCs w:val="18"/>
          <w:color w:val="auto"/>
        </w:rPr>
        <w:t>. The Borrower shall repay the entire outstanding principal amount of, and all accrued interest on, each Bid Rate Loan on the last day of the Interest Period of such Bid Rate Loan.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2.8. Prepayments.</w:t>
      </w:r>
    </w:p>
    <w:p>
      <w:pPr>
        <w:spacing w:after="0" w:line="96" w:lineRule="exact"/>
        <w:rPr>
          <w:sz w:val="20"/>
          <w:szCs w:val="20"/>
          <w:color w:val="auto"/>
        </w:rPr>
      </w:pPr>
    </w:p>
    <w:p>
      <w:pPr>
        <w:ind w:right="120" w:firstLine="464"/>
        <w:spacing w:after="0" w:line="283" w:lineRule="auto"/>
        <w:tabs>
          <w:tab w:leader="none" w:pos="69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Optional</w:t>
      </w:r>
      <w:r>
        <w:rPr>
          <w:rFonts w:ascii="Arial" w:cs="Arial" w:eastAsia="Arial" w:hAnsi="Arial"/>
          <w:sz w:val="16"/>
          <w:szCs w:val="16"/>
          <w:color w:val="auto"/>
        </w:rPr>
        <w:t>. Subject to Section 4.4., the Borrower may prepay any Loan (other than a Bid Rate Loan) in whole or part at any time without premium or penalty. A Bid Rate Loan may only be prepaid with the prior written consent of the Lender holding such Bid Rate Loan; provided, however, subject to Section 4.4., the Borrower may prepay all outstanding Bid Rate Loans in connection with the Borrower’s termination of all Commitments pursuant to Section 2.12. and the repayment of all Obligations in full. The Borrower shall give the Administrative Agent at least one (1) Business Day’s prior written notice</w:t>
      </w:r>
    </w:p>
    <w:p>
      <w:pPr>
        <w:spacing w:after="0" w:line="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of the prepayment of any Loan. Each voluntary prepayment of Loans shall be in an aggregate minimum amount of $1,000,000 and integral multiples of $100,000 in excess thereof (or, if less, the aggregate principal amount of Revolving Loans outstanding).</w:t>
      </w:r>
    </w:p>
    <w:p>
      <w:pPr>
        <w:spacing w:after="0" w:line="137" w:lineRule="exact"/>
        <w:rPr>
          <w:rFonts w:ascii="Arial" w:cs="Arial" w:eastAsia="Arial" w:hAnsi="Arial"/>
          <w:sz w:val="16"/>
          <w:szCs w:val="16"/>
          <w:color w:val="auto"/>
        </w:rPr>
      </w:pPr>
    </w:p>
    <w:p>
      <w:pPr>
        <w:ind w:left="720" w:hanging="25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60" w:firstLine="443"/>
        <w:spacing w:after="0" w:line="255" w:lineRule="auto"/>
        <w:tabs>
          <w:tab w:leader="none" w:pos="1108"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Revolving Commitment Overadvance</w:t>
      </w:r>
      <w:r>
        <w:rPr>
          <w:rFonts w:ascii="Arial" w:cs="Arial" w:eastAsia="Arial" w:hAnsi="Arial"/>
          <w:sz w:val="18"/>
          <w:szCs w:val="18"/>
          <w:color w:val="auto"/>
        </w:rPr>
        <w:t>. If at any time the aggregate principal amount of all outstanding Revolving Loans, Swingline Loans and Bid Rate Loans, together with the aggregate amount of all Letter of Credit Liabilities, exceeds the aggregate amount of the Revolving Commitments, the Borrower shall immediately upon demand pay to the Administrative Agent for the account of the Lenders then holding Revolving Commitments (or if the Revolving Commitments have been terminated, then holding outstanding Revolving Loans, Swingline Loans, Bid Rate Loans and/or Letter of Credit Liabilities), the amount of such excess.</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2"/>
          <w:numId w:val="38"/>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360"/>
          </w:cols>
          <w:pgMar w:left="240" w:top="280" w:right="299" w:bottom="1440" w:gutter="0" w:footer="0" w:header="0"/>
        </w:sectPr>
      </w:pPr>
    </w:p>
    <w:bookmarkStart w:id="48" w:name="page49"/>
    <w:bookmarkEnd w:id="48"/>
    <w:p>
      <w:pPr>
        <w:ind w:left="460" w:firstLine="443"/>
        <w:spacing w:after="0" w:line="259" w:lineRule="auto"/>
        <w:tabs>
          <w:tab w:leader="none" w:pos="115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Bid Rate Facility Overadvance</w:t>
      </w:r>
      <w:r>
        <w:rPr>
          <w:rFonts w:ascii="Arial" w:cs="Arial" w:eastAsia="Arial" w:hAnsi="Arial"/>
          <w:sz w:val="18"/>
          <w:szCs w:val="18"/>
          <w:color w:val="auto"/>
        </w:rPr>
        <w:t>. If at any time the aggregate principal amount of all outstanding Bid Rate Loans exceeds one-half of the aggregate amount of all Revolving Commitments at such time, then the Borrower shall immediately pay to the Administrative Agent for the accounts of the applicable Lenders the amount of such excess.</w:t>
      </w:r>
    </w:p>
    <w:p>
      <w:pPr>
        <w:spacing w:after="0" w:line="59" w:lineRule="exact"/>
        <w:rPr>
          <w:rFonts w:ascii="Arial" w:cs="Arial" w:eastAsia="Arial" w:hAnsi="Arial"/>
          <w:sz w:val="18"/>
          <w:szCs w:val="18"/>
          <w:color w:val="auto"/>
        </w:rPr>
      </w:pPr>
    </w:p>
    <w:p>
      <w:pPr>
        <w:ind w:left="460" w:right="20" w:firstLine="443"/>
        <w:spacing w:after="0" w:line="254" w:lineRule="auto"/>
        <w:tabs>
          <w:tab w:leader="none" w:pos="120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Application of Mandatory Prepayments</w:t>
      </w:r>
      <w:r>
        <w:rPr>
          <w:rFonts w:ascii="Arial" w:cs="Arial" w:eastAsia="Arial" w:hAnsi="Arial"/>
          <w:sz w:val="18"/>
          <w:szCs w:val="18"/>
          <w:color w:val="auto"/>
        </w:rPr>
        <w:t>. Amounts paid under the preceding subsection (b)(i) shall be applied to pay all amounts of principal outstanding on the Loans and any Reimbursement Obligations pro rata in accordance with Section 3.2. and if any Letters of Credit are outstanding at such time, the remainder, if any, shall be deposited into the Letter of Credit Collateral Account for application to any Reimbursement Obligations. Amounts paid under the preceding subsection (b)(ii) shall be applied in accordance with Section 3.2.(e). If the Borrower is required to pay any outstanding LIBOR Loans or LIBOR Margin Loans by reason of this Section prior to the end of the applicable Interest Period therefor, the Borrower shall pay all amounts due under Section 4.4.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2.9. Continuation.</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So long as no Event of Default exists, the Borrower may on any Business Day, with respect to any LIBOR Loan, elect to maintain such LIBOR Loan or any portion thereof as a LIBOR Loan by selecting a new Interest Period for such LIBOR Loan. Each Continuation of a LIBOR Loan shall be in an aggregate minimum amount of $1,000,000 and integral multiples of $1,000,000 in excess of that amount, and each new Interest Period selected under this Section shall commence on the last day of the immediately preceding Interest Period. Each selection of a new Interest Period shall be made by the Borrower giving to the Administrative Agent a Notice of Continuation not later than 9:00 a.m. Pacific time on the third Business Day prior to the date of any such Continuation. Such notice by the Borrower of a Continuation shall be by telephone (confirmed promptly in writing on the same Business Day), telecopy, electronic mail or other similar form of communication in the form of a Notice of Continuation, specifying (a) the proposed date of such Continuation, (b) the LIBOR Loans and portions thereof subject to such Continuation and (c) the duration of the selected Interest Period, all of which shall be specified in such manner as is necessary to comply with all limitations on Loans outstanding hereunder. Each Notice of Continuation shall be irrevocable by and binding on the Borrower once given. Promptly after receipt of a Notice of Continuation, the Administrative Agent shall notify each Lender of the proposed Continuation. If the Borrower shall fail to select in a timely manner a new Interest Period for any LIBOR Loan in accordance with this Section, such Loan will automatically, on the last day of the current Interest Period therefor, continue as a LIBOR Loan with an Interest Period of one month; provided, however that if a Event of Default exists, such Loan will automatically, on the last day of the current Interest Period therefor, Convert into a Base Rate Loan notwithstanding the first sentence of Section 2.10. or the Borrower’s failure to comply with any of the terms of such Section.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2.10. Conversion.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Borrower may on any Business Day, upon the Borrower’s giving of a Notice of Conversion to the Administrative Agent by telecopy, electronic mail or other similar form of communication, Convert all or a portion of a Loan of one Type into a Loan of another Type; provided, however, a Base Rate Loan may not be Converted into a LIBOR Loan if an Event of Default exists. Each Conversion of Base Rate Loans into LIBOR Loans shall be in an aggregate minimum amount of $1,000,000 and integral multiples of $1,000,000 in excess of that amount. Each such Notice of Conversion shall be given not later than 9:00 a.m. Pacific time 3 Business Days prior to the date of any proposed Conversion. Promptly after receipt of a Notice of Conversion, the Administrative Agent shall notify each Lender of the proposed Conversion. Subject to the restrictions specified above, each Notice of Conversion shall be by telephone, (confirmed promptly in writing on the same Business Day), telecopy, electronic mail or other similar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400"/>
          </w:cols>
          <w:pgMar w:left="240" w:top="280" w:right="259" w:bottom="1440" w:gutter="0" w:footer="0" w:header="0"/>
        </w:sectPr>
      </w:pPr>
    </w:p>
    <w:bookmarkStart w:id="49" w:name="page50"/>
    <w:bookmarkEnd w:id="49"/>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communication in the form of a Notice of Conversion specifying (a) the requested date of such Conversion, (b) the Type of Loan to be Converted, (c) the portion of such Type of Loan to be Converted, (d) the Type of Loan such Loan is to be Converted into and (e) if such Conversion is into a LIBOR Loan, the requested duration of the Interest Period of such Loan. Each Notice of Conversion shall be irrevocable by and binding on the Borrower once given.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2.11. Notes.</w:t>
      </w:r>
    </w:p>
    <w:p>
      <w:pPr>
        <w:spacing w:after="0" w:line="96" w:lineRule="exact"/>
        <w:rPr>
          <w:sz w:val="20"/>
          <w:szCs w:val="20"/>
          <w:color w:val="auto"/>
        </w:rPr>
      </w:pPr>
    </w:p>
    <w:p>
      <w:pPr>
        <w:ind w:right="60" w:firstLine="464"/>
        <w:spacing w:after="0" w:line="255"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The Revolving Loans made by each Lender shall, in addition to this Agreement, also be evidenced by a Revolving Note, payable to the order of such Lender in a principal amount equal to the amount of its Revolving Commitment as originally in effect and otherwise duly completed. The Bid Rate Loans made by a Lender to the Borrower shall, in addition to this Agreement, also be evidenced by a Bid Rate Note payable to the order of such Lender. The Swingline Loans made by the Swingline Lender to the Borrower shall, in addition to this Agreement, also be evidenced by a Swingline Note payable to the order of the Swingline Lender.</w:t>
      </w:r>
    </w:p>
    <w:p>
      <w:pPr>
        <w:spacing w:after="0" w:line="142" w:lineRule="exact"/>
        <w:rPr>
          <w:rFonts w:ascii="Arial" w:cs="Arial" w:eastAsia="Arial" w:hAnsi="Arial"/>
          <w:sz w:val="18"/>
          <w:szCs w:val="18"/>
          <w:color w:val="auto"/>
        </w:rPr>
      </w:pPr>
    </w:p>
    <w:p>
      <w:pPr>
        <w:ind w:firstLine="464"/>
        <w:spacing w:after="0" w:line="294" w:lineRule="auto"/>
        <w:tabs>
          <w:tab w:leader="none" w:pos="705"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Records</w:t>
      </w:r>
      <w:r>
        <w:rPr>
          <w:rFonts w:ascii="Arial" w:cs="Arial" w:eastAsia="Arial" w:hAnsi="Arial"/>
          <w:sz w:val="16"/>
          <w:szCs w:val="16"/>
          <w:color w:val="auto"/>
        </w:rPr>
        <w:t>. The date, amount, interest rate, Type and duration of Interest Periods (if applicable) of each Loan made by each Lender to the Borrower, and each payment made on account of the principal thereof, shall be recorded by such Lender on its books and such entries shall be binding on the Borrower absent manifest error; provided, however, that (i) the failure of a Lender to make any such record shall not affect the obligations of the Borrower under any of the Loan Documents and (ii) if there is a discrepancy between such records of a Lender and the statements of accounts maintained by the Administrative Agent pursuant to Section 3.8., in the absence of manifest error, the statements of account maintained by the Administrative Agent pursuant to Section 3.8. shall be controlling.</w:t>
      </w:r>
    </w:p>
    <w:p>
      <w:pPr>
        <w:spacing w:after="0" w:line="115" w:lineRule="exact"/>
        <w:rPr>
          <w:rFonts w:ascii="Arial" w:cs="Arial" w:eastAsia="Arial" w:hAnsi="Arial"/>
          <w:sz w:val="16"/>
          <w:szCs w:val="16"/>
          <w:color w:val="auto"/>
        </w:rPr>
      </w:pPr>
    </w:p>
    <w:p>
      <w:pPr>
        <w:ind w:right="80" w:firstLine="464"/>
        <w:spacing w:after="0" w:line="298" w:lineRule="auto"/>
        <w:tabs>
          <w:tab w:leader="none" w:pos="695"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Lost, Stolen, Destroyed or Mutilated Notes</w:t>
      </w:r>
      <w:r>
        <w:rPr>
          <w:rFonts w:ascii="Arial" w:cs="Arial" w:eastAsia="Arial" w:hAnsi="Arial"/>
          <w:sz w:val="16"/>
          <w:szCs w:val="16"/>
          <w:color w:val="auto"/>
        </w:rPr>
        <w:t>. Upon receipt by the Borrower of (i) written notice from a Lender that a Note of such Lender has been lost, stolen, destroyed or mutilated, and (ii)(A) in the case of loss, theft or destruction, an unsecured agreement of indemnity from such Lender in form reasonably satisfactory to the Borrower, or (B) in the case of mutilation, upon surrender and cancellation of such Note, the Borrower shall at its own expense execute and deliver to such Lender a new Note dated the date of such lost, stolen, destroyed or mutilated Note.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2.12. Voluntary Reductions of the Revolving Commitment.</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Borrower shall have the right to terminate or reduce the aggregate unused amount of the Revolving Commitments (for which purpose use of the Revolving Commitments shall be deemed to include the aggregate amount of all Letter of Credit Liabilities and the aggregate principal amount of all outstanding Bid Rate Loans and Swingline Loans) at any time and from time to time without penalty or premium upon not less than five (5) Business Days prior written notice to the Administrative Agent of each such termination or reduction, which notice shall specify the effective date thereof and the amount of any such reduction (which in the case of any partial reduction of the Revolving Commitments shall not be less than $5,000,000 and integral multiples of $1,000,000 in excess of that amount in the aggregate) and shall be irrevocable once given and effective only upon receipt by the Administrative Agent (“</w:t>
      </w:r>
      <w:r>
        <w:rPr>
          <w:rFonts w:ascii="Arial" w:cs="Arial" w:eastAsia="Arial" w:hAnsi="Arial"/>
          <w:sz w:val="16"/>
          <w:szCs w:val="16"/>
          <w:b w:val="1"/>
          <w:bCs w:val="1"/>
          <w:color w:val="auto"/>
        </w:rPr>
        <w:t>Commitment</w:t>
      </w:r>
      <w:r>
        <w:rPr>
          <w:rFonts w:ascii="Arial" w:cs="Arial" w:eastAsia="Arial" w:hAnsi="Arial"/>
          <w:sz w:val="16"/>
          <w:szCs w:val="16"/>
          <w:color w:val="auto"/>
        </w:rPr>
        <w:t xml:space="preserve"> </w:t>
      </w:r>
      <w:r>
        <w:rPr>
          <w:rFonts w:ascii="Arial" w:cs="Arial" w:eastAsia="Arial" w:hAnsi="Arial"/>
          <w:sz w:val="16"/>
          <w:szCs w:val="16"/>
          <w:b w:val="1"/>
          <w:bCs w:val="1"/>
          <w:color w:val="auto"/>
        </w:rPr>
        <w:t>Reduction Notice</w:t>
      </w:r>
      <w:r>
        <w:rPr>
          <w:rFonts w:ascii="Arial" w:cs="Arial" w:eastAsia="Arial" w:hAnsi="Arial"/>
          <w:sz w:val="16"/>
          <w:szCs w:val="16"/>
          <w:color w:val="auto"/>
        </w:rPr>
        <w:t>”); provided, however, the Borrower may not reduce the aggregate amount of the Revolving Commitments below $200,000,000 unless the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is terminating the Revolving Commitments in full. Promptly after receipt of a Commitment Reduction Notice the Administrative Agent shall notify each Lender of the proposed termination or Revolving Commitment reduction. The Revolving Commitments, once reduced or terminated pursuant to this Section, may not be increased or reinstated. The Borrower shall pay all interest and fees on the Revolving Loans accrued to the date of such reduction or termination of the Revolving Commitments (on the principal amount so</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380"/>
          </w:cols>
          <w:pgMar w:left="240" w:top="280" w:right="279" w:bottom="1440" w:gutter="0" w:footer="0" w:header="0"/>
        </w:sectPr>
      </w:pPr>
    </w:p>
    <w:bookmarkStart w:id="50" w:name="page51"/>
    <w:bookmarkEnd w:id="50"/>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reduced or terminated) to the Administrative Agent for the account of the Lenders, including but not limited to any applicable compensation due to each Lender in accordance with Section 4.4.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2.13. Extension of Revolving Termination Date.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Borrower shall have the right, exercisable one time, to extend the Revolving Termination Date by one year. The Borrower may exercise such right only by executing and delivering to the Administrative Agent at least 90 days but not more than 180 days prior to the current Revolving Termination Date, a written request for such extension (an “</w:t>
      </w:r>
      <w:r>
        <w:rPr>
          <w:rFonts w:ascii="Arial" w:cs="Arial" w:eastAsia="Arial" w:hAnsi="Arial"/>
          <w:sz w:val="16"/>
          <w:szCs w:val="16"/>
          <w:b w:val="1"/>
          <w:bCs w:val="1"/>
          <w:color w:val="auto"/>
        </w:rPr>
        <w:t>Extension Request</w:t>
      </w:r>
      <w:r>
        <w:rPr>
          <w:rFonts w:ascii="Arial" w:cs="Arial" w:eastAsia="Arial" w:hAnsi="Arial"/>
          <w:sz w:val="16"/>
          <w:szCs w:val="16"/>
          <w:color w:val="auto"/>
        </w:rPr>
        <w:t>”). The Administrative Agent shall notify the Lenders if it receives an Extension Request promptly upon receipt thereof. Subject to satisfaction of the following conditions, the Revolving Termination Date shall be extended for one year effective upon receipt by the Administrative Agent of the Extension Request and payment of the fee referred to in the following clause (y): (x) immediately prior to such extension and immediately after giving effect thereto, (A) no Default or Event of Default shall exist and (B) the representations and warranties made or deemed made by the Borrower and each other Loan Party in the Loan Documents to which any of them is a party, shall be true and correct in all material respects on and as of the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which are not prohibited under the Loan Documents and (y) the Borrower shall have paid the Fees payable under Section 3.5.(e). Any extension shall constitute certification by the Borrower to the effect that the matters referred to in the immediately preceding clauses (x)(A) and (x)(B) are true and correct and the Borrower shall be deemed to have represented to the Administrative Agent and the Lenders that the foregoing conditions have been satisfied.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2.14. Expiration Date of Letters of Credit Past Revolving Commitment Termination.</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on the date the Revolving Commitments are terminated or reduced to zero (whether voluntarily, by reason of the occurrence of an Event of Default or otherwise), there are any Letters of Credit outstanding hereunder, the Borrower shall, on such date (if not sooner pursuant to Section 2.3.(b)), pay to the Administrative Agent, for its benefit and the benefit of the Lenders and the Issuing Bank, an amount of money sufficient to cause the balance of available funds on deposit in the Letter of Credit Collateral Account to equal the aggregate Stated Amount of such Letters of Credit for deposit into the Letter of Credit Collateral Account.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2.15. Amount Limitations.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Notwithstanding any other term of this Agreement or any other Loan Document, no Lender shall be required to make a Loan, no Lender shall make any Bid Rate Loan, the Issuing Bank shall not be required to issue a Letter of Credit and no reduction of the Revolving Commitments pursuant to Section 2.12. shall take effect, if immediately after the making of such Loan, the issuance of such Letter of Credit or such reduction in the Revolving Commitments:</w:t>
      </w:r>
    </w:p>
    <w:p>
      <w:pPr>
        <w:spacing w:after="0" w:line="107" w:lineRule="exact"/>
        <w:rPr>
          <w:sz w:val="20"/>
          <w:szCs w:val="20"/>
          <w:color w:val="auto"/>
        </w:rPr>
      </w:pPr>
    </w:p>
    <w:p>
      <w:pPr>
        <w:ind w:right="300" w:firstLine="464"/>
        <w:spacing w:after="0" w:line="268"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aggregate principal amount of all outstanding Revolving Loans, Bid Rate Loans and Swingline Loans, together with the aggregate amount of all Letter of Credit Liabilities, would exceed the aggregate amount of the Revolving Commitments at such time; 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aggregate principal amount of all outstanding Bid Rate Loans would exceed 50.0% of the aggregate amount of the Revolving Commitments at such</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time.</w:t>
      </w:r>
    </w:p>
    <w:p>
      <w:pPr>
        <w:spacing w:after="0" w:line="151" w:lineRule="exact"/>
        <w:rPr>
          <w:rFonts w:ascii="Arial" w:cs="Arial" w:eastAsia="Arial" w:hAnsi="Arial"/>
          <w:sz w:val="15"/>
          <w:szCs w:val="15"/>
          <w:color w:val="auto"/>
        </w:rPr>
      </w:pPr>
    </w:p>
    <w:p>
      <w:pPr>
        <w:ind w:left="5620" w:hanging="96"/>
        <w:spacing w:after="0"/>
        <w:tabs>
          <w:tab w:leader="none" w:pos="5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400"/>
          </w:cols>
          <w:pgMar w:left="240" w:top="280"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2.16. Increase in Revolving Commitments.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The Borrower shall have the right, at any time and from time to time, to request increases in the aggregate amount of the Revolving Commitments by providing written notice to the Administrative Agent, which notice shall be irrevocable once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such increases the aggregate amount of the Revolving Commitments shall not exceed $800,000,000 minus the amount of any reduction of the Revolving Commitments effected pursuant to Section 2.12. hereof. Each such increase in the Revolving Commitments must be an aggregate minimum amount of $10,000,000 and integral multiples of $5,000,000 in excess thereof. If the request is approved by the Administrative Agent, the Administrative Agent, in consultation with the Borrower, shall manage all aspects of the syndication of such increase in the Revolving Commitments, including decisions as to the selection of the existing Lenders and/or other banks, financial institutions and other institutional lenders to be approached with respect to such increase and the allocations of the increase in the Revolving Commitments among such existing Lenders and/or other banks, financial institutions and other institutional lenders; provided that any such other banks, financial institutions and other institutional lenders and the amounts of the respective increases and the allocations of such increases in Commitments or new Commitments, as the case may be, shall be reasonably acceptable to the Borrower. No Lender shall be obligated in any way whatsoever to increase its Revolving Commitment or provide a new Revolving Commitment, and any new Lender becoming a party to this Agreement in connection with any such requested increase must be an Eligible Assignee. If a new Lender becomes a party to this Agreement, or if any existing Lender is increasing its Revolving Commitment, such Lender shall on the date it becomes a Lender hereunder (or in the case of an existing Lender, increases its Revolving Commitment) (and as a condition thereto) purchase from the other Lenders its Revolving Commitment Percentage (determined with respect to the Lenders’ respective Revolving Commitments and after giving effect to the increase of Revolving Commitments) of any outstanding Revolving Loans, by making available to the Administrative Agent for the account of such other Lenders, in same day funds, an amount equal to the sum of (A) the portion of the outstanding principal amount of such Revolving Loans to be purchased by such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aggregate amount of payments previously made by the other Lenders under Section 2.3.(j) that have not been repaid,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interest accrued and unpaid to and as of such date on such portion of the outstanding principal amount of such Revolving Loans. The Borrower shall pay to the Lenders amounts payable, if any, to such Lenders under Section 4.4. as a result of the prepayment of any such Revolving Loans. In connection with any increase of the Revolving Commitments under this Section, (I) the Borrower shall certify to any Person to become a Lender or any Lender increasing the amount of its Commitment whether (x) a Default or Event of Default shall be in existence on the effective date of such increase, (y) the representations and warranties made or deemed made by the Borrower or any other Loan Party in any Loan Document to which such Loan Party is a party are true and correct on the effective date of such increase except to the extent that such representations and warranties expressly relate solely to an earlier date (in which case whether such representations and warranties are true and correct on and as of such earlier date) and except for changes in factual circumstances not prohibited hereunder, (II) if a Default Event of Default exists or any such representation or warranty is not true and correct on the effective date of such increase, any Person to become a Lender or any Lender to increase the amount of its commitment may, in its sole discretion, elect not to do so, and (III) the Administrative Agent shall have received each of the following, in form and substance reasonably satisfactory to the Administrative Agent: (i) if not previously delivered to the Administrative Agent, copies certified by the Secretary or Assistant Secretary of (A) all corporate, partnership, member or other necessary action taken by the Borrower to authorize such increase and (B) all corporate, partnership, member or other necessary action taken by each Guarantor authorizing the guaranty of such increase; and (ii) an opinion of counsel to the Borrower and the Guarantors, and addressed to the Administrative Agent and the Lenders covering such matters as reasonably requested by the Administrative Agent; and (iii) new Revolving Notes executed by the Borrower, payable to any new Lenders and replacement Revolving Notes executed by the Borrower, payable to any existing Lenders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420"/>
          </w:cols>
          <w:pgMar w:left="240" w:top="274" w:right="239" w:bottom="1440" w:gutter="0" w:footer="0" w:header="0"/>
        </w:sectPr>
      </w:pPr>
    </w:p>
    <w:bookmarkStart w:id="52" w:name="page53"/>
    <w:bookmarkEnd w:id="52"/>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increasing their Revolving Commitments, in the amount of such Lender’s Revolving Commitment at the time of the effectiveness of the applicable increase in the aggregate amount of the Revolving Commitments. In connection with any increase in the aggregate amount of the Revolving Commitments pursuant to this Section 2.16. any Lender becoming a party hereto shall execute such documents and agreements as the Administrative Agent may reasonably request.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2.17. Funds Transfer Disbursements.</w:t>
      </w:r>
    </w:p>
    <w:p>
      <w:pPr>
        <w:spacing w:after="0" w:line="96" w:lineRule="exact"/>
        <w:rPr>
          <w:sz w:val="20"/>
          <w:szCs w:val="20"/>
          <w:color w:val="auto"/>
        </w:rPr>
      </w:pPr>
    </w:p>
    <w:p>
      <w:pPr>
        <w:ind w:right="40" w:firstLine="464"/>
        <w:spacing w:after="0" w:line="306" w:lineRule="auto"/>
        <w:tabs>
          <w:tab w:leader="none" w:pos="695" w:val="left"/>
        </w:tabs>
        <w:numPr>
          <w:ilvl w:val="1"/>
          <w:numId w:val="42"/>
        </w:numPr>
        <w:rPr>
          <w:rFonts w:ascii="Arial" w:cs="Arial" w:eastAsia="Arial" w:hAnsi="Arial"/>
          <w:sz w:val="15"/>
          <w:szCs w:val="15"/>
          <w:color w:val="auto"/>
        </w:rPr>
      </w:pPr>
      <w:r>
        <w:rPr>
          <w:rFonts w:ascii="Arial" w:cs="Arial" w:eastAsia="Arial" w:hAnsi="Arial"/>
          <w:sz w:val="15"/>
          <w:szCs w:val="15"/>
          <w:u w:val="single" w:color="auto"/>
          <w:color w:val="auto"/>
        </w:rPr>
        <w:t>Generally</w:t>
      </w:r>
      <w:r>
        <w:rPr>
          <w:rFonts w:ascii="Arial" w:cs="Arial" w:eastAsia="Arial" w:hAnsi="Arial"/>
          <w:sz w:val="15"/>
          <w:szCs w:val="15"/>
          <w:color w:val="auto"/>
        </w:rPr>
        <w:t>. The Borrower hereby authorizes the Administrative Agent to disburse the proceeds of any Loan made by the Lenders or any of their Affiliates pursuant to the Loan Documents as requested by an authorized representative of the Borrower to any of the accounts designated in the Transfer Authorizer Designation Form. The Borrower agrees to be bound by any transfer request: (i) authorized or transmitted by the Borrower; or (ii) made in the Borrower’s name and accepted by the Administrative Agent in good faith and in compliance with these transfer instructions, even if not properly authorized by the Borrower. The Borrower further agrees and acknowledges that the Administrative Agent may rely solely on any bank routing number or identifying bank account number or name provided by the Borrower to effect a wire or funds transfer even if the information provided by the Borrower identifies a different bank or account holder than named by the Borrower. The Administrative Agent is not obligated or required in any way to take any actions to detect errors in information provided by the Borrower. If the Administrative Agent takes any actions in an attempt to detect errors in the transmission or content of transfer requests or takes any actions in an attempt to detect unauthorized funds transfer requests, the Borrower agrees that no matter how many times the Administrative Agent takes these actions the Administrative Agent will not in any situation be liable for failing to take or correctly perform these actions in the future and such actions shall not become any part of the transfer disbursement procedures authorized under this provision, the Loan Documents, or any agreement between the Administrative Agent and the Borrower. The Borrower agrees to notify the Administrative Agent of any errors in the transfer of any funds or of any unauthorized or improperly authorized transfer requests within fourteen (14) days after the Administrative Agent’s confirmation to the Borrower of such transfer.</w:t>
      </w:r>
    </w:p>
    <w:p>
      <w:pPr>
        <w:spacing w:after="0" w:line="112" w:lineRule="exact"/>
        <w:rPr>
          <w:rFonts w:ascii="Arial" w:cs="Arial" w:eastAsia="Arial" w:hAnsi="Arial"/>
          <w:sz w:val="15"/>
          <w:szCs w:val="15"/>
          <w:color w:val="auto"/>
        </w:rPr>
      </w:pPr>
    </w:p>
    <w:p>
      <w:pPr>
        <w:ind w:right="40" w:firstLine="464"/>
        <w:spacing w:after="0" w:line="255" w:lineRule="auto"/>
        <w:tabs>
          <w:tab w:leader="none" w:pos="705"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Funds Transfer</w:t>
      </w:r>
      <w:r>
        <w:rPr>
          <w:rFonts w:ascii="Arial" w:cs="Arial" w:eastAsia="Arial" w:hAnsi="Arial"/>
          <w:sz w:val="18"/>
          <w:szCs w:val="18"/>
          <w:color w:val="auto"/>
        </w:rPr>
        <w:t>. The Administrative Agent will, in its sole discretion, determine the funds transfer system and the means by which each transfer will be made. The Administrative Agent may delay or refuse to accept a funds transfer request if the transfer would: (i) violate the terms of this authorization, (ii) require use of a bank unacceptable to the Administrative Agent or any Lender or prohibited by any Governmental Authority, (iii) cause the Administrative Agent or any Lender to violate any Federal Reserve or other regulatory risk control program or guideline or (iv) otherwise cause the Administrative Agent or any Lender to violate any Applicable Law or regulation.</w:t>
      </w:r>
    </w:p>
    <w:p>
      <w:pPr>
        <w:spacing w:after="0" w:line="142" w:lineRule="exact"/>
        <w:rPr>
          <w:rFonts w:ascii="Arial" w:cs="Arial" w:eastAsia="Arial" w:hAnsi="Arial"/>
          <w:sz w:val="18"/>
          <w:szCs w:val="18"/>
          <w:color w:val="auto"/>
        </w:rPr>
      </w:pPr>
    </w:p>
    <w:p>
      <w:pPr>
        <w:ind w:left="700" w:hanging="236"/>
        <w:spacing w:after="0"/>
        <w:tabs>
          <w:tab w:leader="none" w:pos="700"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None of the Administrative Agent, the Issuing Bank or any Lender shall be liable to the Borrower or any other parties for</w:t>
      </w:r>
    </w:p>
    <w:p>
      <w:pPr>
        <w:spacing w:after="0" w:line="38" w:lineRule="exact"/>
        <w:rPr>
          <w:rFonts w:ascii="Arial" w:cs="Arial" w:eastAsia="Arial" w:hAnsi="Arial"/>
          <w:sz w:val="16"/>
          <w:szCs w:val="16"/>
          <w:color w:val="auto"/>
        </w:rPr>
      </w:pPr>
    </w:p>
    <w:p>
      <w:pPr>
        <w:ind w:firstLine="8"/>
        <w:spacing w:after="0" w:line="288" w:lineRule="auto"/>
        <w:tabs>
          <w:tab w:leader="none" w:pos="21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errors, acts or failures to act of others, including other entities, banks, communications carriers or clearinghouses, through which the Borrower’s transfers may be made or information received or transmitted, and no such entity shall be deemed an agent of the Administrative Agent, the Issuing Bank or any Lender, (ii) any loss, liability or delay caused by fires, earthquakes, wars, civil disturbances, power surges or failures, acts of government, labor disputes, failures in communications networks, legal constraints or other events beyond Administrative Agent’s, Issuing Bank’s or any Lender’s control, or (iii) any special, consequential, indirect or punitive damages, whether or not (x) any claim for these damages is based on tort or contract or (y) the Administrative Agent, the Issuing Bank, any Lender or the Borrower knew or should have known the likelihood of these damages in any situation. Neither the Administrative Agent, the Issuing Bank nor any Lender makes any representations or warranties other than those expressly made in this Agreement.</w:t>
      </w:r>
    </w:p>
    <w:p>
      <w:pPr>
        <w:spacing w:after="0" w:line="109" w:lineRule="exact"/>
        <w:rPr>
          <w:rFonts w:ascii="Arial" w:cs="Arial" w:eastAsia="Arial" w:hAnsi="Arial"/>
          <w:sz w:val="16"/>
          <w:szCs w:val="16"/>
          <w:color w:val="auto"/>
        </w:rPr>
      </w:pPr>
    </w:p>
    <w:p>
      <w:pPr>
        <w:ind w:left="5620" w:hanging="96"/>
        <w:spacing w:after="0"/>
        <w:tabs>
          <w:tab w:leader="none" w:pos="56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400"/>
          </w:cols>
          <w:pgMar w:left="240" w:top="280" w:right="25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III. P</w:t>
      </w:r>
      <w:r>
        <w:rPr>
          <w:rFonts w:ascii="Arial" w:cs="Arial" w:eastAsia="Arial" w:hAnsi="Arial"/>
          <w:sz w:val="14"/>
          <w:szCs w:val="14"/>
          <w:b w:val="1"/>
          <w:bCs w:val="1"/>
          <w:color w:val="auto"/>
        </w:rPr>
        <w:t>AYMENTS</w:t>
      </w:r>
      <w:r>
        <w:rPr>
          <w:rFonts w:ascii="Arial" w:cs="Arial" w:eastAsia="Arial" w:hAnsi="Arial"/>
          <w:sz w:val="18"/>
          <w:szCs w:val="18"/>
          <w:b w:val="1"/>
          <w:bCs w:val="1"/>
          <w:color w:val="auto"/>
        </w:rPr>
        <w:t>, F</w:t>
      </w:r>
      <w:r>
        <w:rPr>
          <w:rFonts w:ascii="Arial" w:cs="Arial" w:eastAsia="Arial" w:hAnsi="Arial"/>
          <w:sz w:val="14"/>
          <w:szCs w:val="14"/>
          <w:b w:val="1"/>
          <w:bCs w:val="1"/>
          <w:color w:val="auto"/>
        </w:rPr>
        <w:t>EES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Payments.</w:t>
      </w:r>
    </w:p>
    <w:p>
      <w:pPr>
        <w:spacing w:after="0" w:line="96" w:lineRule="exact"/>
        <w:rPr>
          <w:sz w:val="20"/>
          <w:szCs w:val="20"/>
          <w:color w:val="auto"/>
        </w:rPr>
      </w:pPr>
    </w:p>
    <w:p>
      <w:pPr>
        <w:ind w:right="20" w:firstLine="464"/>
        <w:spacing w:after="0" w:line="285" w:lineRule="auto"/>
        <w:tabs>
          <w:tab w:leader="none" w:pos="695"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Payments by Borrower</w:t>
      </w:r>
      <w:r>
        <w:rPr>
          <w:rFonts w:ascii="Arial" w:cs="Arial" w:eastAsia="Arial" w:hAnsi="Arial"/>
          <w:sz w:val="16"/>
          <w:szCs w:val="16"/>
          <w:color w:val="auto"/>
        </w:rPr>
        <w:t>. Except to the extent otherwise provided herein, all payments of principal, interest, Fees and other amounts to be made by the Borrower under this Agreement, the Notes or any other Loan Document shall be made in Dollars, in immediately available funds, without setoff, deduction or counterclaim, to the Administrative Agent at the Principal Office, not later than 11:00 a.m. Pacific time on the date on which such payment shall become due (each such payment made after such time on such due date to be deemed to have been made on the next succeeding Business Day). Subject to Section 10.5., the Borrower shall, at the time of making each payment under this Agreement or any other Loan Document, specify to the Administrative Agent the amounts payable by the Borrower hereunder to which such payment is to be applied. Each payment received by the Administrative Agent for the account of a Lender under this Agreement or any Note shall be paid to such Lender by wire transfer of immediately available funds in accordance with the wiring instructions provided by such Lender to the Administrative Agent from time to time, for the account of such Lender at the applicable Lending Office of such Lender. Each payment received by the Administrative Agent for the account of the Issuing Bank under this Agreement shall be paid to the Issuing Bank by wire transfer of immediately available funds in accordance with the wiring instructions provided by the Issuing Bank to the Administrative Agent from time to time, for the account of the Issuing Bank. In the event the Administrative Agent fails to pay such amounts to such Lender or the Issuing Bank, as the case may be, within one Business Day of receipt of such amounts, the Administrative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continue to accrue at the rate, if any, applicable to such payment for the period of such extension.</w:t>
      </w:r>
    </w:p>
    <w:p>
      <w:pPr>
        <w:spacing w:after="0" w:line="126" w:lineRule="exact"/>
        <w:rPr>
          <w:rFonts w:ascii="Arial" w:cs="Arial" w:eastAsia="Arial" w:hAnsi="Arial"/>
          <w:sz w:val="16"/>
          <w:szCs w:val="16"/>
          <w:color w:val="auto"/>
        </w:rPr>
      </w:pPr>
    </w:p>
    <w:p>
      <w:pPr>
        <w:ind w:right="100" w:firstLine="464"/>
        <w:spacing w:after="0" w:line="290" w:lineRule="auto"/>
        <w:tabs>
          <w:tab w:leader="none" w:pos="705"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Presumptions Regarding Payments by Borrower</w:t>
      </w:r>
      <w:r>
        <w:rPr>
          <w:rFonts w:ascii="Arial" w:cs="Arial" w:eastAsia="Arial" w:hAnsi="Arial"/>
          <w:sz w:val="16"/>
          <w:szCs w:val="16"/>
          <w:color w:val="auto"/>
        </w:rPr>
        <w:t>. Unless the Administrative Agent shall have received notice from the Borrower prior to the date on which any payment is due to the Administrative Agent for the account of the Lenders or the Issuing Bank hereunder that the Borrower will not make such payment, the Administrative Agent may assume that the Borrower has made such payment on such date in accordance herewith and may (but shall not be obligated to),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on demand that amount so distributed to such Lender or the Issuing Bank, with interest thereon, for each day from and including the date such amount is distributed to it to but excluding the date of payment to the Administrative Agent, at the Federal Funds 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Pro Rata Treatment.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Except to the extent otherwise provided herein: (a) each borrowing from the Lenders under Sections 2.1.(a), 2.3.(e) and 2.4.(e) shall be made from the Lenders, each payment of the fees under Sections 3.5.(a), 3.5.(b), the first sentence of 3.5.(c), and 3.5.(e) shall be made for the account of the Lenders, and each termination or reduction of the amount of the Revolving Commitments under Section 2.12. shall be applied to the respective Revolving Commitments of the Lenders, pro rata according to the amounts of their respective Revolving Commitments; (b) each payment or prepayment of principal of Revolving Loans shall be made for the account of the Lenders pro rata in accordance with the respective unpaid principal amounts of the Revolving Loans held by them, provided that, subject to Section 3.9., if immediately prior to giving effect to any such payment in respect of any Revolving Loans the outstanding principal amount of the Revolving Loans shall not be held by the Lenders pro rata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400"/>
          </w:cols>
          <w:pgMar w:left="240" w:top="274" w:right="259" w:bottom="1440" w:gutter="0" w:footer="0" w:header="0"/>
        </w:sectPr>
      </w:pPr>
    </w:p>
    <w:bookmarkStart w:id="54" w:name="page55"/>
    <w:bookmarkEnd w:id="54"/>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their respective Revolving Commitments in effect at the time such Revolving Loans were made, then such payment shall be applied to the Revolving Loans in such manner as shall result, as nearly as is practicable, in the outstanding principal amount of the Revolving Loans being held by the Lenders pro rata in accordance with their respective Revolving Commitments; (c) each payment of interest on Revolving Loans shall be made for the account of the Lenders pro rata in accordance with the amounts of interest on such Revolving Loans then due and payable to the respective Lenders; (d) the making, Conversion and Continuation of Revolving Loans of a particular Type (other than Conversions provided for by Sections 4.1.(c) and 4.5.) shall be made pro rata among the Lenders according to the amounts of their respective Revolving Loans and the then current Interest Period for each Lender’s portion of each such Loan of such Type shall be coterminous; (e) each prepayment of principal of Bid Rate Loans by the Borrower pursuant to Section 2.8.(b)(ii) shall, unless otherwise directed by the Borrower, be made for account of the Lenders then owed Bid Rate Loans pro rata in accordance with the respective unpaid principal amounts of the Bid Rate Loans then owing to each such Lender; (f) the Lenders’ participation in, and payment obligations in respect of, Swingline Loans under Section 2.4., shall be in accordance with their respective Revolving Commitment Percentages; and (g) the Lenders’ participation in, and payment obligations in respect of, Letters of Credit under Section 2.3., shall be in accordance with their respective Revolving Commitment Percentages. All payments of principal, interest, fees and other amounts in respect of the Swingline Loans shall be for the account of the Swingline Lender only (except to the extent any Lender shall have acquired a participating interest in any such Swingline Loan pursuant to Section 2.4.(e), in which case such payments shall be pro rata in accordance with such participating interests).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3.3. Sharing of Payments, Etc.</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a Lender shall obtain payment of any principal of, or interest on, any Loan made by it to the Borrower under this Agreement or shall obtain payment on any other Obligation owing by the Borrower or any other Loan Party through the exercise of any right of set-off, banker’s lien, counterclaim or similar right or otherwise or through voluntary prepayments directly to a Lender or other payments made by or on behalf the Borrower or any other Loan Party to a Lender (other than any payment in respect of Specified Derivatives Obligations) not in accordance with the terms of this Agreement and such payment should be distributed to the Lenders in accordance with Section 3.2. or Section 10.5., as applicable, such Lender shall promptly purchase from the other Lenders participations in (or, if and to the extent specified by such Lender, direct interests in) the Loans made by the other Lenders or other Obligations owed to such other Lenders in such amounts, and make such other adjustments from time to time as shall be equitable, to the end that all the Lenders shall share the benefit of such payment (net of any reasonable expenses which may actually be incurred by such Lender in obtaining or preserving such benefit) in accordance with the requirements of Section 3.2. or Section 10.5., as applicable. To such end, all the Lenders shall make appropriate adjustments among themselves (by the resale of participations sold or otherwise) if such payment is rescinded or must otherwise be restored. The Borrower agrees that any Lender so purchasing a participation (or direct interest) in the Loans or other Obligations owed to such other Lenders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the Borrower.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3.4. Several Obligations.</w:t>
      </w:r>
    </w:p>
    <w:p>
      <w:pPr>
        <w:spacing w:after="0" w:line="96"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00"/>
          </w:cols>
          <w:pgMar w:left="240" w:top="280" w:right="25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relieve the obligation of any other Lender to make any Loan or to perform any other obligation to be made or performed by such other Lender.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3.5. Fees.</w:t>
      </w:r>
    </w:p>
    <w:p>
      <w:pPr>
        <w:spacing w:after="0" w:line="96" w:lineRule="exact"/>
        <w:rPr>
          <w:sz w:val="20"/>
          <w:szCs w:val="20"/>
          <w:color w:val="auto"/>
        </w:rPr>
      </w:pPr>
    </w:p>
    <w:p>
      <w:pPr>
        <w:ind w:right="320" w:firstLine="464"/>
        <w:spacing w:after="0" w:line="268"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Closing Fee</w:t>
      </w:r>
      <w:r>
        <w:rPr>
          <w:rFonts w:ascii="Arial" w:cs="Arial" w:eastAsia="Arial" w:hAnsi="Arial"/>
          <w:sz w:val="18"/>
          <w:szCs w:val="18"/>
          <w:color w:val="auto"/>
        </w:rPr>
        <w:t>. On the Effective Date, the Borrower agrees to pay to the Administrative Agent and each Lender all loan fees as have been agreed to in writing by the Borrower and the Administrative Agent.</w:t>
      </w:r>
    </w:p>
    <w:p>
      <w:pPr>
        <w:spacing w:after="0" w:line="131" w:lineRule="exact"/>
        <w:rPr>
          <w:rFonts w:ascii="Arial" w:cs="Arial" w:eastAsia="Arial" w:hAnsi="Arial"/>
          <w:sz w:val="18"/>
          <w:szCs w:val="18"/>
          <w:color w:val="auto"/>
        </w:rPr>
      </w:pPr>
    </w:p>
    <w:p>
      <w:pPr>
        <w:ind w:firstLine="464"/>
        <w:spacing w:after="0" w:line="291" w:lineRule="auto"/>
        <w:tabs>
          <w:tab w:leader="none" w:pos="70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Facility Fees</w:t>
      </w:r>
      <w:r>
        <w:rPr>
          <w:rFonts w:ascii="Arial" w:cs="Arial" w:eastAsia="Arial" w:hAnsi="Arial"/>
          <w:sz w:val="16"/>
          <w:szCs w:val="16"/>
          <w:color w:val="auto"/>
        </w:rPr>
        <w:t>. During the period from the Effective Date to but excluding the Revolving Termination Date, the Borrower agrees to pay to the Administrative Agent for the account of the Lenders a facility fee equal to the daily aggregate amount of the Revolving Commitments (whether or not utilized) times a rate per annum equal to the Applicable Facility Fee. Such fee shall be payable quarterly in arrears on the first day of each January, April, July and October during the term of this Agreement and on the Revolving Termination Date or any earlier date of termination of the Revolving Commitments or reduction of the Revolving Commitments to zero. The Borrower acknowledges that the fee payable hereunder is a bona fide commitment fee and is intended as reasonable compensation to the Lenders for committing to make funds available to the Borrower as described herein and for no other purposes.</w:t>
      </w:r>
    </w:p>
    <w:p>
      <w:pPr>
        <w:spacing w:after="0" w:line="120" w:lineRule="exact"/>
        <w:rPr>
          <w:rFonts w:ascii="Arial" w:cs="Arial" w:eastAsia="Arial" w:hAnsi="Arial"/>
          <w:sz w:val="16"/>
          <w:szCs w:val="16"/>
          <w:color w:val="auto"/>
        </w:rPr>
      </w:pPr>
    </w:p>
    <w:p>
      <w:pPr>
        <w:ind w:right="80" w:firstLine="464"/>
        <w:spacing w:after="0" w:line="307" w:lineRule="auto"/>
        <w:tabs>
          <w:tab w:leader="none" w:pos="695" w:val="left"/>
        </w:tabs>
        <w:numPr>
          <w:ilvl w:val="0"/>
          <w:numId w:val="45"/>
        </w:numPr>
        <w:rPr>
          <w:rFonts w:ascii="Arial" w:cs="Arial" w:eastAsia="Arial" w:hAnsi="Arial"/>
          <w:sz w:val="15"/>
          <w:szCs w:val="15"/>
          <w:color w:val="auto"/>
        </w:rPr>
      </w:pPr>
      <w:r>
        <w:rPr>
          <w:rFonts w:ascii="Arial" w:cs="Arial" w:eastAsia="Arial" w:hAnsi="Arial"/>
          <w:sz w:val="15"/>
          <w:szCs w:val="15"/>
          <w:u w:val="single" w:color="auto"/>
          <w:color w:val="auto"/>
        </w:rPr>
        <w:t>Letter of Credit Fees</w:t>
      </w:r>
      <w:r>
        <w:rPr>
          <w:rFonts w:ascii="Arial" w:cs="Arial" w:eastAsia="Arial" w:hAnsi="Arial"/>
          <w:sz w:val="15"/>
          <w:szCs w:val="15"/>
          <w:color w:val="auto"/>
        </w:rPr>
        <w:t xml:space="preserve">. The Borrower agrees to pay to the Administrative Agent for the account of each Lender a letter of credit fee at a rate per annum equal to the Applicable Margin for LIBOR Loans times the daily average Stated Amount of each Letter of Credit for the period from and including the date of issuance of such Letter of Credit (x) to and including the date such Letter of Credit expires or is cancelled or (y) to but excluding the date such Letter of Credit is drawn in full. In addition to such fees, the Borrower shall pay to the Issuing Bank solely for its own account, a fronting fee in respect of each Letter of Credit equal to one-eighth of one percent (0.125%) of the initial Stated Amount of such Letter of Credit;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in no event shall the aggregate amount of such fee in respect of any Letter of Credit be less than $1,000. The fees provided for in this subsection shall be nonrefundable and payable, in the case of the fee provided for in the first sentence, in arrears (i) quarterly on the first day of January, April, July and October, (ii) on the Revolving Termination Date, (iii) on the date the Revolving Commitments are terminated or reduced to zero and (iv) thereafter from time to time on demand of the Administrative Agent and in the case of the fee provided for in the second sentence of this subsection, at the time of issuance of such Letter of Credit. The Borrower shall pay directly to the Issuing Bank from time to time on demand all commissions, charges, costs and expenses in the amounts customarily charged or incurred by the Issuing Bank from time to time in like circumstances with respect to the issuance, amendment, renewal or extension of any Letter of Credit or any other transaction relating thereto.</w:t>
      </w:r>
    </w:p>
    <w:p>
      <w:pPr>
        <w:spacing w:after="0" w:line="111" w:lineRule="exact"/>
        <w:rPr>
          <w:rFonts w:ascii="Arial" w:cs="Arial" w:eastAsia="Arial" w:hAnsi="Arial"/>
          <w:sz w:val="15"/>
          <w:szCs w:val="15"/>
          <w:color w:val="auto"/>
        </w:rPr>
      </w:pPr>
    </w:p>
    <w:p>
      <w:pPr>
        <w:ind w:right="220" w:firstLine="464"/>
        <w:spacing w:after="0" w:line="268" w:lineRule="auto"/>
        <w:tabs>
          <w:tab w:leader="none" w:pos="70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Bid Rate Loan Fees</w:t>
      </w:r>
      <w:r>
        <w:rPr>
          <w:rFonts w:ascii="Arial" w:cs="Arial" w:eastAsia="Arial" w:hAnsi="Arial"/>
          <w:sz w:val="18"/>
          <w:szCs w:val="18"/>
          <w:color w:val="auto"/>
        </w:rPr>
        <w:t>. The Borrower agrees to pay to the Administrative Agent a fee equal to $2,000 at the time of each Bid Rate Quote Request made hereunder for services rendered by the Administrative Agent in connection with the Bid Rate Loans.</w:t>
      </w:r>
    </w:p>
    <w:p>
      <w:pPr>
        <w:spacing w:after="0" w:line="131" w:lineRule="exact"/>
        <w:rPr>
          <w:rFonts w:ascii="Arial" w:cs="Arial" w:eastAsia="Arial" w:hAnsi="Arial"/>
          <w:sz w:val="18"/>
          <w:szCs w:val="18"/>
          <w:color w:val="auto"/>
        </w:rPr>
      </w:pPr>
    </w:p>
    <w:p>
      <w:pPr>
        <w:jc w:val="both"/>
        <w:ind w:right="80" w:firstLine="464"/>
        <w:spacing w:after="0" w:line="335" w:lineRule="auto"/>
        <w:tabs>
          <w:tab w:leader="none" w:pos="695" w:val="left"/>
        </w:tabs>
        <w:numPr>
          <w:ilvl w:val="0"/>
          <w:numId w:val="45"/>
        </w:numPr>
        <w:rPr>
          <w:rFonts w:ascii="Arial" w:cs="Arial" w:eastAsia="Arial" w:hAnsi="Arial"/>
          <w:sz w:val="15"/>
          <w:szCs w:val="15"/>
          <w:color w:val="auto"/>
        </w:rPr>
      </w:pPr>
      <w:r>
        <w:rPr>
          <w:rFonts w:ascii="Arial" w:cs="Arial" w:eastAsia="Arial" w:hAnsi="Arial"/>
          <w:sz w:val="15"/>
          <w:szCs w:val="15"/>
          <w:u w:val="single" w:color="auto"/>
          <w:color w:val="auto"/>
        </w:rPr>
        <w:t>Revolving Credit Extension Fee</w:t>
      </w:r>
      <w:r>
        <w:rPr>
          <w:rFonts w:ascii="Arial" w:cs="Arial" w:eastAsia="Arial" w:hAnsi="Arial"/>
          <w:sz w:val="15"/>
          <w:szCs w:val="15"/>
          <w:color w:val="auto"/>
        </w:rPr>
        <w:t>. If the Borrower exercises its right to extend the Revolving Termination Date in accordance with Section 2.13., the Borrower shall pay to the Administrative Agent for the account of each Lender a fee equal to 0.25% of the amount of such Lender’s Revolving Commitment (whether or not utilized). Such fee shall be due and payable in full on the date the Administrative Agent receives the Extension Request pursuant to Section 2.13.</w:t>
      </w:r>
    </w:p>
    <w:p>
      <w:pPr>
        <w:spacing w:after="0" w:line="88" w:lineRule="exact"/>
        <w:rPr>
          <w:rFonts w:ascii="Arial" w:cs="Arial" w:eastAsia="Arial" w:hAnsi="Arial"/>
          <w:sz w:val="15"/>
          <w:szCs w:val="15"/>
          <w:color w:val="auto"/>
        </w:rPr>
      </w:pPr>
    </w:p>
    <w:p>
      <w:pPr>
        <w:ind w:right="100" w:firstLine="464"/>
        <w:spacing w:after="0" w:line="268" w:lineRule="auto"/>
        <w:tabs>
          <w:tab w:leader="none" w:pos="67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Administrative and Other Fees</w:t>
      </w:r>
      <w:r>
        <w:rPr>
          <w:rFonts w:ascii="Arial" w:cs="Arial" w:eastAsia="Arial" w:hAnsi="Arial"/>
          <w:sz w:val="18"/>
          <w:szCs w:val="18"/>
          <w:color w:val="auto"/>
        </w:rPr>
        <w:t>. The Borrower agrees to pay the administrative and other fees of the Administrative Agent as provided in the Fee Letter and as may be otherwise agreed to in writing from time to time by the Borrower, the Arrangers and the Administrative Agent.</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1400"/>
          </w:cols>
          <w:pgMar w:left="240" w:top="280"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3.6. Computations.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Unless otherwise expressly set forth herein, any accrued interest on any Loan, any Fees or any other Obligations due hereunder shall be computed on the basis of a year of 360 days and the actual number of days elapsed.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3.7. Usury.</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no event shall the amount of interest due or payable on the Loans or other Obligations exceed the maximum rate of interest allowed by Applicable Law and, if any such payment is paid by the Borrower or any other Loan Party or received by any Lender, then such excess sum shall be credited as a payment of principal, unless the Borrower shall notify the respective Lender in writing that the Borrower elects to have such excess sum returned to it forthwith. It is the express intent of the parties hereto that the Borrower not pay and the Lenders not receive, directly or indirectly, in any manner whatsoever, interest in excess of that which may be lawfully paid by the Borrower under Applicable Law. The parties hereto hereby agree and stipulate that the only charge imposed upon the Borrower for the use of money in connection with this Agreement is and shall be the interest specifically described in Section 2.5.(a)(i) through (iv) and, with respect to Swingline Loans, in Section 2.4.(c). Notwithstanding the foregoing, the parties hereto further agree and stipulate that all agency fees, syndication fees, facility fees, closing fees, letter of credit fees, underwriting fees, default charges, late charges, funding or “breakage” charges, increased cost charges, attorneys’ fees and reimbursement for costs and expenses paid by the Administrative Agent or any Lender to third parties or for damages incurred by the Administrative Agent or any Lender, in each case, in connection with the transactions contemplated by this Agreement and the other Loan Documents, are charges made to compensate the Administrative Agent or any such Lender for underwriting or administrative services and costs or losses performed or incurred, and to be performed or incurred, by the Administrative Agent and the Lenders in connection with this Agreement and shall under no circumstances be deemed to be charges for the use of money. All charges other than charges for the use of money shall be fully earned and nonrefundable when due.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3.8. Statements of Account.</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Administrative Agent will account to the Borrower monthly with a statement of Loans, accrued interest and Fees, charges and payments made pursuant to this Agreement and the other Loan Documents, and such account rendered by the Administrative Agent shall be deemed conclusive upon the Borrower absent manifest error. The failure of the Administrative Agent to deliver such a statement of accounts shall not relieve or discharge the Borrower from any of its obligations hereunder.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3.9. Defaulting Lenders.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Notwithstanding anything to the contrary contained in this Agreement, if any Lender becomes a Defaulting Lender, then, until such time as such Lender is no longer a Defaulting Lender, to the extent permitted by Applicable Law:</w:t>
      </w:r>
    </w:p>
    <w:p>
      <w:pPr>
        <w:spacing w:after="0" w:line="132" w:lineRule="exact"/>
        <w:rPr>
          <w:sz w:val="20"/>
          <w:szCs w:val="20"/>
          <w:color w:val="auto"/>
        </w:rPr>
      </w:pPr>
    </w:p>
    <w:p>
      <w:pPr>
        <w:ind w:right="100" w:firstLine="464"/>
        <w:spacing w:after="0" w:line="298"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Waivers and Amendments</w:t>
      </w:r>
      <w:r>
        <w:rPr>
          <w:rFonts w:ascii="Arial" w:cs="Arial" w:eastAsia="Arial" w:hAnsi="Arial"/>
          <w:sz w:val="16"/>
          <w:szCs w:val="16"/>
          <w:color w:val="auto"/>
        </w:rPr>
        <w:t>. Such Defaulting Lender’s right to approve or disapprove any amendment, waiver or consent with respect to this Agreement shall be restricted as set forth in the definition of Requisite Lenders. The rights and remedies of the Borrower, the Administrative Agent, the Issuing Bank, the Swingline Lender and the other Lenders against a Defaulting Lender under this Section are in addition to any other rights and remedies such parties may have against such Defaulting Lender under this Agreement, any of the Loan Documents, Applicable Law or otherwise.</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48 -</w:t>
      </w:r>
    </w:p>
    <w:p>
      <w:pPr>
        <w:sectPr>
          <w:pgSz w:w="11900" w:h="16838" w:orient="portrait"/>
          <w:cols w:equalWidth="0" w:num="1">
            <w:col w:w="11420"/>
          </w:cols>
          <w:pgMar w:left="240" w:top="274" w:right="239" w:bottom="1440" w:gutter="0" w:footer="0" w:header="0"/>
        </w:sectPr>
      </w:pPr>
    </w:p>
    <w:bookmarkStart w:id="57" w:name="page58"/>
    <w:bookmarkEnd w:id="57"/>
    <w:p>
      <w:pPr>
        <w:ind w:left="-464" w:firstLine="464"/>
        <w:spacing w:after="0" w:line="284" w:lineRule="auto"/>
        <w:tabs>
          <w:tab w:leader="none" w:pos="241"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Article X. or otherwise) or received by the Administrative Agent from a Defaulting Lender pursuant to Section 3.3.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on a pro rata basis of any amounts owing by such Defaulting Lender to the Issuing Bank or the Swingline Lender hereunder;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Cash Collateralize the Issuing Bank’s Fronting Exposure with respect to such Defaulting Lender in accordance with subsection (e) below;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subsection (e) below;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the payment of any amounts owing to the Lenders, the Issuing Bank or the Swingline Lender as a result of any judgment of a court of competent jurisdiction obtained by any Lender, the Issuing Bank or the Swingline Lender against such Defaulting Lender as a result of such Defaulting Lender’s breach of its obligations under this Agreement;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amounts owing by such Defaulting Lender under Section 2.3.(j) in respect of Letters of Credit (such amounts “</w:t>
      </w:r>
      <w:r>
        <w:rPr>
          <w:rFonts w:ascii="Arial" w:cs="Arial" w:eastAsia="Arial" w:hAnsi="Arial"/>
          <w:sz w:val="16"/>
          <w:szCs w:val="16"/>
          <w:b w:val="1"/>
          <w:bCs w:val="1"/>
          <w:color w:val="auto"/>
        </w:rPr>
        <w:t>L/C Disbursements</w:t>
      </w:r>
      <w:r>
        <w:rPr>
          <w:rFonts w:ascii="Arial" w:cs="Arial" w:eastAsia="Arial" w:hAnsi="Arial"/>
          <w:sz w:val="16"/>
          <w:szCs w:val="16"/>
          <w:color w:val="auto"/>
        </w:rPr>
        <w:t>”), in respect of which such Defaulting Lender has not fully funded its appropriate share, and (y) such Loans were made or the related Letters of Credit were issued at a time when the conditions set forth in Article V.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Letter of Credit Liabilities and Swingline Loans are held by the Lenders pro rata in accordance with their respective Revolving Commitment Percentages (determined without giving effect to the immediately following subsection (d)). Any payments, prepayments or other amounts paid or payable to a Defaulting Lender that are applied (or held) to pay amounts owed by a Defaulting Lender or to post Cash Collateral pursuant to this subsection shall be deemed paid to and redirected by such Defaulting Lender, and each Lender irrevocably consents hereto.</w:t>
      </w:r>
    </w:p>
    <w:p>
      <w:pPr>
        <w:spacing w:after="0" w:line="122" w:lineRule="exact"/>
        <w:rPr>
          <w:rFonts w:ascii="Arial" w:cs="Arial" w:eastAsia="Arial" w:hAnsi="Arial"/>
          <w:sz w:val="16"/>
          <w:szCs w:val="16"/>
          <w:color w:val="auto"/>
        </w:rPr>
      </w:pPr>
    </w:p>
    <w:p>
      <w:pPr>
        <w:ind w:left="236" w:hanging="236"/>
        <w:spacing w:after="0"/>
        <w:tabs>
          <w:tab w:leader="none" w:pos="23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 w:right="120" w:firstLine="443"/>
        <w:spacing w:after="0" w:line="357" w:lineRule="auto"/>
        <w:tabs>
          <w:tab w:leader="none" w:pos="643" w:val="left"/>
        </w:tabs>
        <w:numPr>
          <w:ilvl w:val="1"/>
          <w:numId w:val="47"/>
        </w:numPr>
        <w:rPr>
          <w:rFonts w:ascii="Arial" w:cs="Arial" w:eastAsia="Arial" w:hAnsi="Arial"/>
          <w:sz w:val="15"/>
          <w:szCs w:val="15"/>
          <w:color w:val="auto"/>
        </w:rPr>
      </w:pPr>
      <w:r>
        <w:rPr>
          <w:rFonts w:ascii="Arial" w:cs="Arial" w:eastAsia="Arial" w:hAnsi="Arial"/>
          <w:sz w:val="15"/>
          <w:szCs w:val="15"/>
          <w:color w:val="auto"/>
        </w:rPr>
        <w:t>No Defaulting Lender shall be entitled to receive any Fee payable under Section 3.5.(b) for any period during which that Lender is a Defaulting Lender (and the Borrower shall not be required to pay any such fee that otherwise would have been required to have been paid to that Defaulting Lender).</w:t>
      </w:r>
    </w:p>
    <w:p>
      <w:pPr>
        <w:jc w:val="both"/>
        <w:ind w:left="-4" w:right="40" w:firstLine="443"/>
        <w:spacing w:after="0" w:line="259" w:lineRule="auto"/>
        <w:tabs>
          <w:tab w:leader="none" w:pos="692"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Defaulting Lender shall be entitled to receive letter of credit fees payable under Section 3.5.(c) for any period during which that Lender is a Defaulting Lender only to the extent allocable to its Revolving Commitment Percentage of the stated amount of Letters of Credit for which it has provided Cash Collateral pursuant to the immediately following subsection (e).</w:t>
      </w:r>
    </w:p>
    <w:p>
      <w:pPr>
        <w:spacing w:after="0" w:line="126" w:lineRule="exact"/>
        <w:rPr>
          <w:rFonts w:ascii="Arial" w:cs="Arial" w:eastAsia="Arial" w:hAnsi="Arial"/>
          <w:sz w:val="18"/>
          <w:szCs w:val="18"/>
          <w:color w:val="auto"/>
        </w:rPr>
      </w:pPr>
    </w:p>
    <w:p>
      <w:pPr>
        <w:ind w:left="5156" w:hanging="96"/>
        <w:spacing w:after="0"/>
        <w:tabs>
          <w:tab w:leader="none" w:pos="5156" w:val="left"/>
        </w:tabs>
        <w:numPr>
          <w:ilvl w:val="2"/>
          <w:numId w:val="47"/>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0936"/>
          </w:cols>
          <w:pgMar w:left="704" w:top="280" w:right="259" w:bottom="1440" w:gutter="0" w:footer="0" w:header="0"/>
        </w:sectPr>
      </w:pPr>
    </w:p>
    <w:bookmarkStart w:id="58" w:name="page59"/>
    <w:bookmarkEnd w:id="58"/>
    <w:p>
      <w:pPr>
        <w:ind w:left="-4" w:firstLine="443"/>
        <w:spacing w:after="0" w:line="291" w:lineRule="auto"/>
        <w:tabs>
          <w:tab w:leader="none" w:pos="741" w:val="left"/>
        </w:tabs>
        <w:numPr>
          <w:ilvl w:val="1"/>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any Fee that would have been required to be paid to any Defaulting Lender but for the immediately preceding clauses (i) or (ii), the Borrower shall (x) pay to each Non-Defaulting Lender that portion of any such Fee otherwise payable to such Defaulting Lender with respect to such Defaulting Lender’s participation in Letter of Credit Liabilities or Swingline Loans that has been reallocated to such Non-Defaulting Lender pursuant to the immediately following subsection (d), (y) pay to each Issuing Bank and Swingline Lender, as applicable, the amount of any such Fee otherwise payable to such Defaulting Lender to the extent allocable to such Issuing Bank’s or Swingline Lender’s Fronting Exposure to such Defaulting Lender, and (z) not be required to pay the remaining amount of any such Fee.</w:t>
      </w:r>
    </w:p>
    <w:p>
      <w:pPr>
        <w:spacing w:after="0" w:line="120" w:lineRule="exact"/>
        <w:rPr>
          <w:rFonts w:ascii="Arial" w:cs="Arial" w:eastAsia="Arial" w:hAnsi="Arial"/>
          <w:sz w:val="16"/>
          <w:szCs w:val="16"/>
          <w:color w:val="auto"/>
        </w:rPr>
      </w:pPr>
    </w:p>
    <w:p>
      <w:pPr>
        <w:ind w:left="-464" w:right="20" w:firstLine="464"/>
        <w:spacing w:after="0" w:line="289" w:lineRule="auto"/>
        <w:tabs>
          <w:tab w:leader="none" w:pos="241"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Reallocation of Participations to Reduce Fronting Exposure</w:t>
      </w:r>
      <w:r>
        <w:rPr>
          <w:rFonts w:ascii="Arial" w:cs="Arial" w:eastAsia="Arial" w:hAnsi="Arial"/>
          <w:sz w:val="16"/>
          <w:szCs w:val="16"/>
          <w:color w:val="auto"/>
        </w:rPr>
        <w:t>. All or any part of such Defaulting Lender’s participation in Letter of Credit Liabilities and Swingline Loans shall be reallocated among the Non-Defaulting Lenders in accordance with their respective Revolving Commitment Percentages (determined without regard to such Defaulting Lender’s Commitment) but only to the extent that (x) the conditions set forth in Section 5.2.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18" w:lineRule="exact"/>
        <w:rPr>
          <w:rFonts w:ascii="Arial" w:cs="Arial" w:eastAsia="Arial" w:hAnsi="Arial"/>
          <w:sz w:val="16"/>
          <w:szCs w:val="16"/>
          <w:color w:val="auto"/>
        </w:rPr>
      </w:pPr>
    </w:p>
    <w:p>
      <w:pPr>
        <w:ind w:left="236" w:hanging="236"/>
        <w:spacing w:after="0"/>
        <w:tabs>
          <w:tab w:leader="none" w:pos="23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Swingline Loans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 w:right="60" w:firstLine="443"/>
        <w:spacing w:after="0" w:line="323" w:lineRule="auto"/>
        <w:tabs>
          <w:tab w:leader="none" w:pos="643" w:val="left"/>
        </w:tabs>
        <w:numPr>
          <w:ilvl w:val="1"/>
          <w:numId w:val="49"/>
        </w:numPr>
        <w:rPr>
          <w:rFonts w:ascii="Arial" w:cs="Arial" w:eastAsia="Arial" w:hAnsi="Arial"/>
          <w:sz w:val="15"/>
          <w:szCs w:val="15"/>
          <w:color w:val="auto"/>
        </w:rPr>
      </w:pPr>
      <w:r>
        <w:rPr>
          <w:rFonts w:ascii="Arial" w:cs="Arial" w:eastAsia="Arial" w:hAnsi="Arial"/>
          <w:sz w:val="15"/>
          <w:szCs w:val="15"/>
          <w:color w:val="auto"/>
        </w:rPr>
        <w:t>If the reallocation described in the immediately preceding subsection (d) above cannot, or can only partially, be effected, the Borrower shall, without prejudice to any right or remedy available to it hereunder or under law, (x) first, prepay Swingline Loans in an amount equal to the Swingline Lender’s Fronting Exposure and (y) second, Cash Collateralize the Issuing Bank’s Fronting Exposure in accordance with the procedures set forth in this subsection; such prepayment and/or cash collateralization may be provided by a borrowing of Revolving Loans if the conditions precedent thereto are met.</w:t>
      </w:r>
    </w:p>
    <w:p>
      <w:pPr>
        <w:spacing w:after="0" w:line="17" w:lineRule="exact"/>
        <w:rPr>
          <w:sz w:val="20"/>
          <w:szCs w:val="20"/>
          <w:color w:val="auto"/>
        </w:rPr>
      </w:pPr>
    </w:p>
    <w:p>
      <w:pPr>
        <w:ind w:left="-4" w:right="80" w:firstLine="443"/>
        <w:spacing w:after="0" w:line="294" w:lineRule="auto"/>
        <w:tabs>
          <w:tab w:leader="none" w:pos="692" w:val="left"/>
        </w:tabs>
        <w:numPr>
          <w:ilvl w:val="0"/>
          <w:numId w:val="50"/>
        </w:numPr>
        <w:rPr>
          <w:rFonts w:ascii="Arial" w:cs="Arial" w:eastAsia="Arial" w:hAnsi="Arial"/>
          <w:sz w:val="16"/>
          <w:szCs w:val="16"/>
          <w:color w:val="auto"/>
        </w:rPr>
      </w:pPr>
      <w:r>
        <w:rPr>
          <w:rFonts w:ascii="Arial" w:cs="Arial" w:eastAsia="Arial" w:hAnsi="Arial"/>
          <w:sz w:val="16"/>
          <w:szCs w:val="16"/>
          <w:color w:val="auto"/>
        </w:rPr>
        <w:t>At any time that there shall exist a Defaulting Lender, within three (3) Business Days following the written request of the Administrative Agent or the Issuing Bank (with a copy to the Administrative Agent), the Borrower shall Cash Collateralize the Issuing Bank’s Fronting Exposure with respect to such Defaulting Lender (determined after giving effect to the immediately preceding subsection (d) and any Cash Collateral provided by such Defaulting Lender) in an amount not less than the aggregate Fronting Exposure of the Issuing Bank with respect to Letters of Credit issued and outstanding at such time; such cash collateralization may be provided by a borrowing of Revolving Loans if the conditions precedent thereto are met.</w:t>
      </w:r>
    </w:p>
    <w:p>
      <w:pPr>
        <w:spacing w:after="0" w:line="34" w:lineRule="exact"/>
        <w:rPr>
          <w:rFonts w:ascii="Arial" w:cs="Arial" w:eastAsia="Arial" w:hAnsi="Arial"/>
          <w:sz w:val="16"/>
          <w:szCs w:val="16"/>
          <w:color w:val="auto"/>
        </w:rPr>
      </w:pPr>
    </w:p>
    <w:p>
      <w:pPr>
        <w:ind w:left="-4" w:right="80" w:firstLine="443"/>
        <w:spacing w:after="0" w:line="294" w:lineRule="auto"/>
        <w:tabs>
          <w:tab w:leader="none" w:pos="7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Borrower, and to the extent provided by any Defaulting Lender, such Defaulting Lender, hereby grant to the Administrative Agent, for the benefit of the Issuing Bank, and agree to maintain, a first priority security interest in all such Cash Collateral as security for the Defaulting Lenders’ obligation to fund participations in respect of Letter of Credit Liabilities, to be applied pursuant to the immediately following clause (iv). If at any time the Administrative Agent determines in good faith that Cash Collateral is subject to any right or claim of any Person other than the Administrative Agent and the Issuing Bank as herein provided, or that the total amount of such Cash Collateral is less than the aggregate Fronting Exposure of the Issuing Bank</w:t>
      </w:r>
    </w:p>
    <w:p>
      <w:pPr>
        <w:spacing w:after="0" w:line="102" w:lineRule="exact"/>
        <w:rPr>
          <w:rFonts w:ascii="Arial" w:cs="Arial" w:eastAsia="Arial" w:hAnsi="Arial"/>
          <w:sz w:val="16"/>
          <w:szCs w:val="16"/>
          <w:color w:val="auto"/>
        </w:rPr>
      </w:pPr>
    </w:p>
    <w:p>
      <w:pPr>
        <w:ind w:left="5156" w:hanging="96"/>
        <w:spacing w:after="0"/>
        <w:tabs>
          <w:tab w:leader="none" w:pos="5156" w:val="left"/>
        </w:tabs>
        <w:numPr>
          <w:ilvl w:val="1"/>
          <w:numId w:val="50"/>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0936"/>
          </w:cols>
          <w:pgMar w:left="704" w:top="280" w:right="259" w:bottom="1440" w:gutter="0" w:footer="0" w:header="0"/>
        </w:sectPr>
      </w:pPr>
    </w:p>
    <w:bookmarkStart w:id="59" w:name="page60"/>
    <w:bookmarkEnd w:id="59"/>
    <w:p>
      <w:pPr>
        <w:jc w:val="both"/>
        <w:ind w:left="460" w:right="5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Letters of Credit issued and outstanding at such time,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59" w:lineRule="exact"/>
        <w:rPr>
          <w:sz w:val="20"/>
          <w:szCs w:val="20"/>
          <w:color w:val="auto"/>
        </w:rPr>
      </w:pPr>
    </w:p>
    <w:p>
      <w:pPr>
        <w:ind w:left="460" w:right="20" w:firstLine="443"/>
        <w:spacing w:after="0" w:line="256" w:lineRule="auto"/>
        <w:tabs>
          <w:tab w:leader="none" w:pos="1196"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Cash Collateral provided under this Section in respect of Letters of Credit shall be applied to the satisfaction of the Defaulting Lender’s obligation to fund participations in respect of Letter of Credit Liabilities (including, as to Cash Collateral provided by a Defaulting Lender, any interest accrued on such obligation) for which the Cash Collateral was so provided, prior to any other application of such property as may otherwise be provided for herein.</w:t>
      </w:r>
    </w:p>
    <w:p>
      <w:pPr>
        <w:spacing w:after="0" w:line="62" w:lineRule="exact"/>
        <w:rPr>
          <w:rFonts w:ascii="Arial" w:cs="Arial" w:eastAsia="Arial" w:hAnsi="Arial"/>
          <w:sz w:val="18"/>
          <w:szCs w:val="18"/>
          <w:color w:val="auto"/>
        </w:rPr>
      </w:pPr>
    </w:p>
    <w:p>
      <w:pPr>
        <w:ind w:left="460" w:firstLine="443"/>
        <w:spacing w:after="0" w:line="294" w:lineRule="auto"/>
        <w:tabs>
          <w:tab w:leader="none" w:pos="1147"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Cash Collateral (or the appropriate portion thereof) provided to reduce the Issuing Bank’s Fronting Exposure shall no longer be required to be held as Cash Collateral pursuant to this subsection following (x) the elimination of the applicable Fronting Exposure (including by the termination of Defaulting Lender status of the applicable Lender), or (y) the determination by the Administrative Agent and the Issuing Bank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immediately preceding subsection (b), the Person providing Cash Collateral and the Issuing Bank may (but shall not be obligated to) agree that Cash Collateral shall be held to support future anticipated Fronting Exposure or other obligations.</w:t>
      </w:r>
    </w:p>
    <w:p>
      <w:pPr>
        <w:spacing w:after="0" w:line="115" w:lineRule="exact"/>
        <w:rPr>
          <w:rFonts w:ascii="Arial" w:cs="Arial" w:eastAsia="Arial" w:hAnsi="Arial"/>
          <w:sz w:val="16"/>
          <w:szCs w:val="16"/>
          <w:color w:val="auto"/>
        </w:rPr>
      </w:pPr>
    </w:p>
    <w:p>
      <w:pPr>
        <w:ind w:right="40" w:firstLine="464"/>
        <w:spacing w:after="0" w:line="288" w:lineRule="auto"/>
        <w:tabs>
          <w:tab w:leader="none" w:pos="676"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Borrower, the Administrative Agent, the Swingline Lender and the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their respective Revolving Commitment Percentages (determined without giving effect to the immediately preceding subsection (d)), whereupon such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19" w:lineRule="exact"/>
        <w:rPr>
          <w:rFonts w:ascii="Arial" w:cs="Arial" w:eastAsia="Arial" w:hAnsi="Arial"/>
          <w:sz w:val="16"/>
          <w:szCs w:val="16"/>
          <w:color w:val="auto"/>
        </w:rPr>
      </w:pPr>
    </w:p>
    <w:p>
      <w:pPr>
        <w:ind w:right="40" w:firstLine="464"/>
        <w:spacing w:after="0" w:line="254"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New Swingline Loans/Letters of Credit</w:t>
      </w:r>
      <w:r>
        <w:rPr>
          <w:rFonts w:ascii="Arial" w:cs="Arial" w:eastAsia="Arial" w:hAnsi="Arial"/>
          <w:sz w:val="18"/>
          <w:szCs w:val="18"/>
          <w:color w:val="auto"/>
        </w:rPr>
        <w:t>. So long as any Lender is a Defaulting Lender, (i) the Swingline Lender shall not be required to fund any portion of a requested Swingline Loan unless it is satisfied that it will have no Fronting Exposure after giving effect to such funded portion of such Swingline Loan and (ii) the Issuing Bank shall not be required to issue, extend, renew or increase any Letter of Credit in an amount which would expose the Issuing Bank to Fronting Exposure after giving effect thereto; provided, however, that to the extent Defaulting Lender’s participation in Letter of Credit Liabilities and Swingline Loans is reallocated in accordance with Section 3.9.(d), the Swingline Lender and the Issuing Bank shall not be deemed to have Fronting Exposure to the extent of such reallocation to Non-Defaulting Lenders.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3.10. Taxes; Foreign Lenders.</w:t>
      </w:r>
    </w:p>
    <w:p>
      <w:pPr>
        <w:spacing w:after="0" w:line="96" w:lineRule="exact"/>
        <w:rPr>
          <w:sz w:val="20"/>
          <w:szCs w:val="20"/>
          <w:color w:val="auto"/>
        </w:rPr>
      </w:pPr>
    </w:p>
    <w:p>
      <w:pPr>
        <w:ind w:right="120" w:firstLine="464"/>
        <w:spacing w:after="0" w:line="268"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Taxes Generally</w:t>
      </w:r>
      <w:r>
        <w:rPr>
          <w:rFonts w:ascii="Arial" w:cs="Arial" w:eastAsia="Arial" w:hAnsi="Arial"/>
          <w:sz w:val="18"/>
          <w:szCs w:val="18"/>
          <w:color w:val="auto"/>
        </w:rPr>
        <w:t>. All payments by the Borrower of principal of, and interest on, the Loans and all other Obligations shall be made free and clear of and without deduction for any present or</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420"/>
          </w:cols>
          <w:pgMar w:left="240" w:top="280" w:right="239" w:bottom="1440" w:gutter="0" w:footer="0" w:header="0"/>
        </w:sectPr>
      </w:pPr>
    </w:p>
    <w:bookmarkStart w:id="60" w:name="page61"/>
    <w:bookmarkEnd w:id="60"/>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future excise, stamp or other taxes, fees, duties, levies, imposts, charges, deductions, withholdings or other charges of any nature whatsoever imposed by any taxing authority, but excluding (i) franchise taxes, (ii) any taxes (other than withholding taxes) with respect to the Administrative Agent, the Issuing Bank or a Lender that would not be imposed but for a connection between the Administrative Agent, the Issuing Bank or a Lender and the jurisdiction imposing such taxes (other than a connection arising solely by virtue of the activities of the Administrative Agent, the Issuing Bank or such Lender pursuant to or in respect of this Agreement or any other Loan Document), (iii) any taxes imposed on or measured by the Issuing Bank’s or any Lender’s assets, net income, receipts or branch profits, (iv) any withholding taxes or backup withholding taxes due by reason of the inaccuracy of, or failure to deliver, any of the forms as required under Section 3.10.(c), (v) any taxes arising after the Agreement Date solely as a result of or attributable to a Lender changing its designated Lending Office after the date such Lender becomes a party hereto, and (vi) any taxes imposed by Sections 1471 through Section 1474 of the Internal Revenue Code (including any official interpretations thereof, collectively “</w:t>
      </w:r>
      <w:r>
        <w:rPr>
          <w:rFonts w:ascii="Arial" w:cs="Arial" w:eastAsia="Arial" w:hAnsi="Arial"/>
          <w:sz w:val="16"/>
          <w:szCs w:val="16"/>
          <w:b w:val="1"/>
          <w:bCs w:val="1"/>
          <w:color w:val="auto"/>
        </w:rPr>
        <w:t>FATCA</w:t>
      </w:r>
      <w:r>
        <w:rPr>
          <w:rFonts w:ascii="Arial" w:cs="Arial" w:eastAsia="Arial" w:hAnsi="Arial"/>
          <w:sz w:val="16"/>
          <w:szCs w:val="16"/>
          <w:color w:val="auto"/>
        </w:rPr>
        <w:t>”) on any “withholdable payment” payable to such recipient after December 31, 2012 (such non-excluded items being collectively called “</w:t>
      </w:r>
      <w:r>
        <w:rPr>
          <w:rFonts w:ascii="Arial" w:cs="Arial" w:eastAsia="Arial" w:hAnsi="Arial"/>
          <w:sz w:val="16"/>
          <w:szCs w:val="16"/>
          <w:b w:val="1"/>
          <w:bCs w:val="1"/>
          <w:color w:val="auto"/>
        </w:rPr>
        <w:t>Taxes</w:t>
      </w:r>
      <w:r>
        <w:rPr>
          <w:rFonts w:ascii="Arial" w:cs="Arial" w:eastAsia="Arial" w:hAnsi="Arial"/>
          <w:sz w:val="16"/>
          <w:szCs w:val="16"/>
          <w:color w:val="auto"/>
        </w:rPr>
        <w:t>”). If any withholding or deduction from any payment to be made by the Borrower hereunder is required in respect of any Taxes pursuant to any Applicable Law, then the Borrower will:</w:t>
      </w:r>
    </w:p>
    <w:p>
      <w:pPr>
        <w:spacing w:after="0" w:line="46" w:lineRule="exact"/>
        <w:rPr>
          <w:sz w:val="20"/>
          <w:szCs w:val="20"/>
          <w:color w:val="auto"/>
        </w:rPr>
      </w:pPr>
    </w:p>
    <w:p>
      <w:pPr>
        <w:ind w:left="460" w:right="80" w:firstLine="443"/>
        <w:spacing w:after="0" w:line="306" w:lineRule="auto"/>
        <w:tabs>
          <w:tab w:leader="none" w:pos="1108" w:val="left"/>
        </w:tabs>
        <w:numPr>
          <w:ilvl w:val="1"/>
          <w:numId w:val="54"/>
        </w:numPr>
        <w:rPr>
          <w:rFonts w:ascii="Arial" w:cs="Arial" w:eastAsia="Arial" w:hAnsi="Arial"/>
          <w:sz w:val="16"/>
          <w:szCs w:val="16"/>
          <w:color w:val="auto"/>
        </w:rPr>
      </w:pPr>
      <w:r>
        <w:rPr>
          <w:rFonts w:ascii="Arial" w:cs="Arial" w:eastAsia="Arial" w:hAnsi="Arial"/>
          <w:sz w:val="16"/>
          <w:szCs w:val="16"/>
          <w:color w:val="auto"/>
        </w:rPr>
        <w:t>calculate an increased amount due to the Administrative Agent, the Issuing Bank or any Lender, as applicable, such that, after payment of the amount of Tax imposed thereon, the net amount actually received by the Administrative Agent, the Issuing Bank or such Lender will equal the full amount that the Administrative Agent, the Issuing Bank or such Lender would have received had no such withholding or deduction been required;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pay directly to the relevant Governmental Authority the full amount required to be so withheld or deducted out of the amount calculated in clause</w:t>
      </w:r>
    </w:p>
    <w:p>
      <w:pPr>
        <w:spacing w:after="0" w:line="38" w:lineRule="exact"/>
        <w:rPr>
          <w:rFonts w:ascii="Arial" w:cs="Arial" w:eastAsia="Arial" w:hAnsi="Arial"/>
          <w:sz w:val="16"/>
          <w:szCs w:val="16"/>
          <w:color w:val="auto"/>
        </w:rPr>
      </w:pPr>
    </w:p>
    <w:p>
      <w:pPr>
        <w:ind w:left="680" w:hanging="216"/>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above; and</w:t>
      </w:r>
    </w:p>
    <w:p>
      <w:pPr>
        <w:spacing w:after="0" w:line="83" w:lineRule="exact"/>
        <w:rPr>
          <w:rFonts w:ascii="Arial" w:cs="Arial" w:eastAsia="Arial" w:hAnsi="Arial"/>
          <w:sz w:val="18"/>
          <w:szCs w:val="18"/>
          <w:color w:val="auto"/>
        </w:rPr>
      </w:pPr>
    </w:p>
    <w:p>
      <w:pPr>
        <w:ind w:left="460" w:right="340" w:firstLine="443"/>
        <w:spacing w:after="0" w:line="268" w:lineRule="auto"/>
        <w:tabs>
          <w:tab w:leader="none" w:pos="1205" w:val="left"/>
        </w:tabs>
        <w:numPr>
          <w:ilvl w:val="1"/>
          <w:numId w:val="55"/>
        </w:numPr>
        <w:rPr>
          <w:rFonts w:ascii="Arial" w:cs="Arial" w:eastAsia="Arial" w:hAnsi="Arial"/>
          <w:sz w:val="18"/>
          <w:szCs w:val="18"/>
          <w:color w:val="auto"/>
        </w:rPr>
      </w:pPr>
      <w:r>
        <w:rPr>
          <w:rFonts w:ascii="Arial" w:cs="Arial" w:eastAsia="Arial" w:hAnsi="Arial"/>
          <w:sz w:val="18"/>
          <w:szCs w:val="18"/>
          <w:color w:val="auto"/>
        </w:rPr>
        <w:t>promptly forward to the Administrative Agent an official receipt or other documentation satisfactory to the Administrative Agent evidencing such payment to such Governmental Authority; and</w:t>
      </w:r>
    </w:p>
    <w:p>
      <w:pPr>
        <w:spacing w:after="0" w:line="50" w:lineRule="exact"/>
        <w:rPr>
          <w:rFonts w:ascii="Arial" w:cs="Arial" w:eastAsia="Arial" w:hAnsi="Arial"/>
          <w:sz w:val="18"/>
          <w:szCs w:val="18"/>
          <w:color w:val="auto"/>
        </w:rPr>
      </w:pPr>
    </w:p>
    <w:p>
      <w:pPr>
        <w:ind w:left="460" w:firstLine="443"/>
        <w:spacing w:after="0" w:line="268" w:lineRule="auto"/>
        <w:tabs>
          <w:tab w:leader="none" w:pos="1196" w:val="left"/>
        </w:tabs>
        <w:numPr>
          <w:ilvl w:val="1"/>
          <w:numId w:val="55"/>
        </w:numPr>
        <w:rPr>
          <w:rFonts w:ascii="Arial" w:cs="Arial" w:eastAsia="Arial" w:hAnsi="Arial"/>
          <w:sz w:val="18"/>
          <w:szCs w:val="18"/>
          <w:color w:val="auto"/>
        </w:rPr>
      </w:pPr>
      <w:r>
        <w:rPr>
          <w:rFonts w:ascii="Arial" w:cs="Arial" w:eastAsia="Arial" w:hAnsi="Arial"/>
          <w:sz w:val="18"/>
          <w:szCs w:val="18"/>
          <w:color w:val="auto"/>
        </w:rPr>
        <w:t>pay the remaining amount (the amount calculated in clause (i) above less the amount paid in clause (ii) above) to the Administrative Agent for its account or the account of the applicable Lender or the Issuing Bank, as the case may be.</w:t>
      </w:r>
    </w:p>
    <w:p>
      <w:pPr>
        <w:spacing w:after="0" w:line="132" w:lineRule="exact"/>
        <w:rPr>
          <w:sz w:val="20"/>
          <w:szCs w:val="20"/>
          <w:color w:val="auto"/>
        </w:rPr>
      </w:pPr>
    </w:p>
    <w:p>
      <w:pPr>
        <w:ind w:right="80" w:firstLine="464"/>
        <w:spacing w:after="0" w:line="294" w:lineRule="auto"/>
        <w:tabs>
          <w:tab w:leader="none" w:pos="70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Tax Indemnification</w:t>
      </w:r>
      <w:r>
        <w:rPr>
          <w:rFonts w:ascii="Arial" w:cs="Arial" w:eastAsia="Arial" w:hAnsi="Arial"/>
          <w:sz w:val="16"/>
          <w:szCs w:val="16"/>
          <w:color w:val="auto"/>
        </w:rPr>
        <w:t>. If the Borrower fails to pay any Taxes when due to the appropriate Governmental Authority or fails to remit to the Administrative Agent, for its account or the account of the Issuing Bank or respective Lender, as the case may be, the required receipts or other required documentary evidence, the Borrower shall indemnify the Administrative Agent, the Issuing Bank and the Lenders for any incremental Taxes, interest or penalties that may become payable by the Administrative Agent, the Issuing Bank or any Lender as a result of any such failure. For purposes of this Section, a distribution hereunder by the Administrative Agent or any Lender to or for the account of any Lender shall be deemed a payment by the Borrower.</w:t>
      </w:r>
    </w:p>
    <w:p>
      <w:pPr>
        <w:spacing w:after="0" w:line="115" w:lineRule="exact"/>
        <w:rPr>
          <w:rFonts w:ascii="Arial" w:cs="Arial" w:eastAsia="Arial" w:hAnsi="Arial"/>
          <w:sz w:val="16"/>
          <w:szCs w:val="16"/>
          <w:color w:val="auto"/>
        </w:rPr>
      </w:pPr>
    </w:p>
    <w:p>
      <w:pPr>
        <w:ind w:right="220" w:firstLine="464"/>
        <w:spacing w:after="0" w:line="291" w:lineRule="auto"/>
        <w:tabs>
          <w:tab w:leader="none" w:pos="69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Tax Forms</w:t>
      </w:r>
      <w:r>
        <w:rPr>
          <w:rFonts w:ascii="Arial" w:cs="Arial" w:eastAsia="Arial" w:hAnsi="Arial"/>
          <w:sz w:val="16"/>
          <w:szCs w:val="16"/>
          <w:color w:val="auto"/>
        </w:rPr>
        <w:t>. Prior to the date that any Lender or Participant organized under the laws of a jurisdiction outside the United States of America becomes a party hereto, such Person shall deliver to the Borrower and the Administrative Agent such certificates, documents or other evidence, as required by the Internal Revenue Code or Treasury Regulations issued pursuant thereto (including Internal Revenue Service Forms W-8ECI and W-8BEN, as applicable, or appropriate successor forms), properly completed, currently effective and duly executed by such Lender or Participant establishing that payments to it hereunder and under the Notes are (i) not subject to United States Federal backup withholding tax and (ii) not subject to United States Federal withholding tax under the Internal Revenue Code. On or prior to the</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1420"/>
          </w:cols>
          <w:pgMar w:left="240" w:top="280" w:right="239" w:bottom="1440" w:gutter="0" w:footer="0" w:header="0"/>
        </w:sectPr>
      </w:pPr>
    </w:p>
    <w:bookmarkStart w:id="61" w:name="page62"/>
    <w:bookmarkEnd w:id="6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any Lender or Issuing Bank or Participant that is a United States person (as such term is defined in Section 7701(a)(30) of the Internal Revenue Code) (any of the foregoing, a “US Lender”) becomes a party to this Agreement (or, in the case of any Participant, on or before the date such Participant purchases the related participation), each such US Lender shall deliver to the Borrower and the Administrative Agent two accurate and complete copies of Internal Revenue Service Form W-9, or any subsequent versions or successors to such form, currently effective and duly executed by such US Lender, establishing that payments to it hereunder and under the Notes are not subject to United States Federal backup withholding tax. Each Lender, Issuing Bank or Participant shall, to the extent it may lawfully do so, (x) deliver further copies of such forms or other appropriate certifications required by this subsection on or before the date that any such forms expire or become obsolete and after the occurrence of any event requiring a change in the most recent form delivered to the Borrower or the Administrative Agent and (y) obtain such extensions of the time for filing, and renew such forms and certifications thereof, as may be reasonably requested by the Borrower or the Administrative Agent. The Borrower shall not be required to pay any amount pursuant to the last sentence of subsection (a) above (or in respect thereof, under subsection (b) above) to any Lender, Issuing Bank or Participant, if such Lender, Issuing Bank, Participant or the Administrative Agent, as applicable, fails to comply with the requirements of this subsection. If any such Lender, Issuing Bank or Participant, to the extent it may lawfully do so, fails to deliver the above forms or other documentation, then the Administrative Agent may withhold from such payment to such Lender, Issuing Bank or Participant such amounts as are required by the Internal Revenue Code. If any Governmental Authority asserts that the Administrative Agent did not properly withhold or backup withhold, as the case may be, any tax or other amount from payments made to or for the account of any Lender, Issuing Bank or Participant, such Lender, Issuing Bank or Participant shall indemnify the Administrative Agent therefor, including all penalties and interest, any taxes imposed by any jurisdiction on the amounts payable to the Administrative Agent under this Section, and costs and expenses (including all reasonable fees and disbursements of any law firm or other external counsel and the allocated cost of internal legal services and all disbursements of internal counsel) of the Administrative Agent. The obligation of the Lenders, Issuing Bank and Participants under this Section shall survive the termination of the Commitments, repayment of all Obligations and the resignation or replacement of the Administrative Agent. If a successor Administrative Agent is organized under the laws of a jurisdiction outside the United States of America, or is a United States person (as such term is defined in Section 7701(a)(30) of the Internal Revenue Code) that is not an “exempt recipient” as such term is defined in Treasury Regulations section 31.3406(g)-1, then such successor Administrative Agent shall be subject to the same obligations as an applicable Lender under this Section 3.10(c).</w:t>
      </w:r>
    </w:p>
    <w:p>
      <w:pPr>
        <w:spacing w:after="0" w:line="126" w:lineRule="exact"/>
        <w:rPr>
          <w:sz w:val="20"/>
          <w:szCs w:val="20"/>
          <w:color w:val="auto"/>
        </w:rPr>
      </w:pPr>
    </w:p>
    <w:p>
      <w:pPr>
        <w:ind w:right="100" w:firstLine="464"/>
        <w:spacing w:after="0" w:line="298" w:lineRule="auto"/>
        <w:tabs>
          <w:tab w:leader="none" w:pos="70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USA Patriot Act Notice; Compliance</w:t>
      </w:r>
      <w:r>
        <w:rPr>
          <w:rFonts w:ascii="Arial" w:cs="Arial" w:eastAsia="Arial" w:hAnsi="Arial"/>
          <w:sz w:val="16"/>
          <w:szCs w:val="16"/>
          <w:color w:val="auto"/>
        </w:rPr>
        <w:t>. In order for the Administrative Agent to comply with the USA Patriot Act of 2001 (Public Law 107-56), prior to any Lender or Participant that is organized under the laws of a jurisdiction outside of the United States of America becoming a party hereto, the Administrative Agent may request, and such Lender or Participant shall provide to the Administrative Agent, its name, address, tax identification number and/or such other identification information as shall be necessary for the Administrative Agent to comply with federal law.</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IV. Y</w:t>
      </w:r>
      <w:r>
        <w:rPr>
          <w:rFonts w:ascii="Arial" w:cs="Arial" w:eastAsia="Arial" w:hAnsi="Arial"/>
          <w:sz w:val="14"/>
          <w:szCs w:val="14"/>
          <w:b w:val="1"/>
          <w:bCs w:val="1"/>
          <w:color w:val="auto"/>
        </w:rPr>
        <w:t>IELD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ROTECTION</w:t>
      </w:r>
      <w:r>
        <w:rPr>
          <w:rFonts w:ascii="Arial" w:cs="Arial" w:eastAsia="Arial" w:hAnsi="Arial"/>
          <w:sz w:val="18"/>
          <w:szCs w:val="18"/>
          <w:b w:val="1"/>
          <w:bCs w:val="1"/>
          <w:color w:val="auto"/>
        </w:rPr>
        <w:t>, E</w:t>
      </w:r>
      <w:r>
        <w:rPr>
          <w:rFonts w:ascii="Arial" w:cs="Arial" w:eastAsia="Arial" w:hAnsi="Arial"/>
          <w:sz w:val="14"/>
          <w:szCs w:val="14"/>
          <w:b w:val="1"/>
          <w:bCs w:val="1"/>
          <w:color w:val="auto"/>
        </w:rPr>
        <w:t>TC</w:t>
      </w:r>
      <w:r>
        <w:rPr>
          <w:rFonts w:ascii="Arial" w:cs="Arial" w:eastAsia="Arial" w:hAnsi="Arial"/>
          <w:sz w:val="18"/>
          <w:szCs w:val="18"/>
          <w:b w:val="1"/>
          <w:b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Additional Costs; Capital Adequacy.</w:t>
      </w:r>
    </w:p>
    <w:p>
      <w:pPr>
        <w:spacing w:after="0" w:line="96" w:lineRule="exact"/>
        <w:rPr>
          <w:sz w:val="20"/>
          <w:szCs w:val="20"/>
          <w:color w:val="auto"/>
        </w:rPr>
      </w:pPr>
    </w:p>
    <w:p>
      <w:pPr>
        <w:ind w:firstLine="464"/>
        <w:spacing w:after="0" w:line="298" w:lineRule="auto"/>
        <w:tabs>
          <w:tab w:leader="none" w:pos="69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Capital Adequacy</w:t>
      </w:r>
      <w:r>
        <w:rPr>
          <w:rFonts w:ascii="Arial" w:cs="Arial" w:eastAsia="Arial" w:hAnsi="Arial"/>
          <w:sz w:val="16"/>
          <w:szCs w:val="16"/>
          <w:color w:val="auto"/>
        </w:rPr>
        <w:t>. If any Lender or any Participant determines that compliance with any law or regulation or with any guideline or request from any central bank or other Governmental Authority issued or taking effect after the Agreement Date including any Regulatory Change (whether or not having the force of law) affects or would affect the amount of capital required or expected to be maintained by such Lender or such Participant, or any corporation controlling such Lender or such Participant, as a consequence of, or with reference to, such Lender’s Commitments or its making, Converting to,</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1420"/>
          </w:cols>
          <w:pgMar w:left="240" w:top="280" w:right="239" w:bottom="1440" w:gutter="0" w:footer="0" w:header="0"/>
        </w:sectPr>
      </w:pPr>
    </w:p>
    <w:bookmarkStart w:id="62" w:name="page63"/>
    <w:bookmarkEnd w:id="62"/>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Continuing of, or maintaining Loans or participating in Letters of Credit or Swingline Loans below the rate which such Lender or such Participant or such corporation controlling such Lender or such Participant could have achieved but for such compliance (taking into account the policies of such Lender or such Participant or such corporation with regard to capital), then the Borrower shall, from time to time, within thirty (30) days after written demand by such Lender or such Participant, pay to such Lender or such Participant additional amounts sufficient to compensate such Lender or such Participant or such corporation controlling such Lender or such Participant to the extent that such Lender or such Participant determines such increase in capital is allocable to such Lender’s or such Participant’s obligations hereunder.</w:t>
      </w:r>
    </w:p>
    <w:p>
      <w:pPr>
        <w:spacing w:after="0" w:line="144" w:lineRule="exact"/>
        <w:rPr>
          <w:sz w:val="20"/>
          <w:szCs w:val="20"/>
          <w:color w:val="auto"/>
        </w:rPr>
      </w:pPr>
    </w:p>
    <w:p>
      <w:pPr>
        <w:ind w:right="100" w:firstLine="464"/>
        <w:spacing w:after="0" w:line="305" w:lineRule="auto"/>
        <w:tabs>
          <w:tab w:leader="none" w:pos="705" w:val="left"/>
        </w:tabs>
        <w:numPr>
          <w:ilvl w:val="1"/>
          <w:numId w:val="59"/>
        </w:numPr>
        <w:rPr>
          <w:rFonts w:ascii="Arial" w:cs="Arial" w:eastAsia="Arial" w:hAnsi="Arial"/>
          <w:sz w:val="15"/>
          <w:szCs w:val="15"/>
          <w:color w:val="auto"/>
        </w:rPr>
      </w:pPr>
      <w:r>
        <w:rPr>
          <w:rFonts w:ascii="Arial" w:cs="Arial" w:eastAsia="Arial" w:hAnsi="Arial"/>
          <w:sz w:val="15"/>
          <w:szCs w:val="15"/>
          <w:u w:val="single" w:color="auto"/>
          <w:color w:val="auto"/>
        </w:rPr>
        <w:t>Additional Costs.</w:t>
      </w:r>
      <w:r>
        <w:rPr>
          <w:rFonts w:ascii="Arial" w:cs="Arial" w:eastAsia="Arial" w:hAnsi="Arial"/>
          <w:sz w:val="15"/>
          <w:szCs w:val="15"/>
          <w:color w:val="auto"/>
        </w:rPr>
        <w:t xml:space="preserve"> In addition to, and not in limitation of the immediately preceding subsection, the Borrower shall promptly pay to the Administrative Agent for the account of a Lender from time to time such amounts as such Lender may determine to be necessary to compensate such Lender for any costs incurred by such Lender that it determines are attributable to its making, Converting to, Continuing of, or maintaining of any LIBOR Loans or LIBOR Margin Loans or its obligation to make any LIBOR Loans hereunder, any reduction in any amount receivable by such Lender under this Agreement or any of the other Loan Documents in respect of any of such LIBOR Loans or LIBOR Margin Loans or such obligation or the maintenance by such Lender of capital in respect of its LIBOR Loans or LIBOR Margin Loans or its Commitments (such increases in costs and reductions in amounts receivable being herein called “</w:t>
      </w:r>
      <w:r>
        <w:rPr>
          <w:rFonts w:ascii="Arial" w:cs="Arial" w:eastAsia="Arial" w:hAnsi="Arial"/>
          <w:sz w:val="15"/>
          <w:szCs w:val="15"/>
          <w:b w:val="1"/>
          <w:bCs w:val="1"/>
          <w:color w:val="auto"/>
        </w:rPr>
        <w:t>Additional</w:t>
      </w:r>
      <w:r>
        <w:rPr>
          <w:rFonts w:ascii="Arial" w:cs="Arial" w:eastAsia="Arial" w:hAnsi="Arial"/>
          <w:sz w:val="15"/>
          <w:szCs w:val="15"/>
          <w:color w:val="auto"/>
        </w:rPr>
        <w:t xml:space="preserve"> </w:t>
      </w:r>
      <w:r>
        <w:rPr>
          <w:rFonts w:ascii="Arial" w:cs="Arial" w:eastAsia="Arial" w:hAnsi="Arial"/>
          <w:sz w:val="15"/>
          <w:szCs w:val="15"/>
          <w:b w:val="1"/>
          <w:bCs w:val="1"/>
          <w:color w:val="auto"/>
        </w:rPr>
        <w:t>Costs</w:t>
      </w:r>
      <w:r>
        <w:rPr>
          <w:rFonts w:ascii="Arial" w:cs="Arial" w:eastAsia="Arial" w:hAnsi="Arial"/>
          <w:sz w:val="15"/>
          <w:szCs w:val="15"/>
          <w:color w:val="auto"/>
        </w:rPr>
        <w:t>”), to the extent resulting from any Regulatory Change that: (i) changes the basis of taxation of any amounts payable to such Lender under this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or any of the other Loan Documents in respect of any of such LIBOR Loans or LIBOR Margin Loans or its Commitments (other than taxes, fees, duties, levies, imposts, charges, deductions, withholdings or other charges which are excluded from the definition of Taxes pursuant to the first sentence of Section 3.10.(a) or payable as a result of failing to deliver forms required by Section 3.10.(c)), or (ii) imposes or modifies any reserve, special deposit or similar requirements (other than Regulation D of the Board of Governors of the Federal Reserve System or other similar reserve requirement applicable to any other category of liabilities or category of extensions of credit or other assets by reference to which the interest rate on LIBOR Loans or LIBOR Margin Loans is determined to the extent utilized to determine LIBOR for such Loans) relating to any extensions of credit or other assets of, or any deposits with or other liabilities of, or other credit extended by, or any other acquisition of funds by such Lender (or its parent corporation), or any commitment of such Lender (including, without limitation, the Commitments of such Lender hereunder) or (iii) has or would have the effect of reducing the rate of return on capital of such Lender to a level below that which such Lender could have achieved but for such Regulatory Change (taking into consideration such Lender’s policies with respect to capital adequacy).</w:t>
      </w:r>
    </w:p>
    <w:p>
      <w:pPr>
        <w:spacing w:after="0" w:line="331" w:lineRule="exact"/>
        <w:rPr>
          <w:rFonts w:ascii="Arial" w:cs="Arial" w:eastAsia="Arial" w:hAnsi="Arial"/>
          <w:sz w:val="15"/>
          <w:szCs w:val="15"/>
          <w:color w:val="auto"/>
        </w:rPr>
      </w:pPr>
    </w:p>
    <w:p>
      <w:pPr>
        <w:ind w:left="700" w:hanging="236"/>
        <w:spacing w:after="0"/>
        <w:tabs>
          <w:tab w:leader="none" w:pos="700"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Lender’s Suspension of LIBOR Loans and LIBOR Margin Loans.</w:t>
      </w:r>
      <w:r>
        <w:rPr>
          <w:rFonts w:ascii="Arial" w:cs="Arial" w:eastAsia="Arial" w:hAnsi="Arial"/>
          <w:sz w:val="16"/>
          <w:szCs w:val="16"/>
          <w:color w:val="auto"/>
        </w:rPr>
        <w:t xml:space="preserve"> Without limiting the effect of the provisions of the immediately preceding subsection</w:t>
      </w:r>
    </w:p>
    <w:p>
      <w:pPr>
        <w:spacing w:after="0" w:line="38" w:lineRule="exact"/>
        <w:rPr>
          <w:rFonts w:ascii="Arial" w:cs="Arial" w:eastAsia="Arial" w:hAnsi="Arial"/>
          <w:sz w:val="16"/>
          <w:szCs w:val="16"/>
          <w:color w:val="auto"/>
        </w:rPr>
      </w:pPr>
    </w:p>
    <w:p>
      <w:pPr>
        <w:ind w:firstLine="8"/>
        <w:spacing w:after="0" w:line="288" w:lineRule="auto"/>
        <w:tabs>
          <w:tab w:leader="none" w:pos="239"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and (b),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LIBOR Loans or LIBOR Margin Loans is determined as provided in this Agreement or a category of extensions of credit or other assets of such Lender that includes LIBOR Loans or LIBOR Margin Loans or (ii) becomes subject to restrictions on the amount of such a category of liabilities or assets that it may hold, then, if such Lender so elects by notice to the Borrower (with a copy to the Administrative Agent), the obligation of such Lender to make or Continue, or to Convert Base Rate Loans into, LIBOR Loans and/or the obligation of a Lender that has outstanding a Bid Rate Quote to make LIBOR Margin Loans hereunder shall be suspended until such Regulatory Change ceases to be in effect (in which case the provisions of Section 4.5. shall apply).</w:t>
      </w:r>
    </w:p>
    <w:p>
      <w:pPr>
        <w:spacing w:after="0" w:line="122" w:lineRule="exact"/>
        <w:rPr>
          <w:rFonts w:ascii="Arial" w:cs="Arial" w:eastAsia="Arial" w:hAnsi="Arial"/>
          <w:sz w:val="16"/>
          <w:szCs w:val="16"/>
          <w:color w:val="auto"/>
        </w:rPr>
      </w:pPr>
    </w:p>
    <w:p>
      <w:pPr>
        <w:ind w:right="160" w:firstLine="464"/>
        <w:spacing w:after="0" w:line="268" w:lineRule="auto"/>
        <w:tabs>
          <w:tab w:leader="none" w:pos="705"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Additional Costs in Respect of Letters of Credit</w:t>
      </w:r>
      <w:r>
        <w:rPr>
          <w:rFonts w:ascii="Arial" w:cs="Arial" w:eastAsia="Arial" w:hAnsi="Arial"/>
          <w:sz w:val="18"/>
          <w:szCs w:val="18"/>
          <w:color w:val="auto"/>
        </w:rPr>
        <w:t>. Without limiting the obligations of the Borrower under the preceding subsections of this Section (but without duplication), if as a result of any</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60"/>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1420"/>
          </w:cols>
          <w:pgMar w:left="240" w:top="280" w:right="239" w:bottom="1440" w:gutter="0" w:footer="0" w:header="0"/>
        </w:sectPr>
      </w:pPr>
    </w:p>
    <w:bookmarkStart w:id="63" w:name="page64"/>
    <w:bookmarkEnd w:id="63"/>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Regulatory Change or any risk-based capital guideline or other requirement hereafter issued by any Governmental Authority there shall be imposed, modified or deemed applicable after the Agreement Date any tax, reserve, special deposit, capital adequacy or similar requirement against or with respect to or measured by reference to Letters of Credit and the result shall be to increase the cost to the Issuing Bank of issuing (or any Lender of purchasing participations in) or maintaining its obligation hereunder to issue (or purchase participations in) any Letter of Credit or reduce any amount receivable by the Issuing Bank or any Lender hereunder in respect of any Letter of Credit, then, upon demand by the Issuing Bank or such Lender, the Borrower shall pay promptly to the Issuing Bank or, in the case of such Lender, to the Administrative Agent for the account of such Lender, from time to time as specified by the Issuing Bank or such Lender, such additional amounts as shall be sufficient to compensate the Issuing Bank or such Lender for such increased costs or reductions in amount.</w:t>
      </w:r>
    </w:p>
    <w:p>
      <w:pPr>
        <w:spacing w:after="0" w:line="118" w:lineRule="exact"/>
        <w:rPr>
          <w:sz w:val="20"/>
          <w:szCs w:val="20"/>
          <w:color w:val="auto"/>
        </w:rPr>
      </w:pPr>
    </w:p>
    <w:p>
      <w:pPr>
        <w:ind w:right="60" w:firstLine="464"/>
        <w:spacing w:after="0" w:line="286" w:lineRule="auto"/>
        <w:tabs>
          <w:tab w:leader="none" w:pos="695"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Notification and Determination of Additional Costs</w:t>
      </w:r>
      <w:r>
        <w:rPr>
          <w:rFonts w:ascii="Arial" w:cs="Arial" w:eastAsia="Arial" w:hAnsi="Arial"/>
          <w:sz w:val="16"/>
          <w:szCs w:val="16"/>
          <w:color w:val="auto"/>
        </w:rPr>
        <w:t>. Each of the Administrative Agent, Issuing Bank, each Lender, and each Participant, as the case may be, agrees to notify the Borrower of any event occurring after the Agreement Date entitling the Administrative Agent, the Issuing Bank, such Lender or such Participant to compensation under any of the preceding subsections of this Section as promptly as practicable; provided, however, that the failure of the Administrative Agent, the Issuing Bank, any Lender or any Participant to give such notice shall not release the Borrower from any of its obligations hereunder (and in the case of a Lender, to the Administrative Agent). The Administrative Agent, the Issuing Bank, each Lender and each Participant, as the case may be, agrees to furnish to the Borrower (and in the case of the Issuing Bank, a Lender or a Participant to the Administrative Agent as well) a certificate setting forth the basis and amount of each request for compensation under this Section. Determinations by the Administrative Agent, the Issuing Bank, such Lender, or such Participant, as the case may be, of the effect of any Regulatory Change shall be conclusive and binding for all purposes, absent manifest error and provided that such determinations are made on a reasonable basis and in good faith. Notwithstanding anything to the contrary contained in the preceding subsections of this Section 4.1., the Borrower shall not be required to compensate any Lender or any Participant for any such increased costs or reduced return incurred by such Lender or Participant more than one-hundred-eighty (180) days prior to such Lender’s or Participant’s written request to the Borrower for such compensation (except that if the event giving rise to the increased costs or reduced return is retroactive, then the one-hundred-eighty (180) day period referred to above shall be extended to include the period of retroactive effect thereof).</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4.2. Suspension of LIBOR Loans and LIBOR Margin Loans.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Anything herein to the contrary notwithstanding, if, on or prior to the determination of LIBOR for any Interest Period:</w:t>
      </w:r>
    </w:p>
    <w:p>
      <w:pPr>
        <w:spacing w:after="0" w:line="90" w:lineRule="exact"/>
        <w:rPr>
          <w:sz w:val="20"/>
          <w:szCs w:val="20"/>
          <w:color w:val="auto"/>
        </w:rPr>
      </w:pPr>
    </w:p>
    <w:p>
      <w:pPr>
        <w:ind w:left="460" w:right="300" w:firstLine="443"/>
        <w:spacing w:after="0" w:line="259" w:lineRule="auto"/>
        <w:tabs>
          <w:tab w:leader="none" w:pos="113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Administrative Agent reasonably determines (which determination shall be conclusive) that quotations of interest rates for the relevant deposits referred to in the definition of LIBOR are not being provided in the relevant amounts or for the relevant maturities for purposes of determining rates of interest for LIBOR Loans as provided herein or is otherwise unable to determine LIBOR;</w:t>
      </w:r>
    </w:p>
    <w:p>
      <w:pPr>
        <w:spacing w:after="0" w:line="59"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Administrative Agent reasonably determines (which determination shall be conclusive) that the relevant rates of interest referred to in the definition of LIBOR upon the basis of which the rate of interest for LIBOR Loans for such Interest Period is to be determined will not adequately and fairly reflect the cost to any Lender of making, Converting to, Continuing of or maintaining LIBOR Loans for such Interest Period; or</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1420"/>
          </w:cols>
          <w:pgMar w:left="240" w:top="280" w:right="239" w:bottom="1440" w:gutter="0" w:footer="0" w:header="0"/>
        </w:sectPr>
      </w:pPr>
    </w:p>
    <w:bookmarkStart w:id="64" w:name="page65"/>
    <w:bookmarkEnd w:id="64"/>
    <w:p>
      <w:pPr>
        <w:ind w:left="460" w:right="300" w:firstLine="443"/>
        <w:spacing w:after="0" w:line="332" w:lineRule="auto"/>
        <w:tabs>
          <w:tab w:leader="none" w:pos="1137" w:val="left"/>
        </w:tabs>
        <w:numPr>
          <w:ilvl w:val="0"/>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Lender that has outstanding a Bid Rate Quote with respect to a LIBOR Margin Loan reasonably determines (which determination shall be conclusive) that LIBOR will not adequately and fairly reflect the cost to such Lender of making or maintaining such LIBOR Margin Loan;</w:t>
      </w:r>
    </w:p>
    <w:p>
      <w:pPr>
        <w:spacing w:after="0" w:line="85"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color w:val="auto"/>
        </w:rPr>
        <w:t>then the Administrative Agent shall give the Borrower and each Lender prompt notice thereof and, so long as such condition remains in effect, (i) the Lenders shall be under no obligation to, and shall not, make additional LIBOR Loans, Continue LIBOR Loans or Convert Loans into LIBOR Loans and the Borrower shall, on the last day of each current Interest Period for each outstanding LIBOR Loan, either prepay such Loan or Convert such Loan into a Base Rate Loan and</w:t>
      </w:r>
    </w:p>
    <w:p>
      <w:pPr>
        <w:spacing w:after="0" w:line="1" w:lineRule="exact"/>
        <w:rPr>
          <w:sz w:val="20"/>
          <w:szCs w:val="20"/>
          <w:color w:val="auto"/>
        </w:rPr>
      </w:pPr>
    </w:p>
    <w:p>
      <w:pPr>
        <w:ind w:right="100" w:firstLine="8"/>
        <w:spacing w:after="0" w:line="261" w:lineRule="auto"/>
        <w:tabs>
          <w:tab w:leader="none" w:pos="258"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case of clause (c) above, no Lender that has outstanding a Bid Rate Quote with respect to a LIBOR Margin Loan shall be under any obligation to make such Loan.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4.3. Illegality.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Notwithstanding any other provision of this Agreement, (a) if any Lender shall reasonably determine (which determination shall be conclusive and binding) that it is unlawful for such Lender to honor its obligation to make, Convert to, Continue or maintain LIBOR Loans hereunder and/or (b) if any Lender that has an outstanding Bid Rate Quote shall reasonably determine (which determination shall be conclusive and binding) that it is unlawful for such Lender to honor its obligation to make or maintain LIBOR Margin Loans hereunder, then such Lender shall promptly notify the Borrower thereof (with a copy of such notice to the Administrative Agent) and such Lender’s obligation to make or Continue, or to Convert Loans of any other Type into, LIBOR Loans shall be suspended and/or such Lender’s obligation to make LIBOR Margin Loans shall be suspended, in each case, until such time as such Lender may again make and maintain LIBOR Loans or LIBOR Margin Loans (in which case the provisions of Section 4.5. shall be applicable).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4.4. Compensation.</w:t>
      </w:r>
    </w:p>
    <w:p>
      <w:pPr>
        <w:spacing w:after="0" w:line="96" w:lineRule="exact"/>
        <w:rPr>
          <w:sz w:val="20"/>
          <w:szCs w:val="20"/>
          <w:color w:val="auto"/>
        </w:rPr>
      </w:pPr>
    </w:p>
    <w:p>
      <w:pPr>
        <w:jc w:val="both"/>
        <w:ind w:right="40" w:firstLine="456"/>
        <w:spacing w:after="0" w:line="357" w:lineRule="auto"/>
        <w:rPr>
          <w:sz w:val="20"/>
          <w:szCs w:val="20"/>
          <w:color w:val="auto"/>
        </w:rPr>
      </w:pPr>
      <w:r>
        <w:rPr>
          <w:rFonts w:ascii="Arial" w:cs="Arial" w:eastAsia="Arial" w:hAnsi="Arial"/>
          <w:sz w:val="15"/>
          <w:szCs w:val="15"/>
          <w:color w:val="auto"/>
        </w:rPr>
        <w:t>The Borrower shall pay to the Administrative Agent for the account of each Lender, upon the request of the Administrative Agent, such amount or amounts as the Administrative Agent shall determine in its reasonable discretion shall be sufficient to compensate such Lender for any loss, cost or expense attributable to:</w:t>
      </w:r>
    </w:p>
    <w:p>
      <w:pPr>
        <w:ind w:left="460" w:right="260" w:firstLine="443"/>
        <w:spacing w:after="0" w:line="332" w:lineRule="auto"/>
        <w:tabs>
          <w:tab w:leader="none" w:pos="1137"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payment or prepayment (whether mandatory or optional) of a LIBOR Loan or a Bid Rate Loan, or Conversion of a LIBOR Loan, made by such Lender for any reason (including, without limitation, acceleration) on a date other than the last day of the Interest Period for such Loan; or</w:t>
      </w:r>
    </w:p>
    <w:p>
      <w:pPr>
        <w:spacing w:after="0" w:line="4"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failure by the Borrower for any reason (including, without limitation, the failure of any of the applicable conditions precedent specified in Article 5.2. to be satisfied) to borrow a LIBOR Loan or a Bid Rate Loan from such Lender on the date for such borrowing, or to Convert a Base Rate Loan into a LIBOR Loan or Continue a LIBOR Loan on the requested date of such Conversion or Continuation.</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Upon the Borrower’s request, the Administrative Agent shall provide the Borrower with a statement setting forth the basis for requesting such compensation and the method for determining the amount thereof. Any such statement shall be conclusive absent manifest error provided that such determination is made on a reasonable basis and in good faith.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420"/>
          </w:cols>
          <w:pgMar w:left="240" w:top="28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4.5. Treatment of Affected Loans.</w:t>
      </w:r>
    </w:p>
    <w:p>
      <w:pPr>
        <w:spacing w:after="0" w:line="96" w:lineRule="exact"/>
        <w:rPr>
          <w:sz w:val="20"/>
          <w:szCs w:val="20"/>
          <w:color w:val="auto"/>
        </w:rPr>
      </w:pPr>
    </w:p>
    <w:p>
      <w:pPr>
        <w:ind w:firstLine="464"/>
        <w:spacing w:after="0" w:line="294" w:lineRule="auto"/>
        <w:tabs>
          <w:tab w:leader="none" w:pos="695"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the obligation of any Lender to make LIBOR Loans or to Continue, or to Convert Base Rate Loans into, LIBOR Loans shall be suspended pursuant to Section 4.1.(c), Section 4.2. or Section 4.3. then such Lender’s LIBOR Loans shall be automatically Converted into Base Rate Loans on the last day(s) of the then current Interest Period(s) for LIBOR Loans (or, in the case of a Conversion required by Section 4.1.(c), Section 4.2., or Section 4.3. on such earlier date as such Lender may specify to the Borrower with a copy to the Administrative Agent) and, unless and until such Lender gives notice as provided below that the circumstances specified in Section 4.1., Section 4.2. or Section 4.3. that gave rise to such Conversion no longer exist:</w:t>
      </w:r>
    </w:p>
    <w:p>
      <w:pPr>
        <w:spacing w:after="0" w:line="34" w:lineRule="exact"/>
        <w:rPr>
          <w:rFonts w:ascii="Arial" w:cs="Arial" w:eastAsia="Arial" w:hAnsi="Arial"/>
          <w:sz w:val="16"/>
          <w:szCs w:val="16"/>
          <w:color w:val="auto"/>
        </w:rPr>
      </w:pPr>
    </w:p>
    <w:p>
      <w:pPr>
        <w:ind w:left="460" w:right="520" w:firstLine="443"/>
        <w:spacing w:after="0" w:line="268" w:lineRule="auto"/>
        <w:tabs>
          <w:tab w:leader="none" w:pos="1108"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the extent that such Lender’s LIBOR Loans have been so Converted, all payments and prepayments of principal that would otherwise be applied to such Lender’s LIBOR Loans shall be applied instead to its Base Rate Loans; and</w:t>
      </w:r>
    </w:p>
    <w:p>
      <w:pPr>
        <w:spacing w:after="0" w:line="50" w:lineRule="exact"/>
        <w:rPr>
          <w:rFonts w:ascii="Arial" w:cs="Arial" w:eastAsia="Arial" w:hAnsi="Arial"/>
          <w:sz w:val="18"/>
          <w:szCs w:val="18"/>
          <w:color w:val="auto"/>
        </w:rPr>
      </w:pPr>
    </w:p>
    <w:p>
      <w:pPr>
        <w:ind w:left="460" w:right="160" w:firstLine="443"/>
        <w:spacing w:after="0" w:line="332" w:lineRule="auto"/>
        <w:tabs>
          <w:tab w:leader="none" w:pos="1157"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Loans that would otherwise be made or Continued by such Lender as LIBOR Loans shall be made or Continued instead as Base Rate Loans, and all Base Rate Loans of such Lender that would otherwise be Converted into LIBOR Loans shall remain as Base Rate Loans.</w:t>
      </w:r>
    </w:p>
    <w:p>
      <w:pPr>
        <w:spacing w:after="0" w:line="8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If such Lender gives notice to the Borrower (with a copy to the Administrative Agent) that the circumstances specified in Section 4.1.(c) or 4.3. that gave rise to the Conversion of such Lender’s LIBOR Loans pursuant to this Section no longer exist (which such Lender agrees to do promptly upon such circumstances ceasing to exist) at a time when LIBOR Loans made by other Lenders are outstanding, then such Lender’s Base Rate Loans shall be automatically Converted, on the first day(s) of the next succeeding Interest Period(s) for such outstanding LIBOR Loans, to the extent necessary so that, after giving effect thereto, all Loans held by the Lenders holding LIBOR Loans and by such Lender are held pro rata (as to principal amounts, Types and Interest Periods) in accordance with their respective Commitments.</w:t>
      </w:r>
    </w:p>
    <w:p>
      <w:pPr>
        <w:spacing w:after="0" w:line="144" w:lineRule="exact"/>
        <w:rPr>
          <w:sz w:val="20"/>
          <w:szCs w:val="20"/>
          <w:color w:val="auto"/>
        </w:rPr>
      </w:pPr>
    </w:p>
    <w:p>
      <w:pPr>
        <w:ind w:right="200" w:firstLine="464"/>
        <w:spacing w:after="0" w:line="294" w:lineRule="auto"/>
        <w:tabs>
          <w:tab w:leader="none" w:pos="705"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the obligation of a Lender to make LIBOR Margin Loans shall be suspended pursuant to Section 4.1.(c) or 4.2., then, to the extent payable on such date with a borrowing of Revolving Loans hereunder, the LIBOR Margin Loans of such Lender shall be automatically due and payable on such date as such Lender may specify to the Borrower by written notice with a copy to the Administrative Agent; provided that to the extent a borrowing of Revolving Loans in such amount is not available hereunder, then, unless otherwise provided to the contrary in an agreement between the Borrower and the provider of such LIBOR Margin Loans, the rate applicable to such Loans shall automatically be converted on such date in to Loans bearing interest at the Base Rate.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4.6. Affected Lenders.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If (a) a Lender requests compensation pursuant to Section 3.10. or 4.1., and the Requisite Lenders are not also doing the same, or (b) the obligation of any Lender to make LIBOR Loans or to Continue, or to Convert Base Rate Loans into, LIBOR Loans shall be suspended pursuant to Section 4.1.(b) or 4.3. but the obligation of the Requisite Lenders shall not have been suspended under such Sections, or (c) a Lender does not vote in favor of any amendment, modification or waiver to this Agreement or any other Loan Document which, pursuant to Section 12.7., requires the vote of such Lender, and the Requisite Lenders shall have voted in favor of such amendment, modification or waiver then, so long as there does not then exist any Event of Default, the Borrower may demand that such Lender (the “</w:t>
      </w:r>
      <w:r>
        <w:rPr>
          <w:rFonts w:ascii="Arial" w:cs="Arial" w:eastAsia="Arial" w:hAnsi="Arial"/>
          <w:sz w:val="16"/>
          <w:szCs w:val="16"/>
          <w:b w:val="1"/>
          <w:bCs w:val="1"/>
          <w:color w:val="auto"/>
        </w:rPr>
        <w:t>Affected Lender</w:t>
      </w:r>
      <w:r>
        <w:rPr>
          <w:rFonts w:ascii="Arial" w:cs="Arial" w:eastAsia="Arial" w:hAnsi="Arial"/>
          <w:sz w:val="16"/>
          <w:szCs w:val="16"/>
          <w:color w:val="auto"/>
        </w:rPr>
        <w:t>”), and upon such demand the Affected Lender shall promptly, assign its Commitment to an Eligible Assignee subject to and in accordance with the provisions of Section 12.6.(b) for a purchase price equal to (x) the aggregate principal balance of all Loans then owing to the Affected Lender, plus (y)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420"/>
          </w:cols>
          <w:pgMar w:left="240" w:top="274" w:right="239" w:bottom="1440" w:gutter="0" w:footer="0" w:header="0"/>
        </w:sectPr>
      </w:pPr>
    </w:p>
    <w:bookmarkStart w:id="66" w:name="page67"/>
    <w:bookmarkEnd w:id="6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aggregate amount of payments previously made by the Affected Lender under Section 2.3.(j) that have not been repaid, plus (z) any accrued but unpaid interest thereon and accrued but unpaid fees owing to the Affected Lender, or any other amount as may be mutually agreed upon by such Affected Lender and Eligible Assignee. Each of the Administrative Agent and the Affected Lender shall reasonably cooperate in effectuating the replacement of such Affected Lender under this Section, but at no time shall the Administrative Agent, such Affected Lender nor any other Lender nor any Titled Agent be obligated in any way whatsoever to initiate any such replacement or to assist in finding an Eligible Assignee. The exercise by the Borrower of its rights under this Section shall be at the Borrower’s sole cost and expense and at no cost or expense to the Administrative Agent, the Affected Lender or any of the other Lenders. The terms of this Section 4.6. shall not in any way limit the Borrower’s obligation to pay to any Affected Lender compensation owing to such Affected Lender pursuant to this Agreement (including, without limitation, pursuant to Sections 3.10., 4.1. or 4.4.) with respect to any period up to the date of replacement.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4.7. Change of Lending Office.</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Each Lender agrees that it will use reasonable efforts (consistent with its internal policy and legal and regulatory restrictions) to designate an alternate Lending Office with respect to any of its Loans affected by the matters or circumstances described in Sections 3.10., 4.1. or 4.3. to reduce the liability of the Borrower or avoid the results provided thereunder, so long as such designation is not disadvantageous to such Lender as determined by such Lender in its sole discretion, except that such Lender shall have no obligation to designate a Lending Office located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4.8. Assumptions Concerning Funding of LIBOR Loans.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Calculation of all amounts payable to a Lender under this Article shall be made as though such Lender had actually funded LIBOR Loans through the purchase of deposits in the relevant market bearing interest at the rate applicable to such LIBOR Loans in an amount equal to the amount of the LIBOR Loans and having a maturity comparable to the relevant Interest Period; provided, however, that each Lender may fund each of its LIBOR Loans in any manner it sees fit and the foregoing assumption shall be used only for calculation of amounts payable under this Article.</w:t>
      </w:r>
    </w:p>
    <w:p>
      <w:pPr>
        <w:spacing w:after="0" w:line="2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 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Initial Conditions Precedent.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 of the Lenders to effect or permit the occurrence of the first Credit Event hereunder, whether as the making of a Loan or the issuance of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is subject to the satisfaction or waiver of the following conditions precedent:</w:t>
      </w:r>
    </w:p>
    <w:p>
      <w:pPr>
        <w:spacing w:after="0" w:line="165" w:lineRule="exact"/>
        <w:rPr>
          <w:sz w:val="20"/>
          <w:szCs w:val="20"/>
          <w:color w:val="auto"/>
        </w:rPr>
      </w:pPr>
    </w:p>
    <w:p>
      <w:pPr>
        <w:ind w:left="700" w:hanging="23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Administrative Agent shall have received each of the following, in form and substance satisfactory to the Administrative Agent: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counterparts of this Agreement executed by each of the parties hereto;</w:t>
      </w:r>
    </w:p>
    <w:p>
      <w:pPr>
        <w:spacing w:after="0" w:line="90" w:lineRule="exact"/>
        <w:rPr>
          <w:rFonts w:ascii="Arial" w:cs="Arial" w:eastAsia="Arial" w:hAnsi="Arial"/>
          <w:sz w:val="18"/>
          <w:szCs w:val="18"/>
          <w:color w:val="auto"/>
        </w:rPr>
      </w:pPr>
    </w:p>
    <w:p>
      <w:pPr>
        <w:ind w:left="460" w:right="580" w:firstLine="443"/>
        <w:spacing w:after="0" w:line="332" w:lineRule="auto"/>
        <w:tabs>
          <w:tab w:leader="none" w:pos="1157" w:val="left"/>
        </w:tabs>
        <w:numPr>
          <w:ilvl w:val="1"/>
          <w:numId w:val="68"/>
        </w:numPr>
        <w:rPr>
          <w:rFonts w:ascii="Arial" w:cs="Arial" w:eastAsia="Arial" w:hAnsi="Arial"/>
          <w:sz w:val="16"/>
          <w:szCs w:val="16"/>
          <w:color w:val="auto"/>
        </w:rPr>
      </w:pPr>
      <w:r>
        <w:rPr>
          <w:rFonts w:ascii="Arial" w:cs="Arial" w:eastAsia="Arial" w:hAnsi="Arial"/>
          <w:sz w:val="16"/>
          <w:szCs w:val="16"/>
          <w:color w:val="auto"/>
        </w:rPr>
        <w:t>Revolving Notes and Bid Rate Notes executed by the Borrower, payable to each applicable Lender (including any Designated Lender, if applicable) and complying with the terms of Section 2.11.(a) and the Swingline Note executed by the Borrower;</w:t>
      </w:r>
    </w:p>
    <w:p>
      <w:pPr>
        <w:spacing w:after="0" w:line="4" w:lineRule="exact"/>
        <w:rPr>
          <w:rFonts w:ascii="Arial" w:cs="Arial" w:eastAsia="Arial" w:hAnsi="Arial"/>
          <w:sz w:val="16"/>
          <w:szCs w:val="16"/>
          <w:color w:val="auto"/>
        </w:rPr>
      </w:pPr>
    </w:p>
    <w:p>
      <w:pPr>
        <w:ind w:left="1200" w:hanging="297"/>
        <w:spacing w:after="0"/>
        <w:tabs>
          <w:tab w:leader="none" w:pos="12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Guaranty executed by each of the Guarantors initially to be a party thereto;</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2"/>
          <w:numId w:val="68"/>
        </w:numPr>
        <w:rPr>
          <w:rFonts w:ascii="Arial" w:cs="Arial" w:eastAsia="Arial" w:hAnsi="Arial"/>
          <w:sz w:val="18"/>
          <w:szCs w:val="18"/>
          <w:color w:val="auto"/>
        </w:rPr>
      </w:pPr>
      <w:r>
        <w:rPr>
          <w:rFonts w:ascii="Arial" w:cs="Arial" w:eastAsia="Arial" w:hAnsi="Arial"/>
          <w:sz w:val="18"/>
          <w:szCs w:val="18"/>
          <w:color w:val="auto"/>
        </w:rPr>
        <w:t>58 -</w:t>
      </w:r>
    </w:p>
    <w:p>
      <w:pPr>
        <w:sectPr>
          <w:pgSz w:w="11900" w:h="16838" w:orient="portrait"/>
          <w:cols w:equalWidth="0" w:num="1">
            <w:col w:w="11300"/>
          </w:cols>
          <w:pgMar w:left="240" w:top="280" w:right="359" w:bottom="1440" w:gutter="0" w:footer="0" w:header="0"/>
        </w:sectPr>
      </w:pPr>
    </w:p>
    <w:bookmarkStart w:id="67" w:name="page68"/>
    <w:bookmarkEnd w:id="67"/>
    <w:p>
      <w:pPr>
        <w:ind w:left="-4" w:right="40" w:firstLine="443"/>
        <w:spacing w:after="0" w:line="268" w:lineRule="auto"/>
        <w:tabs>
          <w:tab w:leader="none" w:pos="731" w:val="left"/>
        </w:tabs>
        <w:numPr>
          <w:ilvl w:val="1"/>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opinion of Pillsbury Winthrop Shaw Pittman LLP, counsel to the Borrower and the other Loan Parties, addressed to the Administrative Agent and the Lenders and covering the matters set forth in Exhibit O;</w:t>
      </w:r>
    </w:p>
    <w:p>
      <w:pPr>
        <w:spacing w:after="0" w:line="50" w:lineRule="exact"/>
        <w:rPr>
          <w:rFonts w:ascii="Arial" w:cs="Arial" w:eastAsia="Arial" w:hAnsi="Arial"/>
          <w:sz w:val="18"/>
          <w:szCs w:val="18"/>
          <w:color w:val="auto"/>
        </w:rPr>
      </w:pPr>
    </w:p>
    <w:p>
      <w:pPr>
        <w:jc w:val="both"/>
        <w:ind w:left="-4" w:right="300" w:firstLine="443"/>
        <w:spacing w:after="0" w:line="259" w:lineRule="auto"/>
        <w:tabs>
          <w:tab w:leader="none" w:pos="682"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certificate or articles of incorporation or formation, articles of organization, certificate of limited partnership, declaration of trust or other comparable organizational instrument (if any) of each Loan Party certified as of a recent date by the Secretary of State of the state of formation of such Loan Party;</w:t>
      </w:r>
    </w:p>
    <w:p>
      <w:pPr>
        <w:spacing w:after="0" w:line="59" w:lineRule="exact"/>
        <w:rPr>
          <w:rFonts w:ascii="Arial" w:cs="Arial" w:eastAsia="Arial" w:hAnsi="Arial"/>
          <w:sz w:val="18"/>
          <w:szCs w:val="18"/>
          <w:color w:val="auto"/>
        </w:rPr>
      </w:pPr>
    </w:p>
    <w:p>
      <w:pPr>
        <w:ind w:left="-4" w:right="180" w:firstLine="443"/>
        <w:spacing w:after="0" w:line="298" w:lineRule="auto"/>
        <w:tabs>
          <w:tab w:leader="none" w:pos="731" w:val="left"/>
        </w:tabs>
        <w:numPr>
          <w:ilvl w:val="1"/>
          <w:numId w:val="69"/>
        </w:numPr>
        <w:rPr>
          <w:rFonts w:ascii="Arial" w:cs="Arial" w:eastAsia="Arial" w:hAnsi="Arial"/>
          <w:sz w:val="16"/>
          <w:szCs w:val="16"/>
          <w:color w:val="auto"/>
        </w:rPr>
      </w:pPr>
      <w:r>
        <w:rPr>
          <w:rFonts w:ascii="Arial" w:cs="Arial" w:eastAsia="Arial" w:hAnsi="Arial"/>
          <w:sz w:val="16"/>
          <w:szCs w:val="16"/>
          <w:color w:val="auto"/>
        </w:rPr>
        <w:t>a certificate of good standing (or certificate of similar meaning) with respect to each Loan Party issued as of a recent date by the Secretary of State of the state of formation of each such Loan Party and certificates of qualification to transact business or other comparable certificates issued as of a recent date by each Secretary of State (and any state department of taxation, as applicable) of each state in which such Loan Party is required to be so qualified and where failure to be so qualified could reasonably be expected to have a Material Adverse Effect;</w:t>
      </w:r>
    </w:p>
    <w:p>
      <w:pPr>
        <w:spacing w:after="0" w:line="31" w:lineRule="exact"/>
        <w:rPr>
          <w:rFonts w:ascii="Arial" w:cs="Arial" w:eastAsia="Arial" w:hAnsi="Arial"/>
          <w:sz w:val="16"/>
          <w:szCs w:val="16"/>
          <w:color w:val="auto"/>
        </w:rPr>
      </w:pPr>
    </w:p>
    <w:p>
      <w:pPr>
        <w:ind w:left="-4" w:right="40" w:firstLine="443"/>
        <w:spacing w:after="0" w:line="256" w:lineRule="auto"/>
        <w:tabs>
          <w:tab w:leader="none" w:pos="7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certificate of incumbency signed by the Secretary or Assistant Secretary (or other individual performing similar functions) of each Loan Party with respect to each of the officers of such Loan Party authorized to execute and deliver the Loan Documents to which such Loan Party is a party, and in the case of the Borrower, authorized to execute and deliver on behalf of the Borrower Notices of Borrowing, Notices of Swingline Borrowing, requests for Letters of Credit, Notices of Conversion and Notices of Continuation;</w:t>
      </w:r>
    </w:p>
    <w:p>
      <w:pPr>
        <w:spacing w:after="0" w:line="62" w:lineRule="exact"/>
        <w:rPr>
          <w:rFonts w:ascii="Arial" w:cs="Arial" w:eastAsia="Arial" w:hAnsi="Arial"/>
          <w:sz w:val="18"/>
          <w:szCs w:val="18"/>
          <w:color w:val="auto"/>
        </w:rPr>
      </w:pPr>
    </w:p>
    <w:p>
      <w:pPr>
        <w:ind w:left="-4" w:firstLine="443"/>
        <w:spacing w:after="0" w:line="298" w:lineRule="auto"/>
        <w:tabs>
          <w:tab w:leader="none" w:pos="829" w:val="left"/>
        </w:tabs>
        <w:numPr>
          <w:ilvl w:val="1"/>
          <w:numId w:val="69"/>
        </w:numPr>
        <w:rPr>
          <w:rFonts w:ascii="Arial" w:cs="Arial" w:eastAsia="Arial" w:hAnsi="Arial"/>
          <w:sz w:val="16"/>
          <w:szCs w:val="16"/>
          <w:color w:val="auto"/>
        </w:rPr>
      </w:pPr>
      <w:r>
        <w:rPr>
          <w:rFonts w:ascii="Arial" w:cs="Arial" w:eastAsia="Arial" w:hAnsi="Arial"/>
          <w:sz w:val="16"/>
          <w:szCs w:val="16"/>
          <w:color w:val="auto"/>
        </w:rPr>
        <w:t>copies certified by the Secretary or Assistant Secretary (or other individual performing similar functions) of each Loan Party of (A) the by-laws of such Loan Party, if a corporation, the operating agreement, if a limited liability company, the partnership agreement, if a limited or general partnership, or other comparable document in the case of any other form of legal entity and (B) all corporate, partnership, member or other necessary action taken by such Loan Party to authorize the execution, delivery and performance of the Loan Documents to which it is a party;</w:t>
      </w:r>
    </w:p>
    <w:p>
      <w:pPr>
        <w:spacing w:after="0" w:line="31" w:lineRule="exact"/>
        <w:rPr>
          <w:rFonts w:ascii="Arial" w:cs="Arial" w:eastAsia="Arial" w:hAnsi="Arial"/>
          <w:sz w:val="16"/>
          <w:szCs w:val="16"/>
          <w:color w:val="auto"/>
        </w:rPr>
      </w:pPr>
    </w:p>
    <w:p>
      <w:pPr>
        <w:ind w:left="736" w:hanging="297"/>
        <w:spacing w:after="0"/>
        <w:tabs>
          <w:tab w:leader="none" w:pos="736"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Compliance Certificate calculated on a pro forma basis for the Borrower’s fiscal quarter ending March 31, 2011;</w:t>
      </w:r>
    </w:p>
    <w:p>
      <w:pPr>
        <w:spacing w:after="0" w:line="90" w:lineRule="exact"/>
        <w:rPr>
          <w:rFonts w:ascii="Arial" w:cs="Arial" w:eastAsia="Arial" w:hAnsi="Arial"/>
          <w:sz w:val="18"/>
          <w:szCs w:val="18"/>
          <w:color w:val="auto"/>
        </w:rPr>
      </w:pPr>
    </w:p>
    <w:p>
      <w:pPr>
        <w:ind w:left="696" w:hanging="257"/>
        <w:spacing w:after="0"/>
        <w:tabs>
          <w:tab w:leader="none" w:pos="696"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Transfer Authorizer Designation Form effective as of the Agreement Date;</w:t>
      </w:r>
    </w:p>
    <w:p>
      <w:pPr>
        <w:spacing w:after="0" w:line="90" w:lineRule="exact"/>
        <w:rPr>
          <w:rFonts w:ascii="Arial" w:cs="Arial" w:eastAsia="Arial" w:hAnsi="Arial"/>
          <w:sz w:val="18"/>
          <w:szCs w:val="18"/>
          <w:color w:val="auto"/>
        </w:rPr>
      </w:pPr>
    </w:p>
    <w:p>
      <w:pPr>
        <w:ind w:left="-4" w:right="180" w:firstLine="443"/>
        <w:spacing w:after="0" w:line="268" w:lineRule="auto"/>
        <w:tabs>
          <w:tab w:leader="none" w:pos="731"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evidence that all indebtedness, liabilities or obligations owing by the Loan Parties under the Existing Credit Agreement shall be paid in full on the Agreement Date and any Liens securing such indebtedness, liabilities or other obligations shall then be released;</w:t>
      </w:r>
    </w:p>
    <w:p>
      <w:pPr>
        <w:spacing w:after="0" w:line="50" w:lineRule="exact"/>
        <w:rPr>
          <w:rFonts w:ascii="Arial" w:cs="Arial" w:eastAsia="Arial" w:hAnsi="Arial"/>
          <w:sz w:val="18"/>
          <w:szCs w:val="18"/>
          <w:color w:val="auto"/>
        </w:rPr>
      </w:pPr>
    </w:p>
    <w:p>
      <w:pPr>
        <w:ind w:left="-4" w:firstLine="443"/>
        <w:spacing w:after="0" w:line="259" w:lineRule="auto"/>
        <w:tabs>
          <w:tab w:leader="none" w:pos="7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evidence that the Fees, if any, then due and payable under Section 3.5., together with all other fees, expenses and reimbursement amounts due and payable to the Administrative Agent and the Arrangers, including without limitation, the reasonable fees and expenses of counsel to the Administrative Agent, have been paid;</w:t>
      </w:r>
    </w:p>
    <w:p>
      <w:pPr>
        <w:spacing w:after="0" w:line="59" w:lineRule="exact"/>
        <w:rPr>
          <w:rFonts w:ascii="Arial" w:cs="Arial" w:eastAsia="Arial" w:hAnsi="Arial"/>
          <w:sz w:val="18"/>
          <w:szCs w:val="18"/>
          <w:color w:val="auto"/>
        </w:rPr>
      </w:pPr>
    </w:p>
    <w:p>
      <w:pPr>
        <w:ind w:left="-4" w:right="620" w:firstLine="443"/>
        <w:spacing w:after="0" w:line="268" w:lineRule="auto"/>
        <w:tabs>
          <w:tab w:leader="none" w:pos="829" w:val="left"/>
        </w:tabs>
        <w:numPr>
          <w:ilvl w:val="1"/>
          <w:numId w:val="69"/>
        </w:numPr>
        <w:rPr>
          <w:rFonts w:ascii="Arial" w:cs="Arial" w:eastAsia="Arial" w:hAnsi="Arial"/>
          <w:sz w:val="18"/>
          <w:szCs w:val="18"/>
          <w:color w:val="auto"/>
        </w:rPr>
      </w:pPr>
      <w:r>
        <w:rPr>
          <w:rFonts w:ascii="Arial" w:cs="Arial" w:eastAsia="Arial" w:hAnsi="Arial"/>
          <w:sz w:val="18"/>
          <w:szCs w:val="18"/>
          <w:color w:val="auto"/>
        </w:rPr>
        <w:t>such other documents, agreements and instruments as the Administrative Agent, or any Lender through the Administrative Agent, may reasonably request; and</w:t>
      </w:r>
    </w:p>
    <w:p>
      <w:pPr>
        <w:spacing w:after="0" w:line="131" w:lineRule="exact"/>
        <w:rPr>
          <w:rFonts w:ascii="Arial" w:cs="Arial" w:eastAsia="Arial" w:hAnsi="Arial"/>
          <w:sz w:val="18"/>
          <w:szCs w:val="18"/>
          <w:color w:val="auto"/>
        </w:rPr>
      </w:pPr>
    </w:p>
    <w:p>
      <w:pPr>
        <w:ind w:left="256" w:hanging="256"/>
        <w:spacing w:after="0"/>
        <w:tabs>
          <w:tab w:leader="none" w:pos="256"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good faith judgment of the Administrative Agent:</w:t>
      </w:r>
    </w:p>
    <w:p>
      <w:pPr>
        <w:spacing w:after="0" w:line="157" w:lineRule="exact"/>
        <w:rPr>
          <w:rFonts w:ascii="Arial" w:cs="Arial" w:eastAsia="Arial" w:hAnsi="Arial"/>
          <w:sz w:val="18"/>
          <w:szCs w:val="18"/>
          <w:color w:val="auto"/>
        </w:rPr>
      </w:pPr>
    </w:p>
    <w:p>
      <w:pPr>
        <w:ind w:left="5156" w:hanging="96"/>
        <w:spacing w:after="0"/>
        <w:tabs>
          <w:tab w:leader="none" w:pos="5156" w:val="left"/>
        </w:tabs>
        <w:numPr>
          <w:ilvl w:val="2"/>
          <w:numId w:val="70"/>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0916"/>
          </w:cols>
          <w:pgMar w:left="704" w:top="280" w:right="279" w:bottom="1440" w:gutter="0" w:footer="0" w:header="0"/>
        </w:sectPr>
      </w:pPr>
    </w:p>
    <w:bookmarkStart w:id="68" w:name="page69"/>
    <w:bookmarkEnd w:id="68"/>
    <w:p>
      <w:pPr>
        <w:ind w:left="460" w:right="80" w:firstLine="443"/>
        <w:spacing w:after="0" w:line="256" w:lineRule="auto"/>
        <w:tabs>
          <w:tab w:leader="none" w:pos="1108" w:val="left"/>
        </w:tabs>
        <w:numPr>
          <w:ilvl w:val="1"/>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shall not have occurred or become known to the Administrative Agent or any of the Lenders any event, condition, situation or status since the date of the information contained in the financial and business projections, budgets, pro forma data and forecasts concerning the Borrower and its Subsidiaries delivered to the Administrative Agent and the Lenders prior to the Agreement Date that has had or could reasonably be expected to result in a Material Adverse Effect;</w:t>
      </w:r>
    </w:p>
    <w:p>
      <w:pPr>
        <w:spacing w:after="0" w:line="62" w:lineRule="exact"/>
        <w:rPr>
          <w:rFonts w:ascii="Arial" w:cs="Arial" w:eastAsia="Arial" w:hAnsi="Arial"/>
          <w:sz w:val="18"/>
          <w:szCs w:val="18"/>
          <w:color w:val="auto"/>
        </w:rPr>
      </w:pPr>
    </w:p>
    <w:p>
      <w:pPr>
        <w:ind w:left="460" w:right="420" w:firstLine="443"/>
        <w:spacing w:after="0" w:line="256" w:lineRule="auto"/>
        <w:tabs>
          <w:tab w:leader="none" w:pos="1157"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 litigation, action, suit, investigation or other arbitral, administrative or judicial proceeding shall be pending or threatened which could reasonably be expected to (A) result in a Material Adverse Effect or (B) restrain or enjoin, impose materially burdensome conditions on, or otherwise materially and adversely affect, the ability of the Borrower or any other Loan Party to fulfill its obligations under the Loan Documents to which it is a party;</w:t>
      </w:r>
    </w:p>
    <w:p>
      <w:pPr>
        <w:spacing w:after="0" w:line="62" w:lineRule="exact"/>
        <w:rPr>
          <w:rFonts w:ascii="Arial" w:cs="Arial" w:eastAsia="Arial" w:hAnsi="Arial"/>
          <w:sz w:val="18"/>
          <w:szCs w:val="18"/>
          <w:color w:val="auto"/>
        </w:rPr>
      </w:pPr>
    </w:p>
    <w:p>
      <w:pPr>
        <w:ind w:left="460" w:right="60" w:firstLine="443"/>
        <w:spacing w:after="0" w:line="305" w:lineRule="auto"/>
        <w:tabs>
          <w:tab w:leader="none" w:pos="1205" w:val="left"/>
        </w:tabs>
        <w:numPr>
          <w:ilvl w:val="1"/>
          <w:numId w:val="71"/>
        </w:numPr>
        <w:rPr>
          <w:rFonts w:ascii="Arial" w:cs="Arial" w:eastAsia="Arial" w:hAnsi="Arial"/>
          <w:sz w:val="15"/>
          <w:szCs w:val="15"/>
          <w:color w:val="auto"/>
        </w:rPr>
      </w:pPr>
      <w:r>
        <w:rPr>
          <w:rFonts w:ascii="Arial" w:cs="Arial" w:eastAsia="Arial" w:hAnsi="Arial"/>
          <w:sz w:val="15"/>
          <w:szCs w:val="15"/>
          <w:color w:val="auto"/>
        </w:rPr>
        <w:t>the Borrower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w:t>
      </w:r>
    </w:p>
    <w:p>
      <w:pPr>
        <w:ind w:left="760" w:hanging="296"/>
        <w:spacing w:after="0"/>
        <w:tabs>
          <w:tab w:leader="none" w:pos="7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Applicable Law or (B) any agreement, document or instrument to which any Loan Party is a party or by which any of them or their respective</w:t>
      </w:r>
    </w:p>
    <w:p>
      <w:pPr>
        <w:spacing w:after="0" w:line="32" w:lineRule="exact"/>
        <w:rPr>
          <w:rFonts w:ascii="Arial" w:cs="Arial" w:eastAsia="Arial" w:hAnsi="Arial"/>
          <w:sz w:val="16"/>
          <w:szCs w:val="16"/>
          <w:color w:val="auto"/>
        </w:rPr>
      </w:pPr>
    </w:p>
    <w:p>
      <w:pPr>
        <w:jc w:val="both"/>
        <w:ind w:left="460" w:right="100"/>
        <w:spacing w:after="0" w:line="302" w:lineRule="auto"/>
        <w:rPr>
          <w:rFonts w:ascii="Arial" w:cs="Arial" w:eastAsia="Arial" w:hAnsi="Arial"/>
          <w:sz w:val="16"/>
          <w:szCs w:val="16"/>
          <w:color w:val="auto"/>
        </w:rPr>
      </w:pPr>
      <w:r>
        <w:rPr>
          <w:rFonts w:ascii="Arial" w:cs="Arial" w:eastAsia="Arial" w:hAnsi="Arial"/>
          <w:sz w:val="16"/>
          <w:szCs w:val="16"/>
          <w:color w:val="auto"/>
        </w:rPr>
        <w:t>properties is bound, except for such approvals, consents, waivers, filings and notices the receipt, making or giving of which could not reasonably be likely to (A) have a Material Adverse Effect, or (B) restrain or enjoin impose materially burdensome conditions on, or otherwise materially and adversely affect the ability of the Borrower or any other Loan Party to fulfill its obligations under the Loan Documents to which it is a party;</w:t>
      </w:r>
    </w:p>
    <w:p>
      <w:pPr>
        <w:spacing w:after="0" w:line="28" w:lineRule="exact"/>
        <w:rPr>
          <w:rFonts w:ascii="Arial" w:cs="Arial" w:eastAsia="Arial" w:hAnsi="Arial"/>
          <w:sz w:val="16"/>
          <w:szCs w:val="16"/>
          <w:color w:val="auto"/>
        </w:rPr>
      </w:pPr>
    </w:p>
    <w:p>
      <w:pPr>
        <w:ind w:left="460" w:right="120" w:firstLine="443"/>
        <w:spacing w:after="0" w:line="268" w:lineRule="auto"/>
        <w:tabs>
          <w:tab w:leader="none" w:pos="1196"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Borrower and each other Loan Party shall have provided all information requested by the Administrative Agent and each Lender in order to comply with the USA Patriot Act (Title III of Pub. L. 107-56 (signed into law October 26, 2001)); and</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there shall not have occurred or exist any other material disruption of financial or capital markets that could reasonably be expected to materially and adversely affect the transactions contemplated by the Loan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5.2. Conditions Precedent to All Loans and Letters of Credit.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(i) Lenders to make any Loans and (ii) the Issuing Bank to issue Letters of Credit are each subject to the further conditions precedent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that: (a) no Default or Event of Default shall exist as of the date of the making of such Loan or date of issuance of such Letter of Credit or would exist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immediately after giving effect thereto, and no violation of the limits described in Section 2.15. would occur after giving effect thereto; (b) the representations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warranties made or deemed made by the Borrower and each other Loan Party in the Loan Documents to which any of them is a party, shall be true and correct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all material respects (except in the case of a representation or warranty qualified by materiality, in which case such representation or warranty shall be true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correct in all respects) on and as of the date of the making of such Loan or date of issuance of such Letter of Credit with the same force and effect as if made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as of such date except to the extent that such representations and warranties expressly relate solely to an earlier date (in which case such representations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warranties shall have been true and correct in all material respects (except in the case of a representation or warranty qualified by materiality, in which case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representation or warranty shall be true and correct in all respects) on and as of such earlier date) and except for changes in factual circumstances not prohibited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hereunder and (c) in the case of the borrowing of Revolving Loans, the Administrative Agent shall have received a timely Notice of Borrowing, or in the case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Swingline Loan, the Swingline Lender shall have received a timely Notice of Swingline Borrowing. Each Credit Event shall constitute a certification by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1400"/>
          </w:cols>
          <w:pgMar w:left="240" w:top="280" w:right="259" w:bottom="1440" w:gutter="0" w:footer="0" w:header="0"/>
        </w:sectPr>
      </w:pPr>
    </w:p>
    <w:bookmarkStart w:id="69" w:name="page70"/>
    <w:bookmarkEnd w:id="69"/>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to the effect set forth in the preceding sentence (both as of the date of the giving of notice relating to such Credit Event and, unless the Borrower otherwise notifies the Administrative Agent prior to the date of such Credit Event, as of the date of the occurrence of such Credit Event). In addition, the Borrower shall be deemed to have represented to the Administrative Agent and the Lenders at the time any Loan is made or any Letter of Credit is issued that all conditions to the making of such Loan or issuing of such Letter of Credit contained in this Article V. have been satisfied.</w:t>
      </w:r>
    </w:p>
    <w:p>
      <w:pPr>
        <w:spacing w:after="0" w:line="11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Unless set forth in writing to the contrary, the making of its initial Loan by a Lender shall constitute a certification by such Lender to the Administrative Agent and the other Lenders that the conditions precedent for initial Loans set forth in Section 5.1. that have not previously been waived by the Lenders in accordance with the terms of this Agreement have been satisfied.</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 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Representations and Warranties.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induce the Administrative Agent and each Lender to enter into this Agreement and to make Loans and, in the case of the Issuing Bank, to issue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Letters of Credit, the Borrower represents and warrants to the Administrative Agent, the Issuing Bank and each Lender as follows:</w:t>
      </w:r>
    </w:p>
    <w:p>
      <w:pPr>
        <w:spacing w:after="0" w:line="165" w:lineRule="exact"/>
        <w:rPr>
          <w:sz w:val="20"/>
          <w:szCs w:val="20"/>
          <w:color w:val="auto"/>
        </w:rPr>
      </w:pPr>
    </w:p>
    <w:p>
      <w:pPr>
        <w:ind w:firstLine="464"/>
        <w:spacing w:after="0" w:line="291" w:lineRule="auto"/>
        <w:tabs>
          <w:tab w:leader="none" w:pos="69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Organization; Power; Qualification</w:t>
      </w:r>
      <w:r>
        <w:rPr>
          <w:rFonts w:ascii="Arial" w:cs="Arial" w:eastAsia="Arial" w:hAnsi="Arial"/>
          <w:sz w:val="16"/>
          <w:szCs w:val="16"/>
          <w:color w:val="auto"/>
        </w:rPr>
        <w:t>. Each of the Borrower, the other Loan Parties and the other Subsidiaries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w:t>
      </w:r>
    </w:p>
    <w:p>
      <w:pPr>
        <w:spacing w:after="0" w:line="120" w:lineRule="exact"/>
        <w:rPr>
          <w:rFonts w:ascii="Arial" w:cs="Arial" w:eastAsia="Arial" w:hAnsi="Arial"/>
          <w:sz w:val="16"/>
          <w:szCs w:val="16"/>
          <w:color w:val="auto"/>
        </w:rPr>
      </w:pPr>
    </w:p>
    <w:p>
      <w:pPr>
        <w:ind w:firstLine="464"/>
        <w:spacing w:after="0" w:line="286" w:lineRule="auto"/>
        <w:tabs>
          <w:tab w:leader="none" w:pos="70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Ownership Structure</w:t>
      </w:r>
      <w:r>
        <w:rPr>
          <w:rFonts w:ascii="Arial" w:cs="Arial" w:eastAsia="Arial" w:hAnsi="Arial"/>
          <w:sz w:val="16"/>
          <w:szCs w:val="16"/>
          <w:color w:val="auto"/>
        </w:rPr>
        <w:t>. Part I of Schedule 6.1.(b) is, as of the Agreement Date, a complete and correct list of all Subsidiaries of the Borrower setting forth for each such Subsidiary, (i) the jurisdiction of organization of such Subsidiary, (ii) each Person holding any Equity Interest in such Subsidiary, (iii) the nature of the Equity Interests held by each such Person, (iv) the percentage of ownership of such Subsidiary represented by such Equity Interests and (v) whether such Subsidiary is a Material Subsidiary and/or an Excluded Subsidiary and whether such Subsidiary owns a Non-Controlled Property (and, if so, which one(s)). As of the Agreement Date, except as disclosed in such Schedule (A), each of the Borrower and its Subsidiaries owns, free and clear of all Liens (other than Permitted Liens), and has the unencumbered right to vote, all outstanding Equity Interests in each Person shown to be held by it on such Schedule, (B) all of the issued and outstanding capital stock of each such Person organized as a corporation is validly issued, fully paid and nonassessable and (C)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Agreement Date, Part II of Schedule 6.1.(b) correctly sets forth all Unconsolidated Affiliates of the Borrower, including the correct legal name of such Person, the type of legal entity which each such Person is, and all Equity Interests in such Person held directly or indirectly by the Borrower.</w:t>
      </w:r>
    </w:p>
    <w:p>
      <w:pPr>
        <w:spacing w:after="0" w:line="124" w:lineRule="exact"/>
        <w:rPr>
          <w:rFonts w:ascii="Arial" w:cs="Arial" w:eastAsia="Arial" w:hAnsi="Arial"/>
          <w:sz w:val="16"/>
          <w:szCs w:val="16"/>
          <w:color w:val="auto"/>
        </w:rPr>
      </w:pPr>
    </w:p>
    <w:p>
      <w:pPr>
        <w:ind w:right="100" w:firstLine="464"/>
        <w:spacing w:after="0" w:line="268"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Authorization of Loan Documents and Borrowings</w:t>
      </w:r>
      <w:r>
        <w:rPr>
          <w:rFonts w:ascii="Arial" w:cs="Arial" w:eastAsia="Arial" w:hAnsi="Arial"/>
          <w:sz w:val="18"/>
          <w:szCs w:val="18"/>
          <w:color w:val="auto"/>
        </w:rPr>
        <w:t>. The Borrower has the right and power, and has taken all necessary action to authorize it, to borrow and obtain other extensions of credit</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1400"/>
          </w:cols>
          <w:pgMar w:left="240" w:top="280" w:right="259" w:bottom="1440" w:gutter="0" w:footer="0" w:header="0"/>
        </w:sectPr>
      </w:pPr>
    </w:p>
    <w:bookmarkStart w:id="70" w:name="page71"/>
    <w:bookmarkEnd w:id="7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hereunder. The Borrower and each other Loan Party has the right and power, and has taken all necessary action to authorize it, to execute, deliver and perform each of the Loan Documents and the Fee Letter to which it is a party in accordance with their respective terms and to consummate the transactions contemplated hereby and thereby. The Loan Documents and the Fee Letter to which the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118" w:lineRule="exact"/>
        <w:rPr>
          <w:sz w:val="20"/>
          <w:szCs w:val="20"/>
          <w:color w:val="auto"/>
        </w:rPr>
      </w:pPr>
    </w:p>
    <w:p>
      <w:pPr>
        <w:ind w:firstLine="464"/>
        <w:spacing w:after="0" w:line="290" w:lineRule="auto"/>
        <w:tabs>
          <w:tab w:leader="none" w:pos="70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Compliance of Loan Documents with Laws</w:t>
      </w:r>
      <w:r>
        <w:rPr>
          <w:rFonts w:ascii="Arial" w:cs="Arial" w:eastAsia="Arial" w:hAnsi="Arial"/>
          <w:sz w:val="16"/>
          <w:szCs w:val="16"/>
          <w:color w:val="auto"/>
        </w:rPr>
        <w:t>. The execution, delivery and performance of this Agreement, the other Loan Documents to which any Loan Party is a party and of the Fee Letter in accordance with their respective terms and the borrowings and other extensions of credit hereunder do not: (i) require any Governmental Approval or violate any Applicable Law (including all Environmental Laws) relating to the Borrower or any other Loan Party; (ii) conflict with, result in a breach of or constitute a default under the organizational documents of any Loan Party, or any indenture, agreement or other instrument to which the Borrower or any other Loan Party is a party or by which it or any of its respective properties may be bound; or (iii) result in or require the creation or imposition of any Lien upon or with respect to any property now owned or hereafter acquired by any Loan Party other than in favor of the Administrative Agent for its benefit and the benefit of the Lenders and the Issuing Bank.</w:t>
      </w:r>
    </w:p>
    <w:p>
      <w:pPr>
        <w:spacing w:after="0" w:line="118" w:lineRule="exact"/>
        <w:rPr>
          <w:rFonts w:ascii="Arial" w:cs="Arial" w:eastAsia="Arial" w:hAnsi="Arial"/>
          <w:sz w:val="16"/>
          <w:szCs w:val="16"/>
          <w:color w:val="auto"/>
        </w:rPr>
      </w:pPr>
    </w:p>
    <w:p>
      <w:pPr>
        <w:ind w:right="100" w:firstLine="464"/>
        <w:spacing w:after="0" w:line="256"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Compliance with Law; Governmental Approvals</w:t>
      </w:r>
      <w:r>
        <w:rPr>
          <w:rFonts w:ascii="Arial" w:cs="Arial" w:eastAsia="Arial" w:hAnsi="Arial"/>
          <w:sz w:val="18"/>
          <w:szCs w:val="18"/>
          <w:color w:val="auto"/>
        </w:rPr>
        <w:t>. Each of the Borrower, the other Loan Parties and the other Subsidiaries is in compliance with each Governmental Approval applicable to it and all other Applicable Laws (including, without limitation, Environmental Laws) relating to it except for noncompliances which, and Governmental Approvals the failure to possess which, could not, individually or in the aggregate, reasonably be expected to cause a Default or Event of Default or have a Material Adverse Effect.</w:t>
      </w:r>
    </w:p>
    <w:p>
      <w:pPr>
        <w:spacing w:after="0" w:line="143" w:lineRule="exact"/>
        <w:rPr>
          <w:rFonts w:ascii="Arial" w:cs="Arial" w:eastAsia="Arial" w:hAnsi="Arial"/>
          <w:sz w:val="18"/>
          <w:szCs w:val="18"/>
          <w:color w:val="auto"/>
        </w:rPr>
      </w:pPr>
    </w:p>
    <w:p>
      <w:pPr>
        <w:jc w:val="both"/>
        <w:ind w:right="100" w:firstLine="464"/>
        <w:spacing w:after="0" w:line="256" w:lineRule="auto"/>
        <w:tabs>
          <w:tab w:leader="none" w:pos="67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Title to Properties; Liens</w:t>
      </w:r>
      <w:r>
        <w:rPr>
          <w:rFonts w:ascii="Arial" w:cs="Arial" w:eastAsia="Arial" w:hAnsi="Arial"/>
          <w:sz w:val="18"/>
          <w:szCs w:val="18"/>
          <w:color w:val="auto"/>
        </w:rPr>
        <w:t>. Part I of Schedule 6.1.(f) is, as of the Agreement Date, a complete and correct listing of all real estate assets of the Borrower, each other Loan Party and each other Subsidiary. Each of the Borrower, each other Loan Party and each other Subsidiary has good, marketable and legal title to, or a valid leasehold interest in, its respective assets. As of the Agreement Date, there are no Liens against the assets of the Borrower, the Loan Parties or any Subsidiary other than Permitted Liens.</w:t>
      </w:r>
    </w:p>
    <w:p>
      <w:pPr>
        <w:spacing w:after="0" w:line="143" w:lineRule="exact"/>
        <w:rPr>
          <w:rFonts w:ascii="Arial" w:cs="Arial" w:eastAsia="Arial" w:hAnsi="Arial"/>
          <w:sz w:val="18"/>
          <w:szCs w:val="18"/>
          <w:color w:val="auto"/>
        </w:rPr>
      </w:pPr>
    </w:p>
    <w:p>
      <w:pPr>
        <w:ind w:right="300" w:firstLine="464"/>
        <w:spacing w:after="0" w:line="255"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Existing Indebtedness</w:t>
      </w:r>
      <w:r>
        <w:rPr>
          <w:rFonts w:ascii="Arial" w:cs="Arial" w:eastAsia="Arial" w:hAnsi="Arial"/>
          <w:sz w:val="18"/>
          <w:szCs w:val="18"/>
          <w:color w:val="auto"/>
        </w:rPr>
        <w:t>. Schedule 6.1.(g) is, as of March 31, 2011, a complete and correct listing of all Indebtedness (including all Guarantees but excluding dividends payable, accounts payable and Off-Balance Sheet Obligations) of each of the Borrower, the other Loan Parties and the other Subsidiaries having an outstanding principal balance in excess of $1,000,000, and if such Indebtedness is secured by any Lien. Except as set forth on such Schedule, from March 31, 2011, through the Agreement Date, neither the Borrower nor any of its Subsidiaries has incurred any Indebtedness having an outstanding principal balance in excess of $1,000,000 in the aggregate.</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464"/>
        <w:spacing w:after="0" w:line="256" w:lineRule="auto"/>
        <w:tabs>
          <w:tab w:leader="none" w:pos="66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Except as set forth on Schedule 6.1.(i), there are no actions, suits or proceedings pending (nor, to the knowledge of any Loan Party, are there any actions, suits or proceedings threatened) against or in any other way relating adversely to or affecting the Borrower, any other Loan Party, any other Subsidiary or any of their respective property in any court or before any arbitrator of any kind or before or by any other Governmental Authority which, (i) could reasonably be expected to have a</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62 -</w:t>
      </w:r>
    </w:p>
    <w:p>
      <w:pPr>
        <w:sectPr>
          <w:pgSz w:w="11900" w:h="16838" w:orient="portrait"/>
          <w:cols w:equalWidth="0" w:num="1">
            <w:col w:w="11380"/>
          </w:cols>
          <w:pgMar w:left="240" w:top="280" w:right="279" w:bottom="1440" w:gutter="0" w:footer="0" w:header="0"/>
        </w:sectPr>
      </w:pPr>
    </w:p>
    <w:bookmarkStart w:id="71" w:name="page72"/>
    <w:bookmarkEnd w:id="71"/>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Adverse Effect or (ii) in any manner draws into question the validity or enforceability of any Loan Document or the Fee Letter. There are no strikes, slow downs, work stoppages or walkouts or other labor disputes in progress or threatened relating to the Borrower, any Subsidiary or any other Loan Party which could reasonably be expected to have a Material Adverse Effect.</w:t>
      </w:r>
    </w:p>
    <w:p>
      <w:pPr>
        <w:spacing w:after="0" w:line="140" w:lineRule="exact"/>
        <w:rPr>
          <w:sz w:val="20"/>
          <w:szCs w:val="20"/>
          <w:color w:val="auto"/>
        </w:rPr>
      </w:pPr>
    </w:p>
    <w:p>
      <w:pPr>
        <w:ind w:right="160" w:firstLine="464"/>
        <w:spacing w:after="0" w:line="291" w:lineRule="auto"/>
        <w:tabs>
          <w:tab w:leader="none" w:pos="666"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All federal, state and other tax returns of the Borrower, each other Loan Party and each other Subsidiary required by Applicable Law to be filed have been duly filed, and all federal, state and other taxes, assessments and other governmental charges or levies upon, each Loan Party, each other Subsidiary and their respective properties, income, profits and assets which are due and payable have been paid, except any such nonpayment or non-filing which is at the time permitted under Section 7.6. As of the Agreement Date, none of the United States income tax returns of the Borrower, any other Loan Party or any other Subsidiary is under audit. All charges, accruals and reserves on the books of the Borrower, the other Loan Parties and the other Subsidiaries in respect of any taxes or other governmental charges are in accordance with GAAP.</w:t>
      </w:r>
    </w:p>
    <w:p>
      <w:pPr>
        <w:spacing w:after="0" w:line="120" w:lineRule="exact"/>
        <w:rPr>
          <w:rFonts w:ascii="Arial" w:cs="Arial" w:eastAsia="Arial" w:hAnsi="Arial"/>
          <w:sz w:val="16"/>
          <w:szCs w:val="16"/>
          <w:color w:val="auto"/>
        </w:rPr>
      </w:pPr>
    </w:p>
    <w:p>
      <w:pPr>
        <w:ind w:firstLine="464"/>
        <w:spacing w:after="0" w:line="286" w:lineRule="auto"/>
        <w:tabs>
          <w:tab w:leader="none" w:pos="70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Borrower has furnished to each Lender copies of (i) the audited consolidated balance sheet of the Borrower and its consolidated Subsidiaries for the fiscal years ended December 31, 2009 and December 31, 2010, and the related audited consolidated statements of operations, shareholders’ equity and cash flow for the fiscal years ended on such dates, with the opinion thereon of Grant Thorton LLP, and (ii) the unaudited consolidated balance sheet of the Borrower and its consolidated Subsidiaries for the fiscal quarter ended March 31, 2011, and the related unaudited consolidated statements of operations, shareholders’ equity and cash flow of the Borrower and its consolidated Subsidiaries for the one fiscal quarter period ended on such date. Such financial statements (including in each case related schedules and notes) are complete and present fairly, in accordance with GAAP consistently applied throughout the periods involved, the consolidated financial position of the Borrower and its consolidated Subsidiaries as at their respective dates and the results of operations and the cash flow for such periods (subject, as to interim statements, to changes resulting from normal year-end audit adjustments). Neither the Borrower nor any of its Subsidiaries has on the Agreement Date any material contingent liabilities, liabilities, liabilities for taxes, unusual or long-term commitments or unrealized or forward anticipated losses from any unfavorable commitments that would be required to be set forth in its financial statements or notes thereto, except as referred to or reflected or provided for in said financial statements.</w:t>
      </w:r>
    </w:p>
    <w:p>
      <w:pPr>
        <w:spacing w:after="0" w:line="127" w:lineRule="exact"/>
        <w:rPr>
          <w:rFonts w:ascii="Arial" w:cs="Arial" w:eastAsia="Arial" w:hAnsi="Arial"/>
          <w:sz w:val="16"/>
          <w:szCs w:val="16"/>
          <w:color w:val="auto"/>
        </w:rPr>
      </w:pPr>
    </w:p>
    <w:p>
      <w:pPr>
        <w:ind w:firstLine="464"/>
        <w:spacing w:after="0" w:line="268" w:lineRule="auto"/>
        <w:tabs>
          <w:tab w:leader="none" w:pos="66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December 31, 2010, there has been no event, change, circumstance or occurrence that could reasonably be expected to have a Material Adverse Effect. Each of the Borrower, the other Loan Parties and the other Subsidiaries is Solvent.</w:t>
      </w:r>
    </w:p>
    <w:p>
      <w:pPr>
        <w:spacing w:after="0" w:line="131" w:lineRule="exact"/>
        <w:rPr>
          <w:rFonts w:ascii="Arial" w:cs="Arial" w:eastAsia="Arial" w:hAnsi="Arial"/>
          <w:sz w:val="18"/>
          <w:szCs w:val="18"/>
          <w:color w:val="auto"/>
        </w:rPr>
      </w:pPr>
    </w:p>
    <w:p>
      <w:pPr>
        <w:ind w:left="760" w:hanging="296"/>
        <w:spacing w:after="0"/>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443"/>
        <w:spacing w:after="0" w:line="289" w:lineRule="auto"/>
        <w:tabs>
          <w:tab w:leader="none" w:pos="1108" w:val="left"/>
        </w:tabs>
        <w:numPr>
          <w:ilvl w:val="1"/>
          <w:numId w:val="75"/>
        </w:numPr>
        <w:rPr>
          <w:rFonts w:ascii="Arial" w:cs="Arial" w:eastAsia="Arial" w:hAnsi="Arial"/>
          <w:sz w:val="16"/>
          <w:szCs w:val="16"/>
          <w:color w:val="auto"/>
        </w:rPr>
      </w:pPr>
      <w:r>
        <w:rPr>
          <w:rFonts w:ascii="Arial" w:cs="Arial" w:eastAsia="Arial" w:hAnsi="Arial"/>
          <w:sz w:val="16"/>
          <w:szCs w:val="16"/>
          <w:color w:val="auto"/>
        </w:rPr>
        <w:t>Each Benefit Arrangement is in compliance with the applicable provisions of ERISA, the Internal Revenue Code and other Applicable Laws except for noncompliance that would not be expected to result in the occurrence of a Material Adverse Effect. Except with respect to Multiemployer Plans, each Qualified Plan (A) has received a favorable determination from the Internal Revenue Service applicable to such Qualified Plan’s current remedial amendment cycle (as defined in Revenue Procedure 2007-44 or “2007-44” for short), (B) has timely filed for a favorable determination letter from the Internal Revenue Service during its staggered remedial amendment cycle (as defined in 2007-44) and such application is currently being processed by the Internal Revenue Service, (C) had filed for a determination letter prior to its “GUST remedial amendment period” (as defined in 2007-44) and received such determination letter and the staggered remedial amendment cycle first following the GUST remedial amendment period for such Qualified Plan has not yet expired, or (D) is maintained under a</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2"/>
          <w:numId w:val="75"/>
        </w:numPr>
        <w:rPr>
          <w:rFonts w:ascii="Arial" w:cs="Arial" w:eastAsia="Arial" w:hAnsi="Arial"/>
          <w:sz w:val="18"/>
          <w:szCs w:val="18"/>
          <w:color w:val="auto"/>
        </w:rPr>
      </w:pPr>
      <w:r>
        <w:rPr>
          <w:rFonts w:ascii="Arial" w:cs="Arial" w:eastAsia="Arial" w:hAnsi="Arial"/>
          <w:sz w:val="18"/>
          <w:szCs w:val="18"/>
          <w:color w:val="auto"/>
        </w:rPr>
        <w:t>63 -</w:t>
      </w:r>
    </w:p>
    <w:p>
      <w:pPr>
        <w:sectPr>
          <w:pgSz w:w="11900" w:h="16838" w:orient="portrait"/>
          <w:cols w:equalWidth="0" w:num="1">
            <w:col w:w="11400"/>
          </w:cols>
          <w:pgMar w:left="240" w:top="280" w:right="259" w:bottom="1440" w:gutter="0" w:footer="0" w:header="0"/>
        </w:sectPr>
      </w:pPr>
    </w:p>
    <w:bookmarkStart w:id="72" w:name="page73"/>
    <w:bookmarkEnd w:id="72"/>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prototype plan and may rely upon a favorable opinion letter issued by the Internal Revenue Service with respect to such prototype plan. To the best knowledge of the Borrower, nothing has occurred which could reasonably be expected to cause the loss of its reliance on each Qualified Plan’s favorable determination letter or opinion letter.</w:t>
      </w:r>
    </w:p>
    <w:p>
      <w:pPr>
        <w:spacing w:after="0" w:line="59" w:lineRule="exact"/>
        <w:rPr>
          <w:sz w:val="20"/>
          <w:szCs w:val="20"/>
          <w:color w:val="auto"/>
        </w:rPr>
      </w:pPr>
    </w:p>
    <w:p>
      <w:pPr>
        <w:ind w:right="80" w:firstLine="443"/>
        <w:spacing w:after="0" w:line="268" w:lineRule="auto"/>
        <w:tabs>
          <w:tab w:leader="none" w:pos="697" w:val="left"/>
        </w:tabs>
        <w:numPr>
          <w:ilvl w:val="1"/>
          <w:numId w:val="76"/>
        </w:numPr>
        <w:rPr>
          <w:rFonts w:ascii="Arial" w:cs="Arial" w:eastAsia="Arial" w:hAnsi="Arial"/>
          <w:sz w:val="18"/>
          <w:szCs w:val="18"/>
          <w:color w:val="auto"/>
        </w:rPr>
      </w:pPr>
      <w:r>
        <w:rPr>
          <w:rFonts w:ascii="Arial" w:cs="Arial" w:eastAsia="Arial" w:hAnsi="Arial"/>
          <w:sz w:val="18"/>
          <w:szCs w:val="18"/>
          <w:color w:val="auto"/>
        </w:rPr>
        <w:t>As of the most recent valuation date, the “benefit obligation” of all Plans does not exceed the “fair market value of plan assets” for such Plans by more than $10,000,000 all as determined by and with such terms defined in accordance with FASB ASC 715.</w:t>
      </w:r>
    </w:p>
    <w:p>
      <w:pPr>
        <w:spacing w:after="0" w:line="50" w:lineRule="exact"/>
        <w:rPr>
          <w:rFonts w:ascii="Arial" w:cs="Arial" w:eastAsia="Arial" w:hAnsi="Arial"/>
          <w:sz w:val="18"/>
          <w:szCs w:val="18"/>
          <w:color w:val="auto"/>
        </w:rPr>
      </w:pPr>
    </w:p>
    <w:p>
      <w:pPr>
        <w:ind w:right="120" w:firstLine="443"/>
        <w:spacing w:after="0" w:line="291" w:lineRule="auto"/>
        <w:tabs>
          <w:tab w:leader="none" w:pos="745" w:val="left"/>
        </w:tabs>
        <w:numPr>
          <w:ilvl w:val="1"/>
          <w:numId w:val="76"/>
        </w:numPr>
        <w:rPr>
          <w:rFonts w:ascii="Arial" w:cs="Arial" w:eastAsia="Arial" w:hAnsi="Arial"/>
          <w:sz w:val="16"/>
          <w:szCs w:val="16"/>
          <w:color w:val="auto"/>
        </w:rPr>
      </w:pPr>
      <w:r>
        <w:rPr>
          <w:rFonts w:ascii="Arial" w:cs="Arial" w:eastAsia="Arial" w:hAnsi="Arial"/>
          <w:sz w:val="16"/>
          <w:szCs w:val="16"/>
          <w:color w:val="auto"/>
        </w:rPr>
        <w:t>Except as could not reasonably be expected, individually or in the aggregate, to have a Material Adverse Effect: (i) no ERISA Event has occurred or is expected to occur; (ii) there are no pending, or to the best knowledge of the Borrower, threatened, claims, actions or lawsuits or other action by any Governmental Authority, plan participant or beneficiary with respect to a Benefit Arrangement; (iii) there are no violations of the fiduciary responsibility rules with respect to any Benefit Arrangement; and (iv) no member of the ERISA Group has engaged in a non-exempt “prohibited transaction,” as defined in Section 406 of ERISA and Section 4975 of the Internal Revenue Code, in connection with any Plan, that would subject any member of the ERISA Group to a tax on prohibited transactions imposed by Section 502(i) of ERISA or Section 4975 of the Internal Revenue Code.</w:t>
      </w:r>
    </w:p>
    <w:p>
      <w:pPr>
        <w:spacing w:after="0" w:line="120" w:lineRule="exact"/>
        <w:rPr>
          <w:rFonts w:ascii="Arial" w:cs="Arial" w:eastAsia="Arial" w:hAnsi="Arial"/>
          <w:sz w:val="16"/>
          <w:szCs w:val="16"/>
          <w:color w:val="auto"/>
        </w:rPr>
      </w:pPr>
    </w:p>
    <w:p>
      <w:pPr>
        <w:ind w:left="-460" w:right="40" w:firstLine="464"/>
        <w:spacing w:after="0" w:line="291" w:lineRule="auto"/>
        <w:tabs>
          <w:tab w:leader="none" w:pos="245"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Absence of Default</w:t>
      </w:r>
      <w:r>
        <w:rPr>
          <w:rFonts w:ascii="Arial" w:cs="Arial" w:eastAsia="Arial" w:hAnsi="Arial"/>
          <w:sz w:val="16"/>
          <w:szCs w:val="16"/>
          <w:color w:val="auto"/>
        </w:rPr>
        <w:t>. None of the Loan Parties or any of the other Subsidiaries is in default under its certificate or articles of incorporation or formation, bylaws, partnership agreement or other similar organizational documents, and no event has occurred, which has not been remedied, cured or waived: (i) which constitutes a Default or an Event of Default; or (ii) which constitutes, or which with the passage of time, the giving of notice, or both, would constitute, a default or event of default by, any Loan Party or any other Subsidiary under any agreement (other than this Agreement) or judgment, decree or order to which any such Person is a party or by which any such Person or any of its respective properties may be bound where such default or event of default could, individually or in the aggregate, reasonably be expected to have a Material Adverse Effect.</w:t>
      </w:r>
    </w:p>
    <w:p>
      <w:pPr>
        <w:spacing w:after="0" w:line="120" w:lineRule="exact"/>
        <w:rPr>
          <w:rFonts w:ascii="Arial" w:cs="Arial" w:eastAsia="Arial" w:hAnsi="Arial"/>
          <w:sz w:val="16"/>
          <w:szCs w:val="16"/>
          <w:color w:val="auto"/>
        </w:rPr>
      </w:pPr>
    </w:p>
    <w:p>
      <w:pPr>
        <w:ind w:left="-460" w:firstLine="464"/>
        <w:spacing w:after="0" w:line="285" w:lineRule="auto"/>
        <w:tabs>
          <w:tab w:leader="none" w:pos="245"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Each of the Borrower, each other Loan Party and the other Subsidiaries: (i) has obtained all Governmental Approvals which are required under Environmental Laws, and each such Governmental Approval is in full force and effect, and (ii) is in compliance with all terms and conditions of such Governmental Approvals, where with respect to each of the immediately preceding clauses (i) and (ii) the failure to obtain or to comply with could reasonably be expected to have a Material Adverse Effect. Except for any of the following matters that could not reasonably be expected to have a Material Adverse Effect, no Loan Party is aware of, and has not received notice of, any past, present, or future, events, conditions, circumstances, activities, practices, incidents, occurrences, actions, or plans which, with respect to any Loan Party or any other Subsidiary, their respective businesses, operations or with respect to the Properties, may: (x) interfere with or prevent compliance or continued compliance with Environmental Laws or (y) give rise to any common-law or legal liability or otherwise form the basis of any claim, action, demand, suit, proceeding, hearing, study, or investigation based on or related to the manufacture, generation, processing, distribution, use, treatment, storage, disposal, transport, removal, clean up or handling, or the emission, discharge, release or threatened release into the environmental of any pollutant, contaminant, chemical, or industrial, toxic, other Hazardous Material. There is no civil, criminal, or administrative action, suit, demand, claim, hearing, notice, or demand letter, notice of violation, investigation, or proceeding pending or, to the Borrower’s knowledge after due inquiry, threatened, against the Borrower, any other Loan Party or any other Subsidiary relating in any way to Environmental Laws which, reasonably could be expected to have a Material Adverse Effect. None of the Properties is listed on or proposed for listing on the National Priority List promulgated pursuant to the Comprehensive Environmental Response, Compensation and Liability Act of 1980 and its</w:t>
      </w:r>
    </w:p>
    <w:p>
      <w:pPr>
        <w:spacing w:after="0" w:line="114" w:lineRule="exact"/>
        <w:rPr>
          <w:rFonts w:ascii="Arial" w:cs="Arial" w:eastAsia="Arial" w:hAnsi="Arial"/>
          <w:sz w:val="16"/>
          <w:szCs w:val="16"/>
          <w:color w:val="auto"/>
        </w:rPr>
      </w:pPr>
    </w:p>
    <w:p>
      <w:pPr>
        <w:ind w:left="5160" w:hanging="96"/>
        <w:spacing w:after="0"/>
        <w:tabs>
          <w:tab w:leader="none" w:pos="5160" w:val="left"/>
        </w:tabs>
        <w:numPr>
          <w:ilvl w:val="2"/>
          <w:numId w:val="77"/>
        </w:numPr>
        <w:rPr>
          <w:rFonts w:ascii="Arial" w:cs="Arial" w:eastAsia="Arial" w:hAnsi="Arial"/>
          <w:sz w:val="18"/>
          <w:szCs w:val="18"/>
          <w:color w:val="auto"/>
        </w:rPr>
      </w:pPr>
      <w:r>
        <w:rPr>
          <w:rFonts w:ascii="Arial" w:cs="Arial" w:eastAsia="Arial" w:hAnsi="Arial"/>
          <w:sz w:val="18"/>
          <w:szCs w:val="18"/>
          <w:color w:val="auto"/>
        </w:rPr>
        <w:t>64 -</w:t>
      </w:r>
    </w:p>
    <w:p>
      <w:pPr>
        <w:sectPr>
          <w:pgSz w:w="11900" w:h="16838" w:orient="portrait"/>
          <w:cols w:equalWidth="0" w:num="1">
            <w:col w:w="10960"/>
          </w:cols>
          <w:pgMar w:left="700" w:top="280" w:right="239" w:bottom="1440" w:gutter="0" w:footer="0" w:header="0"/>
        </w:sectPr>
      </w:pPr>
    </w:p>
    <w:bookmarkStart w:id="73" w:name="page74"/>
    <w:bookmarkEnd w:id="7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implementing regulations, or any state or local priority list promulgated pursuant to any analogous state or local law to the extent any such listing could reasonably be expected to have a Material Adverse Effect. To the Borrower’s knowledge, no Hazardous Materials generated at or transported from the Properties are or have been transported to, or disposed of at, any location that is listed or proposed for listing on the National Priority List or any analogous state or local priority list, or any other location that is or has been the subject of a clean-up, removal or remedial action pursuant to any Environmental Law, except to the extent that such transportation or disposal could not reasonably be expected to result in a Material Adverse Effect.</w:t>
      </w:r>
    </w:p>
    <w:p>
      <w:pPr>
        <w:spacing w:after="0" w:line="116" w:lineRule="exact"/>
        <w:rPr>
          <w:sz w:val="20"/>
          <w:szCs w:val="20"/>
          <w:color w:val="auto"/>
        </w:rPr>
      </w:pPr>
    </w:p>
    <w:p>
      <w:pPr>
        <w:ind w:right="80" w:firstLine="464"/>
        <w:spacing w:after="0" w:line="256"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None of the Borrower, any other Loan Party or any other Subsidiary is (i) an “investment company” or a company “controlled” by an “investment company” within the meaning of the Investment Company Act of 1940, as amended, or (ii) subject to any other Applicable Law which purports to regulate or restrict its ability to borrow money or obtain other extensions of credit or to consummate the transactions contemplated by this Agreement or to perform its obligations under any Loan Document to which it is a party.</w:t>
      </w:r>
    </w:p>
    <w:p>
      <w:pPr>
        <w:spacing w:after="0" w:line="143" w:lineRule="exact"/>
        <w:rPr>
          <w:rFonts w:ascii="Arial" w:cs="Arial" w:eastAsia="Arial" w:hAnsi="Arial"/>
          <w:sz w:val="18"/>
          <w:szCs w:val="18"/>
          <w:color w:val="auto"/>
        </w:rPr>
      </w:pPr>
    </w:p>
    <w:p>
      <w:pPr>
        <w:ind w:right="40" w:firstLine="464"/>
        <w:spacing w:after="0" w:line="259" w:lineRule="auto"/>
        <w:tabs>
          <w:tab w:leader="none" w:pos="70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Margin Stock</w:t>
      </w:r>
      <w:r>
        <w:rPr>
          <w:rFonts w:ascii="Arial" w:cs="Arial" w:eastAsia="Arial" w:hAnsi="Arial"/>
          <w:sz w:val="18"/>
          <w:szCs w:val="18"/>
          <w:color w:val="auto"/>
        </w:rPr>
        <w:t>. None of the Borrower, any other Loan Party or any other Subsidiary is engaged principally, or as one of its important activities, in the business of extending credit for the purpose, whether immediate, incidental or ultimate, of buying or carrying “margin stock” within the meaning of Regulation U of the Board of Governors of the Federal Reserve System.</w:t>
      </w:r>
    </w:p>
    <w:p>
      <w:pPr>
        <w:spacing w:after="0" w:line="140" w:lineRule="exact"/>
        <w:rPr>
          <w:rFonts w:ascii="Arial" w:cs="Arial" w:eastAsia="Arial" w:hAnsi="Arial"/>
          <w:sz w:val="18"/>
          <w:szCs w:val="18"/>
          <w:color w:val="auto"/>
        </w:rPr>
      </w:pPr>
    </w:p>
    <w:p>
      <w:pPr>
        <w:ind w:right="40" w:firstLine="464"/>
        <w:spacing w:after="0" w:line="268" w:lineRule="auto"/>
        <w:tabs>
          <w:tab w:leader="none" w:pos="67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Affiliate Transactions</w:t>
      </w:r>
      <w:r>
        <w:rPr>
          <w:rFonts w:ascii="Arial" w:cs="Arial" w:eastAsia="Arial" w:hAnsi="Arial"/>
          <w:sz w:val="18"/>
          <w:szCs w:val="18"/>
          <w:color w:val="auto"/>
        </w:rPr>
        <w:t>. Except as permitted by Section 9.9., none of the Borrower, any other Loan Party or any other Subsidiary is a party to or bound by any agreement or arrangement with any Affiliate.</w:t>
      </w:r>
    </w:p>
    <w:p>
      <w:pPr>
        <w:spacing w:after="0" w:line="131" w:lineRule="exact"/>
        <w:rPr>
          <w:rFonts w:ascii="Arial" w:cs="Arial" w:eastAsia="Arial" w:hAnsi="Arial"/>
          <w:sz w:val="18"/>
          <w:szCs w:val="18"/>
          <w:color w:val="auto"/>
        </w:rPr>
      </w:pPr>
    </w:p>
    <w:p>
      <w:pPr>
        <w:ind w:firstLine="464"/>
        <w:spacing w:after="0" w:line="287" w:lineRule="auto"/>
        <w:tabs>
          <w:tab w:leader="none" w:pos="685"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Each of the Borrower, each other Loan Party and each other Subsidiary owns or has the right to use, under valid license agreements or otherwise, all material patents, licenses, franchises, trademarks, trademark rights, trade names, trade name rights, trade secrets and copyrights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necessary to the conduct of its businesses as now conducted and as contemplated by the Loan Documents, without known conflict with any patent, license, franchise, trademark, trademark rights, trade secret, trade name, copyright, or other proprietary right of any other Person, which conflict could reasonably be expected to have a Material Adverse Effect. The Borrower, each other Loan Party and each other Subsidiary have taken all such steps as they deem reasonably necessary to protect their respective rights under and with respect to such Intellectual Property. No material claim has been asserted by any Person with respect to the use of any Intellectual Property by the Borrower, any other Loan Party or any other Subsidiary, or challenging or questioning the validity or effectiveness of any Intellectual Property. The use of such Intellectual Property by the Borrower, its Subsidiaries and the other Loan Parties, does not infringe on the rights of any Person, subject to such claims and infringements as do not, in the aggregate, give rise to any liabilities on the part of the Borrower, any other Loan Party or any other Subsidiary that could reasonably be expected to have a Material Adverse Effect.</w:t>
      </w:r>
    </w:p>
    <w:p>
      <w:pPr>
        <w:spacing w:after="0" w:line="122" w:lineRule="exact"/>
        <w:rPr>
          <w:rFonts w:ascii="Arial" w:cs="Arial" w:eastAsia="Arial" w:hAnsi="Arial"/>
          <w:sz w:val="16"/>
          <w:szCs w:val="16"/>
          <w:color w:val="auto"/>
        </w:rPr>
      </w:pPr>
    </w:p>
    <w:p>
      <w:pPr>
        <w:ind w:right="40" w:firstLine="464"/>
        <w:spacing w:after="0" w:line="255" w:lineRule="auto"/>
        <w:tabs>
          <w:tab w:leader="none" w:pos="66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Business</w:t>
      </w:r>
      <w:r>
        <w:rPr>
          <w:rFonts w:ascii="Arial" w:cs="Arial" w:eastAsia="Arial" w:hAnsi="Arial"/>
          <w:sz w:val="18"/>
          <w:szCs w:val="18"/>
          <w:color w:val="auto"/>
        </w:rPr>
        <w:t>. As of the Agreement Date, the Borrower, the other Loan Parties and the other Subsidiaries are (i) primarily engaged in the business of acquiring, owning, redeveloping, developing and managing Retail Properties and Mixed-Use Projects (including components of such Mixed-Use Projects that are Office Properties and Multifamily Properties) together with other business activities reasonably related or incidental thereto and (ii) secondarily engaged in the business of acquiring, owning, redeveloping, developing and managing Office Properties and Multifamily Properties, together with other business activities reasonably related or incidental thereto.</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65 -</w:t>
      </w:r>
    </w:p>
    <w:p>
      <w:pPr>
        <w:sectPr>
          <w:pgSz w:w="11900" w:h="16838" w:orient="portrait"/>
          <w:cols w:equalWidth="0" w:num="1">
            <w:col w:w="11420"/>
          </w:cols>
          <w:pgMar w:left="240" w:top="280" w:right="239" w:bottom="1440" w:gutter="0" w:footer="0" w:header="0"/>
        </w:sectPr>
      </w:pPr>
    </w:p>
    <w:bookmarkStart w:id="74" w:name="page75"/>
    <w:bookmarkEnd w:id="74"/>
    <w:p>
      <w:pPr>
        <w:ind w:left="-464" w:right="200" w:firstLine="464"/>
        <w:spacing w:after="0" w:line="259" w:lineRule="auto"/>
        <w:tabs>
          <w:tab w:leader="none" w:pos="241"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Broker’s Fees</w:t>
      </w:r>
      <w:r>
        <w:rPr>
          <w:rFonts w:ascii="Arial" w:cs="Arial" w:eastAsia="Arial" w:hAnsi="Arial"/>
          <w:sz w:val="18"/>
          <w:szCs w:val="18"/>
          <w:color w:val="auto"/>
        </w:rPr>
        <w:t>. No broker’s or finder’s fee, commission or similar compensation will be payable with respect to the transactions contemplated hereby. No other similar fees or commissions will be payable by any Loan Party for any other services rendered to the Borrower, any other Loan Party or any other Subsidiary ancillary to the transactions contemplated hereby.</w:t>
      </w:r>
    </w:p>
    <w:p>
      <w:pPr>
        <w:spacing w:after="0" w:line="140" w:lineRule="exact"/>
        <w:rPr>
          <w:rFonts w:ascii="Arial" w:cs="Arial" w:eastAsia="Arial" w:hAnsi="Arial"/>
          <w:sz w:val="18"/>
          <w:szCs w:val="18"/>
          <w:color w:val="auto"/>
        </w:rPr>
      </w:pPr>
    </w:p>
    <w:p>
      <w:pPr>
        <w:ind w:left="-464" w:firstLine="464"/>
        <w:spacing w:after="0" w:line="286" w:lineRule="auto"/>
        <w:tabs>
          <w:tab w:leader="none" w:pos="241"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Accuracy and Completeness of Information</w:t>
      </w:r>
      <w:r>
        <w:rPr>
          <w:rFonts w:ascii="Arial" w:cs="Arial" w:eastAsia="Arial" w:hAnsi="Arial"/>
          <w:sz w:val="16"/>
          <w:szCs w:val="16"/>
          <w:color w:val="auto"/>
        </w:rPr>
        <w:t>. None of the written information, reports or other papers or data (excluding financial projections and other forward looking statements), taken as a whole as of the date of delivery thereof, furnished to the Administrative Agent or any Lender by, on behalf of, or at the direction of, the Borrower, any Subsidiary or any other Loan Party in connection with or relating in any way to this Agreement, contained any untrue statement of a fact material to the creditworthiness of the Borrower, any Subsidiary or any other Loan Party or omitted to state a material fact necessary in order to make such statements contained therein, in light of the circumstances under which they were made, not misleading. All financial statements furnished to the Administrative Agent or any Lender by, on behalf of, or at the direction of, the Borrower, any Subsidiary or any other Loan Party in connection with or relating in any way to this Agreement, present fairly, in accordance with GAAP consistently applied throughout the periods involved, the financial position of the Persons involved as at the date thereof and the results of operations for such periods (subject, as to interim statements, to changes resulting from normal year end audit adjustments and absence of full footnote disclosure). All financial projections and other forward looking statements prepared by or on behalf of the Borrower, any Subsidiary or any other Loan Party that have been or may hereafter be made available to the Administrative Agent or any Lender were or will be prepared in good faith based on reasonable assumptions. As of the Effective Date, no fact is known to the Borrower which has had, or may in the future have (so far as the Borrower can reasonably foresee), a Material Adverse Effect which has not been set forth in the financial statements referred to in Section 6.1.(k) or in such information, reports or other papers or data or otherwise disclosed in writing to the Administrative Agent and the Lenders.</w:t>
      </w:r>
    </w:p>
    <w:p>
      <w:pPr>
        <w:spacing w:after="0" w:line="120" w:lineRule="exact"/>
        <w:rPr>
          <w:rFonts w:ascii="Arial" w:cs="Arial" w:eastAsia="Arial" w:hAnsi="Arial"/>
          <w:sz w:val="16"/>
          <w:szCs w:val="16"/>
          <w:color w:val="auto"/>
        </w:rPr>
      </w:pPr>
    </w:p>
    <w:p>
      <w:pPr>
        <w:ind w:left="-464" w:right="180" w:firstLine="464"/>
        <w:spacing w:after="0" w:line="255" w:lineRule="auto"/>
        <w:tabs>
          <w:tab w:leader="none" w:pos="279"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Not Plan Assets; No Prohibited Transactions</w:t>
      </w:r>
      <w:r>
        <w:rPr>
          <w:rFonts w:ascii="Arial" w:cs="Arial" w:eastAsia="Arial" w:hAnsi="Arial"/>
          <w:sz w:val="18"/>
          <w:szCs w:val="18"/>
          <w:color w:val="auto"/>
        </w:rPr>
        <w:t>. None of the assets of the Borrower, any other Loan Party or any other Subsidiary constitutes “plan assets” within the meaning of ERISA, the Internal Revenue Code and the respective regulations promulgated thereunder. Assuming that no Lender funds any amount payable by it hereunder with “plan assets,” as that term is defined in 29 C.F.R. 2510.3-101, the execution, delivery and performance of this Agreement and the other Loan Documents, and the extensions of credit and repayment of amounts hereunder, do not and will not constitute “prohibited transactions” under ERISA or the Internal Revenue Code.</w:t>
      </w:r>
    </w:p>
    <w:p>
      <w:pPr>
        <w:spacing w:after="0" w:line="142" w:lineRule="exact"/>
        <w:rPr>
          <w:rFonts w:ascii="Arial" w:cs="Arial" w:eastAsia="Arial" w:hAnsi="Arial"/>
          <w:sz w:val="18"/>
          <w:szCs w:val="18"/>
          <w:color w:val="auto"/>
        </w:rPr>
      </w:pPr>
    </w:p>
    <w:p>
      <w:pPr>
        <w:ind w:left="-464" w:right="60" w:firstLine="464"/>
        <w:spacing w:after="0" w:line="287" w:lineRule="auto"/>
        <w:tabs>
          <w:tab w:leader="none" w:pos="241"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(i) None of the Borrower, any of the other Loan Parties, any of the other Subsidiaries, or any other Affiliate of the Borrower is a person named on the list of Specially Designated Nationals or Blocked Persons maintained by the U.S. Department of the Treasury’s Office of Foreign Assets Control (“OFAC”) available at http://www.treas.gov/offices/enforcement/ofac/index.shtml or as otherwise published from time to time; (ii) none of the Borrower, any of the other Loan Parties, any of the other Subsidiaries, or any other Affiliate of the Borrower is (A) an agency of the government of a country, (B) an organization controlled by a country, or (C) a person resident in a country that is subject to a sanctions program identified on the list maintained by OFAC and available at http://www.treas.gov/ offices/enforcement/ofac/index.shtml, or as otherwise published from time to time, as such program may be applicable to such agency, organization or person; and (iii) none of the Borrower, any of the other Loan Parties, any of the other Subsidiaries, or, to the knowledge of the Borrower, any Affiliate (other than Subsidiaries) of the Borrower, derives any of its assets or operating income from investments in or transactions with any such country, agency, organization or person; and none of the proceeds from any Loan, and no Letter of Credit, will be used to finance any operations, investments or activities in, or make any payments to, any such country, agency, organization, or person.</w:t>
      </w:r>
    </w:p>
    <w:p>
      <w:pPr>
        <w:spacing w:after="0" w:line="109" w:lineRule="exact"/>
        <w:rPr>
          <w:rFonts w:ascii="Arial" w:cs="Arial" w:eastAsia="Arial" w:hAnsi="Arial"/>
          <w:sz w:val="16"/>
          <w:szCs w:val="16"/>
          <w:color w:val="auto"/>
        </w:rPr>
      </w:pPr>
    </w:p>
    <w:p>
      <w:pPr>
        <w:ind w:left="5156" w:hanging="96"/>
        <w:spacing w:after="0"/>
        <w:tabs>
          <w:tab w:leader="none" w:pos="5156" w:val="left"/>
        </w:tabs>
        <w:numPr>
          <w:ilvl w:val="1"/>
          <w:numId w:val="79"/>
        </w:numPr>
        <w:rPr>
          <w:rFonts w:ascii="Arial" w:cs="Arial" w:eastAsia="Arial" w:hAnsi="Arial"/>
          <w:sz w:val="18"/>
          <w:szCs w:val="18"/>
          <w:color w:val="auto"/>
        </w:rPr>
      </w:pPr>
      <w:r>
        <w:rPr>
          <w:rFonts w:ascii="Arial" w:cs="Arial" w:eastAsia="Arial" w:hAnsi="Arial"/>
          <w:sz w:val="18"/>
          <w:szCs w:val="18"/>
          <w:color w:val="auto"/>
        </w:rPr>
        <w:t>66 -</w:t>
      </w:r>
    </w:p>
    <w:p>
      <w:pPr>
        <w:sectPr>
          <w:pgSz w:w="11900" w:h="16838" w:orient="portrait"/>
          <w:cols w:equalWidth="0" w:num="1">
            <w:col w:w="10936"/>
          </w:cols>
          <w:pgMar w:left="704" w:top="280" w:right="259" w:bottom="1440" w:gutter="0" w:footer="0" w:header="0"/>
        </w:sectPr>
      </w:pPr>
    </w:p>
    <w:bookmarkStart w:id="75" w:name="page76"/>
    <w:bookmarkEnd w:id="75"/>
    <w:p>
      <w:pPr>
        <w:ind w:right="300" w:firstLine="464"/>
        <w:spacing w:after="0" w:line="268"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REIT Status</w:t>
      </w:r>
      <w:r>
        <w:rPr>
          <w:rFonts w:ascii="Arial" w:cs="Arial" w:eastAsia="Arial" w:hAnsi="Arial"/>
          <w:sz w:val="18"/>
          <w:szCs w:val="18"/>
          <w:color w:val="auto"/>
        </w:rPr>
        <w:t>. The Borrower qualifies as, and has elected to be treated as, a REIT and is in compliance with all requirements and conditions imposed under the Internal Revenue Code to allow the Borrower to maintain its status as a REIT.</w:t>
      </w:r>
    </w:p>
    <w:p>
      <w:pPr>
        <w:spacing w:after="0" w:line="131" w:lineRule="exact"/>
        <w:rPr>
          <w:rFonts w:ascii="Arial" w:cs="Arial" w:eastAsia="Arial" w:hAnsi="Arial"/>
          <w:sz w:val="18"/>
          <w:szCs w:val="18"/>
          <w:color w:val="auto"/>
        </w:rPr>
      </w:pPr>
    </w:p>
    <w:p>
      <w:pPr>
        <w:jc w:val="both"/>
        <w:ind w:right="100" w:firstLine="464"/>
        <w:spacing w:after="0" w:line="306" w:lineRule="auto"/>
        <w:tabs>
          <w:tab w:leader="none" w:pos="69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Unencumbered Assets</w:t>
      </w:r>
      <w:r>
        <w:rPr>
          <w:rFonts w:ascii="Arial" w:cs="Arial" w:eastAsia="Arial" w:hAnsi="Arial"/>
          <w:sz w:val="16"/>
          <w:szCs w:val="16"/>
          <w:color w:val="auto"/>
        </w:rPr>
        <w:t>. As of the Agreement Date, Schedule 6.1.(z) is a correct and complete list of each Wholly Owned Property, Controlled Property and Non-Controlled Property included as of the Agreement Date in the calculation of Unencumbered Asset Value. Except as set forth on such Schedule, each of the Properties included by the Borrower in calculations of Unencumbered Asset Value is an Eligible Property.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Survival of Representations and Warranties, Etc.</w:t>
      </w:r>
    </w:p>
    <w:p>
      <w:pPr>
        <w:spacing w:after="0" w:line="9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All statements contained in any certificate, financial statement or other instrument delivered by or on behalf of any Loan Party or any other Subsidiary to the Administrative Agent or any Lender pursuant to or in connection with this Agreement or any of the other Loan Documents (including, but not limited to, any such statement made in or in connection with any amendment thereto or any statement contained in any certificate, financial statement or other instrument delivered by or on behalf of any Loan Party prior to the Agreement Date and delivered to the Administrative Agent or any Lender in connection with the underwriting or closing the transactions contemplated hereby) shall constitute representations and warranties made by the Borrower under this Agreement. All representations and warranties made under this Agreement and the other Loan Documents shall be deemed to be made at and as of the Agreement Date, the Effective Date, the date on which any extension of the Revolving Termination Date is effectuated pursuant to Section 2.13. and at and as of the date of the occurrence of each Credit Event,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All such representations and warranties shall survive the effectiveness of this Agreement, the execution and delivery of the Loan Documents and the making of the Loans and the issuance of the Letters of Credit.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 A</w:t>
      </w:r>
      <w:r>
        <w:rPr>
          <w:rFonts w:ascii="Arial" w:cs="Arial" w:eastAsia="Arial" w:hAnsi="Arial"/>
          <w:sz w:val="14"/>
          <w:szCs w:val="14"/>
          <w:b w:val="1"/>
          <w:bCs w:val="1"/>
          <w:color w:val="auto"/>
        </w:rPr>
        <w:t>FFIRMATIVE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so long as this Agreement is in effect, unless the Requisite Lenders (or, if required pursuant to Section 12.7., all of the Lenders) shall otherwise consent in the manner provided for in Section 12.7., the Borrower shall comply with the following covenants: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 Preservation of Existence and Similar Matters.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Except as otherwise permitted under Section 9.5., the Borrower shall, and shall cause each other Loan Party and each other Subsidiary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7.2. Compliance with Applicable Law and Material Contracts.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Borrower shall, and shall cause each other Loan Party and each other Subsidiary to, comply with (a) all Applicable Laws, including the obtaining of all Governmental Approvals, the failure with which to comply could reasonably be expected to have a Material Adverse Effect, and (b) all terms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400"/>
          </w:cols>
          <w:pgMar w:left="240" w:top="280" w:right="259" w:bottom="1440" w:gutter="0" w:footer="0" w:header="0"/>
        </w:sectPr>
      </w:pPr>
    </w:p>
    <w:bookmarkStart w:id="76" w:name="page77"/>
    <w:bookmarkEnd w:id="76"/>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of all contracts and other written agreements to which it is a party if any such non-compliance could reasonably be expected to have a Material Adverse Effect.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7.3. Maintenance of Property.</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the requirements of any of the other Loan Documents, the Borrower shall, and shall cause each other Loan Party and each other Subsidiary to, (a) protect and preserve all of its respective material properties, including, but not limited to, all Intellectual Property necessary to the conduct of its respective business, and maintain in good repair, working order and condition all tangible properties, ordinary wear and tear excepted, and (b) from time to time make or cause to be made all needed and appropriate repairs, renewals, replacements and additions to such properties, so that the business carried on in connection therewith may be properly and advantageously conducted at all times.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7.4. Conduct of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shall, and shall cause each other Loan Party and each other Subsidiary to, carry on its respective businesses as described in Section 6.1.(t).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7.5. Insurance.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the requirements of any of the other Loan Documents, the Borrower shall, and shall cause each other Loan Party and each other Subsidiary to, maintain insurance (on a replacement cost basis) with financially sound and reputable insurance companies against such risks and in such amounts as is customarily maintained by Persons engaged in similar businesses or as may be required by Applicable Law. The Borrower shall from time to time deliver to the Administrative Agent upon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7.6. Payment of Taxes and Claims.</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Borrower shall, and shall cause each other Loan Party and each other Subsidiary to, pay and discharge when due (a) all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such Person in accordance with GAAP.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7.7. Books and Records; Inspections.</w:t>
      </w:r>
    </w:p>
    <w:p>
      <w:pPr>
        <w:spacing w:after="0" w:line="96" w:lineRule="exact"/>
        <w:rPr>
          <w:sz w:val="20"/>
          <w:szCs w:val="20"/>
          <w:color w:val="auto"/>
        </w:rPr>
      </w:pPr>
    </w:p>
    <w:p>
      <w:pPr>
        <w:ind w:right="240" w:firstLine="456"/>
        <w:spacing w:after="0" w:line="314" w:lineRule="auto"/>
        <w:rPr>
          <w:sz w:val="20"/>
          <w:szCs w:val="20"/>
          <w:color w:val="auto"/>
        </w:rPr>
      </w:pPr>
      <w:r>
        <w:rPr>
          <w:rFonts w:ascii="Arial" w:cs="Arial" w:eastAsia="Arial" w:hAnsi="Arial"/>
          <w:sz w:val="15"/>
          <w:szCs w:val="15"/>
          <w:color w:val="auto"/>
        </w:rPr>
        <w:t>The Borrower shall, and shall cause each other Loan Party and each other Subsidiary to, maintain books and records pertaining to its respective business operations in such detail, form and scope as is consistent with good business practice and in accordance with GAAP. The Borrower shall, and shall cause each other Loan Party and each other Subsidiary to, permit representatives or agents of any Lender or the Administrative Agent, from time to time after reasonable prior notice if no Event of Default shall be in existence, as often as may be reasonably requested, but only during normal business hours and at the expense of such Lender or the Administrative Agent (unless an Event of Default shall exist, in which case the exercise by the Administrative Agent of its rights under this Section shall be at the expense of the Borrower), as the case may be, to: (a) visit and inspect all properties of the Borrower or such Subsidiary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420"/>
          </w:cols>
          <w:pgMar w:left="240" w:top="280" w:right="239" w:bottom="1440" w:gutter="0" w:footer="0" w:header="0"/>
        </w:sectPr>
      </w:pPr>
    </w:p>
    <w:bookmarkStart w:id="77" w:name="page78"/>
    <w:bookmarkEnd w:id="77"/>
    <w:p>
      <w:pPr>
        <w:ind w:right="8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other Loan Party to the extent any such right to visit or inspect is within the control of such Person; (b) inspect and make extracts from their respective books and records, including but not limited to management letters prepared by independent accountants; and (c) discuss with its officers, and its independent accountants (in the presence of an officer of the Borrower so long as no Event of Default has occurred and is continuing), its business, properties, condition (financial or otherwise), results of operations and performance. If requested by the Administrative Agent, the Borrower shall execute an authorization letter addressed to its accountants authorizing the Administrative Agent or any Lender to discuss the financial affairs of the Borrower and any other Loan Party or any other Subsidiary with its accountants which, so long as no Event of Default has occurred and is continuing, shall be in the presence of an officer of the Borrower.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7.8. Use of Proceeds.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Borrower will use the proceeds of Loans only to (i) satisfy and pay in full all indebtedness, liabilities and obligations owing under the Existing Credit Agreement, (ii) provide for the general working capital needs of the Borrower and its Subsidiaries and (iii) for other general corporate purposes of the Borrower and its Subsidiaries. The Borrower shall only use Letters of Credit for the same purposes for which it may use the proceeds of Loans. The Borrower shall not, and shall not permit any other Loan Party or any other Subsidiary to, use any part of such proceeds to purchase or carry, or to reduce or retire or refinance any credit incurred to purchase or carry, any margin stock (within the meaning of Regulation U or Regulation X of the Board of Governors of the Federal Reserve System) or to extend credit to others for the purpose of purchasing or carrying any such margin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7.9. Environmental Matters.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Borrower shall, and shall cause each other Loan Party and each other Subsidiary to, comply with all Environmental Laws the failure with which to comply could reasonably be expected to have a Material Adverse Effect. The Borrower shall use, and shall cause each other Loan Party and each other Subsidiary to use, commercially reasonable efforts (which shall include, for purposes of this Section, including customary provisions in lease agreements with tenants as to such compliance) to cause all other Persons occupying, using or present on the Properties to comply, with all Environmental Laws with which to comply could reasonably be expected to have a Material Adverse Effect. The Borrower shall, and shall cause each other Loan Party and each other Subsidiary to take promptly all actions reasonably necessary to prevent the imposition of any Liens on any of their respective properties arising out of or related to any Environmental Laws. Nothing in this Section shall impose any obligation or liability whatsoever on the Administrative Agent or any Lender.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7.10. Further Assurances.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At the Borrower’s cost and expense and upon request of the Administrative Agent, the Borrower shall, and shall cause each other Loan Party and each other Subsidiary to, duly execute and deliver or cause to be duly executed and delivered, to the Administrative Agent such further instruments, documents and certificates, and do and cause to be done such further acts that may be reasonably necessary or advisable in the reasonable opinion of the Administrative Agent to carry out more effectively the provisions and purposes of this Agreement and the other Loan Documents.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400"/>
          </w:cols>
          <w:pgMar w:left="240" w:top="280"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7.11. Reserved.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7.12. REIT Status.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at all times maintain its status as, and election to be treated as, a REIT under the Internal Revenue Code.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7.13. Exchange Listing.</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Borrower shall maintain at least one class of common shares of the Borrower having trading privileges on the New York Stock Exchange or the American Stock Exchange or other national exchange which is subject to price quotations on The NASDAQ Stock Market’s National Market System (or any successor exchanges or quotation systems thereto).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7.14. Guarantors.</w:t>
      </w:r>
    </w:p>
    <w:p>
      <w:pPr>
        <w:spacing w:after="0" w:line="96" w:lineRule="exact"/>
        <w:rPr>
          <w:sz w:val="20"/>
          <w:szCs w:val="20"/>
          <w:color w:val="auto"/>
        </w:rPr>
      </w:pPr>
    </w:p>
    <w:p>
      <w:pPr>
        <w:ind w:right="40" w:firstLine="464"/>
        <w:spacing w:after="0" w:line="290" w:lineRule="auto"/>
        <w:tabs>
          <w:tab w:leader="none" w:pos="695"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Within 10 Business Days of any Person becoming a Material Subsidiary (other than an Excluded Subsidiary or a Subsidiary owning a Non-Controlled Property) after the Agreement Date, the Borrower shall deliver to the Administrative Agent each of the following in form and substance satisfactory to the Administrative Agent: (i) an Accession Agreement executed by such Material Subsidiary and (ii) the items that would have been delivered under subsections (iv) through (viii) of Section 5.1.(a) if such Material Subsidiary had been a Material Subsidiary on the Agreement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promptly (and in any event within 10 Business Days) upon (x) any Excluded Subsidiary ceasing to be subject to the restriction which prevented it from becoming a Guarantor on the Effective Date or delivering an Accession Agreement pursuant to this Section, as the case may be, or (y) a Subsidiary ceasing to own any Non-Controlled Properties, such Subsidiary shall comply with the provisions of this Section if then applicable.</w:t>
      </w:r>
    </w:p>
    <w:p>
      <w:pPr>
        <w:spacing w:after="0" w:line="118" w:lineRule="exact"/>
        <w:rPr>
          <w:rFonts w:ascii="Arial" w:cs="Arial" w:eastAsia="Arial" w:hAnsi="Arial"/>
          <w:sz w:val="16"/>
          <w:szCs w:val="16"/>
          <w:color w:val="auto"/>
        </w:rPr>
      </w:pPr>
    </w:p>
    <w:p>
      <w:pPr>
        <w:ind w:right="600" w:firstLine="464"/>
        <w:spacing w:after="0" w:line="268"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Borrower may, at its option, cause any Subsidiary that is not already a Guarantor to become a Guarantor by executing and delivering to the Administrative Agent the items required to be delivered under the immediately preceding subsection (a).</w:t>
      </w:r>
    </w:p>
    <w:p>
      <w:pPr>
        <w:spacing w:after="0" w:line="131" w:lineRule="exact"/>
        <w:rPr>
          <w:rFonts w:ascii="Arial" w:cs="Arial" w:eastAsia="Arial" w:hAnsi="Arial"/>
          <w:sz w:val="18"/>
          <w:szCs w:val="18"/>
          <w:color w:val="auto"/>
        </w:rPr>
      </w:pPr>
    </w:p>
    <w:p>
      <w:pPr>
        <w:ind w:firstLine="464"/>
        <w:spacing w:after="0" w:line="287" w:lineRule="auto"/>
        <w:tabs>
          <w:tab w:leader="none" w:pos="69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Borrower may request in writing that the Administrative Agent release, and upon receipt of such request the Administrative Agent shall release, a Guarantor from the Guaranty so long as: (i) such Guarantor (x) meets, or will meet simultaneously with its release from the Guaranty, all of the provisions of the definition of the term “Excluded Subsidiary” or (y) has ceased to be, or simultaneously with its release from the Guaranty will cease to be, a Material Subsidiary (whether pursuant to a transaction permitted under Section 9.6. or otherwise); (ii) such Guarantor is not otherwise required to be a party to the Guaranty under the immediately preceding subsection (a); (ii) no Default or Event of Default shall then be in existence or would occur as a result of such release, including without limitation, a Default or Event of Default resulting from a violation of any of the covenants contained in Section 9.1.; and (iii) the Administrative Agent shall have received such written request at least ten (10) Business Days (or such shorter period as may be acceptable to the Administrative Agent) prior to the requested date of release. Delivery by the Borrower to the Administrative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w:t>
      </w:r>
    </w:p>
    <w:p>
      <w:pPr>
        <w:spacing w:after="0" w:line="109" w:lineRule="exact"/>
        <w:rPr>
          <w:rFonts w:ascii="Arial" w:cs="Arial" w:eastAsia="Arial" w:hAnsi="Arial"/>
          <w:sz w:val="16"/>
          <w:szCs w:val="16"/>
          <w:color w:val="auto"/>
        </w:rPr>
      </w:pPr>
    </w:p>
    <w:p>
      <w:pPr>
        <w:ind w:left="5620" w:hanging="96"/>
        <w:spacing w:after="0"/>
        <w:tabs>
          <w:tab w:leader="none" w:pos="56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70 -</w:t>
      </w:r>
    </w:p>
    <w:p>
      <w:pPr>
        <w:sectPr>
          <w:pgSz w:w="11900" w:h="16838" w:orient="portrait"/>
          <w:cols w:equalWidth="0" w:num="1">
            <w:col w:w="11380"/>
          </w:cols>
          <w:pgMar w:left="240" w:top="274" w:right="27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VIII. I</w:t>
      </w:r>
      <w:r>
        <w:rPr>
          <w:rFonts w:ascii="Arial" w:cs="Arial" w:eastAsia="Arial" w:hAnsi="Arial"/>
          <w:sz w:val="14"/>
          <w:szCs w:val="14"/>
          <w:b w:val="1"/>
          <w:bCs w:val="1"/>
          <w:color w:val="auto"/>
        </w:rPr>
        <w:t>NFORMATION</w:t>
      </w:r>
    </w:p>
    <w:p>
      <w:pPr>
        <w:spacing w:after="0" w:line="17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For so long as this Agreement is in effect, unless the Requisite Lenders (or, if required pursuant to Section 12.7., all of the Lenders) shall otherwise consent in the manner set forth in Section 12.7., the Borrower shall furnish to the Administrative Agent for distribution to each of the Lenders: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Quarterly Financial Statements.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soon as available and in any event within five (5) days after the same is required to be filed with the Securities and Exchange Commission (but in no event later than 50 days after the end of each of the first, second and third fiscal quarters of the Borrower commencing with the fiscal quarter of the Borrower ended June 30, 2011), the unaudited consolidated balance sheet of the Borrower and its Subsidiaries as at the end of such period and the related unaudited consolidated statements of operations, shareholders’ equity and cash flows of the Borrower and its Subsidiaries for such period, setting forth in each case in comparative form the figures as of the end of and for the corresponding periods of the previous fiscal year, all of which shall, to the extent applicable, be in the form required by the Securities Exchange Act and certified by the chief financial officer or chief accounting officer of the Borrower, in his or her opinion, to present fairly, in accordance with GAAP and in all material respects, the consolidated financial position of the Borrower and its Subsidiaries as at the date thereof and the results of operations for such period (subject to normal year-end audit adjustments).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8.2. Year-End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soon as available and in any event within five (5) days after the same is required to be filed with the Securities and Exchange Commission (but in no event later than 95 days after the end of each fiscal year of the Borrower), the audited consolidated balance sheet of the Borrower and its Subsidiaries as at the end of such fiscal year and the related audited consolidated statements of operations, shareholders’ equity and cash flows of the Borrower and its Subsidiaries for such fiscal year, setting forth in comparative form the figures as at the end of and for the previous fiscal year, all of which shall, to the extent applicable, be in the form required by the Securities Exchange Act and (a) certified by the chief accounting officer or chief financial officer of the Borrower, in his or her opinion, to present fairly, in accordance with GAAP, the consolidated financial position of the Borrower and its Subsidiaries as at the date thereof and the result of operations for such period and (b) accompanied by the report thereon of Grant Thorton LLP or any other independent certified public accountants of recognized national standing acceptable to the Administrative Agent, whose report shall be unqualified and who shall have authorized the Borrower to deliver such financial statements and report thereon to the Administrative Agent and the Lenders pursuant to this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8.3. Compliance Certificate.</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At the time the financial statements are furnished pursuant to Sections 8.1. and 8.2. and, if (i) the Requisite Lenders provide notice to the Administrative Agent and the Borrower that they reasonably believe that an Event of Default specified in Section 10.1.(a), 10.1.(e) or 10.1.(f) or a Default under Section 10.1.(f) may occur, or if (ii) a casualty or condemnation of a Property secured by Material Indebtedness requiring payment in excess of $25,000,000 as a result of such casualty or condemnation occurs, then within 5 Business Days of the Administrative Agent’s request with respect to any other fiscal period, a certificate substantially in the form of Exhibit P (a “</w:t>
      </w:r>
      <w:r>
        <w:rPr>
          <w:rFonts w:ascii="Arial" w:cs="Arial" w:eastAsia="Arial" w:hAnsi="Arial"/>
          <w:sz w:val="18"/>
          <w:szCs w:val="18"/>
          <w:b w:val="1"/>
          <w:bCs w:val="1"/>
          <w:color w:val="auto"/>
        </w:rPr>
        <w:t>Compliance Certificate</w:t>
      </w:r>
      <w:r>
        <w:rPr>
          <w:rFonts w:ascii="Arial" w:cs="Arial" w:eastAsia="Arial" w:hAnsi="Arial"/>
          <w:sz w:val="18"/>
          <w:szCs w:val="18"/>
          <w:color w:val="auto"/>
        </w:rPr>
        <w:t>”) executed on behalf of the Borrower by the chief accounting officer or the chief financial officer of the Borrower (a) setting forth in reasonable detail as of the end of such quarterly accounting period or fiscal year or such other fiscal period, as the case may be, the calculations required to establish whether the Borrower was in compliance with the covenants contained in Section 9.1.; and (b) stating that, to the best of his or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420"/>
          </w:cols>
          <w:pgMar w:left="240" w:top="274" w:right="239" w:bottom="1440" w:gutter="0" w:footer="0" w:header="0"/>
        </w:sectPr>
      </w:pPr>
    </w:p>
    <w:bookmarkStart w:id="80" w:name="page81"/>
    <w:bookmarkEnd w:id="8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 knowledge, information, and belief after due inquiry, no Default or Event of Default exists, or, if such is not the case, specifying such Default or Event of Default and its nature, when it occurred and the steps being taken by the Borrower with respect to such event, condition or failure. Together with each Compliance Certificate delivered in connection with quarterly or annual financial statements, the Borrower shall deliver a report, in form and detail reasonably satisfactory to the Administrative Agent, setting forth (i) a statement of Funds From Operations for the fiscal period then ending; (ii) a list of each Wholly Owned Property, Controlled Property and Non-Controlled Property included in the calculation of Unencumbered Asset Value, such list to identify any Property that has ceased to be included in the calculation of Unencumbered Asset Value since the previous such list delivered to the Administrative Agent; and (iii) a listing of all Properties acquired by the Borrower or any Subsidiary since the delivery of the previous such list, including their Net Operating Income, the purchase price for such Property and indicating whether such Property is collateral for any Secured Indebtedness of the owner of such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8.4. Other Information.</w:t>
      </w:r>
    </w:p>
    <w:p>
      <w:pPr>
        <w:spacing w:after="0" w:line="96" w:lineRule="exact"/>
        <w:rPr>
          <w:sz w:val="20"/>
          <w:szCs w:val="20"/>
          <w:color w:val="auto"/>
        </w:rPr>
      </w:pPr>
    </w:p>
    <w:p>
      <w:pPr>
        <w:ind w:right="220" w:firstLine="464"/>
        <w:spacing w:after="0" w:line="268" w:lineRule="auto"/>
        <w:tabs>
          <w:tab w:leader="none" w:pos="6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Promptly upon receipt thereof, copies of all management reports, if any, submitted to the Borrower or its Board of Trustees by its independent public accountants;</w:t>
      </w:r>
    </w:p>
    <w:p>
      <w:pPr>
        <w:spacing w:after="0" w:line="131" w:lineRule="exact"/>
        <w:rPr>
          <w:rFonts w:ascii="Arial" w:cs="Arial" w:eastAsia="Arial" w:hAnsi="Arial"/>
          <w:sz w:val="18"/>
          <w:szCs w:val="18"/>
          <w:color w:val="auto"/>
        </w:rPr>
      </w:pPr>
    </w:p>
    <w:p>
      <w:pPr>
        <w:ind w:right="200" w:firstLine="464"/>
        <w:spacing w:after="0" w:line="256" w:lineRule="auto"/>
        <w:tabs>
          <w:tab w:leader="none" w:pos="7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Within five (5) Business Days of the filing thereof, copies of all registration statements (excluding the exhibits thereto (unless requested by the Administrative Agent) and any registration statements on Form S-8 or its equivalent), reports on Forms 10-K, 10-Q and 8-K (or their equivalents) and all other periodic reports which any Loan Party or any other Subsidiary shall file with the Securities and Exchange Commission (or any Governmental Authority substituted therefor) or any national securities exchange;</w:t>
      </w:r>
    </w:p>
    <w:p>
      <w:pPr>
        <w:spacing w:after="0" w:line="143" w:lineRule="exact"/>
        <w:rPr>
          <w:rFonts w:ascii="Arial" w:cs="Arial" w:eastAsia="Arial" w:hAnsi="Arial"/>
          <w:sz w:val="18"/>
          <w:szCs w:val="18"/>
          <w:color w:val="auto"/>
        </w:rPr>
      </w:pPr>
    </w:p>
    <w:p>
      <w:pPr>
        <w:ind w:right="320" w:firstLine="464"/>
        <w:spacing w:after="0" w:line="332" w:lineRule="auto"/>
        <w:tabs>
          <w:tab w:leader="none" w:pos="695" w:val="left"/>
        </w:tabs>
        <w:numPr>
          <w:ilvl w:val="0"/>
          <w:numId w:val="82"/>
        </w:numPr>
        <w:rPr>
          <w:rFonts w:ascii="Arial" w:cs="Arial" w:eastAsia="Arial" w:hAnsi="Arial"/>
          <w:sz w:val="16"/>
          <w:szCs w:val="16"/>
          <w:color w:val="auto"/>
        </w:rPr>
      </w:pPr>
      <w:r>
        <w:rPr>
          <w:rFonts w:ascii="Arial" w:cs="Arial" w:eastAsia="Arial" w:hAnsi="Arial"/>
          <w:sz w:val="16"/>
          <w:szCs w:val="16"/>
          <w:color w:val="auto"/>
        </w:rPr>
        <w:t>Promptly upon the mailing thereof to the shareholders of the Borrower generally, copies of all financial statements, reports and proxy statements so mailed and promptly upon the issuance thereof copies of all press releases issued by the Borrower, any Subsidiary or any other Loan Party;</w:t>
      </w:r>
    </w:p>
    <w:p>
      <w:pPr>
        <w:spacing w:after="0" w:line="85" w:lineRule="exact"/>
        <w:rPr>
          <w:rFonts w:ascii="Arial" w:cs="Arial" w:eastAsia="Arial" w:hAnsi="Arial"/>
          <w:sz w:val="16"/>
          <w:szCs w:val="16"/>
          <w:color w:val="auto"/>
        </w:rPr>
      </w:pPr>
    </w:p>
    <w:p>
      <w:pPr>
        <w:ind w:firstLine="464"/>
        <w:spacing w:after="0" w:line="286" w:lineRule="auto"/>
        <w:tabs>
          <w:tab w:leader="none" w:pos="705"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 later than (i) the last day of February of each year, projected consolidated financial statements of Borrower and its consolidated Subsidiaries, for the next fiscal year set forth on a quarterly basis, to include projected balance sheets, statements of income and loss and statements of cash flow, together with calculations required to establish whether or not the Borrower is projected to be in compliance with the financial covenants set forth in Section 9.1. and (ii) 15 Business Days of Administrative Agent’s request, the Borrower shall deliver such projected consolidated financial statements for the four fiscal-quarter period commencing with the fiscal quarter in which such request was made; provided, that the Borrower shall not be required to provide projections pursuant to this clause (ii) more than once during any fiscal quarter; further, in each case, such projected consolidated financial statements shall be prepared on a quarterly basis, all in reasonable detail, and in form and content acceptable to the Administrative Agent, and shall be accompanied by such supporting information as the Administrative Agent may reasonably request. Such projected consolidated financial statements shall represent the reasonable best estimate by the Borrower of the future financial performance of the Borrower and its Subsidiaries for the periods set forth therein and have been prepared on the basis of assumptions set forth therein, which the Borrower believes are fair and reasonable as of the date of preparation in light of current and reasonably foreseeable business conditions (it being understood that actual results may differ from those set forth in such projected financial statements);</w:t>
      </w:r>
    </w:p>
    <w:p>
      <w:pPr>
        <w:spacing w:after="0" w:line="127" w:lineRule="exact"/>
        <w:rPr>
          <w:rFonts w:ascii="Arial" w:cs="Arial" w:eastAsia="Arial" w:hAnsi="Arial"/>
          <w:sz w:val="16"/>
          <w:szCs w:val="16"/>
          <w:color w:val="auto"/>
        </w:rPr>
      </w:pPr>
    </w:p>
    <w:p>
      <w:pPr>
        <w:ind w:right="260" w:firstLine="464"/>
        <w:spacing w:after="0" w:line="332" w:lineRule="auto"/>
        <w:tabs>
          <w:tab w:leader="none" w:pos="695"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any ERISA Event shall occur that individually, or together with any other ERISA Event that has occurred, could reasonably be expected to have a Material Adverse Effect, a certificate of the chief executive officer or chief financial officer of the Borrower setting forth details as to such</w:t>
      </w:r>
    </w:p>
    <w:p>
      <w:pPr>
        <w:spacing w:after="0" w:line="71" w:lineRule="exact"/>
        <w:rPr>
          <w:rFonts w:ascii="Arial" w:cs="Arial" w:eastAsia="Arial" w:hAnsi="Arial"/>
          <w:sz w:val="16"/>
          <w:szCs w:val="16"/>
          <w:color w:val="auto"/>
        </w:rPr>
      </w:pPr>
    </w:p>
    <w:p>
      <w:pPr>
        <w:ind w:left="5620" w:hanging="96"/>
        <w:spacing w:after="0"/>
        <w:tabs>
          <w:tab w:leader="none" w:pos="5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72 -</w:t>
      </w:r>
    </w:p>
    <w:p>
      <w:pPr>
        <w:sectPr>
          <w:pgSz w:w="11900" w:h="16838" w:orient="portrait"/>
          <w:cols w:equalWidth="0" w:num="1">
            <w:col w:w="11380"/>
          </w:cols>
          <w:pgMar w:left="240" w:top="280" w:right="27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occurrence and the action, if any, which the Borrower or applicable member of the ERISA Group is required or proposes to take;</w:t>
      </w:r>
    </w:p>
    <w:p>
      <w:pPr>
        <w:spacing w:after="0" w:line="171" w:lineRule="exact"/>
        <w:rPr>
          <w:sz w:val="20"/>
          <w:szCs w:val="20"/>
          <w:color w:val="auto"/>
        </w:rPr>
      </w:pPr>
    </w:p>
    <w:p>
      <w:pPr>
        <w:ind w:firstLine="464"/>
        <w:spacing w:after="0" w:line="255" w:lineRule="auto"/>
        <w:tabs>
          <w:tab w:leader="none" w:pos="676"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 the extent any Loan Party or any other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any Loan Party or any other Subsidiary or any of their respective properties, assets or businesses which could reasonably be expected to have a Material Adverse Effect, and prompt notice of the receipt of notice that any United States income tax returns of any Loan Party or any other Subsidiary are being audited;</w:t>
      </w:r>
    </w:p>
    <w:p>
      <w:pPr>
        <w:spacing w:after="0" w:line="142" w:lineRule="exact"/>
        <w:rPr>
          <w:rFonts w:ascii="Arial" w:cs="Arial" w:eastAsia="Arial" w:hAnsi="Arial"/>
          <w:sz w:val="18"/>
          <w:szCs w:val="18"/>
          <w:color w:val="auto"/>
        </w:rPr>
      </w:pPr>
    </w:p>
    <w:p>
      <w:pPr>
        <w:ind w:right="400" w:firstLine="464"/>
        <w:spacing w:after="0" w:line="268" w:lineRule="auto"/>
        <w:tabs>
          <w:tab w:leader="none" w:pos="705"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copy of any amendment to the declaration of trust or other organizational documents of the Borrower within fifteen (15) Business Days after the effectiveness thereof;</w:t>
      </w:r>
    </w:p>
    <w:p>
      <w:pPr>
        <w:spacing w:after="0" w:line="131" w:lineRule="exact"/>
        <w:rPr>
          <w:rFonts w:ascii="Arial" w:cs="Arial" w:eastAsia="Arial" w:hAnsi="Arial"/>
          <w:sz w:val="18"/>
          <w:szCs w:val="18"/>
          <w:color w:val="auto"/>
        </w:rPr>
      </w:pPr>
    </w:p>
    <w:p>
      <w:pPr>
        <w:ind w:right="240" w:firstLine="464"/>
        <w:spacing w:after="0" w:line="259" w:lineRule="auto"/>
        <w:tabs>
          <w:tab w:leader="none" w:pos="705" w:val="left"/>
        </w:tabs>
        <w:numPr>
          <w:ilvl w:val="1"/>
          <w:numId w:val="83"/>
        </w:numPr>
        <w:rPr>
          <w:rFonts w:ascii="Arial" w:cs="Arial" w:eastAsia="Arial" w:hAnsi="Arial"/>
          <w:sz w:val="18"/>
          <w:szCs w:val="18"/>
          <w:color w:val="auto"/>
        </w:rPr>
      </w:pPr>
      <w:r>
        <w:rPr>
          <w:rFonts w:ascii="Arial" w:cs="Arial" w:eastAsia="Arial" w:hAnsi="Arial"/>
          <w:sz w:val="18"/>
          <w:szCs w:val="18"/>
          <w:color w:val="auto"/>
        </w:rPr>
        <w:t>Prompt notice of (i) any change in the chief executive officer, chief financial officer or chief operating officer of the Borrower, any Subsidiary or any other Loan Party, or (ii) any change in the business, assets, liabilities, financial condition or results of operations of the Borrower, any Subsidiary or any other Loan Party which has had, or could reasonably be expected to have, a Material Adverse Effect;</w:t>
      </w:r>
    </w:p>
    <w:p>
      <w:pPr>
        <w:spacing w:after="0" w:line="140" w:lineRule="exact"/>
        <w:rPr>
          <w:rFonts w:ascii="Arial" w:cs="Arial" w:eastAsia="Arial" w:hAnsi="Arial"/>
          <w:sz w:val="18"/>
          <w:szCs w:val="18"/>
          <w:color w:val="auto"/>
        </w:rPr>
      </w:pPr>
    </w:p>
    <w:p>
      <w:pPr>
        <w:ind w:right="100" w:firstLine="464"/>
        <w:spacing w:after="0" w:line="256" w:lineRule="auto"/>
        <w:tabs>
          <w:tab w:leader="none" w:pos="666" w:val="left"/>
        </w:tabs>
        <w:numPr>
          <w:ilvl w:val="1"/>
          <w:numId w:val="83"/>
        </w:numPr>
        <w:rPr>
          <w:rFonts w:ascii="Arial" w:cs="Arial" w:eastAsia="Arial" w:hAnsi="Arial"/>
          <w:sz w:val="18"/>
          <w:szCs w:val="18"/>
          <w:color w:val="auto"/>
        </w:rPr>
      </w:pPr>
      <w:r>
        <w:rPr>
          <w:rFonts w:ascii="Arial" w:cs="Arial" w:eastAsia="Arial" w:hAnsi="Arial"/>
          <w:sz w:val="18"/>
          <w:szCs w:val="18"/>
          <w:color w:val="auto"/>
        </w:rPr>
        <w:t>Promptly upon a Responsible Officer of the Borrower obtaining knowledge thereof, prompt notice of the occurrence of any Default or Event of Default or any event which constitutes or which with the passage of time, the giving of notice, or otherwise, would constitute a default or event of default by any Loan Party or any other Subsidiary under any Material Contract to which any such Person is a party or by which any such Person or any of its respective properties may be bound;</w:t>
      </w:r>
    </w:p>
    <w:p>
      <w:pPr>
        <w:spacing w:after="0" w:line="143" w:lineRule="exact"/>
        <w:rPr>
          <w:rFonts w:ascii="Arial" w:cs="Arial" w:eastAsia="Arial" w:hAnsi="Arial"/>
          <w:sz w:val="18"/>
          <w:szCs w:val="18"/>
          <w:color w:val="auto"/>
        </w:rPr>
      </w:pPr>
    </w:p>
    <w:p>
      <w:pPr>
        <w:ind w:right="240" w:firstLine="464"/>
        <w:spacing w:after="0" w:line="268" w:lineRule="auto"/>
        <w:tabs>
          <w:tab w:leader="none" w:pos="666" w:val="left"/>
        </w:tabs>
        <w:numPr>
          <w:ilvl w:val="1"/>
          <w:numId w:val="83"/>
        </w:numPr>
        <w:rPr>
          <w:rFonts w:ascii="Arial" w:cs="Arial" w:eastAsia="Arial" w:hAnsi="Arial"/>
          <w:sz w:val="18"/>
          <w:szCs w:val="18"/>
          <w:color w:val="auto"/>
        </w:rPr>
      </w:pPr>
      <w:r>
        <w:rPr>
          <w:rFonts w:ascii="Arial" w:cs="Arial" w:eastAsia="Arial" w:hAnsi="Arial"/>
          <w:sz w:val="18"/>
          <w:szCs w:val="18"/>
          <w:color w:val="auto"/>
        </w:rPr>
        <w:t>Prompt notice of any order, judgment or decree in excess of $5,000,000 having been entered against any Loan Party or any other Subsidiary or any of their respective properties or assets;</w:t>
      </w:r>
    </w:p>
    <w:p>
      <w:pPr>
        <w:spacing w:after="0" w:line="131" w:lineRule="exact"/>
        <w:rPr>
          <w:rFonts w:ascii="Arial" w:cs="Arial" w:eastAsia="Arial" w:hAnsi="Arial"/>
          <w:sz w:val="18"/>
          <w:szCs w:val="18"/>
          <w:color w:val="auto"/>
        </w:rPr>
      </w:pPr>
    </w:p>
    <w:p>
      <w:pPr>
        <w:ind w:right="480" w:firstLine="464"/>
        <w:spacing w:after="0" w:line="332" w:lineRule="auto"/>
        <w:tabs>
          <w:tab w:leader="none" w:pos="705" w:val="left"/>
        </w:tabs>
        <w:numPr>
          <w:ilvl w:val="1"/>
          <w:numId w:val="83"/>
        </w:numPr>
        <w:rPr>
          <w:rFonts w:ascii="Arial" w:cs="Arial" w:eastAsia="Arial" w:hAnsi="Arial"/>
          <w:sz w:val="16"/>
          <w:szCs w:val="16"/>
          <w:color w:val="auto"/>
        </w:rPr>
      </w:pPr>
      <w:r>
        <w:rPr>
          <w:rFonts w:ascii="Arial" w:cs="Arial" w:eastAsia="Arial" w:hAnsi="Arial"/>
          <w:sz w:val="16"/>
          <w:szCs w:val="16"/>
          <w:color w:val="auto"/>
        </w:rPr>
        <w:t>Prompt notice if the Borrower, any Subsidiary or any other Loan Party shall receive any notification from any Governmental Authority alleging a violation of any Applicable Law or any inquiry which, in either case, could reasonably be expected to have a Material Adverse Effect</w:t>
      </w:r>
    </w:p>
    <w:p>
      <w:pPr>
        <w:spacing w:after="0" w:line="85" w:lineRule="exact"/>
        <w:rPr>
          <w:rFonts w:ascii="Arial" w:cs="Arial" w:eastAsia="Arial" w:hAnsi="Arial"/>
          <w:sz w:val="16"/>
          <w:szCs w:val="16"/>
          <w:color w:val="auto"/>
        </w:rPr>
      </w:pPr>
    </w:p>
    <w:p>
      <w:pPr>
        <w:ind w:left="680" w:hanging="216"/>
        <w:spacing w:after="0"/>
        <w:tabs>
          <w:tab w:leader="none" w:pos="6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Prompt notice of any Subsidiary becoming a Material Subsidiary;</w:t>
      </w:r>
    </w:p>
    <w:p>
      <w:pPr>
        <w:spacing w:after="0" w:line="171" w:lineRule="exact"/>
        <w:rPr>
          <w:rFonts w:ascii="Arial" w:cs="Arial" w:eastAsia="Arial" w:hAnsi="Arial"/>
          <w:sz w:val="18"/>
          <w:szCs w:val="18"/>
          <w:color w:val="auto"/>
        </w:rPr>
      </w:pPr>
    </w:p>
    <w:p>
      <w:pPr>
        <w:ind w:right="80" w:firstLine="464"/>
        <w:spacing w:after="0" w:line="268" w:lineRule="auto"/>
        <w:tabs>
          <w:tab w:leader="none" w:pos="754" w:val="left"/>
        </w:tabs>
        <w:numPr>
          <w:ilvl w:val="1"/>
          <w:numId w:val="83"/>
        </w:numPr>
        <w:rPr>
          <w:rFonts w:ascii="Arial" w:cs="Arial" w:eastAsia="Arial" w:hAnsi="Arial"/>
          <w:sz w:val="18"/>
          <w:szCs w:val="18"/>
          <w:color w:val="auto"/>
        </w:rPr>
      </w:pPr>
      <w:r>
        <w:rPr>
          <w:rFonts w:ascii="Arial" w:cs="Arial" w:eastAsia="Arial" w:hAnsi="Arial"/>
          <w:sz w:val="18"/>
          <w:szCs w:val="18"/>
          <w:color w:val="auto"/>
        </w:rPr>
        <w:t>Promptly upon the request of the Administrative Agent, evidence of the Borrower’s calculation of the Ownership Share with respect to a Subsidiary or an Unconsolidated Affiliate, such evidence to be in form and detail satisfactory to the Administrative Agent;</w:t>
      </w:r>
    </w:p>
    <w:p>
      <w:pPr>
        <w:spacing w:after="0" w:line="131" w:lineRule="exact"/>
        <w:rPr>
          <w:rFonts w:ascii="Arial" w:cs="Arial" w:eastAsia="Arial" w:hAnsi="Arial"/>
          <w:sz w:val="18"/>
          <w:szCs w:val="18"/>
          <w:color w:val="auto"/>
        </w:rPr>
      </w:pPr>
    </w:p>
    <w:p>
      <w:pPr>
        <w:ind w:right="400" w:firstLine="464"/>
        <w:spacing w:after="0" w:line="268" w:lineRule="auto"/>
        <w:tabs>
          <w:tab w:leader="none" w:pos="705" w:val="left"/>
        </w:tabs>
        <w:numPr>
          <w:ilvl w:val="1"/>
          <w:numId w:val="83"/>
        </w:numPr>
        <w:rPr>
          <w:rFonts w:ascii="Arial" w:cs="Arial" w:eastAsia="Arial" w:hAnsi="Arial"/>
          <w:sz w:val="18"/>
          <w:szCs w:val="18"/>
          <w:color w:val="auto"/>
        </w:rPr>
      </w:pPr>
      <w:r>
        <w:rPr>
          <w:rFonts w:ascii="Arial" w:cs="Arial" w:eastAsia="Arial" w:hAnsi="Arial"/>
          <w:sz w:val="18"/>
          <w:szCs w:val="18"/>
          <w:color w:val="auto"/>
        </w:rPr>
        <w:t>Promptly, upon any change in the Borrower’s Credit Rating, a certificate stating that the Borrower’s Credit Rating has changed and the new Credit Rating that is in effect;</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1"/>
          <w:numId w:val="83"/>
        </w:numPr>
        <w:rPr>
          <w:rFonts w:ascii="Arial" w:cs="Arial" w:eastAsia="Arial" w:hAnsi="Arial"/>
          <w:sz w:val="18"/>
          <w:szCs w:val="18"/>
          <w:color w:val="auto"/>
        </w:rPr>
      </w:pPr>
      <w:r>
        <w:rPr>
          <w:rFonts w:ascii="Arial" w:cs="Arial" w:eastAsia="Arial" w:hAnsi="Arial"/>
          <w:sz w:val="18"/>
          <w:szCs w:val="18"/>
          <w:color w:val="auto"/>
        </w:rPr>
        <w:t>Promptly, upon each request, information identifying the Borrower as a Lender may request in order to comply with the USA Patriot Act (Title III of Pub. L. 107-56 (signed into law October 26, 2001));</w:t>
      </w:r>
    </w:p>
    <w:p>
      <w:pPr>
        <w:spacing w:after="0" w:line="131" w:lineRule="exact"/>
        <w:rPr>
          <w:rFonts w:ascii="Arial" w:cs="Arial" w:eastAsia="Arial" w:hAnsi="Arial"/>
          <w:sz w:val="18"/>
          <w:szCs w:val="18"/>
          <w:color w:val="auto"/>
        </w:rPr>
      </w:pPr>
    </w:p>
    <w:p>
      <w:pPr>
        <w:ind w:right="360" w:firstLine="464"/>
        <w:spacing w:after="0" w:line="268" w:lineRule="auto"/>
        <w:tabs>
          <w:tab w:leader="none" w:pos="705" w:val="left"/>
        </w:tabs>
        <w:numPr>
          <w:ilvl w:val="1"/>
          <w:numId w:val="83"/>
        </w:numPr>
        <w:rPr>
          <w:rFonts w:ascii="Arial" w:cs="Arial" w:eastAsia="Arial" w:hAnsi="Arial"/>
          <w:sz w:val="18"/>
          <w:szCs w:val="18"/>
          <w:color w:val="auto"/>
        </w:rPr>
      </w:pPr>
      <w:r>
        <w:rPr>
          <w:rFonts w:ascii="Arial" w:cs="Arial" w:eastAsia="Arial" w:hAnsi="Arial"/>
          <w:sz w:val="18"/>
          <w:szCs w:val="18"/>
          <w:color w:val="auto"/>
        </w:rPr>
        <w:t>Prompt notice of the sale, transfer or other disposition of any material assets of the Borrower, any Subsidiary or any other Loan Party to any Person other than the Borrower, any Subsidiary or any other Loan Party;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Prompt written notice, meaning within ten (10) Business Days after the Borrower obtains knowledge thereof, of the occurrence of any of the following:</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Borrower, any Loan Party or any</w:t>
      </w:r>
    </w:p>
    <w:p>
      <w:pPr>
        <w:spacing w:after="0" w:line="151" w:lineRule="exact"/>
        <w:rPr>
          <w:rFonts w:ascii="Arial" w:cs="Arial" w:eastAsia="Arial" w:hAnsi="Arial"/>
          <w:sz w:val="18"/>
          <w:szCs w:val="18"/>
          <w:color w:val="auto"/>
        </w:rPr>
      </w:pPr>
    </w:p>
    <w:p>
      <w:pPr>
        <w:ind w:left="5620" w:hanging="96"/>
        <w:spacing w:after="0"/>
        <w:tabs>
          <w:tab w:leader="none" w:pos="5620" w:val="left"/>
        </w:tabs>
        <w:numPr>
          <w:ilvl w:val="2"/>
          <w:numId w:val="84"/>
        </w:numPr>
        <w:rPr>
          <w:rFonts w:ascii="Arial" w:cs="Arial" w:eastAsia="Arial" w:hAnsi="Arial"/>
          <w:sz w:val="18"/>
          <w:szCs w:val="18"/>
          <w:color w:val="auto"/>
        </w:rPr>
      </w:pPr>
      <w:r>
        <w:rPr>
          <w:rFonts w:ascii="Arial" w:cs="Arial" w:eastAsia="Arial" w:hAnsi="Arial"/>
          <w:sz w:val="18"/>
          <w:szCs w:val="18"/>
          <w:color w:val="auto"/>
        </w:rPr>
        <w:t>73 -</w:t>
      </w:r>
    </w:p>
    <w:p>
      <w:pPr>
        <w:sectPr>
          <w:pgSz w:w="11900" w:h="16838" w:orient="portrait"/>
          <w:cols w:equalWidth="0" w:num="1">
            <w:col w:w="11420"/>
          </w:cols>
          <w:pgMar w:left="240" w:top="280" w:right="239" w:bottom="1440" w:gutter="0" w:footer="0" w:header="0"/>
        </w:sectPr>
      </w:pPr>
    </w:p>
    <w:bookmarkStart w:id="82" w:name="page83"/>
    <w:bookmarkEnd w:id="82"/>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Subsidiary shall receive written notice that any violation of Environmental Law has or may have been committed or is about to be committed; (ii) the Borrower, any Loan Party or any other Subsidiary shall receive written notice that any administrative or judicial complaint, or order has been filed or is about to be filed against any such Person alleging any violation of any Environmental Law or requiring the Borrower, any Loan Party or any other Subsidiary to take any action in connection with the release or threatened release of Hazardous Materials; or (iii) the Borrower, any Loan Party or any other Subsidiary shall receive any notice from a Governmental Authority or private party alleging that any such Person may be liable or responsible for any costs associated with a response to, or remediation or cleanup of, a release of Hazardous Materials or any damages caused thereby; and the matters covered by such notice(s) under the foregoing clauses (i) through (iii) above, whether individually or in the aggregate, could reasonably be expected to have a Material Adverse Effect;</w:t>
      </w:r>
    </w:p>
    <w:p>
      <w:pPr>
        <w:spacing w:after="0" w:line="118" w:lineRule="exact"/>
        <w:rPr>
          <w:sz w:val="20"/>
          <w:szCs w:val="20"/>
          <w:color w:val="auto"/>
        </w:rPr>
      </w:pPr>
    </w:p>
    <w:p>
      <w:pPr>
        <w:ind w:firstLine="464"/>
        <w:spacing w:after="0" w:line="268" w:lineRule="auto"/>
        <w:tabs>
          <w:tab w:leader="none" w:pos="676"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Promptly upon the request of the Administrative Agent, the Derivatives Termination Value in respect of any Specified Derivatives Contract from time to time outstanding; and</w:t>
      </w:r>
    </w:p>
    <w:p>
      <w:pPr>
        <w:spacing w:after="0" w:line="131" w:lineRule="exact"/>
        <w:rPr>
          <w:rFonts w:ascii="Arial" w:cs="Arial" w:eastAsia="Arial" w:hAnsi="Arial"/>
          <w:sz w:val="18"/>
          <w:szCs w:val="18"/>
          <w:color w:val="auto"/>
        </w:rPr>
      </w:pPr>
    </w:p>
    <w:p>
      <w:pPr>
        <w:ind w:right="240" w:firstLine="464"/>
        <w:spacing w:after="0" w:line="259" w:lineRule="auto"/>
        <w:tabs>
          <w:tab w:leader="none" w:pos="686" w:val="left"/>
        </w:tabs>
        <w:numPr>
          <w:ilvl w:val="0"/>
          <w:numId w:val="85"/>
        </w:numPr>
        <w:rPr>
          <w:rFonts w:ascii="Arial" w:cs="Arial" w:eastAsia="Arial" w:hAnsi="Arial"/>
          <w:sz w:val="18"/>
          <w:szCs w:val="18"/>
          <w:color w:val="auto"/>
        </w:rPr>
      </w:pPr>
      <w:r>
        <w:rPr>
          <w:rFonts w:ascii="Arial" w:cs="Arial" w:eastAsia="Arial" w:hAnsi="Arial"/>
          <w:sz w:val="18"/>
          <w:szCs w:val="18"/>
          <w:color w:val="auto"/>
        </w:rPr>
        <w:t>From time to time and promptly upon each request, such data, certificates, reports, statements, opinions of counsel, documents or further information regarding the business, assets, liabilities, financial condition or results of operations of the Borrower, any of its Subsidiaries, or any other Loan Party as the Administrative Agent or any Lender may reasonably request.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8.5. Electronic Delivery of Certain Information.</w:t>
      </w:r>
    </w:p>
    <w:p>
      <w:pPr>
        <w:spacing w:after="0" w:line="96" w:lineRule="exact"/>
        <w:rPr>
          <w:sz w:val="20"/>
          <w:szCs w:val="20"/>
          <w:color w:val="auto"/>
        </w:rPr>
      </w:pPr>
    </w:p>
    <w:p>
      <w:pPr>
        <w:ind w:firstLine="464"/>
        <w:spacing w:after="0" w:line="285" w:lineRule="auto"/>
        <w:tabs>
          <w:tab w:leader="none" w:pos="695" w:val="left"/>
        </w:tabs>
        <w:numPr>
          <w:ilvl w:val="0"/>
          <w:numId w:val="86"/>
        </w:numPr>
        <w:rPr>
          <w:rFonts w:ascii="Arial" w:cs="Arial" w:eastAsia="Arial" w:hAnsi="Arial"/>
          <w:sz w:val="16"/>
          <w:szCs w:val="16"/>
          <w:color w:val="auto"/>
        </w:rPr>
      </w:pPr>
      <w:r>
        <w:rPr>
          <w:rFonts w:ascii="Arial" w:cs="Arial" w:eastAsia="Arial" w:hAnsi="Arial"/>
          <w:sz w:val="16"/>
          <w:szCs w:val="16"/>
          <w:color w:val="auto"/>
        </w:rPr>
        <w:t>Documents required to be delivered pursuant to the Loan Documents shall be delivered by electronic communication and delivery, including, the Internet, e-mail or intranet websites to which the Administrative Agent and each Lender have access (including a commercial, third-party website or a website sponsored or hosted by the Administrative Agent or the Borrower) provided that the foregoing shall not apply to (i) notices to any Lender (or the Issuing Bank) pursuant to Article II. and (ii) any Lender that has notified the Administrative Agent and the Borrower that it cannot or does not want to receive electronic communications.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to be sent to an e-mail address specified from time to time by the Administrative Agent and provides a link thereto; provided if such notice or other communication is not sent or posted during the normal business hours of the recipient, said posting date and time shall be deemed to have commenced as of 9:00 a.m. Pacific time on the opening of business on the next business day for the recipient. Notwithstanding anything contained herein, in every instance the Borrower shall be required to provide paper copies of the certificate required by Section 8.3. to the Administrative Agent and shall deliver paper copies of any documents to the Administrative Agent or to any Lender that requests such paper copies until a written request to cease delivering paper copies is given by the Administrative Agent or such Lender. Except for the certificates required by Section 8.3., the Administrative Agent shall have no obligation to request the delivery of or to maintain paper copies of the documents delivered electronically, and in any event shall have no responsibility to monitor compliance by the Borrower with any such request for delivery. Each Lender shall be solely responsible for requesting delivery to it of paper copies and maintaining its paper or electronic documents.</w:t>
      </w:r>
    </w:p>
    <w:p>
      <w:pPr>
        <w:spacing w:after="0" w:line="123" w:lineRule="exact"/>
        <w:rPr>
          <w:rFonts w:ascii="Arial" w:cs="Arial" w:eastAsia="Arial" w:hAnsi="Arial"/>
          <w:sz w:val="16"/>
          <w:szCs w:val="16"/>
          <w:color w:val="auto"/>
        </w:rPr>
      </w:pPr>
    </w:p>
    <w:p>
      <w:pPr>
        <w:ind w:right="20" w:firstLine="464"/>
        <w:spacing w:after="0" w:line="268" w:lineRule="auto"/>
        <w:tabs>
          <w:tab w:leader="none" w:pos="7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Documents required to be delivered pursuant to Article II. may be delivered electronically to a website provided for such purpose by the Administrative Agent pursuant to the procedures provided to the Borrower by the Administrative Agent.</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74 -</w:t>
      </w:r>
    </w:p>
    <w:p>
      <w:pPr>
        <w:sectPr>
          <w:pgSz w:w="11900" w:h="16838" w:orient="portrait"/>
          <w:cols w:equalWidth="0" w:num="1">
            <w:col w:w="11400"/>
          </w:cols>
          <w:pgMar w:left="240" w:top="280"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8.6. Public/Private Information.</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Borrower will cooperate with the Administrative Agent in connection with the publication of certain materials and/or information provided by or on behalf of the Borrower to the Administrative Agent and the Lenders (collectively, “</w:t>
      </w:r>
      <w:r>
        <w:rPr>
          <w:rFonts w:ascii="Arial" w:cs="Arial" w:eastAsia="Arial" w:hAnsi="Arial"/>
          <w:sz w:val="16"/>
          <w:szCs w:val="16"/>
          <w:b w:val="1"/>
          <w:bCs w:val="1"/>
          <w:color w:val="auto"/>
        </w:rPr>
        <w:t>Information Materials</w:t>
      </w:r>
      <w:r>
        <w:rPr>
          <w:rFonts w:ascii="Arial" w:cs="Arial" w:eastAsia="Arial" w:hAnsi="Arial"/>
          <w:sz w:val="16"/>
          <w:szCs w:val="16"/>
          <w:color w:val="auto"/>
        </w:rPr>
        <w:t>”) pursuant to this Article and the Borrower will designate Information Materials (a) that are either available to the public or not material with respect to the Borrower and its Subsidiaries or any of their respective securities for purposes of United States federal and state securities laws, as “Public Information” and (b) that are not Public Information as “Private Information”. The Administrative Agent and the Borrower acknowledge and agree that the Borrower is obligated to file reports under the Securities Exchange Act. All Information Materials filed with or furnished to the Securities and Exchange Commission by, or on behalf of, the Borrower pursuant to the Securities Exchange Act or filed by, or on behalf of, the Borrower with the Securities and Exchange Commission pursuant to the Securities Act, distributed by, or on behalf of, the Borrower by press release through a widely disseminated news or wire service, or otherwise expressly designated by the Borrower as Public Information are hereby designated as Public Information and all other Information Materials are hereby designated as Private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8.7. USA Patriot Act Notice; Compliance.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USA Patriot Act of 2001 (Public Law 107-56) and federal regulations issued with respect thereto require all financial institutions to obtain, verify and record certain information that identifies individuals or business entities which open an “account” with such financial institution. Consequently, a Lender (for itself and/or as Administrative Agent for all Lenders hereunder) may from time-to-time request, and the Borrower shall, and shall cause the other Loan Parties to, provide to such Lender, such Loan Party’s name, address, tax identification number and/or such other identification information as shall be necessary for such Lender to comply with federal law. An “account” for this purpose may include, without limitation, a deposit account, cash management service, a transaction or asset account, a credit account, a loan or other extension of credit, and/or other financial services product.</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IX. N</w:t>
      </w:r>
      <w:r>
        <w:rPr>
          <w:rFonts w:ascii="Arial" w:cs="Arial" w:eastAsia="Arial" w:hAnsi="Arial"/>
          <w:sz w:val="14"/>
          <w:szCs w:val="14"/>
          <w:b w:val="1"/>
          <w:bCs w:val="1"/>
          <w:color w:val="auto"/>
        </w:rPr>
        <w:t>EGATIVE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so long as this Agreement is in effect, unless the Requisite Lenders (or, if required pursuant to Section 12.7., all of the Lenders) shall otherwise consent in the manner set forth in Section 12.7., the Borrower shall comply with the following covenants: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Financial Covenants.</w:t>
      </w:r>
    </w:p>
    <w:p>
      <w:pPr>
        <w:spacing w:after="0" w:line="96" w:lineRule="exact"/>
        <w:rPr>
          <w:sz w:val="20"/>
          <w:szCs w:val="20"/>
          <w:color w:val="auto"/>
        </w:rPr>
      </w:pPr>
    </w:p>
    <w:p>
      <w:pPr>
        <w:jc w:val="both"/>
        <w:ind w:right="100" w:firstLine="464"/>
        <w:spacing w:after="0" w:line="259"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Minimum Tangible Net Worth</w:t>
      </w:r>
      <w:r>
        <w:rPr>
          <w:rFonts w:ascii="Arial" w:cs="Arial" w:eastAsia="Arial" w:hAnsi="Arial"/>
          <w:sz w:val="18"/>
          <w:szCs w:val="18"/>
          <w:color w:val="auto"/>
        </w:rPr>
        <w:t xml:space="preserve">. The Borrower shall not at any time permit the Tangible Net Worth to be less than (i) 1,750,000,000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75% of the Net Proceeds of all Equity Issuances effected at any time after March 31, 2011 by the Borrower or any of its Subsidiaries to any Person other than the Borrower or any of its Subsidiaries.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Maximum Leverage Ratio</w:t>
      </w:r>
      <w:r>
        <w:rPr>
          <w:rFonts w:ascii="Arial" w:cs="Arial" w:eastAsia="Arial" w:hAnsi="Arial"/>
          <w:sz w:val="16"/>
          <w:szCs w:val="16"/>
          <w:color w:val="auto"/>
        </w:rPr>
        <w:t>. The Borrower shall not permit the ratio of (i) Total Indebtedness to (ii) Total Asset Value to exceed 0.60 to 1.00 at any time.</w:t>
      </w:r>
    </w:p>
    <w:p>
      <w:pPr>
        <w:spacing w:after="0" w:line="194" w:lineRule="exact"/>
        <w:rPr>
          <w:rFonts w:ascii="Arial" w:cs="Arial" w:eastAsia="Arial" w:hAnsi="Arial"/>
          <w:sz w:val="16"/>
          <w:szCs w:val="16"/>
          <w:color w:val="auto"/>
        </w:rPr>
      </w:pPr>
    </w:p>
    <w:p>
      <w:pPr>
        <w:ind w:right="80" w:firstLine="464"/>
        <w:spacing w:after="0" w:line="332" w:lineRule="auto"/>
        <w:tabs>
          <w:tab w:leader="none" w:pos="69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Minimum Fixed Charge Coverage Ratio</w:t>
      </w:r>
      <w:r>
        <w:rPr>
          <w:rFonts w:ascii="Arial" w:cs="Arial" w:eastAsia="Arial" w:hAnsi="Arial"/>
          <w:sz w:val="16"/>
          <w:szCs w:val="16"/>
          <w:color w:val="auto"/>
        </w:rPr>
        <w:t>. The Borrower shall not permit the ratio of (i) Adjusted EBITDA for any fiscal quarter ending during the term of this Agreement to (ii) Fixed Charges for such fiscal quarter, to be less than 1.50 to 1.00 as of the last day of such fiscal quarter.</w:t>
      </w:r>
    </w:p>
    <w:p>
      <w:pPr>
        <w:spacing w:after="0" w:line="71" w:lineRule="exact"/>
        <w:rPr>
          <w:rFonts w:ascii="Arial" w:cs="Arial" w:eastAsia="Arial" w:hAnsi="Arial"/>
          <w:sz w:val="16"/>
          <w:szCs w:val="16"/>
          <w:color w:val="auto"/>
        </w:rPr>
      </w:pPr>
    </w:p>
    <w:p>
      <w:pPr>
        <w:ind w:left="5620" w:hanging="96"/>
        <w:spacing w:after="0"/>
        <w:tabs>
          <w:tab w:leader="none" w:pos="5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75 -</w:t>
      </w:r>
    </w:p>
    <w:p>
      <w:pPr>
        <w:sectPr>
          <w:pgSz w:w="11900" w:h="16838" w:orient="portrait"/>
          <w:cols w:equalWidth="0" w:num="1">
            <w:col w:w="11380"/>
          </w:cols>
          <w:pgMar w:left="240" w:top="274" w:right="279" w:bottom="1440" w:gutter="0" w:footer="0" w:header="0"/>
        </w:sectPr>
      </w:pPr>
    </w:p>
    <w:bookmarkStart w:id="84" w:name="page85"/>
    <w:bookmarkEnd w:id="84"/>
    <w:p>
      <w:pPr>
        <w:ind w:right="540" w:firstLine="464"/>
        <w:spacing w:after="0" w:line="268"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Maximum Secured Indebtedness Ratio</w:t>
      </w:r>
      <w:r>
        <w:rPr>
          <w:rFonts w:ascii="Arial" w:cs="Arial" w:eastAsia="Arial" w:hAnsi="Arial"/>
          <w:sz w:val="18"/>
          <w:szCs w:val="18"/>
          <w:color w:val="auto"/>
        </w:rPr>
        <w:t>. The Borrower shall not permit the ratio of (i) Secured Indebtedness of the Borrower and its Subsidiaries determined on a consolidated basis to (ii) Total Asset Value to exceed 0.35 to 1.00 at any time.</w:t>
      </w:r>
    </w:p>
    <w:p>
      <w:pPr>
        <w:spacing w:after="0" w:line="131"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Maximum Unencumbered Leverage Ratio</w:t>
      </w:r>
      <w:r>
        <w:rPr>
          <w:rFonts w:ascii="Arial" w:cs="Arial" w:eastAsia="Arial" w:hAnsi="Arial"/>
          <w:sz w:val="18"/>
          <w:szCs w:val="18"/>
          <w:color w:val="auto"/>
        </w:rPr>
        <w:t>. The Borrower shall not permit the ratio of (i) Unsecured Indebtedness of the Borrower and its Subsidiaries determined on a consolidated basis to (ii) Unencumbered Asset Value, to exceed 0.60 to 1.00 at any time.</w:t>
      </w:r>
    </w:p>
    <w:p>
      <w:pPr>
        <w:spacing w:after="0" w:line="131" w:lineRule="exact"/>
        <w:rPr>
          <w:rFonts w:ascii="Arial" w:cs="Arial" w:eastAsia="Arial" w:hAnsi="Arial"/>
          <w:sz w:val="18"/>
          <w:szCs w:val="18"/>
          <w:color w:val="auto"/>
        </w:rPr>
      </w:pPr>
    </w:p>
    <w:p>
      <w:pPr>
        <w:ind w:right="40" w:firstLine="464"/>
        <w:spacing w:after="0" w:line="332" w:lineRule="auto"/>
        <w:tabs>
          <w:tab w:leader="none" w:pos="676"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Minimum Unencumbered Debt Yield</w:t>
      </w:r>
      <w:r>
        <w:rPr>
          <w:rFonts w:ascii="Arial" w:cs="Arial" w:eastAsia="Arial" w:hAnsi="Arial"/>
          <w:sz w:val="16"/>
          <w:szCs w:val="16"/>
          <w:color w:val="auto"/>
        </w:rPr>
        <w:t>. The Borrower shall not permit the ratio of (i) Unencumbered Adjusted NOI on a consolidated basis for any fiscal quarter to (ii) Unsecured Indebtedness of the Borrower and its Subsidiaries as of the last day of such fiscal quarter to be less than 0.11 to 1.00 at any time.</w:t>
      </w:r>
    </w:p>
    <w:p>
      <w:pPr>
        <w:spacing w:after="0" w:line="85" w:lineRule="exact"/>
        <w:rPr>
          <w:rFonts w:ascii="Arial" w:cs="Arial" w:eastAsia="Arial" w:hAnsi="Arial"/>
          <w:sz w:val="16"/>
          <w:szCs w:val="16"/>
          <w:color w:val="auto"/>
        </w:rPr>
      </w:pPr>
    </w:p>
    <w:p>
      <w:pPr>
        <w:ind w:firstLine="464"/>
        <w:spacing w:after="0" w:line="357" w:lineRule="auto"/>
        <w:tabs>
          <w:tab w:leader="none" w:pos="705" w:val="left"/>
        </w:tabs>
        <w:numPr>
          <w:ilvl w:val="0"/>
          <w:numId w:val="88"/>
        </w:numPr>
        <w:rPr>
          <w:rFonts w:ascii="Arial" w:cs="Arial" w:eastAsia="Arial" w:hAnsi="Arial"/>
          <w:sz w:val="15"/>
          <w:szCs w:val="15"/>
          <w:color w:val="auto"/>
        </w:rPr>
      </w:pPr>
      <w:r>
        <w:rPr>
          <w:rFonts w:ascii="Arial" w:cs="Arial" w:eastAsia="Arial" w:hAnsi="Arial"/>
          <w:sz w:val="15"/>
          <w:szCs w:val="15"/>
          <w:u w:val="single" w:color="auto"/>
          <w:color w:val="auto"/>
        </w:rPr>
        <w:t>Permitted Investments</w:t>
      </w:r>
      <w:r>
        <w:rPr>
          <w:rFonts w:ascii="Arial" w:cs="Arial" w:eastAsia="Arial" w:hAnsi="Arial"/>
          <w:sz w:val="15"/>
          <w:szCs w:val="15"/>
          <w:color w:val="auto"/>
        </w:rPr>
        <w:t>. The Borrower shall not, and shall not permit any Loan Party or other Subsidiary to, make an Investment in or otherwise own the following items which would cause the aggregate value of such holdings of such Persons to exceed the following percentages of Total Asset Value at any time:</w:t>
      </w:r>
    </w:p>
    <w:p>
      <w:pPr>
        <w:ind w:left="460" w:right="20" w:firstLine="443"/>
        <w:spacing w:after="0" w:line="259" w:lineRule="auto"/>
        <w:tabs>
          <w:tab w:leader="none" w:pos="1108" w:val="left"/>
        </w:tabs>
        <w:numPr>
          <w:ilvl w:val="1"/>
          <w:numId w:val="88"/>
        </w:numPr>
        <w:rPr>
          <w:rFonts w:ascii="Arial" w:cs="Arial" w:eastAsia="Arial" w:hAnsi="Arial"/>
          <w:sz w:val="18"/>
          <w:szCs w:val="18"/>
          <w:color w:val="auto"/>
        </w:rPr>
      </w:pPr>
      <w:r>
        <w:rPr>
          <w:rFonts w:ascii="Arial" w:cs="Arial" w:eastAsia="Arial" w:hAnsi="Arial"/>
          <w:sz w:val="18"/>
          <w:szCs w:val="18"/>
          <w:color w:val="auto"/>
        </w:rPr>
        <w:t>Investments in Unconsolidated Affiliates and other Persons that are not Subsidiaries and Investments in Subsidiaries that own Non-Controlled Properties, such that the aggregate value of such Investments determined as the Borrower’s equity in the respective entity excluding any amounts related to non-controlling interests in accordance with GAAP, exceeds 15.00% of Total Asset Value;</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Mortgage Receivables such that the aggregate book value exceeds 5.00% of Total Asset Value;</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205" w:val="left"/>
        </w:tabs>
        <w:numPr>
          <w:ilvl w:val="1"/>
          <w:numId w:val="88"/>
        </w:numPr>
        <w:rPr>
          <w:rFonts w:ascii="Arial" w:cs="Arial" w:eastAsia="Arial" w:hAnsi="Arial"/>
          <w:sz w:val="18"/>
          <w:szCs w:val="18"/>
          <w:color w:val="auto"/>
        </w:rPr>
      </w:pPr>
      <w:r>
        <w:rPr>
          <w:rFonts w:ascii="Arial" w:cs="Arial" w:eastAsia="Arial" w:hAnsi="Arial"/>
          <w:sz w:val="18"/>
          <w:szCs w:val="18"/>
          <w:color w:val="auto"/>
        </w:rPr>
        <w:t>Total Budgeted Costs for all real property under construction such that the aggregate amount of such Total Budgeted Costs exceeds 20.00% of Total Asset Value;</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88"/>
        </w:numPr>
        <w:rPr>
          <w:rFonts w:ascii="Arial" w:cs="Arial" w:eastAsia="Arial" w:hAnsi="Arial"/>
          <w:sz w:val="15"/>
          <w:szCs w:val="15"/>
          <w:color w:val="auto"/>
        </w:rPr>
      </w:pPr>
      <w:r>
        <w:rPr>
          <w:rFonts w:ascii="Arial" w:cs="Arial" w:eastAsia="Arial" w:hAnsi="Arial"/>
          <w:sz w:val="15"/>
          <w:szCs w:val="15"/>
          <w:color w:val="auto"/>
        </w:rPr>
        <w:t>Unimproved Land such that the aggregate value of such Unimproved Land, calculated on the basis of cost, exceeds 5.00% of Total Asset Value;</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and</w:t>
      </w:r>
    </w:p>
    <w:p>
      <w:pPr>
        <w:spacing w:after="0" w:line="83" w:lineRule="exact"/>
        <w:rPr>
          <w:rFonts w:ascii="Arial" w:cs="Arial" w:eastAsia="Arial" w:hAnsi="Arial"/>
          <w:sz w:val="15"/>
          <w:szCs w:val="15"/>
          <w:color w:val="auto"/>
        </w:rPr>
      </w:pPr>
    </w:p>
    <w:p>
      <w:pPr>
        <w:ind w:left="460" w:right="40" w:firstLine="443"/>
        <w:spacing w:after="0" w:line="268" w:lineRule="auto"/>
        <w:tabs>
          <w:tab w:leader="none" w:pos="1147" w:val="left"/>
        </w:tabs>
        <w:numPr>
          <w:ilvl w:val="1"/>
          <w:numId w:val="88"/>
        </w:numPr>
        <w:rPr>
          <w:rFonts w:ascii="Arial" w:cs="Arial" w:eastAsia="Arial" w:hAnsi="Arial"/>
          <w:sz w:val="18"/>
          <w:szCs w:val="18"/>
          <w:color w:val="auto"/>
        </w:rPr>
      </w:pPr>
      <w:r>
        <w:rPr>
          <w:rFonts w:ascii="Arial" w:cs="Arial" w:eastAsia="Arial" w:hAnsi="Arial"/>
          <w:sz w:val="18"/>
          <w:szCs w:val="18"/>
          <w:color w:val="auto"/>
        </w:rPr>
        <w:t>Investments in Persons (other than Investments in Subsidiaries and Unconsolidated Affiliates) such that the aggregate value of such Investments, calculated on the basis of cost, exceeds 5.00% of Total Asset Value.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foregoing limitations, the aggregate value of the Investments and other items subject to the limitations in the preceding clauses (i) through</w:t>
      </w:r>
    </w:p>
    <w:p>
      <w:pPr>
        <w:spacing w:after="0" w:line="38" w:lineRule="exact"/>
        <w:rPr>
          <w:sz w:val="20"/>
          <w:szCs w:val="20"/>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shall not exceed 35% of Total Asset Value.</w:t>
      </w:r>
    </w:p>
    <w:p>
      <w:pPr>
        <w:spacing w:after="0" w:line="164" w:lineRule="exact"/>
        <w:rPr>
          <w:rFonts w:ascii="Arial" w:cs="Arial" w:eastAsia="Arial" w:hAnsi="Arial"/>
          <w:sz w:val="18"/>
          <w:szCs w:val="18"/>
          <w:color w:val="auto"/>
        </w:rPr>
      </w:pPr>
    </w:p>
    <w:p>
      <w:pPr>
        <w:ind w:right="180" w:firstLine="464"/>
        <w:spacing w:after="0" w:line="268" w:lineRule="auto"/>
        <w:tabs>
          <w:tab w:leader="none" w:pos="705"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Total Assets of the Borrower and the Guarantors</w:t>
      </w:r>
      <w:r>
        <w:rPr>
          <w:rFonts w:ascii="Arial" w:cs="Arial" w:eastAsia="Arial" w:hAnsi="Arial"/>
          <w:sz w:val="18"/>
          <w:szCs w:val="18"/>
          <w:color w:val="auto"/>
        </w:rPr>
        <w:t>. The Borrower shall not permit the aggregate Adjusted Total Asset Value determined with respect to the Borrower and the Guarantors to be less than 95.00% of the Adjusted Total Asset Value.</w:t>
      </w:r>
    </w:p>
    <w:p>
      <w:pPr>
        <w:spacing w:after="0" w:line="131" w:lineRule="exact"/>
        <w:rPr>
          <w:rFonts w:ascii="Arial" w:cs="Arial" w:eastAsia="Arial" w:hAnsi="Arial"/>
          <w:sz w:val="18"/>
          <w:szCs w:val="18"/>
          <w:color w:val="auto"/>
        </w:rPr>
      </w:pPr>
    </w:p>
    <w:p>
      <w:pPr>
        <w:ind w:right="140" w:firstLine="464"/>
        <w:spacing w:after="0" w:line="294" w:lineRule="auto"/>
        <w:tabs>
          <w:tab w:leader="none" w:pos="666"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Dividends and Other Restricted Payments</w:t>
      </w:r>
      <w:r>
        <w:rPr>
          <w:rFonts w:ascii="Arial" w:cs="Arial" w:eastAsia="Arial" w:hAnsi="Arial"/>
          <w:sz w:val="16"/>
          <w:szCs w:val="16"/>
          <w:color w:val="auto"/>
        </w:rPr>
        <w:t>. The Borrower shall not, and shall not permit any of its Subsidiaries to, declare or make any Restricted Payment if an Event of Default shall have occurred and is continuing; except that the Borrower may, subject to the immediately following sentence, declare and make cash distributions to its shareholders during any fiscal year in an aggregate amount not to exceed the minimum amount necessary for the Borrower to remain in compliance with Section 7.12. Notwithstanding the foregoing, if an Event of Default specified in Section 10.1.(a), Section 10.1.(e) or Section 10.1.(f) shall have occurred and is continuing, or if as a result of the occurrence of any other</w:t>
      </w:r>
    </w:p>
    <w:p>
      <w:pPr>
        <w:spacing w:after="0" w:line="102" w:lineRule="exact"/>
        <w:rPr>
          <w:rFonts w:ascii="Arial" w:cs="Arial" w:eastAsia="Arial" w:hAnsi="Arial"/>
          <w:sz w:val="16"/>
          <w:szCs w:val="16"/>
          <w:color w:val="auto"/>
        </w:rPr>
      </w:pPr>
    </w:p>
    <w:p>
      <w:pPr>
        <w:ind w:left="5620" w:hanging="96"/>
        <w:spacing w:after="0"/>
        <w:tabs>
          <w:tab w:leader="none" w:pos="56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76 -</w:t>
      </w:r>
    </w:p>
    <w:p>
      <w:pPr>
        <w:sectPr>
          <w:pgSz w:w="11900" w:h="16838" w:orient="portrait"/>
          <w:cols w:equalWidth="0" w:num="1">
            <w:col w:w="11380"/>
          </w:cols>
          <w:pgMar w:left="240" w:top="280" w:right="279" w:bottom="1440" w:gutter="0" w:footer="0" w:header="0"/>
        </w:sectPr>
      </w:pPr>
    </w:p>
    <w:bookmarkStart w:id="85" w:name="page86"/>
    <w:bookmarkEnd w:id="85"/>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 of Default any of the Obligations have been accelerated pursuant to Section 10.2.(a), the Borrower shall not, and shall not permit any Subsidiary to, make any Restricted Payment to any Person other than to the Borrower or any Subsidiary.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9.2. Investments Generally.</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Borrower shall not, and shall not permit any Subsidiary or other Loan Party to, directly or indirectly, acquire, make or purchase any Investment, or permit any Investment of such Person to be outstanding on and after the Agreement Date, other than the following:</w:t>
      </w:r>
    </w:p>
    <w:p>
      <w:pPr>
        <w:spacing w:after="0" w:line="132" w:lineRule="exact"/>
        <w:rPr>
          <w:sz w:val="20"/>
          <w:szCs w:val="20"/>
          <w:color w:val="auto"/>
        </w:rPr>
      </w:pPr>
    </w:p>
    <w:p>
      <w:pPr>
        <w:ind w:left="700" w:hanging="236"/>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Investments in Subsidiaries in existence on the Agreement Date and disclosed on Part I of Schedule 6.1.(b);</w:t>
      </w:r>
    </w:p>
    <w:p>
      <w:pPr>
        <w:spacing w:after="0" w:line="171" w:lineRule="exact"/>
        <w:rPr>
          <w:rFonts w:ascii="Arial" w:cs="Arial" w:eastAsia="Arial" w:hAnsi="Arial"/>
          <w:sz w:val="18"/>
          <w:szCs w:val="18"/>
          <w:color w:val="auto"/>
        </w:rPr>
      </w:pPr>
    </w:p>
    <w:p>
      <w:pPr>
        <w:ind w:right="60" w:firstLine="464"/>
        <w:spacing w:after="0" w:line="298" w:lineRule="auto"/>
        <w:tabs>
          <w:tab w:leader="none" w:pos="705"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Investments to acquire Equity Interests of a Subsidiary or any other Person who after giving effect to such acquisition would be a Subsidiary, so long as in each case (i) as a result of such Investment, and after giving effect thereto, no Default or Event of Default is or would be caused thereby, and no other Major Default or Event of Default has occurred and is continuing, and (ii) if such Subsidiary is (or after giving effect to such Investment would become) a Material Subsidiary, and is not an Excluded Subsidiary and does not own a Non-Controlled Property, the terms and conditions set forth in Section 7.14. are satisfied;</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Investments permitted under Section 9.1.(g);</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Investments in Cash Equivalents;</w:t>
      </w:r>
    </w:p>
    <w:p>
      <w:pPr>
        <w:spacing w:after="0" w:line="171" w:lineRule="exact"/>
        <w:rPr>
          <w:rFonts w:ascii="Arial" w:cs="Arial" w:eastAsia="Arial" w:hAnsi="Arial"/>
          <w:sz w:val="18"/>
          <w:szCs w:val="18"/>
          <w:color w:val="auto"/>
        </w:rPr>
      </w:pPr>
    </w:p>
    <w:p>
      <w:pPr>
        <w:ind w:right="180" w:firstLine="464"/>
        <w:spacing w:after="0" w:line="268"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intercompany Indebtedness among the Borrower and its Wholly Owned Subsidiaries provided that such Indebtedness is permitted by the terms of this Agreement;</w:t>
      </w:r>
    </w:p>
    <w:p>
      <w:pPr>
        <w:spacing w:after="0" w:line="131" w:lineRule="exact"/>
        <w:rPr>
          <w:rFonts w:ascii="Arial" w:cs="Arial" w:eastAsia="Arial" w:hAnsi="Arial"/>
          <w:sz w:val="18"/>
          <w:szCs w:val="18"/>
          <w:color w:val="auto"/>
        </w:rPr>
      </w:pPr>
    </w:p>
    <w:p>
      <w:pPr>
        <w:ind w:right="120" w:firstLine="464"/>
        <w:spacing w:after="0" w:line="259" w:lineRule="auto"/>
        <w:tabs>
          <w:tab w:leader="none" w:pos="676" w:val="left"/>
        </w:tabs>
        <w:numPr>
          <w:ilvl w:val="0"/>
          <w:numId w:val="90"/>
        </w:numPr>
        <w:rPr>
          <w:rFonts w:ascii="Arial" w:cs="Arial" w:eastAsia="Arial" w:hAnsi="Arial"/>
          <w:sz w:val="18"/>
          <w:szCs w:val="18"/>
          <w:color w:val="auto"/>
        </w:rPr>
      </w:pPr>
      <w:r>
        <w:rPr>
          <w:rFonts w:ascii="Arial" w:cs="Arial" w:eastAsia="Arial" w:hAnsi="Arial"/>
          <w:sz w:val="18"/>
          <w:szCs w:val="18"/>
          <w:color w:val="auto"/>
        </w:rPr>
        <w:t>loans and advances to officers and employees (i) to finance their exercise of options to acquire stock in the Borrower to the extent made pursuant to arrangements in existence on the Agreement Date and only as permitted by Applicable Law and (ii) for moving, entertainment, travel and other similar expenses in the ordinary course of business consistent with past practices; and</w:t>
      </w:r>
    </w:p>
    <w:p>
      <w:pPr>
        <w:spacing w:after="0" w:line="140"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other Investments so long as a result of making such Investment, and immediately thereafter and after giving effect thereto, no Default or Event of Default is or would be caused thereby, and no other Major Default or Event of Default has occurred and is continuing.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9.3. Liens; Negative Pledges.</w:t>
      </w:r>
    </w:p>
    <w:p>
      <w:pPr>
        <w:spacing w:after="0" w:line="96" w:lineRule="exact"/>
        <w:rPr>
          <w:sz w:val="20"/>
          <w:szCs w:val="20"/>
          <w:color w:val="auto"/>
        </w:rPr>
      </w:pPr>
    </w:p>
    <w:p>
      <w:pPr>
        <w:ind w:firstLine="464"/>
        <w:spacing w:after="0" w:line="298"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Borrower shall not, and shall not permit any Subsidiary (other than an Excluded Subsidiary) or other Loan Party to, create, assume, or incur any Lien (other than Permitted Liens) upon any of its properties, assets, income or profits of any character whether now owned or hereafter acquired if as a result of the creation, assumption or incurring of such Lien, a Default or Event of Default is or would be caused thereby or any other Major Default or Event of Default has occurred and is continuing, including without limitation, a Default or Event of Default resulting from a violation of any of the covenants contained in Section 9.1.</w:t>
      </w:r>
    </w:p>
    <w:p>
      <w:pPr>
        <w:spacing w:after="0" w:line="112" w:lineRule="exact"/>
        <w:rPr>
          <w:rFonts w:ascii="Arial" w:cs="Arial" w:eastAsia="Arial" w:hAnsi="Arial"/>
          <w:sz w:val="16"/>
          <w:szCs w:val="16"/>
          <w:color w:val="auto"/>
        </w:rPr>
      </w:pPr>
    </w:p>
    <w:p>
      <w:pPr>
        <w:ind w:right="40" w:firstLine="464"/>
        <w:spacing w:after="0" w:line="259"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Borrower shall not, and shall not permit any Subsidiary (other than an Excluded Subsidiary) or other Loan Party to, enter into, assume or otherwise be bound by any Negative Pledge except for a Negative Pledge contained in any agreement (i) evidencing Indebtedness which the Borrower or such Subsidiary may create, incur, assume, or permit or suffer to exist under this Agreement; (ii) which</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77 -</w:t>
      </w:r>
    </w:p>
    <w:p>
      <w:pPr>
        <w:sectPr>
          <w:pgSz w:w="11900" w:h="16838" w:orient="portrait"/>
          <w:cols w:equalWidth="0" w:num="1">
            <w:col w:w="11420"/>
          </w:cols>
          <w:pgMar w:left="240" w:top="280" w:right="239" w:bottom="1440" w:gutter="0" w:footer="0" w:header="0"/>
        </w:sectPr>
      </w:pPr>
    </w:p>
    <w:bookmarkStart w:id="86" w:name="page87"/>
    <w:bookmarkEnd w:id="86"/>
    <w:p>
      <w:pPr>
        <w:ind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Indebtedness is secured by a Lien permitted to exist hereunder and (iii) which prohibits the creation of any other Lien on only the property securing such Indebtedness as of the date such agreement was entered into.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9.4. Restrictions on Intercompany Transfers.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Borrower shall not, and shall not permit any other Loan Party or any other Subsidiary (other than an Excluded Subsidiary) to, create or otherwise cause or suffer to exist or become effective any consensual encumbrance or restriction of any kind on the ability of any Subsidiary to: (a) pay dividends or make any other distribution on any of such Subsidiary’s capital stock or other equity interests owned by the Borrower or any Subsidiary; (b) pay any Indebtedness owed to the Borrower or any Subsidiary; (c) make loans or advances to the Borrower or any Subsidiary; or (d) transfer any of its property or assets to the Borrower or any Subsidiary; other than (i) with respect to clauses (a) through (d), those encumbrances or restrictions contained in any Loan Document, (ii) with respect to clause (d), customary provisions restricting assignment of any agreement entered into by the Borrower, any other Loan Party or any Subsidiary in the ordinary course of business and (iii) with respect to clauses (a) through (d), in the case of a Subsidiary that is not a Wholly Owned Subsidiary, limitations arising after the date hereof to the effect that any such dividends, distributions, loans, advances or transfers of property must be on fair and reasonable terms and on an arm’s length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9.5. Merger, Consolidation, Sales of Assets and Other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shall not, and shall not permit any other Loan Party or any other Subsidiary to, (a) enter into any transaction of merger or consolidation;</w:t>
      </w:r>
    </w:p>
    <w:p>
      <w:pPr>
        <w:spacing w:after="0" w:line="38" w:lineRule="exact"/>
        <w:rPr>
          <w:sz w:val="20"/>
          <w:szCs w:val="20"/>
          <w:color w:val="auto"/>
        </w:rPr>
      </w:pPr>
    </w:p>
    <w:p>
      <w:pPr>
        <w:ind w:right="500" w:firstLine="8"/>
        <w:spacing w:after="0" w:line="352" w:lineRule="auto"/>
        <w:tabs>
          <w:tab w:leader="none" w:pos="249" w:val="left"/>
        </w:tabs>
        <w:numPr>
          <w:ilvl w:val="0"/>
          <w:numId w:val="92"/>
        </w:numPr>
        <w:rPr>
          <w:rFonts w:ascii="Arial" w:cs="Arial" w:eastAsia="Arial" w:hAnsi="Arial"/>
          <w:sz w:val="15"/>
          <w:szCs w:val="15"/>
          <w:color w:val="auto"/>
        </w:rPr>
      </w:pPr>
      <w:r>
        <w:rPr>
          <w:rFonts w:ascii="Arial" w:cs="Arial" w:eastAsia="Arial" w:hAnsi="Arial"/>
          <w:sz w:val="15"/>
          <w:szCs w:val="15"/>
          <w:color w:val="auto"/>
        </w:rPr>
        <w:t>liquidate, windup or dissolve itself (or suffer any liquidation or dissolution); or (c) convey, sell, lease, sublease, transfer or otherwise dispose of, in one transaction or a series of transactions, all or any substantial part of its business or assets whether now owned or hereafter acquired; provided, however, that:</w:t>
      </w:r>
    </w:p>
    <w:p>
      <w:pPr>
        <w:ind w:left="460" w:firstLine="443"/>
        <w:spacing w:after="0" w:line="282" w:lineRule="auto"/>
        <w:tabs>
          <w:tab w:leader="none" w:pos="1108" w:val="left"/>
        </w:tabs>
        <w:numPr>
          <w:ilvl w:val="2"/>
          <w:numId w:val="92"/>
        </w:numPr>
        <w:rPr>
          <w:rFonts w:ascii="Arial" w:cs="Arial" w:eastAsia="Arial" w:hAnsi="Arial"/>
          <w:sz w:val="16"/>
          <w:szCs w:val="16"/>
          <w:color w:val="auto"/>
        </w:rPr>
      </w:pPr>
      <w:r>
        <w:rPr>
          <w:rFonts w:ascii="Arial" w:cs="Arial" w:eastAsia="Arial" w:hAnsi="Arial"/>
          <w:sz w:val="16"/>
          <w:szCs w:val="16"/>
          <w:color w:val="auto"/>
        </w:rPr>
        <w:t>any of the actions described in the immediately preceding clauses (a), (b) and (c) may be taken with respect to any Subsidiary or any other Loan Party (other than the Borrower) so long as, as a result of the taking of such action, and after giving effect thereto, no Default or Event of Default is or would be caused thereby, and no other Major Default or Event of Default has occurred and is continuing; notwithstanding the foregoing, any such Loan Party may enter into a transaction of merger pursuant to which such Loan Party is not the survivor of such merger only if (i) the Borrower shall have given the Administrative Agent and the Lenders at least 10 Business Days’ prior written notice of such merger; (ii) if the survivor entity is a Material Subsidiary (and not an Excluded Subsidiary) within five (5) Business Days of consummation of such merger, the survivor entity (if not already a Guarantor) shall have executed and delivered an Accession Agreement; (iii) within 30 days of consummation of such merger, the survivor entity delivers to the Administrative Agent the following: (A) items of the type referred to in Sections 5.1.(a)(iv) through (viii) with respect to the survivor entity as in effect after consummation of such merger (if not previously delivered to the Administrative Agent and still in effect), (B) copies of all documents entered into by such Loan Party or the survivor entity to effectuate the consummation of such merger, including, but not limited to, articles of merger and the plan of merger,</w:t>
      </w:r>
    </w:p>
    <w:p>
      <w:pPr>
        <w:spacing w:after="0" w:line="5" w:lineRule="exact"/>
        <w:rPr>
          <w:rFonts w:ascii="Arial" w:cs="Arial" w:eastAsia="Arial" w:hAnsi="Arial"/>
          <w:sz w:val="16"/>
          <w:szCs w:val="16"/>
          <w:color w:val="auto"/>
        </w:rPr>
      </w:pPr>
    </w:p>
    <w:p>
      <w:pPr>
        <w:ind w:left="460" w:right="140" w:firstLine="4"/>
        <w:spacing w:after="0" w:line="254" w:lineRule="auto"/>
        <w:tabs>
          <w:tab w:leader="none" w:pos="738"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copies, certified by the Secretary or Assistant Secretary (or other individual performing similar functions) of such Loan Party or the survivor entity, of all corporate and shareholder action authorizing such merger and (D) copies of any filings with the Securities and Exchange Commission in connection with such merger; and (iv) such Loan Party and the survivor entity each takes such other action and delivers such other documents, instruments, opinions and agreements as the Administrative Agent may reasonably request;</w:t>
      </w:r>
    </w:p>
    <w:p>
      <w:pPr>
        <w:spacing w:after="0" w:line="130" w:lineRule="exact"/>
        <w:rPr>
          <w:rFonts w:ascii="Arial" w:cs="Arial" w:eastAsia="Arial" w:hAnsi="Arial"/>
          <w:sz w:val="18"/>
          <w:szCs w:val="18"/>
          <w:color w:val="auto"/>
        </w:rPr>
      </w:pPr>
    </w:p>
    <w:p>
      <w:pPr>
        <w:ind w:left="5620" w:hanging="96"/>
        <w:spacing w:after="0"/>
        <w:tabs>
          <w:tab w:leader="none" w:pos="5620" w:val="left"/>
        </w:tabs>
        <w:numPr>
          <w:ilvl w:val="3"/>
          <w:numId w:val="92"/>
        </w:numPr>
        <w:rPr>
          <w:rFonts w:ascii="Arial" w:cs="Arial" w:eastAsia="Arial" w:hAnsi="Arial"/>
          <w:sz w:val="18"/>
          <w:szCs w:val="18"/>
          <w:color w:val="auto"/>
        </w:rPr>
      </w:pPr>
      <w:r>
        <w:rPr>
          <w:rFonts w:ascii="Arial" w:cs="Arial" w:eastAsia="Arial" w:hAnsi="Arial"/>
          <w:sz w:val="18"/>
          <w:szCs w:val="18"/>
          <w:color w:val="auto"/>
        </w:rPr>
        <w:t>78 -</w:t>
      </w:r>
    </w:p>
    <w:p>
      <w:pPr>
        <w:sectPr>
          <w:pgSz w:w="11900" w:h="16838" w:orient="portrait"/>
          <w:cols w:equalWidth="0" w:num="1">
            <w:col w:w="11420"/>
          </w:cols>
          <w:pgMar w:left="240" w:top="280" w:right="239" w:bottom="1440" w:gutter="0" w:footer="0" w:header="0"/>
        </w:sectPr>
      </w:pPr>
    </w:p>
    <w:bookmarkStart w:id="87" w:name="page88"/>
    <w:bookmarkEnd w:id="87"/>
    <w:p>
      <w:pPr>
        <w:ind w:left="460" w:right="140" w:firstLine="443"/>
        <w:spacing w:after="0" w:line="268" w:lineRule="auto"/>
        <w:tabs>
          <w:tab w:leader="none" w:pos="1157"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the other Loan Parties and the other Subsidiaries may lease and sublease their respective assets, as lessor or sublessor (as the case may be), in the ordinary course of their business;</w:t>
      </w:r>
    </w:p>
    <w:p>
      <w:pPr>
        <w:spacing w:after="0" w:line="50" w:lineRule="exact"/>
        <w:rPr>
          <w:rFonts w:ascii="Arial" w:cs="Arial" w:eastAsia="Arial" w:hAnsi="Arial"/>
          <w:sz w:val="18"/>
          <w:szCs w:val="18"/>
          <w:color w:val="auto"/>
        </w:rPr>
      </w:pPr>
    </w:p>
    <w:p>
      <w:pPr>
        <w:jc w:val="both"/>
        <w:ind w:left="460" w:right="80" w:firstLine="443"/>
        <w:spacing w:after="0" w:line="298" w:lineRule="auto"/>
        <w:tabs>
          <w:tab w:leader="none" w:pos="1205"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Person may merge with and into the Borrower so long as (A) the Borrower is the survivor of such merger, (B) immediately prior to such merger, and immediately thereafter and after giving effect thereto, no Default or Event of Default shall have occurred and be continuing and (C) the Borrower shall have given the Administrative Agent and the Lenders at least 10 Business Days’ prior written notice of such merger (except that such prior notice shall not be required in the case of a merger by a Subsidiary with and into the Borrower);</w:t>
      </w:r>
    </w:p>
    <w:p>
      <w:pPr>
        <w:spacing w:after="0" w:line="31" w:lineRule="exact"/>
        <w:rPr>
          <w:rFonts w:ascii="Arial" w:cs="Arial" w:eastAsia="Arial" w:hAnsi="Arial"/>
          <w:sz w:val="16"/>
          <w:szCs w:val="16"/>
          <w:color w:val="auto"/>
        </w:rPr>
      </w:pPr>
    </w:p>
    <w:p>
      <w:pPr>
        <w:ind w:left="1200" w:hanging="297"/>
        <w:spacing w:after="0"/>
        <w:tabs>
          <w:tab w:leader="none" w:pos="12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Borrower and each Subsidiary may sell, transfer or dispose of assets (including by merger or liquidation of Subsidiaries) among themselves;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Borrower and each Subsidiary may transfer property as security for Indebtedness to the extent permitted under Section 9.3.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9.6. Plans.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Borrower shall not, and shall not permit any other Loan Party or any other Subsidiary to, permit any of its respective assets to become or be deemed to be “plan assets” within the meaning of ERISA (other than as a result of contributions, in the normal course and on behalf of the Plan participants, by the Borrower, any other Loan Party, or any other Subsidiary to Benefit Arrangements, Plans, or Multiemployer Plans not prohibited by this agreement or any other loan document), the Internal Revenue Code and the respective regulations promulgated thereunder.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9.7. Fiscal Year.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shall not, and shall not permit any other Loan Party or other Subsidiary to, change its fiscal year from that in effect as of the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9.8. Modifications of Organizational Documents.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Borrower shall not, and shall not permit any other Loan Party or any other Subsidiary to, amend, supplement, restate or otherwise modify its certificate or articles of incorporation or formation, by-laws, operating agreement, declaration of trust, partnership agreement or other applicable organizational document if such amendment, supplement, restatement or other modification could reasonably be expected to have a Material Adverse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9.9. Transactions with Affiliates.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Borrower shall not permit to exist or enter into, and shall not permit any other Loan Party or any other Subsidiary to permit to exist or enter into, any transaction (including the purchase, sale, lease or exchange of any property or the rendering of any service) with any Affiliate, except (a) compensation, bonus and benefit arrangements with employees, officers and trustees as permitted by Applicable Law, (b) transactions permitted by Section 9.5. to the extent among the Borrower, the other Loan Parties and other Subsidiaries, or (c) transactions in the ordinary course of and pursuant to the reasonable requirements of the business of the Borrower, such other Loan Party or such other Subsidiary and upon fair and reasonable terms which are no less favorable to the Borrower, such other Loan Party or such other Subsidiary than would be obtained in a comparable arm’s length transaction with a Person that is not an Affiliate.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1400"/>
          </w:cols>
          <w:pgMar w:left="240" w:top="280" w:right="2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9.10. Environmental Matters.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Borrower shall not, and shall not permit any other Loan Party, or any other Subsidiary, and shall use commercially reasonable efforts (which shall include, for purposes of this Section, including customary provisions in lease agreements with tenants restricting such activities) not to permit any other Person to, use, generate, discharge, emit, manufacture, handle, process, store, release, transport, remove, dispose of or clean up any Hazardous Materials on, under or from the Properties in violation of any Environmental Law or in a manner that could reasonably be expected to lead to any environmental claim or pose a material risk to human health, safety or the environment, in each case which violation, claim or risk could reasonably be expected to have a Material Adverse Effect. Nothing in this Section shall impose any obligation or liability whatsoever on the Administrative Agent or any Lender.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9.11. Non-Controlled Properties.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Borrower shall not permit any Subsidiary that owns a Non-Controlled Property to own any assets other than another Non-Controlled Property and other nonmaterial assets incidental to the ownership of a Non-Controlled Property.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9.12. Derivatives Contracts.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Borrower shall not, and shall not permit any other Loan Party or any other Subsidiary to, enter into or become obligated in respect of Derivatives Contracts other than Derivatives Contracts entered into by the Borrower, any such Loan Party or any such Subsidiary in the ordinary course of business and which establish an effective hedge in respect of liabilities, commitments or assets held or reasonably anticipated by the Borrower, such other Loan Party or such other Subsidiary.</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 D</w:t>
      </w:r>
      <w:r>
        <w:rPr>
          <w:rFonts w:ascii="Arial" w:cs="Arial" w:eastAsia="Arial" w:hAnsi="Arial"/>
          <w:sz w:val="14"/>
          <w:szCs w:val="14"/>
          <w:b w:val="1"/>
          <w:bCs w:val="1"/>
          <w:color w:val="auto"/>
        </w:rPr>
        <w:t>EFAULT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Events of Default.</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spacing w:after="0" w:line="132" w:lineRule="exact"/>
        <w:rPr>
          <w:sz w:val="20"/>
          <w:szCs w:val="20"/>
          <w:color w:val="auto"/>
        </w:rPr>
      </w:pPr>
    </w:p>
    <w:p>
      <w:pPr>
        <w:ind w:right="20" w:firstLine="464"/>
        <w:spacing w:after="0" w:line="255"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Default in Payment</w:t>
      </w:r>
      <w:r>
        <w:rPr>
          <w:rFonts w:ascii="Arial" w:cs="Arial" w:eastAsia="Arial" w:hAnsi="Arial"/>
          <w:sz w:val="18"/>
          <w:szCs w:val="18"/>
          <w:color w:val="auto"/>
        </w:rPr>
        <w:t>. The Borrower or any other Loan Party shall fail to pay (i) when due under this Agreement or any other Loan Document (whether upon demand, at maturity, by reason of acceleration or otherwise) the principal of any of the Loans or any Reimbursement Obligation, or (ii) when due under this Agreement, any other Loan Document or the Fee Letter any interest on, any of the Loans or any Reimbursement Obligation, any of the other payment Obligations owing by the Borrower under this Agreement, any other Loan Document or the Fee Letter and, solely with respect to this clause (ii) such failure shall continue for a period of five (5) Business Days.</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Default in Performance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08"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Loan Party shall fail to perform or observe any term, covenant, condition or agreement on its part to be performed or observed and contained in Section 8.4.(k) or Article IX.; or</w:t>
      </w:r>
    </w:p>
    <w:p>
      <w:pPr>
        <w:spacing w:after="0" w:line="50" w:lineRule="exact"/>
        <w:rPr>
          <w:rFonts w:ascii="Arial" w:cs="Arial" w:eastAsia="Arial" w:hAnsi="Arial"/>
          <w:sz w:val="18"/>
          <w:szCs w:val="18"/>
          <w:color w:val="auto"/>
        </w:rPr>
      </w:pPr>
    </w:p>
    <w:p>
      <w:pPr>
        <w:ind w:left="460" w:right="480" w:firstLine="443"/>
        <w:spacing w:after="0" w:line="268" w:lineRule="auto"/>
        <w:tabs>
          <w:tab w:leader="none" w:pos="1157"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Loan Party shall fail to perform or observe any term, covenant, condition or agreement contained in this Agreement or any other Loan Document to which it is a party and not</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2"/>
          <w:numId w:val="94"/>
        </w:numPr>
        <w:rPr>
          <w:rFonts w:ascii="Arial" w:cs="Arial" w:eastAsia="Arial" w:hAnsi="Arial"/>
          <w:sz w:val="18"/>
          <w:szCs w:val="18"/>
          <w:color w:val="auto"/>
        </w:rPr>
      </w:pPr>
      <w:r>
        <w:rPr>
          <w:rFonts w:ascii="Arial" w:cs="Arial" w:eastAsia="Arial" w:hAnsi="Arial"/>
          <w:sz w:val="18"/>
          <w:szCs w:val="18"/>
          <w:color w:val="auto"/>
        </w:rPr>
        <w:t>80 -</w:t>
      </w:r>
    </w:p>
    <w:p>
      <w:pPr>
        <w:sectPr>
          <w:pgSz w:w="11900" w:h="16838" w:orient="portrait"/>
          <w:cols w:equalWidth="0" w:num="1">
            <w:col w:w="11420"/>
          </w:cols>
          <w:pgMar w:left="240" w:top="274" w:right="239" w:bottom="1440" w:gutter="0" w:footer="0" w:header="0"/>
        </w:sectPr>
      </w:pPr>
    </w:p>
    <w:bookmarkStart w:id="89" w:name="page90"/>
    <w:bookmarkEnd w:id="8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mentioned in this Section, and in the case of this subsection (b)(ii) only, such failure shall continue for a period of 30 days after the earlier of</w:t>
      </w:r>
    </w:p>
    <w:p>
      <w:pPr>
        <w:spacing w:after="0" w:line="38" w:lineRule="exact"/>
        <w:rPr>
          <w:sz w:val="20"/>
          <w:szCs w:val="20"/>
          <w:color w:val="auto"/>
        </w:rPr>
      </w:pPr>
    </w:p>
    <w:p>
      <w:pPr>
        <w:ind w:left="460" w:right="100" w:firstLine="4"/>
        <w:spacing w:after="0" w:line="261" w:lineRule="auto"/>
        <w:tabs>
          <w:tab w:leader="none" w:pos="709"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date upon which a Responsible Officer of the Borrower or such other Loan Party obtains knowledge of such failure or (y) the date upon which the Borrower has received written notice of such failure from the Administrative Agent.</w:t>
      </w:r>
    </w:p>
    <w:p>
      <w:pPr>
        <w:spacing w:after="0" w:line="138" w:lineRule="exact"/>
        <w:rPr>
          <w:sz w:val="20"/>
          <w:szCs w:val="20"/>
          <w:color w:val="auto"/>
        </w:rPr>
      </w:pPr>
    </w:p>
    <w:p>
      <w:pPr>
        <w:jc w:val="both"/>
        <w:ind w:right="80" w:firstLine="464"/>
        <w:spacing w:after="0" w:line="298" w:lineRule="auto"/>
        <w:tabs>
          <w:tab w:leader="none" w:pos="695"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Misrepresentations</w:t>
      </w:r>
      <w:r>
        <w:rPr>
          <w:rFonts w:ascii="Arial" w:cs="Arial" w:eastAsia="Arial" w:hAnsi="Arial"/>
          <w:sz w:val="16"/>
          <w:szCs w:val="16"/>
          <w:color w:val="auto"/>
        </w:rPr>
        <w:t>. Any written statement, representation or warranty made or deemed made by or on behalf of any Loan Party under this Agreement or under any other Loan Document, or any amendment hereto or thereto, or in any other writing or statement at any time furnished by, or at the direction of, any Loan Party to the Administrative Agent, the Issuing Bank or any Lender, shall at any time prove to have been incorrect or misleading, in light of the circumstances in which made or deemed made, in any material respect when furnished or made or deemed made.</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Indebtedness Cross-Default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91" w:lineRule="auto"/>
        <w:tabs>
          <w:tab w:leader="none" w:pos="1108"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Borrower, any other Loan Party or any other Subsidiary shall fail to make any payment when due and payable of the principal of, or interest on (after giving effect to the expiration of any grace period for such payment), any Indebtedness (other than the Loans and Reimbursement Obligations but including Secured Indebtedness accelerated or required to be prepaid or repurchased prior to the stated maturity as a result of a casualty with respect to, or condemnation of, the Property securing such Secured Indebtedness) having an aggregate outstanding principal amount (or, in the case of any Derivatives Contract, having, without regard to the effect of any close-out netting provision, a Derivatives Termination Value), in each case individually or in the aggregate with all other Indebtedness as to which such a failure exists, of $25,000,000 or more (“</w:t>
      </w:r>
      <w:r>
        <w:rPr>
          <w:rFonts w:ascii="Arial" w:cs="Arial" w:eastAsia="Arial" w:hAnsi="Arial"/>
          <w:sz w:val="16"/>
          <w:szCs w:val="16"/>
          <w:b w:val="1"/>
          <w:bCs w:val="1"/>
          <w:color w:val="auto"/>
        </w:rPr>
        <w:t>Material Indebtedness</w:t>
      </w:r>
      <w:r>
        <w:rPr>
          <w:rFonts w:ascii="Arial" w:cs="Arial" w:eastAsia="Arial" w:hAnsi="Arial"/>
          <w:sz w:val="16"/>
          <w:szCs w:val="16"/>
          <w:color w:val="auto"/>
        </w:rPr>
        <w:t>”); or</w:t>
      </w:r>
    </w:p>
    <w:p>
      <w:pPr>
        <w:spacing w:after="0" w:line="39" w:lineRule="exact"/>
        <w:rPr>
          <w:rFonts w:ascii="Arial" w:cs="Arial" w:eastAsia="Arial" w:hAnsi="Arial"/>
          <w:sz w:val="16"/>
          <w:szCs w:val="16"/>
          <w:color w:val="auto"/>
        </w:rPr>
      </w:pPr>
    </w:p>
    <w:p>
      <w:pPr>
        <w:ind w:left="460" w:right="60" w:firstLine="443"/>
        <w:spacing w:after="0" w:line="259" w:lineRule="auto"/>
        <w:tabs>
          <w:tab w:leader="none" w:pos="1157" w:val="left"/>
        </w:tabs>
        <w:numPr>
          <w:ilvl w:val="1"/>
          <w:numId w:val="96"/>
        </w:numPr>
        <w:rPr>
          <w:rFonts w:ascii="Arial" w:cs="Arial" w:eastAsia="Arial" w:hAnsi="Arial"/>
          <w:sz w:val="18"/>
          <w:szCs w:val="18"/>
          <w:color w:val="auto"/>
        </w:rPr>
      </w:pPr>
      <w:r>
        <w:rPr>
          <w:rFonts w:ascii="Arial" w:cs="Arial" w:eastAsia="Arial" w:hAnsi="Arial"/>
          <w:sz w:val="18"/>
          <w:szCs w:val="18"/>
          <w:color w:val="auto"/>
        </w:rPr>
        <w:t>(x)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 or</w:t>
      </w:r>
    </w:p>
    <w:p>
      <w:pPr>
        <w:spacing w:after="0" w:line="59" w:lineRule="exact"/>
        <w:rPr>
          <w:rFonts w:ascii="Arial" w:cs="Arial" w:eastAsia="Arial" w:hAnsi="Arial"/>
          <w:sz w:val="18"/>
          <w:szCs w:val="18"/>
          <w:color w:val="auto"/>
        </w:rPr>
      </w:pPr>
    </w:p>
    <w:p>
      <w:pPr>
        <w:ind w:left="460" w:right="60" w:firstLine="443"/>
        <w:spacing w:after="0" w:line="306" w:lineRule="auto"/>
        <w:tabs>
          <w:tab w:leader="none" w:pos="1205" w:val="left"/>
        </w:tabs>
        <w:numPr>
          <w:ilvl w:val="1"/>
          <w:numId w:val="96"/>
        </w:numPr>
        <w:rPr>
          <w:rFonts w:ascii="Arial" w:cs="Arial" w:eastAsia="Arial" w:hAnsi="Arial"/>
          <w:sz w:val="16"/>
          <w:szCs w:val="16"/>
          <w:color w:val="auto"/>
        </w:rPr>
      </w:pPr>
      <w:r>
        <w:rPr>
          <w:rFonts w:ascii="Arial" w:cs="Arial" w:eastAsia="Arial" w:hAnsi="Arial"/>
          <w:sz w:val="16"/>
          <w:szCs w:val="16"/>
          <w:color w:val="auto"/>
        </w:rPr>
        <w:t>Any other event shall have occurred and be continuing (and any related grace period shall have expired) which would permit any holder or holders of any Material Indebtedness, any trustee or agent acting on behalf of such holder or holders or any other Person, to accelerate the maturity of any such Material Indebtedness or require any such Material Indebtedness to be prepaid or repurchased prior to its stated maturity; or</w:t>
      </w:r>
    </w:p>
    <w:p>
      <w:pPr>
        <w:spacing w:after="0" w:line="25" w:lineRule="exact"/>
        <w:rPr>
          <w:rFonts w:ascii="Arial" w:cs="Arial" w:eastAsia="Arial" w:hAnsi="Arial"/>
          <w:sz w:val="16"/>
          <w:szCs w:val="16"/>
          <w:color w:val="auto"/>
        </w:rPr>
      </w:pPr>
    </w:p>
    <w:p>
      <w:pPr>
        <w:ind w:left="1200" w:hanging="297"/>
        <w:spacing w:after="0"/>
        <w:tabs>
          <w:tab w:leader="none" w:pos="12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Any Loan Party shall fail to pay when due and payable amounts in excess of $25,000,000 in the aggregate owing in respect of any Derivatives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Contracts.</w:t>
      </w:r>
    </w:p>
    <w:p>
      <w:pPr>
        <w:spacing w:after="0" w:line="165"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provisions of the immediately preceding clauses (ii) and (iii) shall not apply to any Secured Indebtedness accelerated, or required to be prepaid or repurchased prior to the stated maturity thereof, as a result of a casualty with respect to, or condemnation of, the Property securing such Secured Indebtedness.</w:t>
      </w:r>
    </w:p>
    <w:p>
      <w:pPr>
        <w:spacing w:after="0" w:line="62" w:lineRule="exact"/>
        <w:rPr>
          <w:sz w:val="20"/>
          <w:szCs w:val="20"/>
          <w:color w:val="auto"/>
        </w:rPr>
      </w:pPr>
    </w:p>
    <w:p>
      <w:pPr>
        <w:ind w:right="80" w:firstLine="464"/>
        <w:spacing w:after="0" w:line="298" w:lineRule="auto"/>
        <w:tabs>
          <w:tab w:leader="none" w:pos="695"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Voluntary Bankruptcy Proceeding</w:t>
      </w:r>
      <w:r>
        <w:rPr>
          <w:rFonts w:ascii="Arial" w:cs="Arial" w:eastAsia="Arial" w:hAnsi="Arial"/>
          <w:sz w:val="16"/>
          <w:szCs w:val="16"/>
          <w:color w:val="auto"/>
        </w:rPr>
        <w:t>. The Borrower, any other Loan Party, or any Significant Subsidiary, shall: (i) commence a voluntary case under the Bankruptcy Code or other federal bankruptcy laws (as now or hereafter in effect); (ii) file a petition seeking to take advantage of any other Applicable Laws, domestic or foreign, relating to bankruptcy, insolvency, reorganization, winding-up, or composition or adjustment of debts; (iii) consent to, or fail to contest in a timely and appropriate manner, any petition filed against it in an involuntary case under such bankruptcy laws or other Applicable Laws</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81 -</w:t>
      </w:r>
    </w:p>
    <w:p>
      <w:pPr>
        <w:sectPr>
          <w:pgSz w:w="11900" w:h="16838" w:orient="portrait"/>
          <w:cols w:equalWidth="0" w:num="1">
            <w:col w:w="11340"/>
          </w:cols>
          <w:pgMar w:left="240" w:top="280" w:right="319" w:bottom="1440" w:gutter="0" w:footer="0" w:header="0"/>
        </w:sectPr>
      </w:pPr>
    </w:p>
    <w:bookmarkStart w:id="90" w:name="page91"/>
    <w:bookmarkEnd w:id="90"/>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consent to any proceeding or action described in the immediately following subsection (f);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w:t>
      </w:r>
    </w:p>
    <w:p>
      <w:pPr>
        <w:spacing w:after="0" w:line="143" w:lineRule="exact"/>
        <w:rPr>
          <w:sz w:val="20"/>
          <w:szCs w:val="20"/>
          <w:color w:val="auto"/>
        </w:rPr>
      </w:pPr>
    </w:p>
    <w:p>
      <w:pPr>
        <w:ind w:left="680" w:hanging="216"/>
        <w:spacing w:after="0"/>
        <w:tabs>
          <w:tab w:leader="none" w:pos="680"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Involuntary Bankruptcy Proceeding</w:t>
      </w:r>
      <w:r>
        <w:rPr>
          <w:rFonts w:ascii="Arial" w:cs="Arial" w:eastAsia="Arial" w:hAnsi="Arial"/>
          <w:sz w:val="16"/>
          <w:szCs w:val="16"/>
          <w:color w:val="auto"/>
        </w:rPr>
        <w:t>. A case or other proceeding shall be commenced against the Borrower, any other Loan Party, or any other</w:t>
      </w:r>
    </w:p>
    <w:p>
      <w:pPr>
        <w:spacing w:after="0" w:line="38" w:lineRule="exact"/>
        <w:rPr>
          <w:rFonts w:ascii="Arial" w:cs="Arial" w:eastAsia="Arial" w:hAnsi="Arial"/>
          <w:sz w:val="16"/>
          <w:szCs w:val="16"/>
          <w:color w:val="auto"/>
        </w:rPr>
      </w:pPr>
    </w:p>
    <w:p>
      <w:pPr>
        <w:ind w:right="80"/>
        <w:spacing w:after="0" w:line="290" w:lineRule="auto"/>
        <w:rPr>
          <w:rFonts w:ascii="Arial" w:cs="Arial" w:eastAsia="Arial" w:hAnsi="Arial"/>
          <w:sz w:val="16"/>
          <w:szCs w:val="16"/>
          <w:color w:val="auto"/>
        </w:rPr>
      </w:pPr>
      <w:r>
        <w:rPr>
          <w:rFonts w:ascii="Arial" w:cs="Arial" w:eastAsia="Arial" w:hAnsi="Arial"/>
          <w:sz w:val="16"/>
          <w:szCs w:val="16"/>
          <w:color w:val="auto"/>
        </w:rPr>
        <w:t>Significant Subsidiary, in any court of competent jurisdiction seeking: (i) relief under the Bankruptcy Code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in the case of either clause (i) or (ii) such case or proceeding shall continue undismissed or unstayed for a period of 60 consecutive days, or an order granting the remedy or other relief requested in such case or proceeding (including, but not limited to, an order for relief under such Bankruptcy Code or such other federal bankruptcy laws) shall be entered.</w:t>
      </w:r>
    </w:p>
    <w:p>
      <w:pPr>
        <w:spacing w:after="0" w:line="118" w:lineRule="exact"/>
        <w:rPr>
          <w:rFonts w:ascii="Arial" w:cs="Arial" w:eastAsia="Arial" w:hAnsi="Arial"/>
          <w:sz w:val="16"/>
          <w:szCs w:val="16"/>
          <w:color w:val="auto"/>
        </w:rPr>
      </w:pPr>
    </w:p>
    <w:p>
      <w:pPr>
        <w:jc w:val="both"/>
        <w:ind w:right="120" w:firstLine="464"/>
        <w:spacing w:after="0" w:line="256" w:lineRule="auto"/>
        <w:tabs>
          <w:tab w:leader="none" w:pos="70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Revocation of Loan Documents</w:t>
      </w:r>
      <w:r>
        <w:rPr>
          <w:rFonts w:ascii="Arial" w:cs="Arial" w:eastAsia="Arial" w:hAnsi="Arial"/>
          <w:sz w:val="18"/>
          <w:szCs w:val="18"/>
          <w:color w:val="auto"/>
        </w:rPr>
        <w:t>. The Borrower or any other Loan Party shall disavow, revoke or terminate (or, except as expressly permitted herein, attempt to terminate) any Loan Document or the Fee Letter to which it is a party or shall otherwise challenge or contest in any action, suit or proceeding in any court or before any Governmental Authority the validity or enforceability of any Loan Document or the Fee Letter or any Loan Document or the Fee Letter shall cease to be in full force and effect (except as a result of the express terms thereof).</w:t>
      </w:r>
    </w:p>
    <w:p>
      <w:pPr>
        <w:spacing w:after="0" w:line="143" w:lineRule="exact"/>
        <w:rPr>
          <w:rFonts w:ascii="Arial" w:cs="Arial" w:eastAsia="Arial" w:hAnsi="Arial"/>
          <w:sz w:val="18"/>
          <w:szCs w:val="18"/>
          <w:color w:val="auto"/>
        </w:rPr>
      </w:pPr>
    </w:p>
    <w:p>
      <w:pPr>
        <w:ind w:firstLine="464"/>
        <w:spacing w:after="0" w:line="291" w:lineRule="auto"/>
        <w:tabs>
          <w:tab w:leader="none" w:pos="705"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Judgment</w:t>
      </w:r>
      <w:r>
        <w:rPr>
          <w:rFonts w:ascii="Arial" w:cs="Arial" w:eastAsia="Arial" w:hAnsi="Arial"/>
          <w:sz w:val="16"/>
          <w:szCs w:val="16"/>
          <w:color w:val="auto"/>
        </w:rPr>
        <w:t>. A judgment or order for the payment of money or for an injunction or other non-monetary relief shall be entered against the Borrower, any other Loan Party, or any other Subsidiary by any court or other tribunal and (i) such judgment or order shall continue for a period of thirty (30) days without being paid, stayed or dismissed through appropriate appellate proceedings and (ii) either (A) the amount of such judgment or order for which insurance has not been acknowledged in writing by the applicable insurance carrier (or the amount as to which the insurer has denied liability) exceeds, individually or together with all other such outstanding judgments or orders entered against the Loan Parties or any other Subsidiary, $25,000,000 or (B) in the case of an injunction or other non-monetary relief, such injunction or judgment or order could reasonably be expected to have a Material Adverse Effect.</w:t>
      </w:r>
    </w:p>
    <w:p>
      <w:pPr>
        <w:spacing w:after="0" w:line="120" w:lineRule="exact"/>
        <w:rPr>
          <w:rFonts w:ascii="Arial" w:cs="Arial" w:eastAsia="Arial" w:hAnsi="Arial"/>
          <w:sz w:val="16"/>
          <w:szCs w:val="16"/>
          <w:color w:val="auto"/>
        </w:rPr>
      </w:pPr>
    </w:p>
    <w:p>
      <w:pPr>
        <w:ind w:right="140" w:firstLine="464"/>
        <w:spacing w:after="0" w:line="253" w:lineRule="auto"/>
        <w:tabs>
          <w:tab w:leader="none" w:pos="66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Attachment</w:t>
      </w:r>
      <w:r>
        <w:rPr>
          <w:rFonts w:ascii="Arial" w:cs="Arial" w:eastAsia="Arial" w:hAnsi="Arial"/>
          <w:sz w:val="18"/>
          <w:szCs w:val="18"/>
          <w:color w:val="auto"/>
        </w:rPr>
        <w:t>. A warrant, writ of attachment, execution or similar process shall be issued against any property of the Borrower, any other Loan Party or any other Subsidiary, which exceeds, individually or together with all other such warrants, writs, executions and processes, $25,000,000 in amount and such warrant, writ, execution or process shall not be paid, discharged, vacated, stayed or bonded for a period of thirty (30) days; provided, however, that if a bond has been issued in favor of the claimant or other Person obtaining such warrant, writ, execution or process, the issuer of such bond shall execute a waiver or subordination agreement in form and substance satisfactory to the Administrative Agent pursuant to which the issuer of such bond subordinates its right of reimbursement, contribution or subrogation to the Obligations and waives or subordinates any Lien it may have on the assets of the Borrower, any other Loan Party or any Subsidiary.</w:t>
      </w:r>
    </w:p>
    <w:p>
      <w:pPr>
        <w:spacing w:after="0" w:line="147" w:lineRule="exact"/>
        <w:rPr>
          <w:rFonts w:ascii="Arial" w:cs="Arial" w:eastAsia="Arial" w:hAnsi="Arial"/>
          <w:sz w:val="18"/>
          <w:szCs w:val="18"/>
          <w:color w:val="auto"/>
        </w:rPr>
      </w:pPr>
    </w:p>
    <w:p>
      <w:pPr>
        <w:ind w:left="680" w:hanging="216"/>
        <w:spacing w:after="0"/>
        <w:tabs>
          <w:tab w:leader="none" w:pos="6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82 -</w:t>
      </w:r>
    </w:p>
    <w:p>
      <w:pPr>
        <w:sectPr>
          <w:pgSz w:w="11900" w:h="16838" w:orient="portrait"/>
          <w:cols w:equalWidth="0" w:num="1">
            <w:col w:w="11420"/>
          </w:cols>
          <w:pgMar w:left="240" w:top="280" w:right="239" w:bottom="1440" w:gutter="0" w:footer="0" w:header="0"/>
        </w:sectPr>
      </w:pPr>
    </w:p>
    <w:bookmarkStart w:id="91" w:name="page92"/>
    <w:bookmarkEnd w:id="91"/>
    <w:p>
      <w:pPr>
        <w:ind w:left="460" w:right="500" w:firstLine="443"/>
        <w:spacing w:after="0" w:line="268" w:lineRule="auto"/>
        <w:tabs>
          <w:tab w:leader="none" w:pos="1108" w:val="left"/>
        </w:tabs>
        <w:numPr>
          <w:ilvl w:val="1"/>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ERISA Event shall have occurred that results or could reasonably be expected to result in liability to any member of the ERISA Group aggregating in excess of $25,000,000; or</w:t>
      </w:r>
    </w:p>
    <w:p>
      <w:pPr>
        <w:spacing w:after="0" w:line="5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1"/>
          <w:numId w:val="99"/>
        </w:numPr>
        <w:rPr>
          <w:rFonts w:ascii="Arial" w:cs="Arial" w:eastAsia="Arial" w:hAnsi="Arial"/>
          <w:sz w:val="18"/>
          <w:szCs w:val="18"/>
          <w:color w:val="auto"/>
        </w:rPr>
      </w:pPr>
      <w:r>
        <w:rPr>
          <w:rFonts w:ascii="Arial" w:cs="Arial" w:eastAsia="Arial" w:hAnsi="Arial"/>
          <w:sz w:val="18"/>
          <w:szCs w:val="18"/>
          <w:color w:val="auto"/>
        </w:rPr>
        <w:t>As of the most recent valuation date, the “benefit obligation” of all Plans exceeds the “fair market value of plan assets” for such Plans by more than $25,000,000, all as determined, and with such terms defined, in accordance with FASB ASC 715.</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An Event of Default (as defined therein) shall occur under any of the other Loan Documents.</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Change of Control/Change in Management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00" w:firstLine="443"/>
        <w:spacing w:after="0" w:line="298" w:lineRule="auto"/>
        <w:tabs>
          <w:tab w:leader="none" w:pos="1108"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Securities Exchange Act), is or becomes the “beneficial owner” (as defined in Rules 13d-3 and 13d-5 under the Exchange Act, except that a Person will be deemed to have “beneficial ownership” of all securities that such Person has the right to acquire, whether such right is exercisable immediately or only after the passage of time), directly or indirectly, of more than 35% of the total voting power of the then outstanding voting stock of the Borrower; or</w:t>
      </w:r>
    </w:p>
    <w:p>
      <w:pPr>
        <w:spacing w:after="0" w:line="31" w:lineRule="exact"/>
        <w:rPr>
          <w:rFonts w:ascii="Arial" w:cs="Arial" w:eastAsia="Arial" w:hAnsi="Arial"/>
          <w:sz w:val="16"/>
          <w:szCs w:val="16"/>
          <w:color w:val="auto"/>
        </w:rPr>
      </w:pPr>
    </w:p>
    <w:p>
      <w:pPr>
        <w:ind w:left="460" w:right="20" w:firstLine="443"/>
        <w:spacing w:after="0" w:line="255" w:lineRule="auto"/>
        <w:tabs>
          <w:tab w:leader="none" w:pos="115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During any period of 12 consecutive months ending after the Agreement Date, individuals who at the beginning of any such 12-month period constituted the Board of Trustees of the Borrower (together with any new trustees whose election by such Board or whose nomination for election by the shareholders of the Borrower was approved by a vote of a majority of the trustees then still in office who were either Trustees at the beginning of such period or whose election or nomination for election was previously so approved) cease for any reason to constitute two-thirds (2/3) of the Board of Trustees of the Borrower then in office.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10.2. Remedies Upon Event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occurrence of an Event of Default the following provisions shall apply:</w:t>
      </w:r>
    </w:p>
    <w:p>
      <w:pPr>
        <w:spacing w:after="0" w:line="171" w:lineRule="exact"/>
        <w:rPr>
          <w:sz w:val="20"/>
          <w:szCs w:val="20"/>
          <w:color w:val="auto"/>
        </w:rPr>
      </w:pPr>
    </w:p>
    <w:p>
      <w:pPr>
        <w:ind w:left="700" w:hanging="236"/>
        <w:spacing w:after="0"/>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Acceleration; Termination of Facilities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90" w:lineRule="auto"/>
        <w:tabs>
          <w:tab w:leader="none" w:pos="1108"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Automatic</w:t>
      </w:r>
      <w:r>
        <w:rPr>
          <w:rFonts w:ascii="Arial" w:cs="Arial" w:eastAsia="Arial" w:hAnsi="Arial"/>
          <w:sz w:val="16"/>
          <w:szCs w:val="16"/>
          <w:color w:val="auto"/>
        </w:rPr>
        <w:t>. Upon the occurrence of an Event of Default specified in Sections 10.1.(e) or 10.1.(f), (1)(A) the principal of, and all accrued interest on, the Loans and the Notes at the time outstanding, (B) an amount equal to the Stated Amount of all Letters of Credit outstanding as of the date of the occurrence of such Event of Default for deposit into the Letter of Credit Collateral Account and (C) all of the other Obligations, including, but not limited to, the other amounts owed to the Lenders and the Administrative Agent under this Agreement, the Notes or any of the other Loan Documents shall become immediately and automatically due and payable without presentment, demand, protest, or other notice of any kind, all of which are expressly waived by the Borrower on behalf of itself and the other Loan Parties, and (2) the Commitments and the Swingline Commitment and the obligation of the Issuing Bank to issue Letters of Credit hereunder, shall all immediately and automatically terminate.</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Optional</w:t>
      </w:r>
      <w:r>
        <w:rPr>
          <w:rFonts w:ascii="Arial" w:cs="Arial" w:eastAsia="Arial" w:hAnsi="Arial"/>
          <w:sz w:val="16"/>
          <w:szCs w:val="16"/>
          <w:color w:val="auto"/>
        </w:rPr>
        <w:t>. If any other Event of Default shall exist, the Administrative Agent may, and at the direction of the Requisite Lenders shall: (1) declare</w:t>
      </w:r>
    </w:p>
    <w:p>
      <w:pPr>
        <w:spacing w:after="0" w:line="38" w:lineRule="exact"/>
        <w:rPr>
          <w:rFonts w:ascii="Arial" w:cs="Arial" w:eastAsia="Arial" w:hAnsi="Arial"/>
          <w:sz w:val="16"/>
          <w:szCs w:val="16"/>
          <w:color w:val="auto"/>
        </w:rPr>
      </w:pPr>
    </w:p>
    <w:p>
      <w:pPr>
        <w:ind w:left="460" w:right="120"/>
        <w:spacing w:after="0" w:line="323" w:lineRule="auto"/>
        <w:rPr>
          <w:rFonts w:ascii="Arial" w:cs="Arial" w:eastAsia="Arial" w:hAnsi="Arial"/>
          <w:sz w:val="16"/>
          <w:szCs w:val="16"/>
          <w:color w:val="auto"/>
        </w:rPr>
      </w:pPr>
      <w:r>
        <w:rPr>
          <w:rFonts w:ascii="Arial" w:cs="Arial" w:eastAsia="Arial" w:hAnsi="Arial"/>
          <w:sz w:val="16"/>
          <w:szCs w:val="16"/>
          <w:color w:val="auto"/>
        </w:rPr>
        <w:t>(A) the principal of, and accrued interest on, the Loans and the Notes at the time outstanding, (B) an amount equal to the Stated Amount of all Letters of Credit outstanding as of the date of the occurrence of such Event of Default for deposit into the Letter of Credit Collateral Account and (C) all of the other</w:t>
      </w:r>
    </w:p>
    <w:p>
      <w:pPr>
        <w:spacing w:after="0" w:line="79" w:lineRule="exact"/>
        <w:rPr>
          <w:rFonts w:ascii="Arial" w:cs="Arial" w:eastAsia="Arial" w:hAnsi="Arial"/>
          <w:sz w:val="16"/>
          <w:szCs w:val="16"/>
          <w:color w:val="auto"/>
        </w:rPr>
      </w:pPr>
    </w:p>
    <w:p>
      <w:pPr>
        <w:ind w:left="5620" w:hanging="96"/>
        <w:spacing w:after="0"/>
        <w:tabs>
          <w:tab w:leader="none" w:pos="562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83 -</w:t>
      </w:r>
    </w:p>
    <w:p>
      <w:pPr>
        <w:sectPr>
          <w:pgSz w:w="11900" w:h="16838" w:orient="portrait"/>
          <w:cols w:equalWidth="0" w:num="1">
            <w:col w:w="11420"/>
          </w:cols>
          <w:pgMar w:left="240" w:top="280" w:right="239" w:bottom="1440" w:gutter="0" w:footer="0" w:header="0"/>
        </w:sectPr>
      </w:pPr>
    </w:p>
    <w:bookmarkStart w:id="92" w:name="page93"/>
    <w:bookmarkEnd w:id="92"/>
    <w:p>
      <w:pPr>
        <w:ind w:left="4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Obligations, including, but not limited to, the other amounts owed to the Lenders and the Administrative Agent under this Agreement, the Notes or any of the other Loan Documents to be forthwith due and payable, whereupon the same shall immediately become due and payable without presentment, demand, protest or other notice of any kind, all of which are expressly waived by the Borrower on behalf of itself and the other Loan Parties, and (2) terminate the Commitments and the Swingline Commitment and the obligation of the Issuing Bank to issue Letters of Credit hereunder.</w:t>
      </w:r>
    </w:p>
    <w:p>
      <w:pPr>
        <w:spacing w:after="0" w:line="113" w:lineRule="exact"/>
        <w:rPr>
          <w:sz w:val="20"/>
          <w:szCs w:val="20"/>
          <w:color w:val="auto"/>
        </w:rPr>
      </w:pPr>
    </w:p>
    <w:p>
      <w:pPr>
        <w:ind w:firstLine="464"/>
        <w:spacing w:after="0" w:line="268" w:lineRule="auto"/>
        <w:tabs>
          <w:tab w:leader="none" w:pos="705"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The Requisite Lenders may direct the Administrative Agent to, and the Administrative Agent if so directed shall, exercise any and all of its rights under any and all of the other Loan Documents.</w:t>
      </w:r>
    </w:p>
    <w:p>
      <w:pPr>
        <w:spacing w:after="0" w:line="131" w:lineRule="exact"/>
        <w:rPr>
          <w:rFonts w:ascii="Arial" w:cs="Arial" w:eastAsia="Arial" w:hAnsi="Arial"/>
          <w:sz w:val="18"/>
          <w:szCs w:val="18"/>
          <w:color w:val="auto"/>
        </w:rPr>
      </w:pPr>
    </w:p>
    <w:p>
      <w:pPr>
        <w:ind w:right="300" w:firstLine="464"/>
        <w:spacing w:after="0" w:line="268" w:lineRule="auto"/>
        <w:tabs>
          <w:tab w:leader="none" w:pos="695"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The Requisite Lenders may direct the Administrative Agent to, and the Administrative Agent if so directed shall, exercise all other rights and remedies it may have under any Applicable Law.</w:t>
      </w:r>
    </w:p>
    <w:p>
      <w:pPr>
        <w:spacing w:after="0" w:line="131" w:lineRule="exact"/>
        <w:rPr>
          <w:rFonts w:ascii="Arial" w:cs="Arial" w:eastAsia="Arial" w:hAnsi="Arial"/>
          <w:sz w:val="18"/>
          <w:szCs w:val="18"/>
          <w:color w:val="auto"/>
        </w:rPr>
      </w:pPr>
    </w:p>
    <w:p>
      <w:pPr>
        <w:ind w:right="40" w:firstLine="464"/>
        <w:spacing w:after="0" w:line="298" w:lineRule="auto"/>
        <w:tabs>
          <w:tab w:leader="none" w:pos="705"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Appointment of Receiver</w:t>
      </w:r>
      <w:r>
        <w:rPr>
          <w:rFonts w:ascii="Arial" w:cs="Arial" w:eastAsia="Arial" w:hAnsi="Arial"/>
          <w:sz w:val="16"/>
          <w:szCs w:val="16"/>
          <w:color w:val="auto"/>
        </w:rPr>
        <w:t>. To the extent permitted by Applicable Law, the Administrative Agent and the Lenders shall be entitled to the appointment of a receiver for the assets and properties of the Borrower and its Subsidiaries, without notice of any kind whatsoever and without regard to the adequacy of any security for the Obligations or the solvency of any party bound for its payment, to take possession of all or any portion of the property and/or the business operations of the Borrower and its Subsidiaries and to exercise such power as the court shall confer upon such receiver.</w:t>
      </w:r>
    </w:p>
    <w:p>
      <w:pPr>
        <w:spacing w:after="0" w:line="112" w:lineRule="exact"/>
        <w:rPr>
          <w:rFonts w:ascii="Arial" w:cs="Arial" w:eastAsia="Arial" w:hAnsi="Arial"/>
          <w:sz w:val="16"/>
          <w:szCs w:val="16"/>
          <w:color w:val="auto"/>
        </w:rPr>
      </w:pPr>
    </w:p>
    <w:p>
      <w:pPr>
        <w:ind w:right="60" w:firstLine="464"/>
        <w:spacing w:after="0" w:line="286" w:lineRule="auto"/>
        <w:tabs>
          <w:tab w:leader="none" w:pos="695"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Specified Derivatives Contract Remedies</w:t>
      </w:r>
      <w:r>
        <w:rPr>
          <w:rFonts w:ascii="Arial" w:cs="Arial" w:eastAsia="Arial" w:hAnsi="Arial"/>
          <w:sz w:val="16"/>
          <w:szCs w:val="16"/>
          <w:color w:val="auto"/>
        </w:rPr>
        <w:t>. Notwithstanding any other provision of this Agreement or other Loan Document, each Specified Derivatives Provider shall have the right, with prompt notice to the Administrative Agent, but without the approval or consent of or other action by the Administrative Agent or the Lenders, and without limitation of other remedies available to such Specified Derivatives Provider under contract or Applicable Law, to undertake any of the following: (a) to declare an event of default, termination event or other similar event under any Specified Derivatives Contract and to create an “Early Termination Date” (as defined therein) in respect thereof, (b) to determine net termination amounts in respect of any and all Specified Derivatives Contracts in accordance with the terms thereof, and to set off amounts among such contracts, (c) to set off or proceed against deposit account balances, securities account balances and other property and amounts held by such Specified Derivatives Provider pursuant to any Derivatives Support Document, including any “Posted Collateral” (as defined in any credit support annex included in any such Derivatives Support Document to which such Specified Derivatives Provider may be a party), and (d) to prosecute any legal action against the Borrower, any Loan Party or other Subsidiary to enforce or collect net amounts owing to such Specified Derivatives Provider pursuant to any Specified Derivatives Contract. For the avoidance of doubt, none of the foregoing remedies instituted by a Specified Derivatives Provider shall by itself constitute a Default or Event of Default hereunder unless otherwise specifically set forth herein.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Remedies Upon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occurrence of a Default specified in Section 10.1.(f), the Commitments shall immediately and automatically terminate.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10.4. Marshaling; Payments Set Aside.</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None of the Administrative Agent, the Issuing Bank, any Lender or any Specified Derivatives Provider shall be under any obligation to marshal any assets in favor of any Loan Party or any other party or against or in payment of any or all of the Obligations or the Specified Derivatives Obligations. To the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- 84 -</w:t>
      </w:r>
    </w:p>
    <w:p>
      <w:pPr>
        <w:sectPr>
          <w:pgSz w:w="11900" w:h="16838" w:orient="portrait"/>
          <w:cols w:equalWidth="0" w:num="1">
            <w:col w:w="11380"/>
          </w:cols>
          <w:pgMar w:left="240" w:top="280" w:right="279" w:bottom="1440" w:gutter="0" w:footer="0" w:header="0"/>
        </w:sectPr>
      </w:pPr>
    </w:p>
    <w:bookmarkStart w:id="93" w:name="page94"/>
    <w:bookmarkEnd w:id="93"/>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extent that any Loan Party makes a payment or payments to the Administrative Agent, the Issuing Bank, any Lender or any Specified Derivatives Provider, or the Administrative Agent, the Issuing Bank, any Lender or any Specified Derivatives Provider enforce their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state or federal law, common law or equitable cause, then to the extent of such recovery, the Obligations or Specified Derivatives Obligations, or part thereof originally intended to be satisfied, and all Liens, rights and remedies therefor, shall be revived and continued in full force and effect as if such payment had not been made or such enforcement or setoff had not occurred.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10.5. Allocation of Proceeds.</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If an Event of Default exists and maturity of any of the Obligations has been accelerated, all payments received by the Administrative Agent under any of the Loan Documents (or any Lender as a result of exercise of remedies pursuant to Section 12.4.), in respect of any principal of or interest on the Obligations or any other amounts payable by the Borrower hereunder or thereunder, shall be applied in the following order and priority:</w:t>
      </w:r>
    </w:p>
    <w:p>
      <w:pPr>
        <w:spacing w:after="0" w:line="26" w:lineRule="exact"/>
        <w:rPr>
          <w:sz w:val="20"/>
          <w:szCs w:val="20"/>
          <w:color w:val="auto"/>
        </w:rPr>
      </w:pPr>
    </w:p>
    <w:p>
      <w:pPr>
        <w:ind w:left="460" w:right="120" w:firstLine="443"/>
        <w:spacing w:after="0" w:line="268" w:lineRule="auto"/>
        <w:tabs>
          <w:tab w:leader="none" w:pos="113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amounts due to the Administrative Agent, the Issuing Bank and the Lenders in respect of expenses due under Section 12.2. until paid in full, and then Fees;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payments of interest on Swingline Loans;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payments of interest on all other Loans and Reimbursement Obligations to be applied for the ratable benefit of the Lenders and the Issuing Bank;</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payments of principal of Swingline Loans;</w:t>
      </w:r>
    </w:p>
    <w:p>
      <w:pPr>
        <w:spacing w:after="0" w:line="90" w:lineRule="exact"/>
        <w:rPr>
          <w:rFonts w:ascii="Arial" w:cs="Arial" w:eastAsia="Arial" w:hAnsi="Arial"/>
          <w:sz w:val="18"/>
          <w:szCs w:val="18"/>
          <w:color w:val="auto"/>
        </w:rPr>
      </w:pPr>
    </w:p>
    <w:p>
      <w:pPr>
        <w:jc w:val="both"/>
        <w:ind w:left="460" w:right="40" w:firstLine="443"/>
        <w:spacing w:after="0" w:line="256" w:lineRule="auto"/>
        <w:tabs>
          <w:tab w:leader="none" w:pos="113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payments of principal of all other Loans, Reimbursement Obligations and other Letter of Credit Liabilities, to be applied for the ratable benefit of the Lenders and the Issuing Bank; provided, however, to the extent that any amounts available for distribution pursuant to this subsection are attributable to the issued but undrawn amount of an outstanding Letter of Credit, such amounts shall be paid to the Administrative Agent for deposit into the Letter of Credit Collateral Account;</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amounts due to the Administrative Agent and the Lenders pursuant to Sections 11.6. and 12.10.;</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payments of all other Obligations and other amounts due under any of the Loan Documents to be applied for the ratable benefit of the Lenders;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any amount remaining after application as provided above, shall be paid to the Borrower or whomever else may be legally entitled thereto.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10.6. Letter of Credit Collateral Account.</w:t>
      </w:r>
    </w:p>
    <w:p>
      <w:pPr>
        <w:spacing w:after="0" w:line="96" w:lineRule="exact"/>
        <w:rPr>
          <w:sz w:val="20"/>
          <w:szCs w:val="20"/>
          <w:color w:val="auto"/>
        </w:rPr>
      </w:pPr>
    </w:p>
    <w:p>
      <w:pPr>
        <w:ind w:right="80" w:firstLine="464"/>
        <w:spacing w:after="0" w:line="259"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 collateral security for the prompt payment in full when due of all Letter of Credit Liabilities and the other Obligations, the Borrower hereby pledges and grants to the Administrative Agent, for the ratable benefit of the Administrative Agent, the Issuing Bank and the Lenders as provided herein, a security interest in all of its right, title and interest in and to the Letter of Credit Collateral</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85 -</w:t>
      </w:r>
    </w:p>
    <w:p>
      <w:pPr>
        <w:sectPr>
          <w:pgSz w:w="11900" w:h="16838" w:orient="portrait"/>
          <w:cols w:equalWidth="0" w:num="1">
            <w:col w:w="11420"/>
          </w:cols>
          <w:pgMar w:left="240" w:top="280" w:right="239" w:bottom="1440" w:gutter="0" w:footer="0" w:header="0"/>
        </w:sectPr>
      </w:pPr>
    </w:p>
    <w:bookmarkStart w:id="94" w:name="page95"/>
    <w:bookmarkEnd w:id="94"/>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 and the balances from time to time in the Letter of Credit Collateral Account (including the investments and reinvestments therein provided for below). The balances from time to time in the Letter of Credit Collateral Account shall not constitute payment of any Letter of Credit Liabilities until applied by the Issuing Bank as provided herein. Anything in this Agreement to the contrary notwithstanding, funds held in the Letter of Credit Collateral Account shall be subject to withdrawal only as provided in this Section.</w:t>
      </w:r>
    </w:p>
    <w:p>
      <w:pPr>
        <w:spacing w:after="0" w:line="143" w:lineRule="exact"/>
        <w:rPr>
          <w:sz w:val="20"/>
          <w:szCs w:val="20"/>
          <w:color w:val="auto"/>
        </w:rPr>
      </w:pPr>
    </w:p>
    <w:p>
      <w:pPr>
        <w:ind w:firstLine="464"/>
        <w:spacing w:after="0" w:line="289" w:lineRule="auto"/>
        <w:tabs>
          <w:tab w:leader="none" w:pos="70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Amounts on deposit in the Letter of Credit Collateral Account shall be invested and reinvested by the Administrative Agent in such Cash Equivalents as the Administrative Agent shall determine in its sole discretion. All such investments and reinvestments shall be held in the name of and be under the sole dominion and control of the Administrative Agent for the ratable benefit of the Administrative Agent, the Issuing Bank and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that all earnings on such investments will be credited to and retained in the Letter of Credit Collateral Account. The Administrative Agent shall exercise reasonable care in the custody and preservation of any funds held in the Letter of Credit Collateral Account and shall be deemed to have exercised such care if such funds are accorded treatment substantially equivalent to that which the Administrative Agent accords other funds deposited with the Administrative Agent, it being understood that the Administrative Agent shall not have any responsibility for taking any necessary steps to preserve rights against any parties with respect to any funds held in the Letter of Credit Collateral Account.</w:t>
      </w:r>
    </w:p>
    <w:p>
      <w:pPr>
        <w:spacing w:after="0" w:line="118" w:lineRule="exact"/>
        <w:rPr>
          <w:rFonts w:ascii="Arial" w:cs="Arial" w:eastAsia="Arial" w:hAnsi="Arial"/>
          <w:sz w:val="16"/>
          <w:szCs w:val="16"/>
          <w:color w:val="auto"/>
        </w:rPr>
      </w:pPr>
    </w:p>
    <w:p>
      <w:pPr>
        <w:ind w:right="180" w:firstLine="464"/>
        <w:spacing w:after="0" w:line="306" w:lineRule="auto"/>
        <w:tabs>
          <w:tab w:leader="none" w:pos="69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a drawing pursuant to any Letter of Credit occurs on or prior to the expiration date of such Letter of Credit, the Borrower and the Lenders authorize the Administrative Agent to use the monies deposited in the Letter of Credit Collateral Account to reimburse the Issuing Bank for the payment made by the Issuing Bank to the beneficiary with respect to such drawing or the payee with respect to such presentment.</w:t>
      </w:r>
    </w:p>
    <w:p>
      <w:pPr>
        <w:spacing w:after="0" w:line="106" w:lineRule="exact"/>
        <w:rPr>
          <w:rFonts w:ascii="Arial" w:cs="Arial" w:eastAsia="Arial" w:hAnsi="Arial"/>
          <w:sz w:val="16"/>
          <w:szCs w:val="16"/>
          <w:color w:val="auto"/>
        </w:rPr>
      </w:pPr>
    </w:p>
    <w:p>
      <w:pPr>
        <w:ind w:firstLine="464"/>
        <w:spacing w:after="0" w:line="332" w:lineRule="auto"/>
        <w:tabs>
          <w:tab w:leader="none" w:pos="70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an Event of Default exists, the Administrative Agent may (and, if instructed by the Requisite Lenders, shall) in its (or their) discretion at any time and from time to time elect to liquidate any such investments and reinvestments and apply the proceeds thereof to the Obligations in accordance with Section 10.5.</w:t>
      </w:r>
    </w:p>
    <w:p>
      <w:pPr>
        <w:spacing w:after="0" w:line="85" w:lineRule="exact"/>
        <w:rPr>
          <w:rFonts w:ascii="Arial" w:cs="Arial" w:eastAsia="Arial" w:hAnsi="Arial"/>
          <w:sz w:val="16"/>
          <w:szCs w:val="16"/>
          <w:color w:val="auto"/>
        </w:rPr>
      </w:pPr>
    </w:p>
    <w:p>
      <w:pPr>
        <w:ind w:right="20" w:firstLine="464"/>
        <w:spacing w:after="0" w:line="253" w:lineRule="auto"/>
        <w:tabs>
          <w:tab w:leader="none" w:pos="69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So long as no Major Default or Event of Default exists, and to the extent amounts on deposit in or credited to the Letter of Credit Collateral Account exceed the aggregate amount of the Letter of Credit Liabilities then due and owing, the Administrative Agent shall, from time to time, at the request of the Borrower, deliver to the Borrower within 10 Business Days after the Administrative Agent’s receipt of such request from the Borrower, against receipt but without any recourse, warranty or representation whatsoever, such amount of the credit balances in the Letter of Credit Collateral Account as exceeds the aggregate amount of Letter of Credit Liabilities at such time. When all of the Obligations shall have been paid in full in cash and no Letters of Credit remain outstanding, the Administrative Agent shall deliver to the Borrower, against receipt but without any recourse, warranty or representation whatsoever, the balances remaining in the Letter of Credit Collateral Account.</w:t>
      </w:r>
    </w:p>
    <w:p>
      <w:pPr>
        <w:spacing w:after="0" w:line="147" w:lineRule="exact"/>
        <w:rPr>
          <w:rFonts w:ascii="Arial" w:cs="Arial" w:eastAsia="Arial" w:hAnsi="Arial"/>
          <w:sz w:val="18"/>
          <w:szCs w:val="18"/>
          <w:color w:val="auto"/>
        </w:rPr>
      </w:pPr>
    </w:p>
    <w:p>
      <w:pPr>
        <w:ind w:right="240" w:firstLine="464"/>
        <w:spacing w:after="0" w:line="332" w:lineRule="auto"/>
        <w:tabs>
          <w:tab w:leader="none" w:pos="67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Borrower shall pay to the Administrative Agent from time to time such fees as the Administrative Agent normally charges for similar services in connection with the Administrative Agent’s administration of the Letter of Credit Collateral Account and investments and reinvestments of funds therein.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10.7. Rescission of Acceleration by Requisite Lenders.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at any time after acceleration of the maturity of the Loans and the other Obligations, the Borrower shall pay all arrears of interest and all payments on account of principal of the Obligations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- 86 -</w:t>
      </w:r>
    </w:p>
    <w:p>
      <w:pPr>
        <w:sectPr>
          <w:pgSz w:w="11900" w:h="16838" w:orient="portrait"/>
          <w:cols w:equalWidth="0" w:num="1">
            <w:col w:w="11400"/>
          </w:cols>
          <w:pgMar w:left="240" w:top="280" w:right="259" w:bottom="1440" w:gutter="0" w:footer="0" w:header="0"/>
        </w:sectPr>
      </w:pPr>
    </w:p>
    <w:bookmarkStart w:id="95" w:name="page96"/>
    <w:bookmarkEnd w:id="9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shall have become due otherwise than by acceleration (with interest on principal and, to the extent permitted by Applicable Law, on overdue interest, at the rates specified in this Agreement) and all Events of Default and Defaults (other than nonpayment of principal of and accrued interest on the Obligations due and payable solely by virtue of acceleration) shall become remedied or waived to the satisfaction of the Requisite Lenders, then by written notice to the Borrower, the Requisite Lenders may elect, in the sole discretion of such Requisite Lenders, to rescind and annul the acceleration and its consequences. The provisions of the preceding sentence are intended merely to bind all of the Lenders to a decision which may be made at the election of the Requisite Lenders, and are not intended to benefit the Borrower and do not give the Borrower the right to require the Lenders to rescind or annul any acceleration hereunder, even if the conditions set forth herein are satisfied.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10.8. Performance by Administrative Agent.</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the Borrower or any other Loan Party shall fail to perform any covenant, duty or agreement contained in any of the Loan Documents, the Administrative Agent may, after notice to the Borrower, perform or attempt to perform such covenant, duty or agreement on behalf of the Borrower or such other Loan Party after the expiration of any cure or grace periods set forth herein. In such event, the Borrower shall, at the request of the Administrative Agent, promptly pay any amount reasonably expended by the Administrative Agent in such performance or attempted performance to the Administrative Agent, together with interest thereon at the applicable Post-Default Rate from the date of such expenditure until paid. Notwithstanding the foregoing, neither the Administrative Agent nor any Lender shall have any liability or responsibility whatsoever to perform any obligation of the Borrower under this Agreement or any other Loan Document.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10.9. Rights Cumulative.</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rights and remedies of the Administrative Agent, the Issuing Bank, the Lenders and the Specified Derivatives Providers under this Agreement, each of the other Loan Documents, the Fee Letter and Specified Derivatives Contracts shall be cumulative and not exclusive of any rights or remedies which any of them may otherwise have under Applicable Law. In exercising their respective rights and remedies the Administrative Agent, the Issuing Bank, the Lenders and the Specified Derivatives Providers may be selective and no failure or delay by the Administrative Agent, the Issuing Bank, any of the Lenders or any of the Specified Derivatives Providers in exercising any right shall operate as a waiver of it, nor shall any single or partial exercise of any power or right preclude its other or further exercise or the exercise of any other power or right.</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Appointment and Authorization.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Lender hereby irrevocably appoints and authorizes the Administrative Agent to take such action as contractual representative on such Lender’s behalf and to exercise such powers under this Agreement and the other Loan Documents as are specifically delegated to the Administrative Agent by the terms hereof and thereof, together with such powers as are reasonably incidental thereto. Not in limitation of the foregoing, each Lender authorizes and directs the Administrative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 therein, together with such other powers as are reasonably incidental thereto, shall be authorized and binding upon all of the Lenders. Nothing herein shall be construed to deem the Administrative Agent a trustee or fiduciary for any Lender or to impose on the Administrative Agent duties or obligations other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1380"/>
          </w:cols>
          <w:pgMar w:left="240" w:top="280" w:right="279" w:bottom="1440" w:gutter="0" w:footer="0" w:header="0"/>
        </w:sectPr>
      </w:pPr>
    </w:p>
    <w:bookmarkStart w:id="96" w:name="page97"/>
    <w:bookmarkEnd w:id="9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 those expressly provided for herein. Without limiting the generality of the foregoing, the use of the terms “Agent”, “Administrative Agent”, “agent” and similar terms in the Loan Documents with reference to the Administrative Agent is not intended to connote any fiduciary or other implied (or express) obligations arising under agency doctrine of any Applicable Law. Instead, use of such terms is merely a matter of market custom, and is intended to create or reflect only an administrative relationship between independent contracting parties. The Administrative Agent shall deliver to each Lender, promptly upon receipt thereof by the Administrative Agent, copies of each of the financial statements, certificates, notices and other documents delivered to the Administrative Agent pursuant to Article VIII. that the Borrower is not otherwise required to deliver directly to the Lenders. The Administrative Agent will furnish to any Lender, upon the request of such Lender, a copy (or, where appropriate, an original) of any document, instrument, agreement, certificate or notice furnished to the Administrative Agent by the Borrower, any other Loan Party or any other Affiliate of the Borrower, pursuant to this Agreement or any other Loan Document not already delivered to such Lender pursuant to the terms of this Agreement or any such other Loan Document. As to any matters not expressly provided for by the Loan Documents (including, without limitation, enforcement or collection of any of the Obligations), the Administrative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provided, however, that, notwithstanding anything in this Agreement to the contrary, the Administrative Agent shall not be required to take any action which exposes the Administrative Agent to personal liability or which is contrary to this Agreement or any other Loan Document or Applicable Law. Not in limitation of the foregoing, the Administrative Agent may exercise any right or remedy it or the Lenders may have under any Loan Document upon the occurrence of a Default or an Event of Default unless the Requisite Lenders have directed the Administrative Agent otherwise. Without limiting the foregoing, no Lender shall have any right of action whatsoever against the Administrative Agent as a result of the Administrative Agent acting or refraining from acting under this Agreement or any of the other Loan Documents in accordance with the instructions of the Requisite Lenders, or where applicable, all the Lenders.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Wells Fargo as Lender.</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Wells Fargo, as a Lender or as a Specified Derivatives Provider, as the case may be, shall have the same rights and powers under this Agreement and any other Loan Document and under any Specified Derivatives Contract, as the case may be, as any other Lender or Specified Derivatives Provider and may exercise the same as though it were not the Administrative Agent; and the term “Lender” or “Lenders” shall, unless otherwise expressly indicated, include Wells Fargo in each case in its individual capacity. Wells Fargo and its Affiliates may each accept deposits from, maintain deposits or credit balances for, invest in, lend money to, act as trustee under indentures of, serve as financial advisor to, and generally engage in any kind of business with the Borrower, any other Loan Party or any other Affiliate thereof as if it were any other bank and without any duty to account therefor to the Issuing Bank, other Lenders, or any other Specified Derivatives Providers. Further, the Administrative Agent and any Affiliate may accept fees and other consideration from the Borrower for services in connection with this Agreement or any Specified Derivatives Contract, or otherwise without having to account for the same to the Issuing Bank, the other Lenders or any other Specified Derivatives Providers. The Issuing Bank and the Lenders acknowledge that, pursuant to such activities, Wells Fargo or its Affiliates may receive information regarding the Borrower, other Loan Parties, other Subsidiaries and other Affiliates (including information that may be subject to confidentiality obligations in favor of such Person) and acknowledge that the Administrative Agent shall be under no obligation to provide such information to them.</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1380"/>
          </w:cols>
          <w:pgMar w:left="240" w:top="280" w:right="27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11.3. Approvals of Lenders.</w:t>
      </w:r>
    </w:p>
    <w:p>
      <w:pPr>
        <w:spacing w:after="0" w:line="96"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All communications from the Administrative Agent to any Lender requesting such Lender’s determination, consent, approval or disapproval (a) shall be given in the form of a written notice to such Lender, (b) shall be accompanied by a description of the matter or issue as to which such determination, approval, consent or disapproval is requested, or shall advise such Lender where information, if any, regarding such matter or issue may be inspected, or shall otherwise describe the matter or issue to be resolved, (c) shall include, if reasonably requested by such Lender and to the extent not previously provided to such Lender, written materials and, as appropriate, a brief summary of all oral information provided to the Administrative Agent by the Borrower in respect of the matter or issue to be resolved, and (d) shall include the Administrative Agent’s recommended course of action or determination in respect thereof. Unless a Lender shall give written notice to the Administrative Agent that it specifically objects to the recommendation or determination of the Administrative Agent (together with a reasonable written explanation of the reasons behind such objection) within ten (10) Business Days (or such lesser or greater period as may be specifically required under the express terms of the Loan Documents) of receipt of such communication, such Lender shall be deemed to have conclusively approved of or consented to such recommendation or determination.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11.4. Notice of Events of Default.</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Administrative Agent shall not be deemed to have knowledge or notice of the occurrence of a Default or Event of Default unless the Administrative Agent has received notice thereof from a Lender or the Borrower referring to this Agreement, describing with reasonable specificity such Default or Event of Default and stating that such notice is a “notice of default.” If any Lender (excluding the Lender which is also serving as the Administrative Agent) becomes aware of any Default or Event of Default, it shall promptly send to the Administrative Agent such a “notice of default”. Further, if the Administrative Agent receives such a “notice of default,” the Administrative Agent shall give prompt notice thereof to the Lenders.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11.5. Administrative Agent’s Reliance.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Notwithstanding any other provisions of this Agreement or any other Loan Documents, neither the Administrative Agent nor any of its directors, officers, agents, employees or counsel shall be liable for any action taken or not taken by it under or in connection with this Agreement or any other Loan Document, except for its or their own gross negligence or willful misconduct in connection with its duties expressly set forth herein or therein as determined by a court of competent jurisdiction in a final non-appealable judgment. Without limiting the generality of the foregoing, the Administrative Agent may consult with legal counsel (including its own counsel or counsel for the Borrower or any other Loan Party), independent public accountants and other experts selected by it and shall not be liable for any action taken or omitted to be taken in good faith by it in accordance with the advice of such counsel, accountants or experts. Neither the Administrative Agent nor any of its directors, officers, agents, employees or counsel: (a) makes any warranty or representation to any Lender, the Issuing Bank or any other Person, or shall be responsible to any Lender, the Issuing Bank or any other Person for any statement, warranty or representation made or deemed made by the Borrower, any other Loan Party or any other Person in or in connection with this Agreement or any other Loan Document; (b) shall have any duty to ascertain or to inquire as to the performance or observance of any of the terms, covenants or conditions of this Agreement or any other Loan Document or the satisfaction of any conditions precedent under this Agreement or any Loan Document on the part of the Borrower or other Persons, or to inspect the property, books or records of the Borrower or any other Person; (c) shall be responsible to any Lender or the Issuing Bank for the due execution, legality, validity, enforceability, genuineness, sufficiency or value of this Agreement or any other Loan Document, any other instrument or document furnished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1400"/>
          </w:cols>
          <w:pgMar w:left="240" w:top="274" w:right="259" w:bottom="1440" w:gutter="0" w:footer="0" w:header="0"/>
        </w:sectPr>
      </w:pPr>
    </w:p>
    <w:bookmarkStart w:id="98" w:name="page99"/>
    <w:bookmarkEnd w:id="98"/>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thereto; (d) shall have any liability in respect of any recitals, statements, certifications, representations or warranties contained in any of the Loan Documents or any other document, instrument, agreement, certificate or statement delivered in connection therewith; and (e) shall incur any liability under or in respect of this Agreement or any other Loan Document by acting upon any notice, consent, certificate or other instrument or writing (which may be by telephone, telecopy or electronic mail) believed by it to be genuine and signed, sent or given by the proper party or parties. The Administrative Agent may execute any of its duties under the Loan Documents by or through agents, employees or attorneys-in-fact and shall not itself be responsible for the negligence or misconduct of any agent or attorney-in-fact that it selects in the absence of gross negligence or willful misconduct as determined by a court of competent jurisdiction in a final non-appealable judgment.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11.6. Indemnification of Administrative Agent.</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Each Lender agrees to indemnify the Administrative Agent (to the extent not reimbursed by the Borrower and without limiting the obligation of the Borrower to do so) pro rata in accordance with such Lender’s respective Revolving Commitment Percentage (determined as of the time of such claim), from and against any and all liabilities, obligations, losses, damages, penalties, actions, judgments, suits, reasonable out-of-pocket costs and expenses of any kind or nature whatsoever which may at any time be imposed on, incurred by, or asserted against the Administrative Agent (in its capacity as Administrative Agent but not as a Lender) in any way relating to or arising out of the Loan Documents, any transaction contemplated hereby or thereby or any action taken or omitted by the Administrative Agent under the Loan Documents (collectively, “</w:t>
      </w:r>
      <w:r>
        <w:rPr>
          <w:rFonts w:ascii="Arial" w:cs="Arial" w:eastAsia="Arial" w:hAnsi="Arial"/>
          <w:sz w:val="16"/>
          <w:szCs w:val="16"/>
          <w:b w:val="1"/>
          <w:bCs w:val="1"/>
          <w:color w:val="auto"/>
        </w:rPr>
        <w:t>Indemnifiable Amounts</w:t>
      </w:r>
      <w:r>
        <w:rPr>
          <w:rFonts w:ascii="Arial" w:cs="Arial" w:eastAsia="Arial" w:hAnsi="Arial"/>
          <w:sz w:val="16"/>
          <w:szCs w:val="16"/>
          <w:color w:val="auto"/>
        </w:rPr>
        <w:t xml:space="preserve">”); provided, however, that no Lender shall be liable for any portion of such Indemnifiable Amounts to the extent resulting from the Administrative Agent’s gross negligence or willful misconduct as determined by a court of competent jurisdiction in a final, non-appealable judgment;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action taken in accordance with the directions of the Requisite Lenders (or all of the Lenders, if expressly required hereunder) shall be deemed to constitute gross negligence or willful misconduct for purposes of this Section. Without limiting the generality of the foregoing, each Lender agrees to reimburse the Administrative Agent (to the extent not reimbursed by the Borrower and without limiting the obligation of the Borrower to do so) promptly upon demand for its ratable share of any out-of-pocket expenses (including the reasonable fees and expenses of the counsel to the Administrative Agent) incurred by the Administrative Agent in connection with the preparation, negotiation, execution, administration, or enforcement (whether through negotiations, legal proceedings, or otherwise) of, or legal advice with respect to the rights or responsibilities of the parties under, the Loan Documents, any suit or action brought by the Administrative Agent to enforce the terms of the Loan Documents and/or collect any Obligations, any “lender liability” suit or claim brought against the Administrative Agent and/or the Lenders, and any claim or suit brought against the Administrative Agent and/or the Lenders arising under any Environmental Laws. Such out-of-pocket expenses (including counsel fees) shall be advanced by the Lenders on the request of the Administrative Agent notwithstanding any claim or assertion that the Administrative Agent is not entitled to indemnification hereunder upon receipt of an undertaking by the Administrative Agent that the Administrative Agent will reimburse the Lenders if it is actually and finally determined by a court of competent jurisdiction that the Administrative Agent is not so entitled to indemnification. The agreements in this Section shall survive the payment of the Loans and all other amounts payable hereunder or under the other Loan Documents and the termination of this Agreement. If the Borrower shall reimburse the Administrative Agent for any Indemnifiable Amount following payment by any Lender to the Administrative Agent in respect of such Indemnifiable Amount pursuant to this Section, the Administrative Agent shall share such reimbursement on a ratable basis with each Lender making any such payment.</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1380"/>
          </w:cols>
          <w:pgMar w:left="240" w:top="280" w:right="2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11.7. Lender Credit Decision, Etc.</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Each of the Lenders and the Issuing Bank expressly acknowledges and agrees that neither the Administrative Agent nor any of its officers, directors, employees, agents, counsel, attorneys-in-fact or other Affiliates has made any representations or warranties to the Issuing Bank or such Lender and that no act by the Administrative Agent hereafter taken, including any review of the affairs of the Borrower, any other Loan Party or any other Subsidiary or Affiliate, shall be deemed to constitute any such representation or warranty by the Administrative Agent to the Issuing Bank or any Lender. Each of the Lenders and the Issuing Bank acknowledges that it has made its own credit and legal analysis and decision to enter into this Agreement and the transactions contemplated hereby, independently and without reliance upon the Administrative Agent, any other Lender or counsel to the Administrative Agent, or any of their respective officers, directors, employees, agents or counsel, and based on the financial statements of the Borrower, the other Loan Parties, the other Subsidiaries and other Affiliates, and inquiries of such Persons, its independent due diligence of the business and affairs of the Borrower, the other Loan Parties, the other Subsidiaries and other Persons, its review of the Loan Documents, the legal opinions required to be delivered to it hereunder, the advice of its own counsel and such other documents and information as it has deemed appropriate. Each of the Lenders and the Issuing Bank also acknowledges that it will, independently and without reliance upon the Administrative Agent, any other Lender or counsel to the Administrative Agent or any of their respective officers, directors, employees and agents, and based on such review, advice, documents and information as it shall deem appropriate at the time, continue to make its own decisions in taking or not taking action under the Loan Documents. The Administrative Agent shall not be required to keep itself informed as to the performance or observance by the Borrower or any other Loan Party of the Loan Documents or any other document referred to or provided for therein or to inspect the properties or books of, or make any other investigation of, the Borrower, any other Loan Party or any other Subsidiary. Except for notices, reports and other documents and information expressly required to be furnished to the Lenders and the Issuing Bank by the Administrative Agent under this Agreement or any of the other Loan Documents, the Administrative Agent shall have no duty or responsibility to provide any Lender or the Issuing Bank with any credit or other information concerning the business, operations, property, financial and other condition or creditworthiness of the Borrower, any other Loan Party or any other Affiliate thereof which may come into possession of the Administrative Agent or any of its officers, directors, employees, agents, attorneys-in-fact or other Affiliates. Each of the Lenders and the Issuing Bank acknowledges that the Administrative Agent’s legal counsel in connection with the transactions contemplated by this Agreement is only acting as counsel to the Administrative Agent and is not acting as counsel to any Lender or the Issuing Bank.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11.8. Successor Administrative Agent.</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Administrative Agent may (i) be removed as administrative agent by all of the Lenders (other than the Lender then acting as Administrative Agent) and the Borrower upon 30 days’ prior written notice if the Administrative Agent (A) is found by a court of competent jurisdiction in a final, non-appealable judgment to have committed gross negligence or willful misconduct in the course of performing its duties hereunder or (B) has become or is insolvent or has become the subject of a bankruptcy or insolvency proceeding, or has had a receiver, conservator, trustee or custodian appointed for it, or has taken any action in furtherance of, or indicating its consent to, approval of or acquiescence in any such proceeding or appointment (ii) resign at any time as Administrative Agent under the Loan Documents by giving written notice thereof to the Lenders and the Borrower. Upon any such removal or resignation, the Requisite Lenders shall have the right to appoint a successor Administrative Agent which appointment shall, provided no Event of Default exists, be subject to the Borrower’s approval, which approval shall not be unreasonably withheld or delayed (except that the Borrower shall, in all events, be deemed to have approved each Lender and any of its Affiliates as a successor Administrative Agent). If no successor</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1360"/>
          </w:cols>
          <w:pgMar w:left="240" w:top="274" w:right="299" w:bottom="1440" w:gutter="0" w:footer="0" w:header="0"/>
        </w:sectPr>
      </w:pPr>
    </w:p>
    <w:bookmarkStart w:id="100" w:name="page101"/>
    <w:bookmarkEnd w:id="100"/>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 shall have been so appointed in accordance with the immediately preceding sentence, and shall have accepted such appointment, within 30 days after (i) the Lenders’ giving of notice of removal or (ii) the resigning Administrative Agent’s giving of notice of resignation, then the removed or resigning Administrative Agent shall be discharged from its duties and obligations under the Loan Documents and may, on behalf of the Lenders and the Issuing Bank, appoint a successor Administrative Agent, which shall be a Lender, if any Lender shall be willing to serve, and otherwise shall be an Eligible Assignee which, provided no Event of Default exists, shall be approved by the Borrower (such approval shall not be unreasonably withheld or delayed). If no such successor Administrative Agent has been appointed at the effective time of the resignation or removal of the prior Administrative Agent, the Requisite Lenders shall collectively act as Administrative Agent hereunder until such time as a successor Administrative Agent has been appointed. Upon the acceptance of any appointment as Administrative Agent hereunder by a successor Administrative Agent such successor Administrative Agent, or, if no such successor has been appointed, the Requisite Lenders, shall thereupon succeed to and become vested with all the rights, powers, privileges and duties of the removed or resigning Administrative Agent. Such successor Administrative Agent or the Requisite Lenders shall issue letters of credit in substitution for the Letters of Credit, if any, outstanding at the time of such succession or shall make other arrangements satisfactory to the current Administrative Agent, in either case, to assume effectively the obligations of the current Administrative Agent with respect to such Letters of Credit. After any Administrative Agent’s removal or resignation hereunder as Administrative Agent, the provisions of this Article XI. shall continue to inure to its benefit as to any actions taken or omitted to be taken by it while it was Administrative Agent under the Loan Documents. Notwithstanding anything contained herein to the contrary, subject to the Borrower’s approval, the Administrative Agent may assign its rights and duties under the Loan Documents to any of its Affiliates reasonably acceptable to the Borrower by giving the Borrower and each Lender prior written notice.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11.9. Titled Agents.</w:t>
      </w:r>
    </w:p>
    <w:p>
      <w:pPr>
        <w:spacing w:after="0" w:line="90"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color w:val="auto"/>
        </w:rPr>
        <w:t>The Arrangers, Book Managers and Syndication Agent (the “</w:t>
      </w:r>
      <w:r>
        <w:rPr>
          <w:rFonts w:ascii="Arial" w:cs="Arial" w:eastAsia="Arial" w:hAnsi="Arial"/>
          <w:sz w:val="16"/>
          <w:szCs w:val="16"/>
          <w:b w:val="1"/>
          <w:bCs w:val="1"/>
          <w:color w:val="auto"/>
        </w:rPr>
        <w:t>Titled Agents</w:t>
      </w:r>
      <w:r>
        <w:rPr>
          <w:rFonts w:ascii="Arial" w:cs="Arial" w:eastAsia="Arial" w:hAnsi="Arial"/>
          <w:sz w:val="16"/>
          <w:szCs w:val="16"/>
          <w:color w:val="auto"/>
        </w:rPr>
        <w:t>”) in such respective capacities, assume no responsibility or obligation hereunder, including, without limitation, for servicing, enforcement or collection of any of the Loans, nor any duties as an agent hereunder for the Lenders. The titles given to the Titled Agents are solely honorific and imply no fiduciary responsibility on the part of the Titled Agents to the Administrative Agent, any Lender, the Issuing Bank, the Borrower or any other Loan Party and the use of such titles does not impose on the Titled Agents any duties or obligations greater than those of any other Lender or entitle the Titled Agents to any rights other than those to which any other Lender is entitled.</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RTICLE</w:t>
      </w:r>
      <w:r>
        <w:rPr>
          <w:rFonts w:ascii="Arial" w:cs="Arial" w:eastAsia="Arial" w:hAnsi="Arial"/>
          <w:sz w:val="18"/>
          <w:szCs w:val="18"/>
          <w:b w:val="1"/>
          <w:bCs w:val="1"/>
          <w:color w:val="auto"/>
        </w:rPr>
        <w:t xml:space="preserve"> XII. M</w:t>
      </w:r>
      <w:r>
        <w:rPr>
          <w:rFonts w:ascii="Arial" w:cs="Arial" w:eastAsia="Arial" w:hAnsi="Arial"/>
          <w:sz w:val="14"/>
          <w:szCs w:val="14"/>
          <w:b w:val="1"/>
          <w:bCs w:val="1"/>
          <w:color w:val="auto"/>
        </w:rPr>
        <w:t>ISCELLANEOUS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 Notices.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otherwise provided herein (including without limitation as provided in Section 8.5.), communications provided for hereunder shall be in writing and shall be mailed, telecopied, or delivered as follows: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1400"/>
          </w:cols>
          <w:pgMar w:left="240" w:top="280" w:right="2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the Borrower: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Chief Accounting Officer</w:t>
      </w:r>
    </w:p>
    <w:p>
      <w:pPr>
        <w:spacing w:after="0" w:line="9"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Telephone:</w:t>
        <w:tab/>
        <w:t>(301) 998-8318</w:t>
      </w:r>
    </w:p>
    <w:p>
      <w:pPr>
        <w:spacing w:after="0" w:line="9"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Telecopy:</w:t>
        <w:tab/>
        <w:t>(301) 998-3701</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and for all notices (other than notices solely under Article II), with copies to:</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Telephone:</w:t>
        <w:tab/>
        <w:t>(301) 998-8100</w:t>
      </w:r>
    </w:p>
    <w:p>
      <w:pPr>
        <w:spacing w:after="0" w:line="9"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Telecopy:</w:t>
        <w:tab/>
        <w:t>(301) 998-3715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Pillsbury Winthrop Shaw Pittman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2300 N. Street, NW</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Washington, DC 20037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Wendelin A. White P.C.</w:t>
      </w:r>
    </w:p>
    <w:p>
      <w:pPr>
        <w:spacing w:after="0" w:line="9"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Telephone:</w:t>
        <w:tab/>
        <w:t>(202) 663-8360</w:t>
      </w:r>
    </w:p>
    <w:p>
      <w:pPr>
        <w:spacing w:after="0" w:line="9"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Telecopy:</w:t>
        <w:tab/>
        <w:t>(202) 663-8007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to the Administrative Agent: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1753 Pinnacle Drive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McLean, VA 22102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John M. Freeman</w:t>
      </w:r>
    </w:p>
    <w:p>
      <w:pPr>
        <w:spacing w:after="0" w:line="9"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6"/>
          <w:szCs w:val="16"/>
          <w:color w:val="auto"/>
        </w:rPr>
        <w:t>(703) 760-5554</w:t>
      </w:r>
    </w:p>
    <w:p>
      <w:pPr>
        <w:spacing w:after="0" w:line="9"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Telephone:</w:t>
        <w:tab/>
        <w:t>(703) 760-6211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to the Administrative Agent under Article II.: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Loan Center-Agency Services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608 Second Avenue South, 11</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Jennifer Noonan</w:t>
      </w:r>
    </w:p>
    <w:p>
      <w:pPr>
        <w:spacing w:after="0" w:line="9"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6"/>
          <w:szCs w:val="16"/>
          <w:color w:val="auto"/>
        </w:rPr>
        <w:t>(866) 972-1050</w:t>
      </w:r>
    </w:p>
    <w:p>
      <w:pPr>
        <w:spacing w:after="0" w:line="9"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Telephone:</w:t>
        <w:tab/>
        <w:t>(612) 316-0104</w:t>
      </w:r>
    </w:p>
    <w:p>
      <w:pPr>
        <w:spacing w:after="0" w:line="151"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- 93 -</w:t>
      </w:r>
    </w:p>
    <w:p>
      <w:pPr>
        <w:sectPr>
          <w:pgSz w:w="11900" w:h="16838" w:orient="portrait"/>
          <w:cols w:equalWidth="0" w:num="1">
            <w:col w:w="9759"/>
          </w:cols>
          <w:pgMar w:left="700" w:top="280" w:right="1440" w:bottom="1440" w:gutter="0" w:footer="0" w:header="0"/>
        </w:sectPr>
      </w:pPr>
    </w:p>
    <w:bookmarkStart w:id="102" w:name="page103"/>
    <w:bookmarkEnd w:id="10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the Issuing Bank:</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1753 Pinnacle Drive, 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McLean, VA 22102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John M. Freeman, Jr.</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6"/>
          <w:szCs w:val="16"/>
          <w:color w:val="auto"/>
        </w:rPr>
        <w:t>(703) 760-5554</w:t>
      </w:r>
    </w:p>
    <w:p>
      <w:pPr>
        <w:spacing w:after="0" w:line="9"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8"/>
          <w:szCs w:val="18"/>
          <w:color w:val="auto"/>
        </w:rPr>
        <w:t>Telephone:</w:t>
        <w:tab/>
        <w:t>(703) 760-6211</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any other Lender: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such Lender’s address or telecopy number as set forth in the applicable Administrative Questionnaire</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or, as to each party at such other address as shall be designated by such party in a written notice to the other parties delivered in compliance with this Section; provided, a Lender or the Issuing Bank shall only be required to give notice of any such other address to the Administrative Agent and the Borrower. All such notices and other communications shall be effective (i) if mailed, upon receipt; (ii) if telecopied, when transmitted if on a Business Day, and if not on a Business Day, on the following Business Day after the date transmitted; (iii) if hand delivered or sent by overnight courier, when delivered; or (iv) if delivered in accordance with Section 8.5. to the extent applicable; provided, however, that, in the case of the immediately preceding clauses (i), (ii) and (iii), non-receipt of any communication as of the result of any change of address of which the sending party was not notified or as the result of a refusal to accept delivery shall be deemed receipt of such communication. Notwithstanding the immediately preceding sentence, all notices or communications to the Administrative Agent, the Issuing Bank or any Lender under Article II. shall be effective only when actually received. None of the Administrative Agent, the Issuing Bank or any Lender shall incur any liability to any Loan Party (nor shall the Administrative Agent incur any liability to the Issuing Bank or the Lenders) for acting upon any telephonic notice referred to in this Agreement which the Administrative Agent, the Issuing Bank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another Person.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 Expenses.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Borrower agrees (a) to pay or reimburse each of the Arrangers and the Administrative Agent for all of its respective reasonable out-of-pocket costs and expenses incurred in connection with the preparation, syndication, negotiation and execution of, and any amendment, supplement or modification to, any of the Loan Documents (including due diligence expenses and reasonable travel expenses related to closing), and the consummation of the transactions contemplated hereby and thereby, including the reasonable fees and disbursements of counsel to the Administrative Agent and all costs and expenses of the Administrative Agent in connection with the use of IntraLinks, SyndTrak or other similar information transmission systems in connection with the Loan Documents, (b) to pay or reimburse the Administrative Agent, the Issuing Bank and the Lenders for all their reasonable costs and expenses incurred in connection with the “workout” or enforcement or preservation of any rights under the Loan Documents and the Fee Letter, including the reasonable fees and disbursements of their respective counsel (including the allocated fees and expenses of in-house counsel to the extent in substitution for, and not in duplication of, outside counsel) and any payments in indemnification or otherwise payable by the Lenders to the Administrative Agent pursuant to the Loan Documents; provided, however, that the Borrower shall not be required to pay the expenses of more than one counsel to the Administrative Agent and one separate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- 94 -</w:t>
      </w:r>
    </w:p>
    <w:p>
      <w:pPr>
        <w:sectPr>
          <w:pgSz w:w="11900" w:h="16838" w:orient="portrait"/>
          <w:cols w:equalWidth="0" w:num="1">
            <w:col w:w="11420"/>
          </w:cols>
          <w:pgMar w:left="240" w:top="280" w:right="239" w:bottom="1440" w:gutter="0" w:footer="0" w:header="0"/>
        </w:sectPr>
      </w:pPr>
    </w:p>
    <w:bookmarkStart w:id="103" w:name="page104"/>
    <w:bookmarkEnd w:id="103"/>
    <w:p>
      <w:pPr>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counsel for the Lenders (in addition to expenses for any appropriate local or special counsel) in connection with such workout or enforcement or preservation unless the Lenders reasonably determine that joint representation is not appropriate under the circumstances, (c) to pay, and indemnify and hold harmless the Administrative Agent, the Issuing Bank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fees and disbursements of counsel to the Administrative Agent, the Issuing Bank and any Lender incurred in connection with the representation of the Administrative Agent, the Issuing Bank or such Lender in any matter relating to or arising out of any bankruptcy or other proceeding of the type described in Sections 10.1.(e) or 10.1.(f), including, without limitation (i) any motion for relief from any stay or similar order, (ii) the negotiation, preparation, execution and delivery of any document relating to the Obligations and (iii) the negotiation and preparation of any debtor-in-possession financing or any plan of reorganization of the Borrower or any other Loan Party, whether proposed by the Borrower, such Loan Party, the Lenders or any other Person, and whether such fees and expenses are incurred prior to, during or after the commencement of such proceeding or the confirmation or conclusion of any such proceeding; provided, however, that the Borrower shall not be required to pay the expenses of more than one counsel to the Administrative Agent and one separate counsel for the Lenders (in addition to expenses for any appropriate local or special counsel) in connection with such bankruptcy or proceeding unless the Lenders reasonably determine that joint representation is not appropriate under the circumstances. If the Borrower shall fail to pay any amounts required to be paid by it pursuant to this Section, the Administrative Agent and/or the Lenders may pay such amounts on behalf of the Borrower and such amounts shall be deemed to be Obligations owing hereunder.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12.3. Stamp, Intangible and Recording Taxes.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Borrower will pay any and all stamp, excise, intangible, registration, recordation and similar taxes, fees or charges and shall indemnify the Administrative Agent and each Lender against any and all liabilities with respect to or resulting from any delay in the payment or omission to pay any such taxes, fees or charges, which may be payable or determined to be payable in connection with the execution, delivery, recording, performance or enforcement of this Agreement, the Notes and any of the other Loan Documents, the amendment, supplement, modification or waiver of or consent under this Agreement, the Notes or any of the other Loan Documents or the perfection of any rights or Liens under this Agreement, the Notes or any of the other Loan Documents.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12.4. Setoff.</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Subject to Section 3.3. and in addition to any rights now or hereafter granted under Applicable Law and not by way of limitation of any such rights, the Borrower hereby authorizes the Administrative Agent, the Issuing Bank, each Lender and each Affiliate of the Administrative Agent, the Issuing Bank or any Lender, at any time or from time to time during the continuance of an Event of Default, without prior notice to the Borrower or to any other Person, any such notice being hereby expressly waived, but in the case of the Issuing Bank, a Lender or an Affiliate of the Issuing Bank or a Lender, subject to receipt of the prior written consent of the Requisite Lenders exercised in their sole discretion, to set off and to appropriate and to apply any and all deposits (general or special, including, but not limited to, indebtedness evidenced by certificates of deposit, whether matured or unmatured) and any other indebtedness at any time held or owing by the Administrative Agent, the Issuing Bank, such Lender or any Affiliate of the Administrative Agent, the Issuing Bank or such Lender, to or for the credit or the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- 95 -</w:t>
      </w:r>
    </w:p>
    <w:p>
      <w:pPr>
        <w:sectPr>
          <w:pgSz w:w="11900" w:h="16838" w:orient="portrait"/>
          <w:cols w:equalWidth="0" w:num="1">
            <w:col w:w="11360"/>
          </w:cols>
          <w:pgMar w:left="240" w:top="280" w:right="299" w:bottom="1440" w:gutter="0" w:footer="0" w:header="0"/>
        </w:sectPr>
      </w:pPr>
    </w:p>
    <w:bookmarkStart w:id="104" w:name="page105"/>
    <w:bookmarkEnd w:id="10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 of the Borrower against and on account of any of the Obligations then due and payable, irrespective of whether or not any or all of the Loans and all other Obligations have been declared to be, or have otherwise become, due and payable as permitted by Section 10.2.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12.5. Litigation; Jurisdiction; Other Matters; Waivers.</w:t>
      </w:r>
    </w:p>
    <w:p>
      <w:pPr>
        <w:spacing w:after="0" w:line="96" w:lineRule="exact"/>
        <w:rPr>
          <w:sz w:val="20"/>
          <w:szCs w:val="20"/>
          <w:color w:val="auto"/>
        </w:rPr>
      </w:pPr>
    </w:p>
    <w:p>
      <w:pPr>
        <w:ind w:right="80" w:firstLine="464"/>
        <w:spacing w:after="0" w:line="252" w:lineRule="auto"/>
        <w:tabs>
          <w:tab w:leader="none" w:pos="69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PARTY HERETO ACKNOWLEDGES THAT ANY DISPUTE OR CONTROVERSY BETWEEN OR AMONG THE BORROWER, THE ADMINISTRATIVE AGENT, THE ISSUING BANK OR ANY OF THE LENDERS WOULD BE BASED ON DIFFICULT AND COMPLEX ISSUES OF LAW AND FACT AND WOULD RESULT IN DELAY AND EXPENSE TO THE PARTIES. ACCORDINGLY, TO THE EXTENT PERMITTED BY APPLICABLE LAW, EACH OF THE LENDERS, THE ADMINISTRATIVE AGENT, THE ISSUING BANK AND THE BORROWER HEREBY WAIVES ITS RIGHT TO A TRIAL BY JURY IN ANY ACTION OR PROCEEDING OF ANY KIND OR NATURE IN ANY COURT OR TRIBUNAL IN WHICH AN ACTION MAY BE COMMENCED BY OR AGAINST ANY PARTY HERETO ARISING OUT OF THIS AGREEMENT, ANY OTHER LOAN DOCUMENT OR THE FEE LETTER OR BY REASON OF ANY OTHER SUIT, CAUSE OF ACTION OR DISPUTE WHATSOEVER BETWEEN OR AMONG THE BORROWER, THE ADMINISTRATIVE AGENT, THE ISSUING BANK OR ANY OF THE LENDERS OF ANY KIND OR NATURE RELATING TO ANY OF THE LOAN DOCUMENTS.</w:t>
      </w:r>
    </w:p>
    <w:p>
      <w:pPr>
        <w:spacing w:after="0" w:line="150" w:lineRule="exact"/>
        <w:rPr>
          <w:rFonts w:ascii="Arial" w:cs="Arial" w:eastAsia="Arial" w:hAnsi="Arial"/>
          <w:sz w:val="18"/>
          <w:szCs w:val="18"/>
          <w:color w:val="auto"/>
        </w:rPr>
      </w:pPr>
    </w:p>
    <w:p>
      <w:pPr>
        <w:ind w:right="120" w:firstLine="464"/>
        <w:spacing w:after="0" w:line="286" w:lineRule="auto"/>
        <w:tabs>
          <w:tab w:leader="none" w:pos="70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EACH OF THE BORROWER, THE ADMINISTRATIVE AGENT, THE ISSUING BANK AND EACH LENDER HEREBY AGREES THAT THE FEDERAL DISTRICT COURT FOR THE SOUTHERN DISTRICT OF NEW YORK AND ANY STATE COURT LOCATED IN THE BOROUGH OF MANHATTAN OF NEW YORK, NEW YORK SHALL HAVE JURISDICTION TO HEAR AND DETERMINE ANY CLAIMS OR DISPUTES BETWEEN OR AMONG THE BORROWER, THE ADMINISTRATIVE AGENT, THE ISSUING BANK OR ANY OF THE LENDERS, ARISING OUT OF THIS AGREEMENT, ANY OTHER LOAN DOCUMENT OR THE FEE LETTER OR BY REASON OF ANY OTHER SUIT, CAUSE OF ACTION OR DISPUTE WHATSOEVER BETWEEN OR AMONG THE BORROWER, THE ADMINISTRATIVE AGENT, THE ISSUING BANK OR ANY OF THE LENDERS OF ANY KIND OR NATURE RELATING TO ANY OF THE LOAN DOCUMENTS. THE BORROWER, THE ISSUING BANK AND EACH OF THE LENDERS EXPRESSLY SUBMIT AND CONSENT IN ADVANCE TO SUCH JURISDICTION IN ANY ACTION OR PROCEEDING COMMENCED IN SUCH COURTS.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SECTION SHALL NOT BE DEEMED TO PRECLUDE THE BRINGING OF ANY ACTION BY THE ADMINISTRATIVE AGENT, THE ISSUING BANK OR ANY LENDER OR THE ENFORCEMENT BY THE ADMINISTRATIVE AGENT, THE ISSUING BANK OR ANY LENDER OF ANY JUDGMENT OBTAINED IN SUCH FORUM IN ANY OTHER APPROPRIATE JURISDICTION.</w:t>
      </w:r>
    </w:p>
    <w:p>
      <w:pPr>
        <w:spacing w:after="0" w:line="336" w:lineRule="exact"/>
        <w:rPr>
          <w:rFonts w:ascii="Arial" w:cs="Arial" w:eastAsia="Arial" w:hAnsi="Arial"/>
          <w:sz w:val="16"/>
          <w:szCs w:val="16"/>
          <w:color w:val="auto"/>
        </w:rPr>
      </w:pPr>
    </w:p>
    <w:p>
      <w:pPr>
        <w:ind w:right="100" w:firstLine="464"/>
        <w:spacing w:after="0" w:line="256" w:lineRule="auto"/>
        <w:tabs>
          <w:tab w:leader="none" w:pos="69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THE TERMINATION OR EXPIRATION OF ALL LETTERS OF CREDIT AND THE TERMINATION OF THIS AGREEMENT.</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96 -</w:t>
      </w:r>
    </w:p>
    <w:p>
      <w:pPr>
        <w:sectPr>
          <w:pgSz w:w="11900" w:h="16838" w:orient="portrait"/>
          <w:cols w:equalWidth="0" w:num="1">
            <w:col w:w="11420"/>
          </w:cols>
          <w:pgMar w:left="240" w:top="280"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12.6. Successors and Assigns.</w:t>
      </w:r>
    </w:p>
    <w:p>
      <w:pPr>
        <w:spacing w:after="0" w:line="96" w:lineRule="exact"/>
        <w:rPr>
          <w:sz w:val="20"/>
          <w:szCs w:val="20"/>
          <w:color w:val="auto"/>
        </w:rPr>
      </w:pPr>
    </w:p>
    <w:p>
      <w:pPr>
        <w:ind w:firstLine="464"/>
        <w:spacing w:after="0" w:line="287" w:lineRule="auto"/>
        <w:tabs>
          <w:tab w:leader="none" w:pos="695"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the immediately following subsection (b), (ii) by way of participation in accordance with the provisions of the immediately following subsection (d) or (iii) by way of pledge or assignment of a security interest subject to the restrictions of the immediately following subsection (f) (and, subject to the last sentence of the immediately following subsection (b),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the immediately following subsection (d) and, to the extent expressly set forth herein, the Related Parties of the Administrative Agent and the Lenders) any legal or equitable right, remedy or claim under or by reason of this Agreement.</w:t>
      </w:r>
    </w:p>
    <w:p>
      <w:pPr>
        <w:spacing w:after="0" w:line="122" w:lineRule="exact"/>
        <w:rPr>
          <w:rFonts w:ascii="Arial" w:cs="Arial" w:eastAsia="Arial" w:hAnsi="Arial"/>
          <w:sz w:val="16"/>
          <w:szCs w:val="16"/>
          <w:color w:val="auto"/>
        </w:rPr>
      </w:pPr>
    </w:p>
    <w:p>
      <w:pPr>
        <w:ind w:right="160" w:firstLine="464"/>
        <w:spacing w:after="0" w:line="259" w:lineRule="auto"/>
        <w:tabs>
          <w:tab w:leader="none" w:pos="70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Eligible Assignees all or a portion of its rights and obligations under this Agreement (including all or a portion of its Commitment and the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920" w:right="200" w:firstLine="421"/>
        <w:spacing w:after="0" w:line="357" w:lineRule="auto"/>
        <w:tabs>
          <w:tab w:leader="none" w:pos="1627" w:val="left"/>
        </w:tabs>
        <w:numPr>
          <w:ilvl w:val="2"/>
          <w:numId w:val="107"/>
        </w:numPr>
        <w:rPr>
          <w:rFonts w:ascii="Arial" w:cs="Arial" w:eastAsia="Arial" w:hAnsi="Arial"/>
          <w:sz w:val="15"/>
          <w:szCs w:val="15"/>
          <w:color w:val="auto"/>
        </w:rPr>
      </w:pPr>
      <w:r>
        <w:rPr>
          <w:rFonts w:ascii="Arial" w:cs="Arial" w:eastAsia="Arial" w:hAnsi="Arial"/>
          <w:sz w:val="15"/>
          <w:szCs w:val="15"/>
          <w:color w:val="auto"/>
        </w:rPr>
        <w:t>in the case of an assignment of the entire remaining amount of an assigning Lender’s Revolving Commitment and the Loans at the time owing to it or, in the case of an assignment to a Lender, an Affiliate of a Lender or an Approved Fund, no minimum amount need be assigned; and</w:t>
      </w:r>
    </w:p>
    <w:p>
      <w:pPr>
        <w:ind w:left="920" w:firstLine="421"/>
        <w:spacing w:after="0" w:line="286" w:lineRule="auto"/>
        <w:tabs>
          <w:tab w:leader="none" w:pos="1618" w:val="left"/>
        </w:tabs>
        <w:numPr>
          <w:ilvl w:val="2"/>
          <w:numId w:val="107"/>
        </w:numPr>
        <w:rPr>
          <w:rFonts w:ascii="Arial" w:cs="Arial" w:eastAsia="Arial" w:hAnsi="Arial"/>
          <w:sz w:val="16"/>
          <w:szCs w:val="16"/>
          <w:color w:val="auto"/>
        </w:rPr>
      </w:pPr>
      <w:r>
        <w:rPr>
          <w:rFonts w:ascii="Arial" w:cs="Arial" w:eastAsia="Arial" w:hAnsi="Arial"/>
          <w:sz w:val="16"/>
          <w:szCs w:val="16"/>
          <w:color w:val="auto"/>
        </w:rPr>
        <w:t>in any case not described in the immediately preceding subsection (A), the aggregate amount of the Revolving Commitment (which for this purpose includes Loans outstanding thereunder) or, if the applicable Revolving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shall exist, the Borrower otherwise consents (each such consent not to be unreasonably withheld or delayed with it being agreed that the Borrower’s withholding of consent to an assignment which would result in the Borrower having to pay amounts under Section 3.10. in an amount that the Borrower reasonably deems to be a significant amount shall be deemed reasonable); provided, however, that if, after giving effect to such assignment, the amount of the Commitment held by such assigning Lender or the outstanding principal balance of the Loans of such assigning Lender, as applicable, would be less than $5,000,000 in the case of a Commitment or Revolving Loans, then such assigning Lender shall assign the entire amount of its Commitment and the Loans at the time owing to it unless the Administrative Agent and Borrower agree otherwise.</w:t>
      </w:r>
    </w:p>
    <w:p>
      <w:pPr>
        <w:spacing w:after="0" w:line="46" w:lineRule="exact"/>
        <w:rPr>
          <w:rFonts w:ascii="Arial" w:cs="Arial" w:eastAsia="Arial" w:hAnsi="Arial"/>
          <w:sz w:val="16"/>
          <w:szCs w:val="16"/>
          <w:color w:val="auto"/>
        </w:rPr>
      </w:pPr>
    </w:p>
    <w:p>
      <w:pPr>
        <w:ind w:left="460" w:right="200" w:firstLine="443"/>
        <w:spacing w:after="0" w:line="268" w:lineRule="auto"/>
        <w:tabs>
          <w:tab w:leader="none" w:pos="1156"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3"/>
          <w:numId w:val="107"/>
        </w:numPr>
        <w:rPr>
          <w:rFonts w:ascii="Arial" w:cs="Arial" w:eastAsia="Arial" w:hAnsi="Arial"/>
          <w:sz w:val="18"/>
          <w:szCs w:val="18"/>
          <w:color w:val="auto"/>
        </w:rPr>
      </w:pPr>
      <w:r>
        <w:rPr>
          <w:rFonts w:ascii="Arial" w:cs="Arial" w:eastAsia="Arial" w:hAnsi="Arial"/>
          <w:sz w:val="18"/>
          <w:szCs w:val="18"/>
          <w:color w:val="auto"/>
        </w:rPr>
        <w:t>97 -</w:t>
      </w:r>
    </w:p>
    <w:p>
      <w:pPr>
        <w:sectPr>
          <w:pgSz w:w="11900" w:h="16838" w:orient="portrait"/>
          <w:cols w:equalWidth="0" w:num="1">
            <w:col w:w="11400"/>
          </w:cols>
          <w:pgMar w:left="240" w:top="274" w:right="259" w:bottom="1440" w:gutter="0" w:footer="0" w:header="0"/>
        </w:sectPr>
      </w:pPr>
    </w:p>
    <w:bookmarkStart w:id="106" w:name="page107"/>
    <w:bookmarkEnd w:id="10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the Loan or the Revolving Commitment assigned, except that this clause (ii) shall not apply to rights in respect of a Bid Rate Loan.</w:t>
      </w:r>
    </w:p>
    <w:p>
      <w:pPr>
        <w:spacing w:after="0" w:line="113" w:lineRule="exact"/>
        <w:rPr>
          <w:sz w:val="20"/>
          <w:szCs w:val="20"/>
          <w:color w:val="auto"/>
        </w:rPr>
      </w:pPr>
    </w:p>
    <w:p>
      <w:pPr>
        <w:ind w:left="1200" w:hanging="297"/>
        <w:spacing w:after="0"/>
        <w:tabs>
          <w:tab w:leader="none" w:pos="1200"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No consent shall be required for any assignment except to the extent required by clause (i)(B) of this subsection (b) and, in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addition:</w:t>
      </w:r>
    </w:p>
    <w:p>
      <w:pPr>
        <w:spacing w:after="0" w:line="83" w:lineRule="exact"/>
        <w:rPr>
          <w:rFonts w:ascii="Arial" w:cs="Arial" w:eastAsia="Arial" w:hAnsi="Arial"/>
          <w:sz w:val="16"/>
          <w:szCs w:val="16"/>
          <w:color w:val="auto"/>
        </w:rPr>
      </w:pPr>
    </w:p>
    <w:p>
      <w:pPr>
        <w:ind w:left="920" w:firstLine="421"/>
        <w:spacing w:after="0" w:line="254" w:lineRule="auto"/>
        <w:tabs>
          <w:tab w:leader="none" w:pos="162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consent of the Borrower (such consent not to be unreasonably withheld or delayed with it being agreed that the Borrower’s withholding of consent to an assignment which would result in the Borrower having to pay amounts under Section 3.10. in an amount that the Borrower reasonably deems to be a significant amount shall be deemed reasonable) shall be required unless (x) an Event of Default shall exist at the time of such assignment or (y) such assignment is to a Lender, an Affiliate of a Lender or an Approved Fund; provided that the Borrower shall be deemed to have consented to any such assignment unless it shall object thereto by written notice to the Administrative Agent within 5 Business Days after having received notice thereof;</w:t>
      </w:r>
    </w:p>
    <w:p>
      <w:pPr>
        <w:spacing w:after="0" w:line="63" w:lineRule="exact"/>
        <w:rPr>
          <w:rFonts w:ascii="Arial" w:cs="Arial" w:eastAsia="Arial" w:hAnsi="Arial"/>
          <w:sz w:val="18"/>
          <w:szCs w:val="18"/>
          <w:color w:val="auto"/>
        </w:rPr>
      </w:pPr>
    </w:p>
    <w:p>
      <w:pPr>
        <w:ind w:left="920" w:right="220" w:firstLine="421"/>
        <w:spacing w:after="0" w:line="259" w:lineRule="auto"/>
        <w:tabs>
          <w:tab w:leader="none" w:pos="161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if such assignment is to a Person that is not already a Lender with a Commitment, an Affiliate of such a Lender or an Approved Fund with respect to such a Lender; and</w:t>
      </w:r>
    </w:p>
    <w:p>
      <w:pPr>
        <w:spacing w:after="0" w:line="59" w:lineRule="exact"/>
        <w:rPr>
          <w:rFonts w:ascii="Arial" w:cs="Arial" w:eastAsia="Arial" w:hAnsi="Arial"/>
          <w:sz w:val="18"/>
          <w:szCs w:val="18"/>
          <w:color w:val="auto"/>
        </w:rPr>
      </w:pPr>
    </w:p>
    <w:p>
      <w:pPr>
        <w:ind w:left="920" w:right="140" w:firstLine="421"/>
        <w:spacing w:after="0" w:line="268" w:lineRule="auto"/>
        <w:tabs>
          <w:tab w:leader="none" w:pos="1618"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consent of the Swingline Lender and the Issuing Bank (such consent not to be unreasonably withheld or delayed) shall be required for any assignment in respect of a Revolving Commitment.</w:t>
      </w:r>
    </w:p>
    <w:p>
      <w:pPr>
        <w:spacing w:after="0" w:line="50" w:lineRule="exact"/>
        <w:rPr>
          <w:rFonts w:ascii="Arial" w:cs="Arial" w:eastAsia="Arial" w:hAnsi="Arial"/>
          <w:sz w:val="18"/>
          <w:szCs w:val="18"/>
          <w:color w:val="auto"/>
        </w:rPr>
      </w:pPr>
    </w:p>
    <w:p>
      <w:pPr>
        <w:ind w:left="460" w:right="40" w:firstLine="443"/>
        <w:spacing w:after="0" w:line="291" w:lineRule="auto"/>
        <w:tabs>
          <w:tab w:leader="none" w:pos="1195"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Assignment and Assumption; Notes</w:t>
      </w:r>
      <w:r>
        <w:rPr>
          <w:rFonts w:ascii="Arial" w:cs="Arial" w:eastAsia="Arial" w:hAnsi="Arial"/>
          <w:sz w:val="16"/>
          <w:szCs w:val="16"/>
          <w:color w:val="auto"/>
        </w:rPr>
        <w:t>. The parties to each assignment (including an assigning Defaulting Lender) shall execute and deliver to the Administrative Agent an Assignment and Assumption, together with a processing and recordation fee of $4,500 (or $7,500 with respect to an assignment by a Defaulting Lender payable by the assigning Lender (unless otherwise agreed between the assigning Lender and the assignee) for each assignment, and the assignee, if it is not a Lender, shall deliver to the Administrative Agent an Administrative Questionnaire. If requested by the assigning Lender or the Assignee, upon the consummation of any assignment, the assigning Lender, the Administrative Agent and the Borrower shall make appropriate arrangements so that new Notes are issued to the Assignee and such assigning Lender, as appropriate.</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No Assignment to Borrower</w:t>
      </w:r>
      <w:r>
        <w:rPr>
          <w:rFonts w:ascii="Arial" w:cs="Arial" w:eastAsia="Arial" w:hAnsi="Arial"/>
          <w:sz w:val="16"/>
          <w:szCs w:val="16"/>
          <w:color w:val="auto"/>
        </w:rPr>
        <w:t>. No such assignment shall be made to the Borrower or any of the Borrower’s Affiliates or Subsidiaries.</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90" w:lineRule="exact"/>
        <w:rPr>
          <w:rFonts w:ascii="Arial" w:cs="Arial" w:eastAsia="Arial" w:hAnsi="Arial"/>
          <w:sz w:val="18"/>
          <w:szCs w:val="18"/>
          <w:color w:val="auto"/>
        </w:rPr>
      </w:pPr>
    </w:p>
    <w:p>
      <w:pPr>
        <w:ind w:left="460" w:right="60" w:firstLine="443"/>
        <w:spacing w:after="0" w:line="256" w:lineRule="auto"/>
        <w:tabs>
          <w:tab w:leader="none" w:pos="124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Assignments by Specified Derivatives Provider</w:t>
      </w:r>
      <w:r>
        <w:rPr>
          <w:rFonts w:ascii="Arial" w:cs="Arial" w:eastAsia="Arial" w:hAnsi="Arial"/>
          <w:sz w:val="18"/>
          <w:szCs w:val="18"/>
          <w:color w:val="auto"/>
        </w:rPr>
        <w:t>. If the assigning Lender (or its Affiliate) is a Specified Derivatives Provider and if after giving effect to such assignment such Lender will hold no further Loans or Revolving Commitments under this Agreement, such Lender shall undertake such assignment only contemporaneously with an assignment by such Lender (or its Affiliate, as the case may be) of all of its Specified Derivatives Contracts to the Assignee or another Lender (or Affiliate thereof).</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Subject to acceptance and recording thereof by the Administrative Agent pursuant to the immediately following subsection (c), from and after the effective date specified in each Assignment and Assumption,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- 98 -</w:t>
      </w:r>
    </w:p>
    <w:p>
      <w:pPr>
        <w:sectPr>
          <w:pgSz w:w="11900" w:h="16838" w:orient="portrait"/>
          <w:cols w:equalWidth="0" w:num="1">
            <w:col w:w="11420"/>
          </w:cols>
          <w:pgMar w:left="240" w:top="280" w:right="239" w:bottom="1440" w:gutter="0" w:footer="0" w:header="0"/>
        </w:sectPr>
      </w:pPr>
    </w:p>
    <w:bookmarkStart w:id="107" w:name="page108"/>
    <w:bookmarkEnd w:id="10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4.4., 12.2. and 12.10. and the other provisions of this Agreement and the other Loan Documents as provided in Section 12.11. with respect to facts and circumstances having occurred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the immediately following subsection (d).</w:t>
      </w:r>
    </w:p>
    <w:p>
      <w:pPr>
        <w:spacing w:after="0" w:line="118" w:lineRule="exact"/>
        <w:rPr>
          <w:sz w:val="20"/>
          <w:szCs w:val="20"/>
          <w:color w:val="auto"/>
        </w:rPr>
      </w:pPr>
    </w:p>
    <w:p>
      <w:pPr>
        <w:ind w:right="20" w:firstLine="464"/>
        <w:spacing w:after="0" w:line="286" w:lineRule="auto"/>
        <w:tabs>
          <w:tab w:leader="none" w:pos="695"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an agent of the Borrower, shall maintain at the Principal Office a copy of each Assignment and Assumption delivered to it and a register for the recordation of the names and addresses of the Lenders, and the Commitments of, and principal amounts of the Loans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In the absence of manifest error,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that sells a participation as described in Section 12.6(d) shall, acting solely for this purpose as an agent of the Borrower,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6"/>
          <w:szCs w:val="16"/>
          <w:b w:val="1"/>
          <w:bCs w:val="1"/>
          <w:color w:val="auto"/>
        </w:rPr>
        <w:t>Participant Register</w:t>
      </w:r>
      <w:r>
        <w:rPr>
          <w:rFonts w:ascii="Arial" w:cs="Arial" w:eastAsia="Arial" w:hAnsi="Arial"/>
          <w:sz w:val="16"/>
          <w:szCs w:val="16"/>
          <w:color w:val="auto"/>
        </w:rPr>
        <w:t>”); provided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5f.103-1(c) of the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20" w:lineRule="exact"/>
        <w:rPr>
          <w:rFonts w:ascii="Arial" w:cs="Arial" w:eastAsia="Arial" w:hAnsi="Arial"/>
          <w:sz w:val="16"/>
          <w:szCs w:val="16"/>
          <w:color w:val="auto"/>
        </w:rPr>
      </w:pPr>
    </w:p>
    <w:p>
      <w:pPr>
        <w:ind w:right="100" w:firstLine="464"/>
        <w:spacing w:after="0" w:line="282" w:lineRule="auto"/>
        <w:tabs>
          <w:tab w:leader="none" w:pos="705"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the Borrower or the Administrative Agent, sell participations to any Person (other than a natural person or the Borrower or any of the Borrower’s Affiliates or Subsidiaries) (each, a “</w:t>
      </w:r>
      <w:r>
        <w:rPr>
          <w:rFonts w:ascii="Arial" w:cs="Arial" w:eastAsia="Arial" w:hAnsi="Arial"/>
          <w:sz w:val="16"/>
          <w:szCs w:val="16"/>
          <w:b w:val="1"/>
          <w:bCs w:val="1"/>
          <w:color w:val="auto"/>
        </w:rPr>
        <w:t>Participant</w:t>
      </w:r>
      <w:r>
        <w:rPr>
          <w:rFonts w:ascii="Arial" w:cs="Arial" w:eastAsia="Arial" w:hAnsi="Arial"/>
          <w:sz w:val="16"/>
          <w:szCs w:val="16"/>
          <w:color w:val="auto"/>
        </w:rPr>
        <w:t>”)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and responsibility to enforce this Agreement, including, without limitation, the right to approve any amendment, modification or waiver of any provision of this Agreement; provided that such agreement or instrument may provide that such Lender will not, without the consent of the Participant, agree to (w) increase such Lender’s Commitment to the extent subject to the participation, (x) extend the date fixed for the payment of principal on the Loans or portions thereof owing to such Lender to the extent subject to such participation except as set forth in Section 2.13.,</w:t>
      </w:r>
    </w:p>
    <w:p>
      <w:pPr>
        <w:spacing w:after="0" w:line="5" w:lineRule="exact"/>
        <w:rPr>
          <w:rFonts w:ascii="Arial" w:cs="Arial" w:eastAsia="Arial" w:hAnsi="Arial"/>
          <w:sz w:val="16"/>
          <w:szCs w:val="16"/>
          <w:color w:val="auto"/>
        </w:rPr>
      </w:pPr>
    </w:p>
    <w:p>
      <w:pPr>
        <w:ind w:right="100" w:firstLine="8"/>
        <w:spacing w:after="0" w:line="261" w:lineRule="auto"/>
        <w:tabs>
          <w:tab w:leader="none" w:pos="24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reduce the rate at which interest is payable thereon or (z) release any Guarantor from its Obligations under the Guaranty (except as otherwise permitted under Section</w:t>
      </w:r>
    </w:p>
    <w:p>
      <w:pPr>
        <w:spacing w:after="0" w:line="124" w:lineRule="exact"/>
        <w:rPr>
          <w:rFonts w:ascii="Arial" w:cs="Arial" w:eastAsia="Arial" w:hAnsi="Arial"/>
          <w:sz w:val="18"/>
          <w:szCs w:val="18"/>
          <w:color w:val="auto"/>
        </w:rPr>
      </w:pPr>
    </w:p>
    <w:p>
      <w:pPr>
        <w:ind w:left="5620" w:hanging="96"/>
        <w:spacing w:after="0"/>
        <w:tabs>
          <w:tab w:leader="none" w:pos="562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99 -</w:t>
      </w:r>
    </w:p>
    <w:p>
      <w:pPr>
        <w:sectPr>
          <w:pgSz w:w="11900" w:h="16838" w:orient="portrait"/>
          <w:cols w:equalWidth="0" w:num="1">
            <w:col w:w="11420"/>
          </w:cols>
          <w:pgMar w:left="240" w:top="280" w:right="2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7.14.(c). Subject to the immediately following subsection (e), the Borrower agrees that each Participant shall be entitled to the benefits of Sections 3.10., 4.1.,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4.4., to the same extent as if it were a Lender and had acquired its interest by assignment pursuant to paragraph (b) of this Section.</w:t>
      </w:r>
    </w:p>
    <w:p>
      <w:pPr>
        <w:spacing w:after="0" w:line="165" w:lineRule="exact"/>
        <w:rPr>
          <w:sz w:val="20"/>
          <w:szCs w:val="20"/>
          <w:color w:val="auto"/>
        </w:rPr>
      </w:pPr>
    </w:p>
    <w:p>
      <w:pPr>
        <w:ind w:firstLine="464"/>
        <w:spacing w:after="0" w:line="255"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A Participant shall not be entitled to receive any greater payment under Sections 3.10. and 4.1. 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Section 3.10. unless the Borrower is notified of the participation sold to such Participant and such Participant agrees, for the benefit of the Borrower and the Administrative Agent, to comply with Section 3.10.(c) as though it were a Lender.</w:t>
      </w:r>
    </w:p>
    <w:p>
      <w:pPr>
        <w:spacing w:after="0" w:line="142" w:lineRule="exact"/>
        <w:rPr>
          <w:rFonts w:ascii="Arial" w:cs="Arial" w:eastAsia="Arial" w:hAnsi="Arial"/>
          <w:sz w:val="18"/>
          <w:szCs w:val="18"/>
          <w:color w:val="auto"/>
        </w:rPr>
      </w:pPr>
    </w:p>
    <w:p>
      <w:pPr>
        <w:ind w:right="40" w:firstLine="464"/>
        <w:spacing w:after="0" w:line="306" w:lineRule="auto"/>
        <w:tabs>
          <w:tab w:leader="none" w:pos="676"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Certain Pledges</w:t>
      </w:r>
      <w:r>
        <w:rPr>
          <w:rFonts w:ascii="Arial" w:cs="Arial" w:eastAsia="Arial" w:hAnsi="Arial"/>
          <w:sz w:val="16"/>
          <w:szCs w:val="16"/>
          <w:color w:val="auto"/>
        </w:rPr>
        <w:t>.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106" w:lineRule="exact"/>
        <w:rPr>
          <w:rFonts w:ascii="Arial" w:cs="Arial" w:eastAsia="Arial" w:hAnsi="Arial"/>
          <w:sz w:val="16"/>
          <w:szCs w:val="16"/>
          <w:color w:val="auto"/>
        </w:rPr>
      </w:pPr>
    </w:p>
    <w:p>
      <w:pPr>
        <w:ind w:right="420" w:firstLine="464"/>
        <w:spacing w:after="0" w:line="306" w:lineRule="auto"/>
        <w:tabs>
          <w:tab w:leader="none" w:pos="705"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No Registration</w:t>
      </w:r>
      <w:r>
        <w:rPr>
          <w:rFonts w:ascii="Arial" w:cs="Arial" w:eastAsia="Arial" w:hAnsi="Arial"/>
          <w:sz w:val="16"/>
          <w:szCs w:val="16"/>
          <w:color w:val="auto"/>
        </w:rPr>
        <w:t>. Each Lender agrees that, without the prior written consent of the Borrower and the Administrative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w:t>
      </w:r>
    </w:p>
    <w:p>
      <w:pPr>
        <w:spacing w:after="0" w:line="100" w:lineRule="exact"/>
        <w:rPr>
          <w:rFonts w:ascii="Arial" w:cs="Arial" w:eastAsia="Arial" w:hAnsi="Arial"/>
          <w:sz w:val="16"/>
          <w:szCs w:val="16"/>
          <w:color w:val="auto"/>
        </w:rPr>
      </w:pPr>
    </w:p>
    <w:p>
      <w:pPr>
        <w:ind w:right="20" w:firstLine="464"/>
        <w:spacing w:after="0" w:line="285" w:lineRule="auto"/>
        <w:tabs>
          <w:tab w:leader="none" w:pos="705"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Designated Lenders</w:t>
      </w:r>
      <w:r>
        <w:rPr>
          <w:rFonts w:ascii="Arial" w:cs="Arial" w:eastAsia="Arial" w:hAnsi="Arial"/>
          <w:sz w:val="16"/>
          <w:szCs w:val="16"/>
          <w:color w:val="auto"/>
        </w:rPr>
        <w:t>. Any Lender (each, a “</w:t>
      </w:r>
      <w:r>
        <w:rPr>
          <w:rFonts w:ascii="Arial" w:cs="Arial" w:eastAsia="Arial" w:hAnsi="Arial"/>
          <w:sz w:val="16"/>
          <w:szCs w:val="16"/>
          <w:b w:val="1"/>
          <w:bCs w:val="1"/>
          <w:color w:val="auto"/>
        </w:rPr>
        <w:t>Designating Lender</w:t>
      </w:r>
      <w:r>
        <w:rPr>
          <w:rFonts w:ascii="Arial" w:cs="Arial" w:eastAsia="Arial" w:hAnsi="Arial"/>
          <w:sz w:val="16"/>
          <w:szCs w:val="16"/>
          <w:color w:val="auto"/>
        </w:rPr>
        <w:t>”) may at any time while the Borrower has been assigned an Investment Grade Rating from either S&amp;P or Moody’s designate one Designated Lender to fund Bid Rate Loans on behalf of such Designating Lender subject to the terms of this subsection, and the provisions in the immediately preceding subsections (b) and (d) shall not apply to such designation. No Lender may designate more than one Designated Lender. The parties to each such designation shall execute and deliver to the Administrative Agent for its acceptance a Designation Agreement. Upon such receipt of an appropriately completed Designation Agreement executed by a Designating Lender and a designee representing that it is a Designated Lender, the Administrative Agent will accept such Designation Agreement and give prompt notice thereof to the Borrower, whereupon (i) the Borrower shall execute and deliver to the Designating Lender a Bid Rate Note payable to the order of the Designated Lender, (ii) from and after the effective date specified in the Designation Agreement, the Designated Lender shall become a party to this Agreement with a right to make Bid Rate Loans on behalf of its Designating Lender pursuant to Section 2.2. after the Borrower has accepted a Bid Rate Loan (or portion thereof) of the Designating Lender, and (iii) the Designated Lender shall not be required to make payments with respect to any obligations in this Agreement except to the extent of excess cash flow of such Designated Lender which is not otherwise required to repay obligations of such Designated Lender which are then due and payable; provided, however, that regardless of such designation and assumption by the Designated Lender, the Designating Lender shall be and remain obligated to the Borrower, the Administrative Agent and the Lenders for each and every of the obligations of the Designating Lender and its related Designated Lender with respect to this Agreement, including, without limitation, any indemnification obligations under Section 11.6. and any sums otherwise payable to the Borrower by the Designated Lender. Each Designating Lender shall serve as the agent of the Designated Lender and shall on behalf of, and to the exclusion of, the Designated Lender: (i) receive any and all payments made for the benefit of the Designated Lender and (ii) give and receive all communications and notices and take all actions hereunder, including, without limitation, votes, approvals, waivers, consents and amendments under or relating to this Agreement and the other Loan Documents. Any such notice, communication, vote, approval, waiver, consent or amendment shall be signed by the Designating Lender</w:t>
      </w:r>
    </w:p>
    <w:p>
      <w:pPr>
        <w:spacing w:after="0" w:line="111" w:lineRule="exact"/>
        <w:rPr>
          <w:rFonts w:ascii="Arial" w:cs="Arial" w:eastAsia="Arial" w:hAnsi="Arial"/>
          <w:sz w:val="16"/>
          <w:szCs w:val="16"/>
          <w:color w:val="auto"/>
        </w:rPr>
      </w:pPr>
    </w:p>
    <w:p>
      <w:pPr>
        <w:ind w:left="5580" w:hanging="100"/>
        <w:spacing w:after="0"/>
        <w:tabs>
          <w:tab w:leader="none" w:pos="55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100 -</w:t>
      </w:r>
    </w:p>
    <w:p>
      <w:pPr>
        <w:sectPr>
          <w:pgSz w:w="11900" w:h="16838" w:orient="portrait"/>
          <w:cols w:equalWidth="0" w:num="1">
            <w:col w:w="11420"/>
          </w:cols>
          <w:pgMar w:left="240" w:top="280" w:right="239" w:bottom="1440" w:gutter="0" w:footer="0" w:header="0"/>
        </w:sectPr>
      </w:pPr>
    </w:p>
    <w:bookmarkStart w:id="109" w:name="page110"/>
    <w:bookmarkEnd w:id="109"/>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agent for the Designated Lender and shall not be signed by the Designated Lender on its own behalf and shall be binding on the Designated Lender to the same extent as if signed by the Designated Lender on its own behalf. The Borrower, the Administrative Agent and the Lenders may rely thereon without any requirement that the Designated Lender sign or acknowledge the same. No Designated Lender may assign or transfer all or any portion of its interest hereunder or under any other Loan Document, other than assignments to the Designating Lender which originally designated such Designated Lender. The Borrower, the Lenders and the Administrative Agent each hereby agrees that it will not institute against any Designated Lender or join any other Person in instituting against any Designated Lender any bankruptcy, reorganization, arrangement, insolvency or liquidation proceeding under any federal or state bankruptcy or similar law, until the later to occur of (x) one year and one day after the payment in full of the latest maturing commercial paper note issued by such Designated Lender and</w:t>
      </w:r>
    </w:p>
    <w:p>
      <w:pPr>
        <w:ind w:firstLine="8"/>
        <w:spacing w:after="0" w:line="261" w:lineRule="auto"/>
        <w:tabs>
          <w:tab w:leader="none" w:pos="24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Revolving Termination Date. In connection with any such designation, the Designating Lender shall pay to the Administrative Agent an administrative fee for processing such designation in the amount of $2,000.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12.7. Amendments and Waivers.</w:t>
      </w:r>
    </w:p>
    <w:p>
      <w:pPr>
        <w:spacing w:after="0" w:line="96" w:lineRule="exact"/>
        <w:rPr>
          <w:sz w:val="20"/>
          <w:szCs w:val="20"/>
          <w:color w:val="auto"/>
        </w:rPr>
      </w:pPr>
    </w:p>
    <w:p>
      <w:pPr>
        <w:jc w:val="both"/>
        <w:ind w:right="20" w:firstLine="464"/>
        <w:spacing w:after="0" w:line="284" w:lineRule="auto"/>
        <w:tabs>
          <w:tab w:leader="none" w:pos="695"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Except as otherwise expressly provided in this Agreement, (i) any consent or approval required or permitted by this Agreement or any other Loan Document to be given by the Lenders may be given, (ii) any term of this Agreement or of any other Loan Document may be amended, (iii) the performance or observance by the Borrower, any other Loan Party or any other Subsidiary of any terms of this Agreement or such other Loan Document may be waived, and</w:t>
      </w:r>
    </w:p>
    <w:p>
      <w:pPr>
        <w:spacing w:after="0" w:line="1" w:lineRule="exact"/>
        <w:rPr>
          <w:rFonts w:ascii="Arial" w:cs="Arial" w:eastAsia="Arial" w:hAnsi="Arial"/>
          <w:sz w:val="16"/>
          <w:szCs w:val="16"/>
          <w:color w:val="auto"/>
        </w:rPr>
      </w:pPr>
    </w:p>
    <w:p>
      <w:pPr>
        <w:ind w:right="60" w:firstLine="8"/>
        <w:spacing w:after="0" w:line="255" w:lineRule="auto"/>
        <w:tabs>
          <w:tab w:leader="none" w:pos="29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continuance of any Default or Event of Default may be waived (either generally or in a particular instance and either retroactively or prospectively) with, but only with, the written consent of the Requisite Lenders (or the Administrative Agent at the written direction of the Requisite Lenders), and, in the case of an amendment to any Loan Document, the written consent of each Loan Party which is party thereto.</w:t>
      </w:r>
    </w:p>
    <w:p>
      <w:pPr>
        <w:spacing w:after="0" w:line="144" w:lineRule="exact"/>
        <w:rPr>
          <w:rFonts w:ascii="Arial" w:cs="Arial" w:eastAsia="Arial" w:hAnsi="Arial"/>
          <w:sz w:val="18"/>
          <w:szCs w:val="18"/>
          <w:color w:val="auto"/>
        </w:rPr>
      </w:pPr>
    </w:p>
    <w:p>
      <w:pPr>
        <w:ind w:left="720" w:hanging="256"/>
        <w:spacing w:after="0"/>
        <w:tabs>
          <w:tab w:leader="none" w:pos="720"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00" w:firstLine="464"/>
        <w:spacing w:after="0" w:line="332" w:lineRule="auto"/>
        <w:tabs>
          <w:tab w:leader="none" w:pos="695"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Consent of Lenders Directly Affected</w:t>
      </w:r>
      <w:r>
        <w:rPr>
          <w:rFonts w:ascii="Arial" w:cs="Arial" w:eastAsia="Arial" w:hAnsi="Arial"/>
          <w:sz w:val="16"/>
          <w:szCs w:val="16"/>
          <w:color w:val="auto"/>
        </w:rPr>
        <w:t>. In addition to the foregoing requirements, no amendment, waiver or consent shall, unless in writing, and signed by each of the Lenders directly and adversely affected thereby (or the Administrative Agent at the written direction of such Lenders), do any of the following:</w:t>
      </w:r>
    </w:p>
    <w:p>
      <w:pPr>
        <w:spacing w:after="0" w:line="4" w:lineRule="exact"/>
        <w:rPr>
          <w:rFonts w:ascii="Arial" w:cs="Arial" w:eastAsia="Arial" w:hAnsi="Arial"/>
          <w:sz w:val="16"/>
          <w:szCs w:val="16"/>
          <w:color w:val="auto"/>
        </w:rPr>
      </w:pPr>
    </w:p>
    <w:p>
      <w:pPr>
        <w:ind w:left="1120" w:hanging="217"/>
        <w:spacing w:after="0"/>
        <w:tabs>
          <w:tab w:leader="none" w:pos="112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increase the Commitments of such Lenders or subject such Lenders to any additional obligations;</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57" w:val="left"/>
        </w:tabs>
        <w:numPr>
          <w:ilvl w:val="2"/>
          <w:numId w:val="114"/>
        </w:numPr>
        <w:rPr>
          <w:rFonts w:ascii="Arial" w:cs="Arial" w:eastAsia="Arial" w:hAnsi="Arial"/>
          <w:sz w:val="18"/>
          <w:szCs w:val="18"/>
          <w:color w:val="auto"/>
        </w:rPr>
      </w:pPr>
      <w:r>
        <w:rPr>
          <w:rFonts w:ascii="Arial" w:cs="Arial" w:eastAsia="Arial" w:hAnsi="Arial"/>
          <w:sz w:val="18"/>
          <w:szCs w:val="18"/>
          <w:color w:val="auto"/>
        </w:rPr>
        <w:t>reduce the principal of, or interest that has accrued or the rates of interest that will be charged on the outstanding principal amount of, any Loans or other Obligations owing to such Lenders;</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reduce the amount of any Fees payable to such Lenders hereunder;</w:t>
      </w:r>
    </w:p>
    <w:p>
      <w:pPr>
        <w:spacing w:after="0" w:line="90" w:lineRule="exact"/>
        <w:rPr>
          <w:rFonts w:ascii="Arial" w:cs="Arial" w:eastAsia="Arial" w:hAnsi="Arial"/>
          <w:sz w:val="18"/>
          <w:szCs w:val="18"/>
          <w:color w:val="auto"/>
        </w:rPr>
      </w:pPr>
    </w:p>
    <w:p>
      <w:pPr>
        <w:ind w:left="460" w:right="60" w:firstLine="443"/>
        <w:spacing w:after="0" w:line="259" w:lineRule="auto"/>
        <w:tabs>
          <w:tab w:leader="none" w:pos="1196" w:val="left"/>
        </w:tabs>
        <w:numPr>
          <w:ilvl w:val="2"/>
          <w:numId w:val="114"/>
        </w:numPr>
        <w:rPr>
          <w:rFonts w:ascii="Arial" w:cs="Arial" w:eastAsia="Arial" w:hAnsi="Arial"/>
          <w:sz w:val="18"/>
          <w:szCs w:val="18"/>
          <w:color w:val="auto"/>
        </w:rPr>
      </w:pPr>
      <w:r>
        <w:rPr>
          <w:rFonts w:ascii="Arial" w:cs="Arial" w:eastAsia="Arial" w:hAnsi="Arial"/>
          <w:sz w:val="18"/>
          <w:szCs w:val="18"/>
          <w:color w:val="auto"/>
        </w:rPr>
        <w:t>modify the definition of “Revolving Termination Date” (except in accordance with Section 2.13.), otherwise postpone any date fixed for any payment of principal of, or interest on, any Loans or for the payment of Fees or any other Obligations, or extend the expiration date of any Letter of Credit beyond the Revolving Termination Date (except in accordance with Section 2.3.);</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2"/>
          <w:numId w:val="114"/>
        </w:numPr>
        <w:rPr>
          <w:rFonts w:ascii="Arial" w:cs="Arial" w:eastAsia="Arial" w:hAnsi="Arial"/>
          <w:sz w:val="16"/>
          <w:szCs w:val="16"/>
          <w:color w:val="auto"/>
        </w:rPr>
      </w:pPr>
      <w:r>
        <w:rPr>
          <w:rFonts w:ascii="Arial" w:cs="Arial" w:eastAsia="Arial" w:hAnsi="Arial"/>
          <w:sz w:val="16"/>
          <w:szCs w:val="16"/>
          <w:color w:val="auto"/>
        </w:rPr>
        <w:t>modify the definitions of “Revolving Commitment Percentage” or amend or otherwise modify the provisions of Section 3.2. or Section 10.5.;</w:t>
      </w:r>
    </w:p>
    <w:p>
      <w:pPr>
        <w:spacing w:after="0" w:line="180" w:lineRule="exact"/>
        <w:rPr>
          <w:rFonts w:ascii="Arial" w:cs="Arial" w:eastAsia="Arial" w:hAnsi="Arial"/>
          <w:sz w:val="16"/>
          <w:szCs w:val="16"/>
          <w:color w:val="auto"/>
        </w:rPr>
      </w:pPr>
    </w:p>
    <w:p>
      <w:pPr>
        <w:ind w:left="5580" w:hanging="100"/>
        <w:spacing w:after="0"/>
        <w:tabs>
          <w:tab w:leader="none" w:pos="5580" w:val="left"/>
        </w:tabs>
        <w:numPr>
          <w:ilvl w:val="3"/>
          <w:numId w:val="114"/>
        </w:numPr>
        <w:rPr>
          <w:rFonts w:ascii="Arial" w:cs="Arial" w:eastAsia="Arial" w:hAnsi="Arial"/>
          <w:sz w:val="18"/>
          <w:szCs w:val="18"/>
          <w:color w:val="auto"/>
        </w:rPr>
      </w:pPr>
      <w:r>
        <w:rPr>
          <w:rFonts w:ascii="Arial" w:cs="Arial" w:eastAsia="Arial" w:hAnsi="Arial"/>
          <w:sz w:val="18"/>
          <w:szCs w:val="18"/>
          <w:color w:val="auto"/>
        </w:rPr>
        <w:t>101 -</w:t>
      </w:r>
    </w:p>
    <w:p>
      <w:pPr>
        <w:sectPr>
          <w:pgSz w:w="11900" w:h="16838" w:orient="portrait"/>
          <w:cols w:equalWidth="0" w:num="1">
            <w:col w:w="11380"/>
          </w:cols>
          <w:pgMar w:left="240" w:top="280" w:right="279" w:bottom="1440" w:gutter="0" w:footer="0" w:header="0"/>
        </w:sectPr>
      </w:pPr>
    </w:p>
    <w:bookmarkStart w:id="110" w:name="page111"/>
    <w:bookmarkEnd w:id="110"/>
    <w:p>
      <w:pPr>
        <w:ind w:left="460" w:right="160" w:firstLine="443"/>
        <w:spacing w:after="0" w:line="268" w:lineRule="auto"/>
        <w:tabs>
          <w:tab w:leader="none" w:pos="1196" w:val="left"/>
        </w:tabs>
        <w:numPr>
          <w:ilvl w:val="1"/>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 this Section or amend the definitions of the terms used in this Agreement or the other Loan Documents insofar as such definitions affect the substance of this Section;</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24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modify the definition of the term “Requisite Lenders” or modify in any other manner the number or percentage of the Lenders required to make any determinations or waive any rights hereunder or to modify any provision hereof;</w:t>
      </w:r>
    </w:p>
    <w:p>
      <w:pPr>
        <w:spacing w:after="0" w:line="50" w:lineRule="exact"/>
        <w:rPr>
          <w:rFonts w:ascii="Arial" w:cs="Arial" w:eastAsia="Arial" w:hAnsi="Arial"/>
          <w:sz w:val="18"/>
          <w:szCs w:val="18"/>
          <w:color w:val="auto"/>
        </w:rPr>
      </w:pPr>
    </w:p>
    <w:p>
      <w:pPr>
        <w:ind w:left="1300" w:hanging="397"/>
        <w:spacing w:after="0"/>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release any Guarantor from its obligations under the Guaranty except as contemplated by Section 7.14.(c);</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waive a Default or Event of Default under Section 10.1.(a), except as provided in Section 10.7.;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amend, or waive the Borrower’s compliance with, Section 2.15.</w:t>
      </w:r>
    </w:p>
    <w:p>
      <w:pPr>
        <w:spacing w:after="0" w:line="171" w:lineRule="exact"/>
        <w:rPr>
          <w:rFonts w:ascii="Arial" w:cs="Arial" w:eastAsia="Arial" w:hAnsi="Arial"/>
          <w:sz w:val="18"/>
          <w:szCs w:val="18"/>
          <w:color w:val="auto"/>
        </w:rPr>
      </w:pPr>
    </w:p>
    <w:p>
      <w:pPr>
        <w:ind w:right="60" w:firstLine="464"/>
        <w:spacing w:after="0" w:line="286" w:lineRule="auto"/>
        <w:tabs>
          <w:tab w:leader="none" w:pos="705"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Amendment of Administrative Agent’s Duties, Etc</w:t>
      </w:r>
      <w:r>
        <w:rPr>
          <w:rFonts w:ascii="Arial" w:cs="Arial" w:eastAsia="Arial" w:hAnsi="Arial"/>
          <w:sz w:val="16"/>
          <w:szCs w:val="16"/>
          <w:color w:val="auto"/>
        </w:rPr>
        <w:t>. No amendment, waiver or consent unless in writing and signed by the Administrative Agent, in addition to the Lenders required hereinabove to take such action, shall affect the rights or duties of the Administrative Agent under this Agreement or any of the other Loan Documents. Any amendment, waiver or consent relating to Section 2.4. or the obligations of the Swingline Lender under this Agreement or any other Loan Document shall, in addition to the Lenders required hereinabove to take such action, require the written consent of the Swingline Lender. Any amendment, waiver or consent relating to Section 2.3. or the obligations of the Issuing Bank under this Agreement or any other Loan Document shall, in addition to the Lenders required hereinabove to take such action, require the written consent of the Issuing Bank. Any amendment, waiver or consent with respect to any Loan Document that increases the liabilities or obligations of a Specified Derivatives Provider shall, in addition to the Lenders required hereinabove to take such action, require the consent of the Lender that is (or having an Affiliate that is) such Specified Derivatives Provider.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Administrative Agent or any Lender in exercising any right shall operate as a waiver thereof or otherwise be prejudicial thereto. Except as otherwise explicitly provided for herein or in any other Loan Document, no notice to or demand upon the Borrower shall entitle the Borrower to other or further notice or demand in similar or other circumstances.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12.8. Nonliability of Administrative Agent and Lenders.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relationship between the Borrower, on the one hand, and the Lenders, the Issuing Bank and the Administrative Agent, on the other hand, shall be solely that of borrower and lender. None of the Administrative Agent, the Issuing Bank or any Lender shall have any fiduciary responsibilities to the Borrower and no provision in this Agreement or in any of the other Loan Documents, and no course of dealing between or among any of the parties hereto, shall be deemed to create any fiduciary duty owing by the Administrative Agent, the Issuing Bank or any Lender to any Lender, the Borrower, any Subsidiary or any other Loan Party. None of the Administrative Agent, the Issuing Bank or any Lender undertakes any responsibility to the Borrower to review or inform the Borrower of any matter in connection with any phase of the Borrower’s business or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12.9. Confidentiality.</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Administrative Agent and each Lender shall use reasonable efforts to maintain the confidentiality of all information about Borrower, the other Loan Parties and other Subsidiaries, and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- 102 -</w:t>
      </w:r>
    </w:p>
    <w:p>
      <w:pPr>
        <w:sectPr>
          <w:pgSz w:w="11900" w:h="16838" w:orient="portrait"/>
          <w:cols w:equalWidth="0" w:num="1">
            <w:col w:w="11420"/>
          </w:cols>
          <w:pgMar w:left="240" w:top="280" w:right="239" w:bottom="1440" w:gutter="0" w:footer="0" w:header="0"/>
        </w:sectPr>
      </w:pPr>
    </w:p>
    <w:bookmarkStart w:id="111" w:name="page112"/>
    <w:bookmarkEnd w:id="111"/>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Properties thereof and their operations, affairs and financial condition, not generally disclosed to the public, which is furnished to the Administrative Agent or any Lender by the Borrower, any other Loan Party, any other Subsidiary or Affiliate of Borrower, any other Loan Party, or any other Subsidiary pursuant to the provisions of this Agreement or any other Loan Document in accordance with its customary procedure for handling confidential information of this nature and in accordance with safe and sound banking practice, but in any event, the Administrative Agent and the Lenders may make disclosure: (a) to any of their respective Affiliates and its and its Affiliates’ respective partners, directors, officers, employees, agents, advisors and other representatives (provided they shall agree to keep such information confidential in accordance with the terms of this Section 12.9.); (b) as reasonably requested by any bona fide prospective assignee, Participant or other transferee in connection with the contemplated transfer of any Commitment, Loan or participations therein (provided they shall agree to keep such information confidential in accordance with the terms of this Section); (c) as required or requested by any Governmental Authority or representative thereof or pursuant to legal process or in connection with any legal proceedings or as otherwise required by Applicable Law; (d) to the Administrative Agent’s or such Lender’s independent auditors and other professional advisors (provided they shall be notified of the confidential nature of the information); (e) after the happening and during the continuance of an Event of Default hereunder or under any other Loan Document (or Specified Derivatives Contract), to any other Person, as necessary for the exercise by the Administrative Agent or the Lenders (or a Specified Derivatives Provider) of rights and remedies hereunder or under any of the other Loan Documents (or Specified Derivatives Contract); (f) to bank trade publications (such information to consist of deal terms and other information customarily found in such publications), (g) upon Borrower’s prior consent (which consent shall not be unreasonably withheld), to any actual or prospective contractual counter-parties (or its advisors) to any swap or similar hedging agreement or to any rating agency; (h) to any other party hereto; (i) upon Borrower’s prior written consent, to any other Person; and (j) to the extent such information (i) becomes publicly available other than as a result of a breach by such party of this Section actually known by the Administrative Agent and the Lenders to be a breach of this section, or (ii) becomes available to the Administrative Agent or any Lender or any Affiliate of the Administrative Agent or any Lender on a nonconfidential basis from a source other than the Borrower or any Affiliate of the Borrower unless the Administrative Agent or such Lender has actual knowledge that such information became nonconfidential as a result of a breach of a confidential arrangement with the Borrower or such Loan Party. Notwithstanding the foregoing, the Administrative Agent and each Lender may disclose any such confidential information, without notice to the Borrower or any other Loan Party, to Governmental Authorities or similar authority (including any self-regulatory authority, such as the National Association of Insurance Commissioners) having or purporting to have jurisdiction over it in connection with any regulatory examination of the Administrative Agent or such Lender or in accordance with the regulatory compliance policy of the Administrative Agent or such Lender.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its own confidential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12.10. Indemnification.</w:t>
      </w:r>
    </w:p>
    <w:p>
      <w:pPr>
        <w:spacing w:after="0" w:line="96" w:lineRule="exact"/>
        <w:rPr>
          <w:sz w:val="20"/>
          <w:szCs w:val="20"/>
          <w:color w:val="auto"/>
        </w:rPr>
      </w:pPr>
    </w:p>
    <w:p>
      <w:pPr>
        <w:ind w:right="40" w:firstLine="464"/>
        <w:spacing w:after="0" w:line="291" w:lineRule="auto"/>
        <w:tabs>
          <w:tab w:leader="none" w:pos="69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Borrower shall and hereby agrees to indemnify, defend and hold harmless the Administrative Agent, the Issuing Bank, the Lenders, all of the Affiliates of each of the Administrative Agent, the Issuing Bank or any of the Lenders, and their respective directors, officers, shareholders, agents, employees and counsel (each referred to herein as an “</w:t>
      </w:r>
      <w:r>
        <w:rPr>
          <w:rFonts w:ascii="Arial" w:cs="Arial" w:eastAsia="Arial" w:hAnsi="Arial"/>
          <w:sz w:val="16"/>
          <w:szCs w:val="16"/>
          <w:b w:val="1"/>
          <w:bCs w:val="1"/>
          <w:color w:val="auto"/>
        </w:rPr>
        <w:t>Indemnified Party</w:t>
      </w:r>
      <w:r>
        <w:rPr>
          <w:rFonts w:ascii="Arial" w:cs="Arial" w:eastAsia="Arial" w:hAnsi="Arial"/>
          <w:sz w:val="16"/>
          <w:szCs w:val="16"/>
          <w:color w:val="auto"/>
        </w:rPr>
        <w:t>”) from and against any and all of the following (collectively, the “</w:t>
      </w:r>
      <w:r>
        <w:rPr>
          <w:rFonts w:ascii="Arial" w:cs="Arial" w:eastAsia="Arial" w:hAnsi="Arial"/>
          <w:sz w:val="16"/>
          <w:szCs w:val="16"/>
          <w:b w:val="1"/>
          <w:bCs w:val="1"/>
          <w:color w:val="auto"/>
        </w:rPr>
        <w:t>Indemnified Costs</w:t>
      </w:r>
      <w:r>
        <w:rPr>
          <w:rFonts w:ascii="Arial" w:cs="Arial" w:eastAsia="Arial" w:hAnsi="Arial"/>
          <w:sz w:val="16"/>
          <w:szCs w:val="16"/>
          <w:color w:val="auto"/>
        </w:rPr>
        <w:t>”): losses, costs, claims, penalties, damages, liabilities, deficiencies, judgments or reasonable expenses of every kind and nature (including, without limitation, amounts paid in settlement, court costs and the reasonable fees and disbursements of counsel incurred in connection with any litigation, investigation, claim or proceeding or any advice rendered in connection therewith, but excluding Indemnified Costs indemnification in respect of which is</w:t>
      </w:r>
    </w:p>
    <w:p>
      <w:pPr>
        <w:spacing w:after="0" w:line="106" w:lineRule="exact"/>
        <w:rPr>
          <w:rFonts w:ascii="Arial" w:cs="Arial" w:eastAsia="Arial" w:hAnsi="Arial"/>
          <w:sz w:val="16"/>
          <w:szCs w:val="16"/>
          <w:color w:val="auto"/>
        </w:rPr>
      </w:pPr>
    </w:p>
    <w:p>
      <w:pPr>
        <w:ind w:left="5580" w:hanging="100"/>
        <w:spacing w:after="0"/>
        <w:tabs>
          <w:tab w:leader="none" w:pos="55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103 -</w:t>
      </w:r>
    </w:p>
    <w:p>
      <w:pPr>
        <w:sectPr>
          <w:pgSz w:w="11900" w:h="16838" w:orient="portrait"/>
          <w:cols w:equalWidth="0" w:num="1">
            <w:col w:w="11420"/>
          </w:cols>
          <w:pgMar w:left="240" w:top="280" w:right="239" w:bottom="1440" w:gutter="0" w:footer="0" w:header="0"/>
        </w:sectPr>
      </w:pPr>
    </w:p>
    <w:bookmarkStart w:id="112" w:name="page113"/>
    <w:bookmarkEnd w:id="11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specifically covered by Section 3.10. or 4.1. or expressly excluded from the coverage of such Sections) incurred by an Indemnified Party in connection with, arising out of, or by reason of, any suit, cause of action, claim, arbitration, investigation or settlement, consent decree or other proceeding (the foregoing referred to herein as an “</w:t>
      </w:r>
      <w:r>
        <w:rPr>
          <w:rFonts w:ascii="Arial" w:cs="Arial" w:eastAsia="Arial" w:hAnsi="Arial"/>
          <w:sz w:val="16"/>
          <w:szCs w:val="16"/>
          <w:b w:val="1"/>
          <w:bCs w:val="1"/>
          <w:color w:val="auto"/>
        </w:rPr>
        <w:t>Indemnity Proceeding</w:t>
      </w:r>
      <w:r>
        <w:rPr>
          <w:rFonts w:ascii="Arial" w:cs="Arial" w:eastAsia="Arial" w:hAnsi="Arial"/>
          <w:sz w:val="16"/>
          <w:szCs w:val="16"/>
          <w:color w:val="auto"/>
        </w:rPr>
        <w:t>”) which is in any way related directly or indirectly to: (i) this Agreement or any other Loan Document or the transactions contemplated thereby; (ii) the making of any Loans or issuance of Letters of Credit hereunder; (iii) any actual or proposed use by the Borrower of the proceeds of the Loans or Letters of Credit; (iv) the Administrative Agent’s, the Issuing Bank’s or any Lender’s entering into this Agreement; (v) the fact that the Administrative Agent, the Issuing Bank and the Lenders have established the credit facility evidenced hereby in favor of the Borrower; (vi) the fact that the Administrative Agent, the Issuing Bank and the Lenders are creditors of the Borrower and have or are alleged to have information regarding the financial condition, strategic plans or business operations of the Borrower and the Subsidiaries; (vii) the fact that the Administrative Agent, the Issuing Bank and the Lenders are material creditors of the Borrower and are alleged to influence directly or indirectly the business decisions or affairs of the Borrower and the Subsidiaries or their financial condition; (viii) the exercise of any right or remedy the Administrative Agent, the Issuing Bank or the Lenders may have under this Agreement or the other Loan Documents; (viii) any civil penalty or fine assessed by the OFAC against, and all reasonable costs and expenses (including counsel fees and disbursements) incurred in connection with defense thereof by, the Administrative Agent, the Issuing Bank or any Lender as a result of conduct of the Borrower, any other Loan Party or any other Subsidiary that violates a sanction administered or enforced by the OFAC; or (ix) any violation or non-compliance by the Borrower or any Subsidiary of any Applicable Law (including any Environmental Law) including, but not limited to, any Indemnity Proceeding commenced by (A) the Internal Revenue Service or state taxing authority or (B) any Governmental Authority or other Person under any Environmental Law, including any Indemnity Proceeding commenced by a Governmental Authority or other Person seeking remedial or other action to cause the Borrower or its Subsidiaries (or its respective properties) (or the Administrative Agent and/or the Lenders and/or the Issuing Bank as successors to the Borrower) to be in compliance with such Environmental Laws; provided, however, that the Borrower shall not be obligated to indemnify any Indemnified Party for (A) any acts or omissions of such Indemnified Party in connection with matters described in this subjection to the extent arising from the gross negligence or willful misconduct of such Indemnified Party, as determined by a court of competent jurisdiction in a final, non-appealable judgment or (B) Indemnified Costs to the extent arising directly out of or resulting directly from claims of one or more Indemnified Parties against another Indemnified Party (other than claims of the Indemnified Parties against the Administrative Agent, the Issuing Bank or the Swingline Lender, in each case, acting in their capacities as such).</w:t>
      </w:r>
    </w:p>
    <w:p>
      <w:pPr>
        <w:spacing w:after="0" w:line="126" w:lineRule="exact"/>
        <w:rPr>
          <w:sz w:val="20"/>
          <w:szCs w:val="20"/>
          <w:color w:val="auto"/>
        </w:rPr>
      </w:pPr>
    </w:p>
    <w:p>
      <w:pPr>
        <w:ind w:right="60" w:firstLine="464"/>
        <w:spacing w:after="0" w:line="288" w:lineRule="auto"/>
        <w:tabs>
          <w:tab w:leader="none" w:pos="70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Borrower’s indemnification obligations under this Section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Borrower or any Subsidiary, any shareholder of the Borrower or any Subsidiary (whether such shareholder(s) are prosecuting such Indemnity Proceeding in their individual capacity or derivatively on behalf of the Borrower), any account debtor of the Borrower or any Subsidiary or by any Governmental Authority. If indemnification is to be sought hereunder by an Indemnified Party, then such Indemnified Party shall promptly notify the Borrower of the commencement of any Indemnity Proceeding; provided, however, that the failure to so notify the Borrower shall not otherwise relieve the Borrower from any liability that it may have to such Indemnified Party pursuant to this Section 12.10.</w:t>
      </w:r>
    </w:p>
    <w:p>
      <w:pPr>
        <w:spacing w:after="0" w:line="119" w:lineRule="exact"/>
        <w:rPr>
          <w:rFonts w:ascii="Arial" w:cs="Arial" w:eastAsia="Arial" w:hAnsi="Arial"/>
          <w:sz w:val="16"/>
          <w:szCs w:val="16"/>
          <w:color w:val="auto"/>
        </w:rPr>
      </w:pPr>
    </w:p>
    <w:p>
      <w:pPr>
        <w:ind w:right="580" w:firstLine="464"/>
        <w:spacing w:after="0" w:line="268" w:lineRule="auto"/>
        <w:tabs>
          <w:tab w:leader="none" w:pos="69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This indemnification shall apply to any Indemnity Proceeding arising during the pendency of any bankruptcy proceeding filed by or against the Borrower and/or any Subsidiary.</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104 -</w:t>
      </w:r>
    </w:p>
    <w:p>
      <w:pPr>
        <w:sectPr>
          <w:pgSz w:w="11900" w:h="16838" w:orient="portrait"/>
          <w:cols w:equalWidth="0" w:num="1">
            <w:col w:w="11360"/>
          </w:cols>
          <w:pgMar w:left="240" w:top="280" w:right="299" w:bottom="1440" w:gutter="0" w:footer="0" w:header="0"/>
        </w:sectPr>
      </w:pPr>
    </w:p>
    <w:bookmarkStart w:id="113" w:name="page114"/>
    <w:bookmarkEnd w:id="113"/>
    <w:p>
      <w:pPr>
        <w:ind w:firstLine="464"/>
        <w:spacing w:after="0" w:line="298" w:lineRule="auto"/>
        <w:tabs>
          <w:tab w:leader="none" w:pos="705" w:val="left"/>
        </w:tabs>
        <w:numPr>
          <w:ilvl w:val="0"/>
          <w:numId w:val="1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out-of-pocket fees and expenses of, and all amounts paid to third-persons by, an Indemnified Party shall be advanced by the Borrower at the request of such Indemnified Party notwithstanding any claim or assertion by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w:t>
      </w:r>
    </w:p>
    <w:p>
      <w:pPr>
        <w:spacing w:after="0" w:line="112" w:lineRule="exact"/>
        <w:rPr>
          <w:rFonts w:ascii="Arial" w:cs="Arial" w:eastAsia="Arial" w:hAnsi="Arial"/>
          <w:sz w:val="16"/>
          <w:szCs w:val="16"/>
          <w:color w:val="auto"/>
        </w:rPr>
      </w:pPr>
    </w:p>
    <w:p>
      <w:pPr>
        <w:ind w:right="20" w:firstLine="464"/>
        <w:spacing w:after="0" w:line="286" w:lineRule="auto"/>
        <w:tabs>
          <w:tab w:leader="none" w:pos="69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 No action taken by legal counsel chosen by an Indemnified Party in investigating or defending against any such Indemnity Proceeding shall vitiate or in any way impair the obligations and duties of the Borrower hereunder to indemnify and hold harmless each such Indemnified Party; provided, however, that if (i) the Borrower is required to indemnify an Indemnified Party pursuant hereto and (ii) the Borrower has provided evidence reasonably satisfactory to such Indemnified Party that the Borrower has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 (which consent shall not be unreasonably withheld or delayed). Notwithstanding the foregoing, an Indemnified Party may settle or compromise any such Indemnity Proceeding without the prior written consent of the Borrower where (x) no monetary relief is sought against such Indemnified Party in such Indemnity Proceeding, (y) there is an allegation of a violation of law by such Indemnified Party, or (z) the proposed settlement or compromise would otherwise be disadvantageous to such Indemnified Party as determined by it in its sole discretion.</w:t>
      </w:r>
    </w:p>
    <w:p>
      <w:pPr>
        <w:spacing w:after="0" w:line="127" w:lineRule="exact"/>
        <w:rPr>
          <w:rFonts w:ascii="Arial" w:cs="Arial" w:eastAsia="Arial" w:hAnsi="Arial"/>
          <w:sz w:val="16"/>
          <w:szCs w:val="16"/>
          <w:color w:val="auto"/>
        </w:rPr>
      </w:pPr>
    </w:p>
    <w:p>
      <w:pPr>
        <w:ind w:right="240" w:firstLine="464"/>
        <w:spacing w:after="0" w:line="268" w:lineRule="auto"/>
        <w:tabs>
          <w:tab w:leader="none" w:pos="67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and to the extent that the obligations of the Borrower under this Section are unenforceable for any reason, the Borrower hereby agrees to make the maximum contribution to the payment and satisfaction of such obligations which is permissible under Applicable Law.</w:t>
      </w:r>
    </w:p>
    <w:p>
      <w:pPr>
        <w:spacing w:after="0" w:line="131" w:lineRule="exact"/>
        <w:rPr>
          <w:rFonts w:ascii="Arial" w:cs="Arial" w:eastAsia="Arial" w:hAnsi="Arial"/>
          <w:sz w:val="18"/>
          <w:szCs w:val="18"/>
          <w:color w:val="auto"/>
        </w:rPr>
      </w:pPr>
    </w:p>
    <w:p>
      <w:pPr>
        <w:jc w:val="both"/>
        <w:ind w:right="100" w:firstLine="464"/>
        <w:spacing w:after="0" w:line="259" w:lineRule="auto"/>
        <w:tabs>
          <w:tab w:leader="none" w:pos="70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Borrower’s obligations under this Section shall survive any termination of this Agreement and the other Loan Documents and the payment in full in cash of the Obligations, and are in addition to, and not in substitution of, any of the other obligations set forth in this Agreement or any other Loan Document to which it is a party.</w:t>
      </w:r>
    </w:p>
    <w:p>
      <w:pPr>
        <w:spacing w:after="0" w:line="140"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References in this Section 12.10. to “Lender” or “Lenders” shall be deemed to include such Persons (and their Affiliates) in their capacity as Specified Derivatives Providers.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12.11. Termination; Survival.</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This Agreement shall terminate at such time as (a) all of the Commitments have been terminated, (b) all Letters of Credit have terminated or expired or been canceled, (c) none of the Lenders is obligated any longer under this Agreement to make any Loans and the Issuing Bank is no longer obligated under this Agreement to issue Letters of Credit and (d) all Obligations (other than obligations which survive as provided in the following sentence) have been paid and satisfied in full. The indemnities to which the Administrative Agent, the Issuing Bank and the Lenders are entitled under the provisions of Sections 3.10., 4.1., 4.4., 11.6., 12.2. and 12.10. and any other provision of this Agreement and the other Loan Documents, and the provisions of Section 12.5., shall continue in full force and effect and shall protect the Administrative Agent, the Issuing Bank and the Lenders (i) notwithstanding any termination of this Agreement, or of the other Loan Documents, against events arising after such termination as well</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- 105 -</w:t>
      </w:r>
    </w:p>
    <w:p>
      <w:pPr>
        <w:sectPr>
          <w:pgSz w:w="11900" w:h="16838" w:orient="portrait"/>
          <w:cols w:equalWidth="0" w:num="1">
            <w:col w:w="11360"/>
          </w:cols>
          <w:pgMar w:left="240" w:top="280" w:right="299" w:bottom="1440" w:gutter="0" w:footer="0" w:header="0"/>
        </w:sectPr>
      </w:pPr>
    </w:p>
    <w:bookmarkStart w:id="114" w:name="page115"/>
    <w:bookmarkEnd w:id="114"/>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before and (ii) at all times after any such party ceases to be a party to this Agreement with respect to all matters and events existing on or prior to the date such party ceased to be a party to this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12.12. Severability of Provisions.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provision of this Agreement which is prohibited or unenforceable in any jurisdiction shall, as to such jurisdiction, be ineffective only to the extent of such prohibition or unenforceability without invalidating the remainder of such provision or the remaining provisions or affecting the validity or enforceability of such provision in any other jurisdiction.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12.13. GOVERNING LAW.</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APPLICABLE TO CONTRACTS EXECUTED, AND TO BE FULLY PERFORMED, IN SUCH STATE.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12.14. Counterparts.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To facilitate execution, this Agreement and any amendments, waivers, consents or supplements may be executed in any number of counterparts as may be convenient or required (which may be effectively delivered by facsimile, in portable document format (“PDF”) or other similar electronic means). It shall not be necessary that the signature of, or on behalf of, each party, or that the signature of all persons required to bind any party, appear on each counterpart. All counterparts shall collectively constitute a single document. It shall not be necessary in making proof of this document to produce or account for more than a single counterpart containing the respective signatures of, or on behalf of, each of the parties hereto.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12.15. Obligations with Respect to Loan Parties.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obligations of the Borrower to direct or prohibit the taking of certain actions by the other Loan Parties as specified herein shall be absolute and not subject to any defense the Borrower may have that the Borrower does not control such Loan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12.16. Independence of Covenants.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a particular action or condition is expressly prohibited by any covenant (the “prohibiting covenant”), the fact that it would be permitted by an exception to, or be otherwise within the limitations of, another covenant shall not avoid the occurrence of a Default or an Event of Default if such action is taken or condition exists in violation of the prohibiting covenant.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12.17. Limitation of Liability.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None of the Administrative Agent, the Issuing Bank or any Lender, or any Affiliate, officer, director, employee, attorney, or agent of the Administrative Agent, the Issuing Bank or any Lender shall have any liability with respect to, and the Borrower hereby waives, releases, and agrees not to sue any of them upon, any claim for any special, indirect, incidental, or consequential damages suffered or incurred by the Borrower in connection with, arising out of, or in any way related to, this Agreement, any of the other Loan Documents or the Fee Letter, or any of the transactions contemplated by this Agreement or any of the other Loan Documents. The Borrower shall not have any liability with respect to any claim for any special, indirect, incidental or consequential damages suffered or incurred by the Administrative Agent, the Issuing Bank or any Lender (as distinct from special, indirect, incidental or consequential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- 106 -</w:t>
      </w:r>
    </w:p>
    <w:p>
      <w:pPr>
        <w:sectPr>
          <w:pgSz w:w="11900" w:h="16838" w:orient="portrait"/>
          <w:cols w:equalWidth="0" w:num="1">
            <w:col w:w="11420"/>
          </w:cols>
          <w:pgMar w:left="240" w:top="280" w:right="239" w:bottom="1440" w:gutter="0" w:footer="0" w:header="0"/>
        </w:sectPr>
      </w:pPr>
    </w:p>
    <w:bookmarkStart w:id="115" w:name="page116"/>
    <w:bookmarkEnd w:id="115"/>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damages of a third party awarded against the Administrative Agent, the Issuing Bank or any Lender for which the Borrower may be responsible to the extent covered by Section 12.10.) in connection with, arising out of, or in any way related to, this Agreement, any of the other Loan Documents or the Fee Letter, or any of the transactions contemplated by this Agreement or any of the other Loan Documents. The parties hereto hereby waive, release, and agree not to any other party hereto for punitive damages in respect of any claim in connection with, arising out of, or in any way related to, this Agreement, any of the other Loan Documents, the Fee Letter, or any of the transactions contemplated by this Agreement or financed hereby (other than punitive damages of a third party awarded against the Administrative Agent, the Issuing Bank or any Lender for which the Borrower may be responsible to the extent covered by Section 12.10.).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12.18. Entire Agreement.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Agreement, the Notes, the other Loan Documents and the Fee Letter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12.19. Construction.</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Administrative Agent, the Issuing Bank, the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Administrative Agent, the Issuing Bank, the Borrower and each Lender.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12.20. Headings.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paragraph and section headings in this Agreement are provided for convenience of reference only and shall not affect its construction or interpretation.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12.21. Limitation of Liability of Trustees, Etc.</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NOTWITHSTANDING ANY OTHER PROVISION OF THIS AGREEMENT AND THE OTHER LOAN DOCUMENTS, THE AGENT AND THE LENDERS SHALL LOOK SOLELY TO THE BORROWER AND THE OTHER LOAN PARTIES FOR THE ENFORCEMENT OF ANY CLAIM AGAINST THE BORROWER AND SUCH LOAN PARTY UNDER OR IN RESPECT OF ANY OF THE LOAN DOCUMENTS AND ACCORDINGLY NEITHER THE TRUSTEES, OFFICERS, EMPLOYEES, NOR SHAREHOLDERS OF THE BORROWER SHALL HAVE ANY PERSONAL LIABILITY FOR OBLIGATIONS ENTERED INTO BY OR ON BEHALF OF THE BORROWER OR ANY OTHER LOAN PARTY.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 on Following Pages]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- 107 -</w:t>
      </w:r>
    </w:p>
    <w:p>
      <w:pPr>
        <w:sectPr>
          <w:pgSz w:w="11900" w:h="16838" w:orient="portrait"/>
          <w:cols w:equalWidth="0" w:num="1">
            <w:col w:w="11400"/>
          </w:cols>
          <w:pgMar w:left="240" w:top="280" w:right="259" w:bottom="1440" w:gutter="0" w:footer="0" w:header="0"/>
        </w:sectPr>
      </w:pPr>
    </w:p>
    <w:bookmarkStart w:id="116" w:name="page117"/>
    <w:bookmarkEnd w:id="11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Credit Agreement to be executed by their authorized officers all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Andrew P. Blocher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Title: Senior Vice President-Chief Financial Officer and</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Treasurer</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11260"/>
          </w:cols>
          <w:pgMar w:left="240" w:top="280" w:right="399" w:bottom="1440" w:gutter="0" w:footer="0" w:header="0"/>
        </w:sectPr>
      </w:pPr>
    </w:p>
    <w:bookmarkStart w:id="117" w:name="page118"/>
    <w:bookmarkEnd w:id="117"/>
    <w:p>
      <w:pPr>
        <w:ind w:left="1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Signature Page to Credit Agreement with Federal Realty Investment Trust]</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WELLS FARGO BANK, NATIONAL ASSOCIATION, as</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Administrative Agent, Issuing Bank and as a Lender</w:t>
      </w: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M. Freeman,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John M. Freeman, Jr.</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6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820"/>
          </w:cols>
          <w:pgMar w:left="1440" w:top="274" w:right="639" w:bottom="1440" w:gutter="0" w:footer="0" w:header="0"/>
        </w:sectPr>
      </w:pPr>
    </w:p>
    <w:bookmarkStart w:id="118" w:name="page119"/>
    <w:bookmarkEnd w:id="118"/>
    <w:p>
      <w:pPr>
        <w:ind w:left="1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with Federal Realty Investment Trust]</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PNC BANK, NATIONAL ASSOCIATION, as Syndication</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Agent and as a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Benjamin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Benjamin Adams</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9820"/>
          </w:cols>
          <w:pgMar w:left="1440" w:top="274" w:right="6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 Credit Agreement with Federal Realty Investment Trust]</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Royal Bank of Canada,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Dan LePage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Dan LePage</w:t>
      </w:r>
    </w:p>
    <w:p>
      <w:pPr>
        <w:spacing w:after="0" w:line="15" w:lineRule="exact"/>
        <w:rPr>
          <w:sz w:val="20"/>
          <w:szCs w:val="20"/>
          <w:color w:val="auto"/>
        </w:rPr>
      </w:pPr>
    </w:p>
    <w:p>
      <w:pPr>
        <w:jc w:val="both"/>
        <w:ind w:left="6000"/>
        <w:spacing w:after="0"/>
        <w:tabs>
          <w:tab w:leader="none" w:pos="6560" w:val="left"/>
        </w:tabs>
        <w:rPr>
          <w:sz w:val="20"/>
          <w:szCs w:val="20"/>
          <w:color w:val="auto"/>
        </w:rPr>
      </w:pPr>
      <w:r>
        <w:rPr>
          <w:rFonts w:ascii="Arial" w:cs="Arial" w:eastAsia="Arial" w:hAnsi="Arial"/>
          <w:sz w:val="18"/>
          <w:szCs w:val="18"/>
          <w:color w:val="auto"/>
        </w:rPr>
        <w:t>Title:</w:t>
        <w:tab/>
        <w:t>Authorized Signatory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with Federal Realty Investment Trust]</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U.S. Bank National Association,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Ashely S. Reiser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Ashley S. Reiser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21" w:name="page122"/>
    <w:bookmarkEnd w:id="12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with Federal Realty Investment Trust]</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Capital One, N.A., as Lender</w:t>
      </w:r>
    </w:p>
    <w:p>
      <w:pPr>
        <w:spacing w:after="0" w:line="26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Paula W.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jc w:val="right"/>
        <w:ind w:right="1319"/>
        <w:spacing w:after="0"/>
        <w:rPr>
          <w:sz w:val="20"/>
          <w:szCs w:val="20"/>
          <w:color w:val="auto"/>
        </w:rPr>
      </w:pPr>
      <w:r>
        <w:rPr>
          <w:rFonts w:ascii="Arial" w:cs="Arial" w:eastAsia="Arial" w:hAnsi="Arial"/>
          <w:sz w:val="18"/>
          <w:szCs w:val="18"/>
          <w:color w:val="auto"/>
        </w:rPr>
        <w:t>Name: Paula W. Simon</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6"/>
          <w:szCs w:val="16"/>
          <w:color w:val="auto"/>
        </w:rPr>
        <w:t>Title:</w:t>
        <w:tab/>
        <w:t>Vice President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22" w:name="page123"/>
    <w:bookmarkEnd w:id="12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with Federal Realty Investment Trust]</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SUNTRUST BANK,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M. Szeman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Name: John M. Szeman</w:t>
      </w:r>
    </w:p>
    <w:p>
      <w:pPr>
        <w:spacing w:after="0" w:line="38"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23" w:name="page124"/>
    <w:bookmarkEnd w:id="123"/>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with Federal Realty Investment Trust]</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REGIONS BANK,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Paul Burgan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Paul Burgan</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6"/>
          <w:szCs w:val="16"/>
          <w:color w:val="auto"/>
        </w:rPr>
        <w:t>Title:</w:t>
        <w:tab/>
        <w:t>Vice President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24" w:name="page125"/>
    <w:bookmarkEnd w:id="12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with Federal Realty Investment Trust]</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COMPASS BANK, as Lender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Dan Killian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Dan Killian</w:t>
      </w:r>
    </w:p>
    <w:p>
      <w:pPr>
        <w:spacing w:after="0" w:line="15" w:lineRule="exact"/>
        <w:rPr>
          <w:sz w:val="20"/>
          <w:szCs w:val="20"/>
          <w:color w:val="auto"/>
        </w:rPr>
      </w:pPr>
    </w:p>
    <w:p>
      <w:pPr>
        <w:jc w:val="both"/>
        <w:ind w:left="6000"/>
        <w:spacing w:after="0"/>
        <w:tabs>
          <w:tab w:leader="none" w:pos="6560" w:val="left"/>
        </w:tabs>
        <w:rPr>
          <w:sz w:val="20"/>
          <w:szCs w:val="20"/>
          <w:color w:val="auto"/>
        </w:rPr>
      </w:pPr>
      <w:r>
        <w:rPr>
          <w:rFonts w:ascii="Arial" w:cs="Arial" w:eastAsia="Arial" w:hAnsi="Arial"/>
          <w:sz w:val="18"/>
          <w:szCs w:val="18"/>
          <w:color w:val="auto"/>
        </w:rPr>
        <w:t>Title:</w:t>
        <w:tab/>
        <w:t>Senior Vice President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25" w:name="page126"/>
    <w:bookmarkEnd w:id="125"/>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with Federal Realty Investment Trust]</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SOVEREIGN BANK,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Heidi L. Muskavitch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jc w:val="right"/>
        <w:ind w:right="979"/>
        <w:spacing w:after="0"/>
        <w:rPr>
          <w:sz w:val="20"/>
          <w:szCs w:val="20"/>
          <w:color w:val="auto"/>
        </w:rPr>
      </w:pPr>
      <w:r>
        <w:rPr>
          <w:rFonts w:ascii="Arial" w:cs="Arial" w:eastAsia="Arial" w:hAnsi="Arial"/>
          <w:sz w:val="18"/>
          <w:szCs w:val="18"/>
          <w:color w:val="auto"/>
        </w:rPr>
        <w:t>Name: Heidi L. Muskavitch</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26" w:name="page127"/>
    <w:bookmarkEnd w:id="126"/>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with Federal Realty Investment Trust]</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TD BANK, N.A.,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Brian Gormley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Name: Brian Gormley</w:t>
      </w:r>
    </w:p>
    <w:p>
      <w:pPr>
        <w:spacing w:after="0" w:line="38"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6"/>
          <w:szCs w:val="16"/>
          <w:color w:val="auto"/>
        </w:rPr>
        <w:t>Title:</w:t>
        <w:tab/>
        <w:t>Vice President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27" w:name="page128"/>
    <w:bookmarkEnd w:id="12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 Credit Agreement with Federal Realty Investment Trust]</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BANK OF AMERICA N.A.,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Eyal Namordi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Eyal Namordi</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Senior Vice President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28" w:name="page129"/>
    <w:bookmarkEnd w:id="128"/>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with Federal Realty Investment Trust]</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JP MORGAN CHASE BANK, N.A.,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Brendan M. Poe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Brendan M. Poe</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20"/>
          </w:cols>
          <w:pgMar w:left="1440" w:top="274" w:right="14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 Credit Agreement with Federal Realty Investment Trust]</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CHANG HWA COMMERCIAL BANK, LTD.,</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BRANCH, as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Eric Y.S.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Eric Y.S. Tsai</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V.P. and General Manager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4" w:right="1440" w:bottom="1440" w:gutter="0" w:footer="0" w:header="0"/>
        </w:sectPr>
      </w:pPr>
    </w:p>
    <w:bookmarkStart w:id="130" w:name="page131"/>
    <w:bookmarkEnd w:id="130"/>
    <w:p>
      <w:pPr>
        <w:jc w:val="center"/>
        <w:ind w:right="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with Federal Realty Investment Trust]</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CITICORP NORTH AMERICA, INC., as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Chlopak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Michael Chlopak</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Managing Director</w:t>
      </w:r>
    </w:p>
    <w:p>
      <w:pPr>
        <w:spacing w:after="0" w:line="16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160"/>
          </w:cols>
          <w:pgMar w:left="1440" w:top="274" w:right="1299" w:bottom="1440" w:gutter="0" w:footer="0" w:header="0"/>
        </w:sectPr>
      </w:pPr>
    </w:p>
    <w:bookmarkStart w:id="131" w:name="page132"/>
    <w:bookmarkEnd w:id="131"/>
    <w:p>
      <w:pPr>
        <w:ind w:left="1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with Federal Realty Investment Trust]</w:t>
      </w:r>
    </w:p>
    <w:p>
      <w:pPr>
        <w:spacing w:after="0" w:line="21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DEUTSCHE BANK TRUST COMPANY AMERICAS,</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Lender</w:t>
      </w:r>
    </w:p>
    <w:p>
      <w:pPr>
        <w:spacing w:after="0" w:line="219"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/s/ James Rolison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120"/>
        <w:spacing w:after="0"/>
        <w:tabs>
          <w:tab w:leader="none" w:pos="6820" w:val="left"/>
        </w:tabs>
        <w:rPr>
          <w:sz w:val="20"/>
          <w:szCs w:val="20"/>
          <w:color w:val="auto"/>
        </w:rPr>
      </w:pPr>
      <w:r>
        <w:rPr>
          <w:rFonts w:ascii="Arial" w:cs="Arial" w:eastAsia="Arial" w:hAnsi="Arial"/>
          <w:sz w:val="18"/>
          <w:szCs w:val="18"/>
          <w:color w:val="auto"/>
        </w:rPr>
        <w:t>Name:</w:t>
        <w:tab/>
        <w:t>James Rolison</w:t>
      </w:r>
    </w:p>
    <w:p>
      <w:pPr>
        <w:spacing w:after="0" w:line="15" w:lineRule="exact"/>
        <w:rPr>
          <w:sz w:val="20"/>
          <w:szCs w:val="20"/>
          <w:color w:val="auto"/>
        </w:rPr>
      </w:pPr>
    </w:p>
    <w:p>
      <w:pPr>
        <w:ind w:left="6120"/>
        <w:spacing w:after="0"/>
        <w:tabs>
          <w:tab w:leader="none" w:pos="6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DEUTSCHE BANK TRUST COMPANY AMERICAS,</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Lender</w:t>
      </w:r>
    </w:p>
    <w:p>
      <w:pPr>
        <w:spacing w:after="0" w:line="219"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/s/ George R.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3891280</wp:posOffset>
            </wp:positionH>
            <wp:positionV relativeFrom="paragraph">
              <wp:posOffset>10795</wp:posOffset>
            </wp:positionV>
            <wp:extent cx="25984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120"/>
        <w:spacing w:after="0"/>
        <w:tabs>
          <w:tab w:leader="none" w:pos="6820" w:val="left"/>
        </w:tabs>
        <w:rPr>
          <w:sz w:val="20"/>
          <w:szCs w:val="20"/>
          <w:color w:val="auto"/>
        </w:rPr>
      </w:pPr>
      <w:r>
        <w:rPr>
          <w:rFonts w:ascii="Arial" w:cs="Arial" w:eastAsia="Arial" w:hAnsi="Arial"/>
          <w:sz w:val="18"/>
          <w:szCs w:val="18"/>
          <w:color w:val="auto"/>
        </w:rPr>
        <w:t>Name:</w:t>
        <w:tab/>
        <w:t>George R. Reynolds</w:t>
      </w:r>
    </w:p>
    <w:p>
      <w:pPr>
        <w:spacing w:after="0" w:line="15" w:lineRule="exact"/>
        <w:rPr>
          <w:sz w:val="20"/>
          <w:szCs w:val="20"/>
          <w:color w:val="auto"/>
        </w:rPr>
      </w:pPr>
    </w:p>
    <w:p>
      <w:pPr>
        <w:ind w:left="6120"/>
        <w:spacing w:after="0"/>
        <w:tabs>
          <w:tab w:leader="none" w:pos="6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16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600"/>
          </w:cols>
          <w:pgMar w:left="1440" w:top="274" w:right="85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with Federal Realty Investment Trust]</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FIRST COMMERCIAL BANK NEW YORK</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BRANCH, as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Jason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Jason Lee</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V.P. &amp; General Manager</w:t>
      </w:r>
    </w:p>
    <w:p>
      <w:pPr>
        <w:sectPr>
          <w:pgSz w:w="11900" w:h="16838" w:orient="portrait"/>
          <w:cols w:equalWidth="0" w:num="1">
            <w:col w:w="9019"/>
          </w:cols>
          <w:pgMar w:left="1440" w:top="274" w:right="1440"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5720" w:type="dxa"/>
            <w:vAlign w:val="bottom"/>
            <w:gridSpan w:val="4"/>
          </w:tcPr>
          <w:p>
            <w:pPr>
              <w:ind w:left="620"/>
              <w:spacing w:after="0"/>
              <w:rPr>
                <w:sz w:val="20"/>
                <w:szCs w:val="20"/>
                <w:color w:val="auto"/>
              </w:rPr>
            </w:pPr>
            <w:r>
              <w:rPr>
                <w:rFonts w:ascii="Arial" w:cs="Arial" w:eastAsia="Arial" w:hAnsi="Arial"/>
                <w:sz w:val="18"/>
                <w:szCs w:val="18"/>
                <w:color w:val="auto"/>
              </w:rPr>
              <w:t>SCHEDULE I</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720" w:type="dxa"/>
            <w:vAlign w:val="bottom"/>
            <w:gridSpan w:val="4"/>
          </w:tcPr>
          <w:p>
            <w:pPr>
              <w:ind w:left="640"/>
              <w:spacing w:after="0"/>
              <w:rPr>
                <w:sz w:val="20"/>
                <w:szCs w:val="20"/>
                <w:color w:val="auto"/>
              </w:rPr>
            </w:pPr>
            <w:r>
              <w:rPr>
                <w:rFonts w:ascii="Arial" w:cs="Arial" w:eastAsia="Arial" w:hAnsi="Arial"/>
                <w:sz w:val="18"/>
                <w:szCs w:val="18"/>
                <w:color w:val="auto"/>
              </w:rPr>
              <w:t>Commitments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64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w w:val="94"/>
              </w:rPr>
              <w:t>Commitment 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Wells Fargo Bank, National Association</w:t>
            </w:r>
          </w:p>
        </w:tc>
        <w:tc>
          <w:tcPr>
            <w:tcW w:w="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PNC Bank, National Association</w:t>
            </w:r>
          </w:p>
        </w:tc>
        <w:tc>
          <w:tcPr>
            <w:tcW w:w="5720" w:type="dxa"/>
            <w:vAlign w:val="bottom"/>
            <w:gridSpan w:val="4"/>
          </w:tcPr>
          <w:p>
            <w:pPr>
              <w:ind w:left="54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5720" w:type="dxa"/>
            <w:vAlign w:val="bottom"/>
            <w:gridSpan w:val="4"/>
            <w:shd w:val="clear" w:color="auto" w:fill="CCEEFF"/>
          </w:tcPr>
          <w:p>
            <w:pPr>
              <w:ind w:left="54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Capital One</w:t>
            </w:r>
          </w:p>
        </w:tc>
        <w:tc>
          <w:tcPr>
            <w:tcW w:w="5720" w:type="dxa"/>
            <w:vAlign w:val="bottom"/>
            <w:gridSpan w:val="4"/>
          </w:tcPr>
          <w:p>
            <w:pPr>
              <w:ind w:left="54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5720" w:type="dxa"/>
            <w:vAlign w:val="bottom"/>
            <w:gridSpan w:val="4"/>
            <w:shd w:val="clear" w:color="auto" w:fill="CCEEFF"/>
          </w:tcPr>
          <w:p>
            <w:pPr>
              <w:ind w:left="54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SunTrust Bank</w:t>
            </w:r>
          </w:p>
        </w:tc>
        <w:tc>
          <w:tcPr>
            <w:tcW w:w="5720" w:type="dxa"/>
            <w:vAlign w:val="bottom"/>
            <w:gridSpan w:val="4"/>
          </w:tcPr>
          <w:p>
            <w:pPr>
              <w:ind w:left="54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Bank</w:t>
            </w:r>
          </w:p>
        </w:tc>
        <w:tc>
          <w:tcPr>
            <w:tcW w:w="5720" w:type="dxa"/>
            <w:vAlign w:val="bottom"/>
            <w:gridSpan w:val="4"/>
            <w:shd w:val="clear" w:color="auto" w:fill="CCEEFF"/>
          </w:tcPr>
          <w:p>
            <w:pPr>
              <w:ind w:left="54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Compass Bank</w:t>
            </w:r>
          </w:p>
        </w:tc>
        <w:tc>
          <w:tcPr>
            <w:tcW w:w="5720" w:type="dxa"/>
            <w:vAlign w:val="bottom"/>
            <w:gridSpan w:val="4"/>
          </w:tcPr>
          <w:p>
            <w:pPr>
              <w:ind w:left="54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Sovereign Bank</w:t>
            </w:r>
          </w:p>
        </w:tc>
        <w:tc>
          <w:tcPr>
            <w:tcW w:w="5720" w:type="dxa"/>
            <w:vAlign w:val="bottom"/>
            <w:gridSpan w:val="4"/>
            <w:shd w:val="clear" w:color="auto" w:fill="CCEEFF"/>
          </w:tcPr>
          <w:p>
            <w:pPr>
              <w:ind w:left="54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TD Bank, N.A.</w:t>
            </w:r>
          </w:p>
        </w:tc>
        <w:tc>
          <w:tcPr>
            <w:tcW w:w="5720" w:type="dxa"/>
            <w:vAlign w:val="bottom"/>
            <w:gridSpan w:val="4"/>
          </w:tcPr>
          <w:p>
            <w:pPr>
              <w:ind w:left="54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5720" w:type="dxa"/>
            <w:vAlign w:val="bottom"/>
            <w:gridSpan w:val="4"/>
            <w:shd w:val="clear" w:color="auto" w:fill="CCEEFF"/>
          </w:tcPr>
          <w:p>
            <w:pPr>
              <w:ind w:left="54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5720" w:type="dxa"/>
            <w:vAlign w:val="bottom"/>
            <w:gridSpan w:val="4"/>
          </w:tcPr>
          <w:p>
            <w:pPr>
              <w:ind w:left="54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 HWA Commercial Bank, Ltd., New York Branch</w:t>
            </w:r>
          </w:p>
        </w:tc>
        <w:tc>
          <w:tcPr>
            <w:tcW w:w="5720" w:type="dxa"/>
            <w:vAlign w:val="bottom"/>
            <w:gridSpan w:val="4"/>
            <w:shd w:val="clear" w:color="auto" w:fill="CCEEFF"/>
          </w:tcPr>
          <w:p>
            <w:pPr>
              <w:ind w:left="54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Citicorp North America, Inc.</w:t>
            </w:r>
          </w:p>
        </w:tc>
        <w:tc>
          <w:tcPr>
            <w:tcW w:w="5720" w:type="dxa"/>
            <w:vAlign w:val="bottom"/>
            <w:gridSpan w:val="4"/>
          </w:tcPr>
          <w:p>
            <w:pPr>
              <w:ind w:left="54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Trust Company Americas</w:t>
            </w:r>
          </w:p>
        </w:tc>
        <w:tc>
          <w:tcPr>
            <w:tcW w:w="5720" w:type="dxa"/>
            <w:vAlign w:val="bottom"/>
            <w:gridSpan w:val="4"/>
            <w:shd w:val="clear" w:color="auto" w:fill="CCEEFF"/>
          </w:tcPr>
          <w:p>
            <w:pPr>
              <w:ind w:left="54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First Commercial Bank New York Branch</w:t>
            </w:r>
          </w:p>
        </w:tc>
        <w:tc>
          <w:tcPr>
            <w:tcW w:w="5720" w:type="dxa"/>
            <w:vAlign w:val="bottom"/>
            <w:gridSpan w:val="4"/>
          </w:tcPr>
          <w:p>
            <w:pPr>
              <w:ind w:left="54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720" w:type="dxa"/>
            <w:vAlign w:val="bottom"/>
            <w:gridSpan w:val="4"/>
            <w:shd w:val="clear" w:color="auto" w:fill="CCEEFF"/>
          </w:tcPr>
          <w:p>
            <w:pPr>
              <w:ind w:left="548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34" w:name="page135"/>
    <w:bookmarkEnd w:id="134"/>
    <w:p>
      <w:pPr>
        <w:jc w:val="center"/>
        <w:ind w:right="-1192"/>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1.1(a)</w:t>
      </w:r>
    </w:p>
    <w:p>
      <w:pPr>
        <w:spacing w:after="0" w:line="171" w:lineRule="exact"/>
        <w:rPr>
          <w:sz w:val="20"/>
          <w:szCs w:val="20"/>
          <w:color w:val="auto"/>
        </w:rPr>
      </w:pPr>
    </w:p>
    <w:p>
      <w:pPr>
        <w:jc w:val="center"/>
        <w:ind w:right="-1192"/>
        <w:spacing w:after="0"/>
        <w:rPr>
          <w:sz w:val="20"/>
          <w:szCs w:val="20"/>
          <w:color w:val="auto"/>
        </w:rPr>
      </w:pPr>
      <w:r>
        <w:rPr>
          <w:rFonts w:ascii="Arial" w:cs="Arial" w:eastAsia="Arial" w:hAnsi="Arial"/>
          <w:sz w:val="16"/>
          <w:szCs w:val="16"/>
          <w:b w:val="1"/>
          <w:bCs w:val="1"/>
          <w:u w:val="single" w:color="auto"/>
          <w:color w:val="auto"/>
        </w:rPr>
        <w:t>LIST OF LOAN PARTIES</w:t>
      </w:r>
    </w:p>
    <w:p>
      <w:pPr>
        <w:spacing w:after="0" w:line="241" w:lineRule="exact"/>
        <w:rPr>
          <w:sz w:val="20"/>
          <w:szCs w:val="20"/>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FEDERAL REALTY INVESTMENT TRUST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BERMAN ENTERPRISES II LIMITED PARTNERSHIP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GOVERNOR PLAZA ASSOCIATES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ANDORRA ASSOCIATES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SHOPPING CENTER ASSOCIATES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FR PIKE 7 LIMITED PARTNERSHIP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STREET RETAIL,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FRIT SAN JOSE TOWN AND COUNTRY VILLAGE,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STREET RETAIL FOREST HILLS I,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SRI OLD TOWN,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FEDERAL REALTY PARTNERS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STREET RETAIL WEST I,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STREET RETAIL WEST II,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STREET RETAIL WEST 3,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STREET RETAIL WEST 4,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STREET RETAIL WEST 6,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STREET RETAIL WEST 10, 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FR ASSEMBLY SQUARE,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FR STURTEVANT STREET,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FR WESTGATE MALL,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STREET RETAIL SAN ANTONIO, LP</w:t>
      </w:r>
    </w:p>
    <w:p>
      <w:pPr>
        <w:sectPr>
          <w:pgSz w:w="11900" w:h="16838" w:orient="portrait"/>
          <w:cols w:equalWidth="0" w:num="1">
            <w:col w:w="10211"/>
          </w:cols>
          <w:pgMar w:left="248" w:top="274" w:right="1440" w:bottom="1440" w:gutter="0" w:footer="0" w:header="0"/>
        </w:sectPr>
      </w:pPr>
    </w:p>
    <w:bookmarkStart w:id="135" w:name="page136"/>
    <w:bookmarkEnd w:id="135"/>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 LINDEN SQUARE,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FR CHELSEA COMMONS II,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FR NORTH DARTMOUTH,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FR WHITE MARSH,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CORDON FAIRFIELD BUSINESS TRUST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CAMPBELL-PHILADELPHIA BUSINESS TRUST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SHOPPES AT NOTTINGHAM SQUARE BUSINESS TRUST</w:t>
      </w:r>
    </w:p>
    <w:p>
      <w:pPr>
        <w:spacing w:after="0" w:line="113" w:lineRule="exact"/>
        <w:rPr>
          <w:rFonts w:ascii="Arial" w:cs="Arial" w:eastAsia="Arial" w:hAnsi="Arial"/>
          <w:sz w:val="16"/>
          <w:szCs w:val="16"/>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RETAIL PROPERTIES BUSINESS TRUST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NOTTINGHAM SQUARE BUSINESS TRUST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BYRON STATION LIMITED PARTNERSHIP, LLLP</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FR MERCER MALL,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FR DEL MAR VILLAGE,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FR DEL MAR VILLAGE II,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FR CHELSEA COMMONS III,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FR FEDERAL PLAZA, INC.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SRI ASSEMBLY ROW B2,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SRI ASSEMBLY ROW B3,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SRI ASSEMBLY ROW B5,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SRI ASSEMBLY ROW B6,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SRI ASSEMBLY ROW B7,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SRI ASSEMBLY ROW B8,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SRI ASSEMBLY ROW B9, LLC</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FR HUNTINGTON SQUARE, LLC</w:t>
      </w:r>
    </w:p>
    <w:p>
      <w:pPr>
        <w:sectPr>
          <w:pgSz w:w="11900" w:h="16838" w:orient="portrait"/>
          <w:cols w:equalWidth="0" w:num="1">
            <w:col w:w="10211"/>
          </w:cols>
          <w:pgMar w:left="248" w:top="280" w:right="1440"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Existing Letters of Credit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Issuing Bank</w:t>
            </w:r>
          </w:p>
        </w:tc>
        <w:tc>
          <w:tcPr>
            <w:tcW w:w="2500" w:type="dxa"/>
            <w:vAlign w:val="bottom"/>
          </w:tcPr>
          <w:p>
            <w:pPr>
              <w:spacing w:after="0"/>
              <w:rPr>
                <w:sz w:val="15"/>
                <w:szCs w:val="15"/>
                <w:color w:val="auto"/>
              </w:rPr>
            </w:pPr>
          </w:p>
        </w:tc>
        <w:tc>
          <w:tcPr>
            <w:tcW w:w="1080" w:type="dxa"/>
            <w:vAlign w:val="bottom"/>
          </w:tcPr>
          <w:p>
            <w:pPr>
              <w:ind w:left="160"/>
              <w:spacing w:after="0"/>
              <w:rPr>
                <w:sz w:val="20"/>
                <w:szCs w:val="20"/>
                <w:color w:val="auto"/>
              </w:rPr>
            </w:pPr>
            <w:r>
              <w:rPr>
                <w:rFonts w:ascii="Arial" w:cs="Arial" w:eastAsia="Arial" w:hAnsi="Arial"/>
                <w:sz w:val="14"/>
                <w:szCs w:val="14"/>
                <w:b w:val="1"/>
                <w:bCs w:val="1"/>
                <w:color w:val="auto"/>
              </w:rPr>
              <w:t>L/C Number</w:t>
            </w:r>
          </w:p>
        </w:tc>
        <w:tc>
          <w:tcPr>
            <w:tcW w:w="100" w:type="dxa"/>
            <w:vAlign w:val="bottom"/>
          </w:tcPr>
          <w:p>
            <w:pPr>
              <w:spacing w:after="0"/>
              <w:rPr>
                <w:sz w:val="15"/>
                <w:szCs w:val="15"/>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Issue Date</w:t>
            </w:r>
          </w:p>
        </w:tc>
        <w:tc>
          <w:tcPr>
            <w:tcW w:w="100" w:type="dxa"/>
            <w:vAlign w:val="bottom"/>
          </w:tcPr>
          <w:p>
            <w:pPr>
              <w:spacing w:after="0"/>
              <w:rPr>
                <w:sz w:val="15"/>
                <w:szCs w:val="15"/>
                <w:color w:val="auto"/>
              </w:rPr>
            </w:pP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Expiration</w:t>
            </w:r>
          </w:p>
        </w:tc>
        <w:tc>
          <w:tcPr>
            <w:tcW w:w="14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2840" w:type="dxa"/>
            <w:vAlign w:val="bottom"/>
          </w:tcPr>
          <w:p>
            <w:pPr>
              <w:ind w:left="1080"/>
              <w:spacing w:after="0"/>
              <w:rPr>
                <w:sz w:val="20"/>
                <w:szCs w:val="20"/>
                <w:color w:val="auto"/>
              </w:rPr>
            </w:pPr>
            <w:r>
              <w:rPr>
                <w:rFonts w:ascii="Arial" w:cs="Arial" w:eastAsia="Arial" w:hAnsi="Arial"/>
                <w:sz w:val="14"/>
                <w:szCs w:val="14"/>
                <w:b w:val="1"/>
                <w:bCs w:val="1"/>
                <w:color w:val="auto"/>
              </w:rPr>
              <w:t>Beneficiary</w:t>
            </w:r>
          </w:p>
        </w:tc>
      </w:tr>
      <w:tr>
        <w:trPr>
          <w:trHeight w:val="195"/>
        </w:trPr>
        <w:tc>
          <w:tcPr>
            <w:tcW w:w="330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Wells Fargo Bank, National Association</w:t>
            </w: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SM236737W</w:t>
            </w: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March 12, 2010</w:t>
            </w: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July 27, 2011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89"/>
              </w:rPr>
              <w:t>9,739,946.00</w:t>
            </w:r>
          </w:p>
        </w:tc>
        <w:tc>
          <w:tcPr>
            <w:tcW w:w="220" w:type="dxa"/>
            <w:vAlign w:val="bottom"/>
            <w:tcBorders>
              <w:top w:val="single" w:sz="8" w:color="CCEEFF"/>
            </w:tcBorders>
            <w:shd w:val="clear" w:color="auto" w:fill="CCEEFF"/>
          </w:tcPr>
          <w:p>
            <w:pPr>
              <w:spacing w:after="0"/>
              <w:rPr>
                <w:sz w:val="16"/>
                <w:szCs w:val="16"/>
                <w:color w:val="auto"/>
              </w:rPr>
            </w:pPr>
          </w:p>
        </w:tc>
        <w:tc>
          <w:tcPr>
            <w:tcW w:w="2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The Bank of New York Mellon Trust</w:t>
            </w:r>
          </w:p>
        </w:tc>
      </w:tr>
      <w:tr>
        <w:trPr>
          <w:trHeight w:val="224"/>
        </w:trPr>
        <w:tc>
          <w:tcPr>
            <w:tcW w:w="8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Company, N.A.</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Wells Fargo Bank, National Association</w:t>
            </w:r>
          </w:p>
        </w:tc>
        <w:tc>
          <w:tcPr>
            <w:tcW w:w="1080" w:type="dxa"/>
            <w:vAlign w:val="bottom"/>
          </w:tcPr>
          <w:p>
            <w:pPr>
              <w:spacing w:after="0"/>
              <w:rPr>
                <w:sz w:val="20"/>
                <w:szCs w:val="20"/>
                <w:color w:val="auto"/>
              </w:rPr>
            </w:pPr>
            <w:r>
              <w:rPr>
                <w:rFonts w:ascii="Arial" w:cs="Arial" w:eastAsia="Arial" w:hAnsi="Arial"/>
                <w:sz w:val="18"/>
                <w:szCs w:val="18"/>
                <w:color w:val="auto"/>
              </w:rPr>
              <w:t>SM237022W</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April 29, 2010</w:t>
            </w:r>
          </w:p>
        </w:tc>
        <w:tc>
          <w:tcPr>
            <w:tcW w:w="1520" w:type="dxa"/>
            <w:vAlign w:val="bottom"/>
            <w:gridSpan w:val="3"/>
          </w:tcPr>
          <w:p>
            <w:pPr>
              <w:ind w:left="100"/>
              <w:spacing w:after="0"/>
              <w:rPr>
                <w:sz w:val="20"/>
                <w:szCs w:val="20"/>
                <w:color w:val="auto"/>
              </w:rPr>
            </w:pPr>
            <w:r>
              <w:rPr>
                <w:rFonts w:ascii="Arial" w:cs="Arial" w:eastAsia="Arial" w:hAnsi="Arial"/>
                <w:sz w:val="18"/>
                <w:szCs w:val="18"/>
                <w:color w:val="auto"/>
              </w:rPr>
              <w:t>July 27, 2011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9"/>
              </w:rPr>
              <w:t>1,400,000.00</w:t>
            </w:r>
          </w:p>
        </w:tc>
        <w:tc>
          <w:tcPr>
            <w:tcW w:w="2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Commonwealth of Massachusetts</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Bank, National Association</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SM236710W</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March 10, 2010</w:t>
            </w:r>
          </w:p>
        </w:tc>
        <w:tc>
          <w:tcPr>
            <w:tcW w:w="15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July 27, 2011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2,727,630.00</w:t>
            </w: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8"/>
              </w:rPr>
              <w:t>City of Sommerville, Massachusetts</w:t>
            </w: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color w:val="auto"/>
              </w:rPr>
              <w:t>Wells Fargo Bank, National Association</w:t>
            </w:r>
          </w:p>
        </w:tc>
        <w:tc>
          <w:tcPr>
            <w:tcW w:w="1080" w:type="dxa"/>
            <w:vAlign w:val="bottom"/>
          </w:tcPr>
          <w:p>
            <w:pPr>
              <w:spacing w:after="0"/>
              <w:rPr>
                <w:sz w:val="20"/>
                <w:szCs w:val="20"/>
                <w:color w:val="auto"/>
              </w:rPr>
            </w:pPr>
            <w:r>
              <w:rPr>
                <w:rFonts w:ascii="Arial" w:cs="Arial" w:eastAsia="Arial" w:hAnsi="Arial"/>
                <w:sz w:val="18"/>
                <w:szCs w:val="18"/>
                <w:color w:val="auto"/>
                <w:w w:val="96"/>
              </w:rPr>
              <w:t>SM235532W</w:t>
            </w:r>
            <w:r>
              <w:rPr>
                <w:rFonts w:ascii="Arial" w:cs="Arial" w:eastAsia="Arial" w:hAnsi="Arial"/>
                <w:sz w:val="11"/>
                <w:szCs w:val="11"/>
                <w:color w:val="auto"/>
                <w:w w:val="96"/>
              </w:rPr>
              <w:t>1</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w w:val="94"/>
              </w:rPr>
              <w:t>August 27, 2009</w:t>
            </w:r>
          </w:p>
        </w:tc>
        <w:tc>
          <w:tcPr>
            <w:tcW w:w="1520" w:type="dxa"/>
            <w:vAlign w:val="bottom"/>
            <w:gridSpan w:val="3"/>
          </w:tcPr>
          <w:p>
            <w:pPr>
              <w:ind w:left="100"/>
              <w:spacing w:after="0"/>
              <w:rPr>
                <w:sz w:val="20"/>
                <w:szCs w:val="20"/>
                <w:color w:val="auto"/>
              </w:rPr>
            </w:pPr>
            <w:r>
              <w:rPr>
                <w:rFonts w:ascii="Arial" w:cs="Arial" w:eastAsia="Arial" w:hAnsi="Arial"/>
                <w:sz w:val="18"/>
                <w:szCs w:val="18"/>
                <w:color w:val="auto"/>
              </w:rPr>
              <w:t>October 31, 2011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115,000.00</w:t>
            </w:r>
          </w:p>
        </w:tc>
        <w:tc>
          <w:tcPr>
            <w:tcW w:w="2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City of Highland Park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3"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22"/>
          <w:szCs w:val="22"/>
          <w:color w:val="auto"/>
          <w:vertAlign w:val="superscript"/>
        </w:rPr>
      </w:pPr>
      <w:r>
        <w:rPr>
          <w:rFonts w:ascii="Arial" w:cs="Arial" w:eastAsia="Arial" w:hAnsi="Arial"/>
          <w:sz w:val="18"/>
          <w:szCs w:val="18"/>
          <w:color w:val="auto"/>
        </w:rPr>
        <w:t>Borrower and Agent have submitted request for cancellation and notice of non-renewal.</w:t>
      </w:r>
    </w:p>
    <w:p>
      <w:pPr>
        <w:sectPr>
          <w:pgSz w:w="11900" w:h="16838" w:orient="portrait"/>
          <w:cols w:equalWidth="0" w:num="1">
            <w:col w:w="11420"/>
          </w:cols>
          <w:pgMar w:left="240" w:top="274"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Material and/or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Nature of</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Excluded Subsidiary,</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ENTITY NAME/Jurisdiction of</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Equity</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Non-Controlled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Formation</w:t>
            </w: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Equity Holders</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Interest</w:t>
            </w:r>
          </w:p>
        </w:tc>
        <w:tc>
          <w:tcPr>
            <w:tcW w:w="800" w:type="dxa"/>
            <w:vAlign w:val="bottom"/>
          </w:tcPr>
          <w:p>
            <w:pPr>
              <w:spacing w:after="0"/>
              <w:rPr>
                <w:sz w:val="20"/>
                <w:szCs w:val="20"/>
                <w:color w:val="auto"/>
              </w:rPr>
            </w:pPr>
            <w:r>
              <w:rPr>
                <w:rFonts w:ascii="Arial" w:cs="Arial" w:eastAsia="Arial" w:hAnsi="Arial"/>
                <w:sz w:val="14"/>
                <w:szCs w:val="14"/>
                <w:b w:val="1"/>
                <w:bCs w:val="1"/>
                <w:color w:val="auto"/>
                <w:w w:val="87"/>
              </w:rPr>
              <w:t>% Ownership</w:t>
            </w:r>
          </w:p>
        </w:tc>
        <w:tc>
          <w:tcPr>
            <w:tcW w:w="40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Property</w:t>
            </w:r>
          </w:p>
        </w:tc>
        <w:tc>
          <w:tcPr>
            <w:tcW w:w="200" w:type="dxa"/>
            <w:vAlign w:val="bottom"/>
          </w:tcPr>
          <w:p>
            <w:pPr>
              <w:spacing w:after="0"/>
              <w:rPr>
                <w:sz w:val="15"/>
                <w:szCs w:val="15"/>
                <w:color w:val="auto"/>
              </w:rPr>
            </w:pPr>
          </w:p>
        </w:tc>
        <w:tc>
          <w:tcPr>
            <w:tcW w:w="2380" w:type="dxa"/>
            <w:vAlign w:val="bottom"/>
            <w:gridSpan w:val="2"/>
          </w:tcPr>
          <w:p>
            <w:pPr>
              <w:ind w:left="40"/>
              <w:spacing w:after="0"/>
              <w:rPr>
                <w:sz w:val="20"/>
                <w:szCs w:val="20"/>
                <w:color w:val="auto"/>
              </w:rPr>
            </w:pPr>
            <w:r>
              <w:rPr>
                <w:rFonts w:ascii="Arial" w:cs="Arial" w:eastAsia="Arial" w:hAnsi="Arial"/>
                <w:sz w:val="14"/>
                <w:szCs w:val="14"/>
                <w:b w:val="1"/>
                <w:bCs w:val="1"/>
                <w:color w:val="auto"/>
                <w:w w:val="87"/>
              </w:rPr>
              <w:t>Liens, Options, Registration Rights, etc.</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2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Borrower</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Permitted Liens on properties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 TRUST, a</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identified in Schedule 6.1(f);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Maryland real estate investment</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options in favor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trust</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Trustees, employees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certain vendors;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Dividend reinvestment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Active shelf registration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Active registration statements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for certain shares issued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unregistered shares and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shares that may be issued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conversion of Series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Shares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downreit units in NVI-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Avenue,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4"/>
              </w:rPr>
              <w:t>•   See Federal Realty Partners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L.P., FR Leesburg Plaza,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 Pike 7 Limited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Partnership and Street Retail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West 7, L.P. for registration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rights agreements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2007 Employee Share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Plan</w:t>
            </w:r>
          </w:p>
        </w:tc>
        <w:tc>
          <w:tcPr>
            <w:tcW w:w="0" w:type="dxa"/>
            <w:vAlign w:val="bottom"/>
          </w:tcPr>
          <w:p>
            <w:pPr>
              <w:spacing w:after="0"/>
              <w:rPr>
                <w:sz w:val="1"/>
                <w:szCs w:val="1"/>
                <w:color w:val="auto"/>
              </w:rPr>
            </w:pP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FR ASSOCIATES LIMITED</w:t>
            </w:r>
          </w:p>
        </w:tc>
        <w:tc>
          <w:tcPr>
            <w:tcW w:w="1580" w:type="dxa"/>
            <w:vAlign w:val="bottom"/>
          </w:tcPr>
          <w:p>
            <w:pPr>
              <w:ind w:left="200"/>
              <w:spacing w:after="0"/>
              <w:rPr>
                <w:sz w:val="20"/>
                <w:szCs w:val="20"/>
                <w:color w:val="auto"/>
              </w:rPr>
            </w:pPr>
            <w:r>
              <w:rPr>
                <w:rFonts w:ascii="Arial" w:cs="Arial" w:eastAsia="Arial" w:hAnsi="Arial"/>
                <w:sz w:val="18"/>
                <w:szCs w:val="18"/>
                <w:color w:val="auto"/>
              </w:rPr>
              <w:t>Federal Realty</w:t>
            </w:r>
          </w:p>
        </w:tc>
        <w:tc>
          <w:tcPr>
            <w:tcW w:w="162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080" w:type="dxa"/>
            <w:vAlign w:val="bottom"/>
          </w:tcPr>
          <w:p>
            <w:pPr>
              <w:spacing w:after="0"/>
              <w:rPr>
                <w:sz w:val="18"/>
                <w:szCs w:val="18"/>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200"/>
              <w:spacing w:after="0"/>
              <w:rPr>
                <w:sz w:val="20"/>
                <w:szCs w:val="20"/>
                <w:color w:val="auto"/>
              </w:rPr>
            </w:pPr>
            <w:r>
              <w:rPr>
                <w:rFonts w:ascii="Arial" w:cs="Arial" w:eastAsia="Arial" w:hAnsi="Arial"/>
                <w:sz w:val="18"/>
                <w:szCs w:val="18"/>
                <w:color w:val="auto"/>
              </w:rPr>
              <w:t>PARTNERSHIP, a Maryland</w:t>
            </w:r>
          </w:p>
        </w:tc>
        <w:tc>
          <w:tcPr>
            <w:tcW w:w="1580" w:type="dxa"/>
            <w:vAlign w:val="bottom"/>
          </w:tcPr>
          <w:p>
            <w:pPr>
              <w:ind w:left="200"/>
              <w:spacing w:after="0"/>
              <w:rPr>
                <w:sz w:val="20"/>
                <w:szCs w:val="20"/>
                <w:color w:val="auto"/>
              </w:rPr>
            </w:pPr>
            <w:r>
              <w:rPr>
                <w:rFonts w:ascii="Arial" w:cs="Arial" w:eastAsia="Arial" w:hAnsi="Arial"/>
                <w:sz w:val="18"/>
                <w:szCs w:val="18"/>
                <w:color w:val="auto"/>
              </w:rPr>
              <w:t>Investment Trust</w:t>
            </w: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200"/>
              <w:spacing w:after="0"/>
              <w:rPr>
                <w:sz w:val="20"/>
                <w:szCs w:val="20"/>
                <w:color w:val="auto"/>
              </w:rPr>
            </w:pPr>
            <w:r>
              <w:rPr>
                <w:rFonts w:ascii="Arial" w:cs="Arial" w:eastAsia="Arial" w:hAnsi="Arial"/>
                <w:sz w:val="18"/>
                <w:szCs w:val="18"/>
                <w:color w:val="auto"/>
              </w:rPr>
              <w:t>limited partnership</w:t>
            </w:r>
          </w:p>
        </w:tc>
        <w:tc>
          <w:tcPr>
            <w:tcW w:w="1580" w:type="dxa"/>
            <w:vAlign w:val="bottom"/>
          </w:tcPr>
          <w:p>
            <w:pPr>
              <w:ind w:left="200"/>
              <w:spacing w:after="0"/>
              <w:rPr>
                <w:sz w:val="20"/>
                <w:szCs w:val="20"/>
                <w:color w:val="auto"/>
              </w:rPr>
            </w:pPr>
            <w:r>
              <w:rPr>
                <w:rFonts w:ascii="Arial" w:cs="Arial" w:eastAsia="Arial" w:hAnsi="Arial"/>
                <w:sz w:val="18"/>
                <w:szCs w:val="18"/>
                <w:color w:val="auto"/>
              </w:rPr>
              <w:t>Federal Realty</w:t>
            </w:r>
          </w:p>
        </w:tc>
        <w:tc>
          <w:tcPr>
            <w:tcW w:w="162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97.97%</w:t>
            </w:r>
          </w:p>
        </w:tc>
        <w:tc>
          <w:tcPr>
            <w:tcW w:w="2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580" w:type="dxa"/>
            <w:vAlign w:val="bottom"/>
          </w:tcPr>
          <w:p>
            <w:pPr>
              <w:ind w:left="200"/>
              <w:spacing w:after="0"/>
              <w:rPr>
                <w:sz w:val="20"/>
                <w:szCs w:val="20"/>
                <w:color w:val="auto"/>
              </w:rPr>
            </w:pPr>
            <w:r>
              <w:rPr>
                <w:rFonts w:ascii="Arial" w:cs="Arial" w:eastAsia="Arial" w:hAnsi="Arial"/>
                <w:sz w:val="18"/>
                <w:szCs w:val="18"/>
                <w:color w:val="auto"/>
              </w:rPr>
              <w:t>Investment Trust</w:t>
            </w: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580" w:type="dxa"/>
            <w:vAlign w:val="bottom"/>
          </w:tcPr>
          <w:p>
            <w:pPr>
              <w:ind w:left="200"/>
              <w:spacing w:after="0"/>
              <w:rPr>
                <w:sz w:val="20"/>
                <w:szCs w:val="20"/>
                <w:color w:val="auto"/>
              </w:rPr>
            </w:pPr>
            <w:r>
              <w:rPr>
                <w:rFonts w:ascii="Arial" w:cs="Arial" w:eastAsia="Arial" w:hAnsi="Arial"/>
                <w:sz w:val="18"/>
                <w:szCs w:val="18"/>
                <w:color w:val="auto"/>
                <w:w w:val="98"/>
              </w:rPr>
              <w:t>Street Retail, Inc.</w:t>
            </w:r>
          </w:p>
        </w:tc>
        <w:tc>
          <w:tcPr>
            <w:tcW w:w="162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20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BERMAN ENTERPRISES II</w:t>
            </w:r>
          </w:p>
        </w:tc>
        <w:tc>
          <w:tcPr>
            <w:tcW w:w="1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Realty</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Guarantor</w:t>
            </w:r>
          </w:p>
        </w:tc>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PARTNERSHIP, a</w:t>
            </w:r>
          </w:p>
        </w:tc>
        <w:tc>
          <w:tcPr>
            <w:tcW w:w="1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Trust</w:t>
            </w:r>
          </w:p>
        </w:tc>
        <w:tc>
          <w:tcPr>
            <w:tcW w:w="16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Material Subsidiary (in</w:t>
            </w:r>
          </w:p>
        </w:tc>
        <w:tc>
          <w:tcPr>
            <w:tcW w:w="2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Maryland limited partnership</w:t>
            </w:r>
          </w:p>
        </w:tc>
        <w:tc>
          <w:tcPr>
            <w:tcW w:w="1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Realty</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partner</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conjunction with Federal</w:t>
            </w: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Trust</w:t>
            </w:r>
          </w:p>
        </w:tc>
        <w:tc>
          <w:tcPr>
            <w:tcW w:w="16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Realty Investment Trust)</w:t>
            </w:r>
          </w:p>
        </w:tc>
        <w:tc>
          <w:tcPr>
            <w:tcW w:w="2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 Associates</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partner</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20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w:t>
            </w:r>
          </w:p>
        </w:tc>
        <w:tc>
          <w:tcPr>
            <w:tcW w:w="1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Partnership</w:t>
            </w:r>
          </w:p>
        </w:tc>
        <w:tc>
          <w:tcPr>
            <w:tcW w:w="16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580" w:type="dxa"/>
            <w:vAlign w:val="bottom"/>
            <w:gridSpan w:val="2"/>
          </w:tcPr>
          <w:p>
            <w:pPr>
              <w:spacing w:after="0"/>
              <w:rPr>
                <w:sz w:val="20"/>
                <w:szCs w:val="20"/>
                <w:color w:val="auto"/>
              </w:rPr>
            </w:pPr>
            <w:r>
              <w:rPr>
                <w:rFonts w:ascii="Arial" w:cs="Arial" w:eastAsia="Arial" w:hAnsi="Arial"/>
                <w:sz w:val="18"/>
                <w:szCs w:val="18"/>
                <w:color w:val="auto"/>
              </w:rPr>
              <w:t>GOVERNOR PLAZA</w:t>
            </w:r>
          </w:p>
        </w:tc>
        <w:tc>
          <w:tcPr>
            <w:tcW w:w="1580" w:type="dxa"/>
            <w:vAlign w:val="bottom"/>
          </w:tcPr>
          <w:p>
            <w:pPr>
              <w:ind w:left="200"/>
              <w:spacing w:after="0"/>
              <w:rPr>
                <w:sz w:val="20"/>
                <w:szCs w:val="20"/>
                <w:color w:val="auto"/>
              </w:rPr>
            </w:pPr>
            <w:r>
              <w:rPr>
                <w:rFonts w:ascii="Arial" w:cs="Arial" w:eastAsia="Arial" w:hAnsi="Arial"/>
                <w:sz w:val="18"/>
                <w:szCs w:val="18"/>
                <w:color w:val="auto"/>
              </w:rPr>
              <w:t>Federal Realty</w:t>
            </w:r>
          </w:p>
        </w:tc>
        <w:tc>
          <w:tcPr>
            <w:tcW w:w="1620" w:type="dxa"/>
            <w:vAlign w:val="bottom"/>
          </w:tcPr>
          <w:p>
            <w:pPr>
              <w:ind w:left="200"/>
              <w:spacing w:after="0"/>
              <w:rPr>
                <w:sz w:val="20"/>
                <w:szCs w:val="20"/>
                <w:color w:val="auto"/>
              </w:rPr>
            </w:pPr>
            <w:r>
              <w:rPr>
                <w:rFonts w:ascii="Arial" w:cs="Arial" w:eastAsia="Arial" w:hAnsi="Arial"/>
                <w:sz w:val="18"/>
                <w:szCs w:val="18"/>
                <w:color w:val="auto"/>
              </w:rPr>
              <w:t>General partner</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99%</w:t>
            </w:r>
          </w:p>
        </w:tc>
        <w:tc>
          <w:tcPr>
            <w:tcW w:w="2080" w:type="dxa"/>
            <w:vAlign w:val="bottom"/>
          </w:tcPr>
          <w:p>
            <w:pPr>
              <w:ind w:left="120"/>
              <w:spacing w:after="0"/>
              <w:rPr>
                <w:sz w:val="20"/>
                <w:szCs w:val="20"/>
                <w:color w:val="auto"/>
              </w:rPr>
            </w:pPr>
            <w:r>
              <w:rPr>
                <w:rFonts w:ascii="Arial" w:cs="Arial" w:eastAsia="Arial" w:hAnsi="Arial"/>
                <w:sz w:val="18"/>
                <w:szCs w:val="18"/>
                <w:color w:val="auto"/>
              </w:rPr>
              <w:t>Guarantor</w:t>
            </w:r>
          </w:p>
        </w:tc>
        <w:tc>
          <w:tcPr>
            <w:tcW w:w="2560" w:type="dxa"/>
            <w:vAlign w:val="bottom"/>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ind w:left="200"/>
              <w:spacing w:after="0"/>
              <w:rPr>
                <w:sz w:val="20"/>
                <w:szCs w:val="20"/>
                <w:color w:val="auto"/>
              </w:rPr>
            </w:pPr>
            <w:r>
              <w:rPr>
                <w:rFonts w:ascii="Arial" w:cs="Arial" w:eastAsia="Arial" w:hAnsi="Arial"/>
                <w:sz w:val="18"/>
                <w:szCs w:val="18"/>
                <w:color w:val="auto"/>
                <w:w w:val="94"/>
              </w:rPr>
              <w:t>ASSOCIATES, a Pennsylvania</w:t>
            </w:r>
          </w:p>
        </w:tc>
        <w:tc>
          <w:tcPr>
            <w:tcW w:w="1580" w:type="dxa"/>
            <w:vAlign w:val="bottom"/>
          </w:tcPr>
          <w:p>
            <w:pPr>
              <w:ind w:left="200"/>
              <w:spacing w:after="0"/>
              <w:rPr>
                <w:sz w:val="20"/>
                <w:szCs w:val="20"/>
                <w:color w:val="auto"/>
              </w:rPr>
            </w:pPr>
            <w:r>
              <w:rPr>
                <w:rFonts w:ascii="Arial" w:cs="Arial" w:eastAsia="Arial" w:hAnsi="Arial"/>
                <w:sz w:val="18"/>
                <w:szCs w:val="18"/>
                <w:color w:val="auto"/>
              </w:rPr>
              <w:t>Investment Trust</w:t>
            </w:r>
          </w:p>
        </w:tc>
        <w:tc>
          <w:tcPr>
            <w:tcW w:w="1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4"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Material and/or</w:t>
            </w: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Nature of</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Excluded Subsidiary,</w:t>
            </w: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ENTITY NAME/Jurisdiction of</w:t>
            </w: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Equity</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Non-Controlled</w:t>
            </w: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80" w:type="dxa"/>
            <w:vAlign w:val="bottom"/>
          </w:tcPr>
          <w:p>
            <w:pPr>
              <w:ind w:left="1080"/>
              <w:spacing w:after="0"/>
              <w:rPr>
                <w:sz w:val="20"/>
                <w:szCs w:val="20"/>
                <w:color w:val="auto"/>
              </w:rPr>
            </w:pPr>
            <w:r>
              <w:rPr>
                <w:rFonts w:ascii="Arial" w:cs="Arial" w:eastAsia="Arial" w:hAnsi="Arial"/>
                <w:sz w:val="14"/>
                <w:szCs w:val="14"/>
                <w:b w:val="1"/>
                <w:bCs w:val="1"/>
                <w:color w:val="auto"/>
              </w:rPr>
              <w:t>Formation</w:t>
            </w:r>
          </w:p>
        </w:tc>
        <w:tc>
          <w:tcPr>
            <w:tcW w:w="120" w:type="dxa"/>
            <w:vAlign w:val="bottom"/>
          </w:tcPr>
          <w:p>
            <w:pPr>
              <w:spacing w:after="0"/>
              <w:rPr>
                <w:sz w:val="15"/>
                <w:szCs w:val="15"/>
                <w:color w:val="auto"/>
              </w:rPr>
            </w:pPr>
          </w:p>
        </w:tc>
        <w:tc>
          <w:tcPr>
            <w:tcW w:w="1400" w:type="dxa"/>
            <w:vAlign w:val="bottom"/>
          </w:tcPr>
          <w:p>
            <w:pPr>
              <w:ind w:left="260"/>
              <w:spacing w:after="0"/>
              <w:rPr>
                <w:sz w:val="20"/>
                <w:szCs w:val="20"/>
                <w:color w:val="auto"/>
              </w:rPr>
            </w:pPr>
            <w:r>
              <w:rPr>
                <w:rFonts w:ascii="Arial" w:cs="Arial" w:eastAsia="Arial" w:hAnsi="Arial"/>
                <w:sz w:val="14"/>
                <w:szCs w:val="14"/>
                <w:b w:val="1"/>
                <w:bCs w:val="1"/>
                <w:color w:val="auto"/>
              </w:rPr>
              <w:t>Equity Holders</w:t>
            </w:r>
          </w:p>
        </w:tc>
        <w:tc>
          <w:tcPr>
            <w:tcW w:w="100" w:type="dxa"/>
            <w:vAlign w:val="bottom"/>
          </w:tcPr>
          <w:p>
            <w:pPr>
              <w:spacing w:after="0"/>
              <w:rPr>
                <w:sz w:val="15"/>
                <w:szCs w:val="15"/>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Interest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 Ownership</w:t>
            </w: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Property</w:t>
            </w:r>
          </w:p>
        </w:tc>
        <w:tc>
          <w:tcPr>
            <w:tcW w:w="2480" w:type="dxa"/>
            <w:vAlign w:val="bottom"/>
          </w:tcPr>
          <w:p>
            <w:pPr>
              <w:ind w:left="80"/>
              <w:spacing w:after="0"/>
              <w:rPr>
                <w:sz w:val="20"/>
                <w:szCs w:val="20"/>
                <w:color w:val="auto"/>
              </w:rPr>
            </w:pPr>
            <w:r>
              <w:rPr>
                <w:rFonts w:ascii="Arial" w:cs="Arial" w:eastAsia="Arial" w:hAnsi="Arial"/>
                <w:sz w:val="14"/>
                <w:szCs w:val="14"/>
                <w:b w:val="1"/>
                <w:bCs w:val="1"/>
                <w:color w:val="auto"/>
                <w:w w:val="89"/>
              </w:rPr>
              <w:t>Liens, Options, Registration Rights, etc.</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7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9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4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partnership</w:t>
            </w: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 Associates</w:t>
            </w:r>
          </w:p>
        </w:tc>
        <w:tc>
          <w:tcPr>
            <w:tcW w:w="1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General partner</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Limited Partnership</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800" w:type="dxa"/>
            <w:vAlign w:val="bottom"/>
            <w:gridSpan w:val="2"/>
          </w:tcPr>
          <w:p>
            <w:pPr>
              <w:spacing w:after="0"/>
              <w:rPr>
                <w:sz w:val="20"/>
                <w:szCs w:val="20"/>
                <w:color w:val="auto"/>
              </w:rPr>
            </w:pPr>
            <w:r>
              <w:rPr>
                <w:rFonts w:ascii="Arial" w:cs="Arial" w:eastAsia="Arial" w:hAnsi="Arial"/>
                <w:sz w:val="18"/>
                <w:szCs w:val="18"/>
                <w:color w:val="auto"/>
              </w:rPr>
              <w:t>ANDORRA ASSOCIATES, a</w:t>
            </w: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Federal Realty</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General partner</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80" w:type="dxa"/>
            <w:vAlign w:val="bottom"/>
            <w:gridSpan w:val="2"/>
          </w:tcPr>
          <w:p>
            <w:pPr>
              <w:spacing w:after="0"/>
              <w:rPr>
                <w:sz w:val="20"/>
                <w:szCs w:val="20"/>
                <w:color w:val="auto"/>
              </w:rPr>
            </w:pPr>
            <w:r>
              <w:rPr>
                <w:rFonts w:ascii="Arial" w:cs="Arial" w:eastAsia="Arial" w:hAnsi="Arial"/>
                <w:sz w:val="18"/>
                <w:szCs w:val="18"/>
                <w:color w:val="auto"/>
              </w:rPr>
              <w:t>Guarantor</w:t>
            </w:r>
          </w:p>
        </w:tc>
        <w:tc>
          <w:tcPr>
            <w:tcW w:w="24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w w:val="98"/>
              </w:rPr>
              <w:t>Pennsylvania limited partnership</w:t>
            </w: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Investment Trust</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Federal Realty</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Limited partner</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Investment Trust</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FR Associates</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Limited partner</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w w:val="88"/>
              </w:rPr>
              <w:t>Limited Partnership</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2"/>
              </w:rPr>
              <w:t>SHOPPING CENTER ASSOCIATES,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General partner</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Guarantor</w:t>
            </w: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a Pennsylvania limited partnership</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Limited partner</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FR Associates</w:t>
            </w:r>
          </w:p>
        </w:tc>
        <w:tc>
          <w:tcPr>
            <w:tcW w:w="14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Limited partner</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88"/>
              </w:rPr>
              <w:t>Limited Partnership</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800" w:type="dxa"/>
            <w:vAlign w:val="bottom"/>
            <w:gridSpan w:val="2"/>
          </w:tcPr>
          <w:p>
            <w:pPr>
              <w:spacing w:after="0"/>
              <w:rPr>
                <w:sz w:val="20"/>
                <w:szCs w:val="20"/>
                <w:color w:val="auto"/>
              </w:rPr>
            </w:pPr>
            <w:r>
              <w:rPr>
                <w:rFonts w:ascii="Arial" w:cs="Arial" w:eastAsia="Arial" w:hAnsi="Arial"/>
                <w:sz w:val="18"/>
                <w:szCs w:val="18"/>
                <w:color w:val="auto"/>
                <w:w w:val="92"/>
              </w:rPr>
              <w:t>FR PIKE 7 LIMITED PARTNERSHIP,</w:t>
            </w: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Federal Realty</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General partner</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80" w:type="dxa"/>
            <w:vAlign w:val="bottom"/>
            <w:gridSpan w:val="2"/>
          </w:tcPr>
          <w:p>
            <w:pPr>
              <w:spacing w:after="0"/>
              <w:rPr>
                <w:sz w:val="20"/>
                <w:szCs w:val="20"/>
                <w:color w:val="auto"/>
              </w:rPr>
            </w:pPr>
            <w:r>
              <w:rPr>
                <w:rFonts w:ascii="Arial" w:cs="Arial" w:eastAsia="Arial" w:hAnsi="Arial"/>
                <w:sz w:val="18"/>
                <w:szCs w:val="18"/>
                <w:color w:val="auto"/>
              </w:rPr>
              <w:t>Guarantor</w:t>
            </w:r>
          </w:p>
        </w:tc>
        <w:tc>
          <w:tcPr>
            <w:tcW w:w="2480" w:type="dxa"/>
            <w:vAlign w:val="bottom"/>
          </w:tcPr>
          <w:p>
            <w:pPr>
              <w:spacing w:after="0"/>
              <w:rPr>
                <w:sz w:val="20"/>
                <w:szCs w:val="20"/>
                <w:color w:val="auto"/>
              </w:rPr>
            </w:pPr>
            <w:r>
              <w:rPr>
                <w:rFonts w:ascii="Arial" w:cs="Arial" w:eastAsia="Arial" w:hAnsi="Arial"/>
                <w:sz w:val="18"/>
                <w:szCs w:val="18"/>
                <w:color w:val="auto"/>
                <w:w w:val="97"/>
              </w:rPr>
              <w:t>•   Right to exchange 12,393.71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a Delaware limited partnership</w:t>
            </w: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Investment Trust</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Material Subsidiary</w:t>
            </w:r>
          </w:p>
        </w:tc>
        <w:tc>
          <w:tcPr>
            <w:tcW w:w="2480" w:type="dxa"/>
            <w:vAlign w:val="bottom"/>
          </w:tcPr>
          <w:p>
            <w:pPr>
              <w:ind w:left="280"/>
              <w:spacing w:after="0"/>
              <w:rPr>
                <w:sz w:val="20"/>
                <w:szCs w:val="20"/>
                <w:color w:val="auto"/>
              </w:rPr>
            </w:pPr>
            <w:r>
              <w:rPr>
                <w:rFonts w:ascii="Arial" w:cs="Arial" w:eastAsia="Arial" w:hAnsi="Arial"/>
                <w:sz w:val="18"/>
                <w:szCs w:val="18"/>
                <w:color w:val="auto"/>
                <w:w w:val="96"/>
              </w:rPr>
              <w:t>partnership units for Federal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(DownREIT)</w:t>
            </w: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Federal Realty</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Limited partner</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98.3143%</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ind w:left="280"/>
              <w:spacing w:after="0"/>
              <w:rPr>
                <w:sz w:val="20"/>
                <w:szCs w:val="20"/>
                <w:color w:val="auto"/>
              </w:rPr>
            </w:pPr>
            <w:r>
              <w:rPr>
                <w:rFonts w:ascii="Arial" w:cs="Arial" w:eastAsia="Arial" w:hAnsi="Arial"/>
                <w:sz w:val="18"/>
                <w:szCs w:val="18"/>
                <w:color w:val="auto"/>
              </w:rPr>
              <w:t>Realty shares or cash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Investment Trust</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ind w:left="280"/>
              <w:spacing w:after="0"/>
              <w:rPr>
                <w:sz w:val="20"/>
                <w:szCs w:val="20"/>
                <w:color w:val="auto"/>
              </w:rPr>
            </w:pPr>
            <w:r>
              <w:rPr>
                <w:rFonts w:ascii="Arial" w:cs="Arial" w:eastAsia="Arial" w:hAnsi="Arial"/>
                <w:sz w:val="18"/>
                <w:szCs w:val="18"/>
                <w:color w:val="auto"/>
                <w:w w:val="94"/>
              </w:rPr>
              <w:t>Federal Realty’s option);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M&amp;R Associates</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Limited partner</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.6857%</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7"/>
              </w:rPr>
              <w:t>•   Registration rights for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Limited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ind w:left="280"/>
              <w:spacing w:after="0"/>
              <w:rPr>
                <w:sz w:val="20"/>
                <w:szCs w:val="20"/>
                <w:color w:val="auto"/>
              </w:rPr>
            </w:pPr>
            <w:r>
              <w:rPr>
                <w:rFonts w:ascii="Arial" w:cs="Arial" w:eastAsia="Arial" w:hAnsi="Arial"/>
                <w:sz w:val="18"/>
                <w:szCs w:val="18"/>
                <w:color w:val="auto"/>
              </w:rPr>
              <w:t>issued on redemption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w w:val="90"/>
              </w:rPr>
              <w:t>Partnership, Pike 7</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ind w:left="280"/>
              <w:spacing w:after="0"/>
              <w:rPr>
                <w:sz w:val="20"/>
                <w:szCs w:val="20"/>
                <w:color w:val="auto"/>
              </w:rPr>
            </w:pPr>
            <w:r>
              <w:rPr>
                <w:rFonts w:ascii="Arial" w:cs="Arial" w:eastAsia="Arial" w:hAnsi="Arial"/>
                <w:sz w:val="18"/>
                <w:szCs w:val="18"/>
                <w:color w:val="auto"/>
              </w:rPr>
              <w:t>partnership units.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color w:val="auto"/>
              </w:rPr>
              <w:t>Plaza</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ectPr>
          <w:pgSz w:w="11900" w:h="16838" w:orient="portrait"/>
          <w:cols w:equalWidth="0" w:num="1">
            <w:col w:w="11420"/>
          </w:cols>
          <w:pgMar w:left="240" w:top="274" w:right="239" w:bottom="1440" w:gutter="0" w:footer="0" w:header="0"/>
        </w:sectPr>
      </w:pPr>
    </w:p>
    <w:p>
      <w:pPr>
        <w:jc w:val="both"/>
        <w:ind w:left="220" w:hanging="215"/>
        <w:spacing w:after="0" w:line="306" w:lineRule="auto"/>
        <w:rPr>
          <w:sz w:val="20"/>
          <w:szCs w:val="20"/>
          <w:color w:val="auto"/>
        </w:rPr>
      </w:pPr>
      <w:r>
        <w:rPr>
          <w:rFonts w:ascii="Arial" w:cs="Arial" w:eastAsia="Arial" w:hAnsi="Arial"/>
          <w:sz w:val="16"/>
          <w:szCs w:val="16"/>
          <w:color w:val="auto"/>
        </w:rPr>
        <w:t>FRIT ESCONDIDO PROMENADE, LLC, a California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1844040" cy="7461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44040" cy="746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Federal Realty</w:t>
            </w:r>
          </w:p>
        </w:tc>
        <w:tc>
          <w:tcPr>
            <w:tcW w:w="1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Manager</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70%</w:t>
            </w: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Owner of Non-Controlled   None</w:t>
            </w:r>
          </w:p>
        </w:tc>
        <w:tc>
          <w:tcPr>
            <w:tcW w:w="0" w:type="dxa"/>
            <w:vAlign w:val="bottom"/>
          </w:tcPr>
          <w:p>
            <w:pPr>
              <w:spacing w:after="0"/>
              <w:rPr>
                <w:sz w:val="1"/>
                <w:szCs w:val="1"/>
                <w:color w:val="auto"/>
              </w:rPr>
            </w:pPr>
          </w:p>
        </w:tc>
      </w:tr>
      <w:tr>
        <w:trPr>
          <w:trHeight w:val="222"/>
        </w:trPr>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Investment Trust</w:t>
            </w:r>
          </w:p>
        </w:tc>
        <w:tc>
          <w:tcPr>
            <w:tcW w:w="1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0" w:type="dxa"/>
            <w:vAlign w:val="bottom"/>
          </w:tcPr>
          <w:p>
            <w:pPr>
              <w:spacing w:after="0"/>
              <w:rPr>
                <w:sz w:val="1"/>
                <w:szCs w:val="1"/>
                <w:color w:val="auto"/>
              </w:rPr>
            </w:pPr>
          </w:p>
        </w:tc>
      </w:tr>
      <w:tr>
        <w:trPr>
          <w:trHeight w:val="151"/>
        </w:trPr>
        <w:tc>
          <w:tcPr>
            <w:tcW w:w="12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9"/>
              </w:rPr>
              <w:t>Spark Development</w:t>
            </w:r>
          </w:p>
        </w:tc>
        <w:tc>
          <w:tcPr>
            <w:tcW w:w="134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Member</w:t>
            </w:r>
          </w:p>
        </w:tc>
        <w:tc>
          <w:tcPr>
            <w:tcW w:w="11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c>
          <w:tcPr>
            <w:tcW w:w="4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   Escondido Promenade</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440" w:type="dxa"/>
            <w:vAlign w:val="bottom"/>
            <w:vMerge w:val="continue"/>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4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1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Partners, LLC</w:t>
            </w:r>
          </w:p>
        </w:tc>
        <w:tc>
          <w:tcPr>
            <w:tcW w:w="1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560" w:type="dxa"/>
            <w:vAlign w:val="bottom"/>
            <w:shd w:val="clear" w:color="auto" w:fill="CCEEFF"/>
          </w:tcPr>
          <w:p>
            <w:pPr>
              <w:ind w:left="280"/>
              <w:spacing w:after="0" w:line="195" w:lineRule="exact"/>
              <w:rPr>
                <w:sz w:val="20"/>
                <w:szCs w:val="20"/>
                <w:color w:val="auto"/>
              </w:rPr>
            </w:pPr>
            <w:r>
              <w:rPr>
                <w:rFonts w:ascii="Arial" w:cs="Arial" w:eastAsia="Arial" w:hAnsi="Arial"/>
                <w:sz w:val="18"/>
                <w:szCs w:val="18"/>
                <w:color w:val="auto"/>
              </w:rPr>
              <w:t>Shopping Center,</w:t>
            </w: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456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rPr>
              <w:t>Escondido, CA</w:t>
            </w: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2">
            <w:col w:w="2620" w:space="180"/>
            <w:col w:w="8620"/>
          </w:cols>
          <w:pgMar w:left="240" w:top="274" w:right="239" w:bottom="1440" w:gutter="0" w:footer="0" w:header="0"/>
          <w:type w:val="continuous"/>
        </w:sectPr>
      </w:pPr>
    </w:p>
    <w:p>
      <w:pPr>
        <w:spacing w:after="0"/>
        <w:tabs>
          <w:tab w:leader="none" w:pos="2900" w:val="left"/>
          <w:tab w:leader="none" w:pos="4400" w:val="left"/>
          <w:tab w:leader="none" w:pos="6260" w:val="left"/>
          <w:tab w:leader="none" w:pos="6840" w:val="left"/>
          <w:tab w:leader="none" w:pos="8920" w:val="left"/>
        </w:tabs>
        <w:rPr>
          <w:sz w:val="20"/>
          <w:szCs w:val="20"/>
          <w:color w:val="auto"/>
        </w:rPr>
      </w:pPr>
      <w:r>
        <w:rPr>
          <w:rFonts w:ascii="Arial" w:cs="Arial" w:eastAsia="Arial" w:hAnsi="Arial"/>
          <w:sz w:val="18"/>
          <w:szCs w:val="18"/>
          <w:color w:val="auto"/>
        </w:rPr>
        <w:t>FR FEDERAL PLAZA, INC., a</w:t>
      </w:r>
      <w:r>
        <w:rPr>
          <w:sz w:val="20"/>
          <w:szCs w:val="20"/>
          <w:color w:val="auto"/>
        </w:rPr>
        <w:tab/>
      </w:r>
      <w:r>
        <w:rPr>
          <w:rFonts w:ascii="Arial" w:cs="Arial" w:eastAsia="Arial" w:hAnsi="Arial"/>
          <w:sz w:val="18"/>
          <w:szCs w:val="18"/>
          <w:color w:val="auto"/>
        </w:rPr>
        <w:t>Federal Realty</w:t>
      </w:r>
      <w:r>
        <w:rPr>
          <w:sz w:val="20"/>
          <w:szCs w:val="20"/>
          <w:color w:val="auto"/>
        </w:rPr>
        <w:tab/>
      </w:r>
      <w:r>
        <w:rPr>
          <w:rFonts w:ascii="Arial" w:cs="Arial" w:eastAsia="Arial" w:hAnsi="Arial"/>
          <w:sz w:val="18"/>
          <w:szCs w:val="18"/>
          <w:color w:val="auto"/>
        </w:rPr>
        <w:t>Sole stockholder</w:t>
      </w:r>
      <w:r>
        <w:rPr>
          <w:sz w:val="20"/>
          <w:szCs w:val="20"/>
          <w:color w:val="auto"/>
        </w:rPr>
        <w:tab/>
      </w:r>
      <w:r>
        <w:rPr>
          <w:rFonts w:ascii="Arial" w:cs="Arial" w:eastAsia="Arial" w:hAnsi="Arial"/>
          <w:sz w:val="18"/>
          <w:szCs w:val="18"/>
          <w:color w:val="auto"/>
        </w:rPr>
        <w:t>100%</w:t>
        <w:tab/>
        <w:t>Guarantor</w:t>
      </w:r>
      <w:r>
        <w:rPr>
          <w:sz w:val="20"/>
          <w:szCs w:val="20"/>
          <w:color w:val="auto"/>
        </w:rPr>
        <w:tab/>
      </w:r>
      <w:r>
        <w:rPr>
          <w:rFonts w:ascii="Arial" w:cs="Arial" w:eastAsia="Arial" w:hAnsi="Arial"/>
          <w:sz w:val="15"/>
          <w:szCs w:val="15"/>
          <w:color w:val="auto"/>
        </w:rPr>
        <w:t>None</w:t>
      </w:r>
    </w:p>
    <w:p>
      <w:pPr>
        <w:spacing w:after="0" w:line="15" w:lineRule="exact"/>
        <w:rPr>
          <w:sz w:val="20"/>
          <w:szCs w:val="20"/>
          <w:color w:val="auto"/>
        </w:rPr>
      </w:pPr>
    </w:p>
    <w:p>
      <w:pPr>
        <w:ind w:left="220"/>
        <w:spacing w:after="0"/>
        <w:tabs>
          <w:tab w:leader="none" w:pos="2900" w:val="left"/>
          <w:tab w:leader="none" w:pos="6840" w:val="left"/>
        </w:tabs>
        <w:rPr>
          <w:sz w:val="20"/>
          <w:szCs w:val="20"/>
          <w:color w:val="auto"/>
        </w:rPr>
      </w:pPr>
      <w:r>
        <w:rPr>
          <w:rFonts w:ascii="Arial" w:cs="Arial" w:eastAsia="Arial" w:hAnsi="Arial"/>
          <w:sz w:val="18"/>
          <w:szCs w:val="18"/>
          <w:color w:val="auto"/>
        </w:rPr>
        <w:t>Delaware corporation</w:t>
      </w:r>
      <w:r>
        <w:rPr>
          <w:sz w:val="20"/>
          <w:szCs w:val="20"/>
          <w:color w:val="auto"/>
        </w:rPr>
        <w:tab/>
      </w:r>
      <w:r>
        <w:rPr>
          <w:rFonts w:ascii="Arial" w:cs="Arial" w:eastAsia="Arial" w:hAnsi="Arial"/>
          <w:sz w:val="18"/>
          <w:szCs w:val="18"/>
          <w:color w:val="auto"/>
        </w:rPr>
        <w:t>Investment Trust</w:t>
      </w:r>
      <w:r>
        <w:rPr>
          <w:sz w:val="20"/>
          <w:szCs w:val="20"/>
          <w:color w:val="auto"/>
        </w:rPr>
        <w:tab/>
      </w:r>
      <w:r>
        <w:rPr>
          <w:rFonts w:ascii="Arial" w:cs="Arial" w:eastAsia="Arial" w:hAnsi="Arial"/>
          <w:sz w:val="16"/>
          <w:szCs w:val="16"/>
          <w:color w:val="auto"/>
        </w:rPr>
        <w:t>Material subsidiary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SCHEDULE 6.1(b)</w:t>
            </w:r>
          </w:p>
        </w:tc>
        <w:tc>
          <w:tcPr>
            <w:tcW w:w="3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7"/>
          </w:tcPr>
          <w:p>
            <w:pPr>
              <w:jc w:val="center"/>
              <w:ind w:left="92"/>
              <w:spacing w:after="0"/>
              <w:rPr>
                <w:sz w:val="20"/>
                <w:szCs w:val="20"/>
                <w:color w:val="auto"/>
              </w:rPr>
            </w:pPr>
            <w:r>
              <w:rPr>
                <w:rFonts w:ascii="Arial" w:cs="Arial" w:eastAsia="Arial" w:hAnsi="Arial"/>
                <w:sz w:val="18"/>
                <w:szCs w:val="18"/>
                <w:b w:val="1"/>
                <w:bCs w:val="1"/>
                <w:color w:val="auto"/>
                <w:w w:val="97"/>
              </w:rPr>
              <w:t>OWNERSHIP STRUCTURE</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Material and/or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7"/>
              </w:rPr>
              <w:t>Nature of</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6"/>
              </w:rPr>
              <w:t>Excluded Subsidiary,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ENTITY NAME/Jurisdiction of</w:t>
            </w: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8"/>
              </w:rPr>
              <w:t>Non-Controlled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8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Formation</w:t>
            </w:r>
          </w:p>
        </w:tc>
        <w:tc>
          <w:tcPr>
            <w:tcW w:w="100" w:type="dxa"/>
            <w:vAlign w:val="bottom"/>
          </w:tcPr>
          <w:p>
            <w:pPr>
              <w:spacing w:after="0"/>
              <w:rPr>
                <w:sz w:val="15"/>
                <w:szCs w:val="15"/>
                <w:color w:val="auto"/>
              </w:rPr>
            </w:pPr>
          </w:p>
        </w:tc>
        <w:tc>
          <w:tcPr>
            <w:tcW w:w="14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Equity Holders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112"/>
              <w:spacing w:after="0"/>
              <w:rPr>
                <w:sz w:val="20"/>
                <w:szCs w:val="20"/>
                <w:color w:val="auto"/>
              </w:rPr>
            </w:pPr>
            <w:r>
              <w:rPr>
                <w:rFonts w:ascii="Arial" w:cs="Arial" w:eastAsia="Arial" w:hAnsi="Arial"/>
                <w:sz w:val="14"/>
                <w:szCs w:val="14"/>
                <w:b w:val="1"/>
                <w:bCs w:val="1"/>
                <w:color w:val="auto"/>
                <w:w w:val="86"/>
              </w:rPr>
              <w:t>Interest</w:t>
            </w:r>
          </w:p>
        </w:tc>
        <w:tc>
          <w:tcPr>
            <w:tcW w:w="100" w:type="dxa"/>
            <w:vAlign w:val="bottom"/>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 Ownership</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6"/>
              </w:rPr>
              <w:t>Property</w:t>
            </w:r>
          </w:p>
        </w:tc>
        <w:tc>
          <w:tcPr>
            <w:tcW w:w="0" w:type="dxa"/>
            <w:vAlign w:val="bottom"/>
          </w:tcPr>
          <w:p>
            <w:pPr>
              <w:spacing w:after="0"/>
              <w:rPr>
                <w:sz w:val="1"/>
                <w:szCs w:val="1"/>
                <w:color w:val="auto"/>
              </w:rPr>
            </w:pPr>
          </w:p>
        </w:tc>
      </w:tr>
      <w:tr>
        <w:trPr>
          <w:trHeight w:val="296"/>
        </w:trPr>
        <w:tc>
          <w:tcPr>
            <w:tcW w:w="2800" w:type="dxa"/>
            <w:vAlign w:val="bottom"/>
            <w:gridSpan w:val="2"/>
          </w:tcPr>
          <w:p>
            <w:pPr>
              <w:spacing w:after="0"/>
              <w:rPr>
                <w:sz w:val="20"/>
                <w:szCs w:val="20"/>
                <w:color w:val="auto"/>
              </w:rPr>
            </w:pPr>
            <w:r>
              <w:rPr>
                <w:rFonts w:ascii="Arial" w:cs="Arial" w:eastAsia="Arial" w:hAnsi="Arial"/>
                <w:sz w:val="18"/>
                <w:szCs w:val="18"/>
                <w:color w:val="auto"/>
              </w:rPr>
              <w:t>FR LEESBURG PLAZA, LLC, a</w:t>
            </w: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rPr>
              <w:t>Sole member</w:t>
            </w: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Delaware corporation</w:t>
            </w:r>
          </w:p>
        </w:tc>
        <w:tc>
          <w:tcPr>
            <w:tcW w:w="10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800" w:type="dxa"/>
            <w:vAlign w:val="bottom"/>
            <w:gridSpan w:val="2"/>
          </w:tcPr>
          <w:p>
            <w:pPr>
              <w:spacing w:after="0"/>
              <w:rPr>
                <w:sz w:val="20"/>
                <w:szCs w:val="20"/>
                <w:color w:val="auto"/>
              </w:rPr>
            </w:pPr>
            <w:r>
              <w:rPr>
                <w:rFonts w:ascii="Arial" w:cs="Arial" w:eastAsia="Arial" w:hAnsi="Arial"/>
                <w:sz w:val="18"/>
                <w:szCs w:val="18"/>
                <w:color w:val="auto"/>
              </w:rPr>
              <w:t>FR LEESBURG PLAZA, LP, a</w:t>
            </w: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86"/>
              </w:rPr>
              <w:t>FR Leesburg Plaza,</w:t>
            </w:r>
          </w:p>
        </w:tc>
        <w:tc>
          <w:tcPr>
            <w:tcW w:w="12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w w:val="91"/>
              </w:rPr>
              <w:t>General partner</w:t>
            </w:r>
          </w:p>
        </w:tc>
        <w:tc>
          <w:tcPr>
            <w:tcW w:w="1220" w:type="dxa"/>
            <w:vAlign w:val="bottom"/>
            <w:gridSpan w:val="4"/>
          </w:tcPr>
          <w:p>
            <w:pPr>
              <w:jc w:val="right"/>
              <w:ind w:right="300"/>
              <w:spacing w:after="0"/>
              <w:rPr>
                <w:sz w:val="20"/>
                <w:szCs w:val="20"/>
                <w:color w:val="auto"/>
              </w:rPr>
            </w:pPr>
            <w:r>
              <w:rPr>
                <w:rFonts w:ascii="Arial" w:cs="Arial" w:eastAsia="Arial" w:hAnsi="Arial"/>
                <w:sz w:val="18"/>
                <w:szCs w:val="18"/>
                <w:color w:val="auto"/>
              </w:rPr>
              <w:t>319,233</w:t>
            </w:r>
          </w:p>
        </w:tc>
        <w:tc>
          <w:tcPr>
            <w:tcW w:w="2000" w:type="dxa"/>
            <w:vAlign w:val="bottom"/>
            <w:gridSpan w:val="2"/>
          </w:tcPr>
          <w:p>
            <w:pPr>
              <w:spacing w:after="0"/>
              <w:rPr>
                <w:sz w:val="20"/>
                <w:szCs w:val="20"/>
                <w:color w:val="auto"/>
              </w:rPr>
            </w:pPr>
            <w:r>
              <w:rPr>
                <w:rFonts w:ascii="Arial" w:cs="Arial" w:eastAsia="Arial" w:hAnsi="Arial"/>
                <w:sz w:val="18"/>
                <w:szCs w:val="18"/>
                <w:color w:val="auto"/>
              </w:rPr>
              <w:t>Excluded subsidiary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Delaware limited partnership</w:t>
            </w:r>
          </w:p>
        </w:tc>
        <w:tc>
          <w:tcPr>
            <w:tcW w:w="1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units</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(DownREIT)</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w w:val="96"/>
              </w:rPr>
              <w:t>Paulson Brothers,</w:t>
            </w:r>
          </w:p>
        </w:tc>
        <w:tc>
          <w:tcPr>
            <w:tcW w:w="12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w w:val="96"/>
              </w:rPr>
              <w:t>Limited partner</w:t>
            </w:r>
          </w:p>
        </w:tc>
        <w:tc>
          <w:tcPr>
            <w:tcW w:w="1220" w:type="dxa"/>
            <w:vAlign w:val="bottom"/>
            <w:gridSpan w:val="4"/>
          </w:tcPr>
          <w:p>
            <w:pPr>
              <w:jc w:val="right"/>
              <w:ind w:right="300"/>
              <w:spacing w:after="0"/>
              <w:rPr>
                <w:sz w:val="20"/>
                <w:szCs w:val="20"/>
                <w:color w:val="auto"/>
              </w:rPr>
            </w:pPr>
            <w:r>
              <w:rPr>
                <w:rFonts w:ascii="Arial" w:cs="Arial" w:eastAsia="Arial" w:hAnsi="Arial"/>
                <w:sz w:val="18"/>
                <w:szCs w:val="18"/>
                <w:color w:val="auto"/>
              </w:rPr>
              <w:t>33,267</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L.L.C.</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units</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20" w:type="dxa"/>
            <w:vAlign w:val="bottom"/>
            <w:vMerge w:val="restart"/>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2"/>
            <w:vMerge w:val="restart"/>
          </w:tcPr>
          <w:p>
            <w:pPr>
              <w:spacing w:after="0"/>
              <w:rPr>
                <w:sz w:val="20"/>
                <w:szCs w:val="20"/>
                <w:color w:val="auto"/>
              </w:rPr>
            </w:pPr>
            <w:r>
              <w:rPr>
                <w:rFonts w:ascii="Arial" w:cs="Arial" w:eastAsia="Arial" w:hAnsi="Arial"/>
                <w:sz w:val="18"/>
                <w:szCs w:val="18"/>
                <w:color w:val="auto"/>
                <w:w w:val="99"/>
              </w:rPr>
              <w:t>Owner of Non-Controlled</w:t>
            </w: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CONGRESSIONAL PLAZA</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Managing</w:t>
            </w:r>
          </w:p>
        </w:tc>
        <w:tc>
          <w:tcPr>
            <w:tcW w:w="12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64.1030%</w:t>
            </w:r>
          </w:p>
        </w:tc>
        <w:tc>
          <w:tcPr>
            <w:tcW w:w="2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ASSOCIATES, LLC, a Maryland</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member</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Property</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liability company</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Patrick M.</w:t>
            </w:r>
          </w:p>
        </w:tc>
        <w:tc>
          <w:tcPr>
            <w:tcW w:w="12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Member</w:t>
            </w:r>
          </w:p>
        </w:tc>
        <w:tc>
          <w:tcPr>
            <w:tcW w:w="12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5.7668%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tcPr>
          <w:p>
            <w:pPr>
              <w:ind w:left="100"/>
              <w:spacing w:after="0"/>
              <w:rPr>
                <w:sz w:val="20"/>
                <w:szCs w:val="20"/>
                <w:color w:val="auto"/>
              </w:rPr>
            </w:pPr>
            <w:r>
              <w:rPr>
                <w:rFonts w:ascii="Arial" w:cs="Arial" w:eastAsia="Arial" w:hAnsi="Arial"/>
                <w:sz w:val="18"/>
                <w:szCs w:val="18"/>
                <w:color w:val="auto"/>
              </w:rPr>
              <w:t>Congressional Plaza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O’Donnell</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vMerge w:val="restart"/>
          </w:tcPr>
          <w:p>
            <w:pPr>
              <w:ind w:left="100"/>
              <w:spacing w:after="0"/>
              <w:rPr>
                <w:sz w:val="20"/>
                <w:szCs w:val="20"/>
                <w:color w:val="auto"/>
              </w:rPr>
            </w:pPr>
            <w:r>
              <w:rPr>
                <w:rFonts w:ascii="Arial" w:cs="Arial" w:eastAsia="Arial" w:hAnsi="Arial"/>
                <w:sz w:val="18"/>
                <w:szCs w:val="18"/>
                <w:color w:val="auto"/>
              </w:rPr>
              <w:t>Shopping Center,</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8"/>
              </w:rPr>
              <w:t>Silberberg Family</w:t>
            </w:r>
          </w:p>
        </w:tc>
        <w:tc>
          <w:tcPr>
            <w:tcW w:w="120" w:type="dxa"/>
            <w:vAlign w:val="bottom"/>
            <w:shd w:val="clear" w:color="auto" w:fill="CCEEFF"/>
          </w:tcPr>
          <w:p>
            <w:pPr>
              <w:spacing w:after="0"/>
              <w:rPr>
                <w:sz w:val="6"/>
                <w:szCs w:val="6"/>
                <w:color w:val="auto"/>
              </w:rPr>
            </w:pPr>
          </w:p>
        </w:tc>
        <w:tc>
          <w:tcPr>
            <w:tcW w:w="11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Member</w:t>
            </w:r>
          </w:p>
        </w:tc>
        <w:tc>
          <w:tcPr>
            <w:tcW w:w="122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19.8847%</w:t>
            </w:r>
          </w:p>
        </w:tc>
        <w:tc>
          <w:tcPr>
            <w:tcW w:w="1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gridSpan w:val="3"/>
            <w:vMerge w:val="continue"/>
            <w:shd w:val="clear" w:color="auto" w:fill="CCEEFF"/>
          </w:tcPr>
          <w:p>
            <w:pPr>
              <w:spacing w:after="0"/>
              <w:rPr>
                <w:sz w:val="11"/>
                <w:szCs w:val="11"/>
                <w:color w:val="auto"/>
              </w:rPr>
            </w:pPr>
          </w:p>
        </w:tc>
        <w:tc>
          <w:tcPr>
            <w:tcW w:w="1220" w:type="dxa"/>
            <w:vAlign w:val="bottom"/>
            <w:gridSpan w:val="4"/>
            <w:vMerge w:val="continue"/>
            <w:shd w:val="clear" w:color="auto" w:fill="CCEEFF"/>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vMerge w:val="restart"/>
          </w:tcPr>
          <w:p>
            <w:pPr>
              <w:ind w:left="100"/>
              <w:spacing w:after="0"/>
              <w:rPr>
                <w:sz w:val="20"/>
                <w:szCs w:val="20"/>
                <w:color w:val="auto"/>
              </w:rPr>
            </w:pPr>
            <w:r>
              <w:rPr>
                <w:rFonts w:ascii="Arial" w:cs="Arial" w:eastAsia="Arial" w:hAnsi="Arial"/>
                <w:sz w:val="18"/>
                <w:szCs w:val="18"/>
                <w:color w:val="auto"/>
              </w:rPr>
              <w:t>Rockville, MD</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Partnership</w:t>
            </w: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8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820" w:type="dxa"/>
            <w:vAlign w:val="bottom"/>
            <w:vMerge w:val="restart"/>
          </w:tcPr>
          <w:p>
            <w:pPr>
              <w:ind w:left="100"/>
              <w:spacing w:after="0"/>
              <w:rPr>
                <w:sz w:val="20"/>
                <w:szCs w:val="20"/>
                <w:color w:val="auto"/>
              </w:rPr>
            </w:pPr>
            <w:r>
              <w:rPr>
                <w:rFonts w:ascii="Arial" w:cs="Arial" w:eastAsia="Arial" w:hAnsi="Arial"/>
                <w:sz w:val="18"/>
                <w:szCs w:val="18"/>
                <w:color w:val="auto"/>
              </w:rPr>
              <w:t>The Crest at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JSR Family LLC</w:t>
            </w:r>
          </w:p>
        </w:tc>
        <w:tc>
          <w:tcPr>
            <w:tcW w:w="12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spacing w:after="0" w:line="164" w:lineRule="exact"/>
              <w:rPr>
                <w:sz w:val="20"/>
                <w:szCs w:val="20"/>
                <w:color w:val="auto"/>
              </w:rPr>
            </w:pPr>
            <w:r>
              <w:rPr>
                <w:rFonts w:ascii="Arial" w:cs="Arial" w:eastAsia="Arial" w:hAnsi="Arial"/>
                <w:sz w:val="18"/>
                <w:szCs w:val="18"/>
                <w:color w:val="auto"/>
              </w:rPr>
              <w:t>Member</w:t>
            </w:r>
          </w:p>
        </w:tc>
        <w:tc>
          <w:tcPr>
            <w:tcW w:w="1220" w:type="dxa"/>
            <w:vAlign w:val="bottom"/>
            <w:gridSpan w:val="4"/>
            <w:shd w:val="clear" w:color="auto" w:fill="CCEEFF"/>
          </w:tcPr>
          <w:p>
            <w:pPr>
              <w:jc w:val="right"/>
              <w:ind w:right="160"/>
              <w:spacing w:after="0" w:line="164" w:lineRule="exact"/>
              <w:rPr>
                <w:sz w:val="20"/>
                <w:szCs w:val="20"/>
                <w:color w:val="auto"/>
              </w:rPr>
            </w:pPr>
            <w:r>
              <w:rPr>
                <w:rFonts w:ascii="Arial" w:cs="Arial" w:eastAsia="Arial" w:hAnsi="Arial"/>
                <w:sz w:val="18"/>
                <w:szCs w:val="18"/>
                <w:color w:val="auto"/>
              </w:rPr>
              <w:t>3.8158%</w:t>
            </w:r>
          </w:p>
        </w:tc>
        <w:tc>
          <w:tcPr>
            <w:tcW w:w="18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Congressional</w:t>
            </w:r>
          </w:p>
        </w:tc>
        <w:tc>
          <w:tcPr>
            <w:tcW w:w="120" w:type="dxa"/>
            <w:vAlign w:val="bottom"/>
            <w:shd w:val="clear" w:color="auto" w:fill="CCEEFF"/>
          </w:tcPr>
          <w:p>
            <w:pPr>
              <w:spacing w:after="0"/>
              <w:rPr>
                <w:sz w:val="11"/>
                <w:szCs w:val="11"/>
                <w:color w:val="auto"/>
              </w:rPr>
            </w:pPr>
          </w:p>
        </w:tc>
        <w:tc>
          <w:tcPr>
            <w:tcW w:w="118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Member</w:t>
            </w:r>
          </w:p>
        </w:tc>
        <w:tc>
          <w:tcPr>
            <w:tcW w:w="100" w:type="dxa"/>
            <w:vAlign w:val="bottom"/>
            <w:shd w:val="clear" w:color="auto" w:fill="CCEEFF"/>
          </w:tcPr>
          <w:p>
            <w:pPr>
              <w:spacing w:after="0"/>
              <w:rPr>
                <w:sz w:val="11"/>
                <w:szCs w:val="11"/>
                <w:color w:val="auto"/>
              </w:rPr>
            </w:pPr>
          </w:p>
        </w:tc>
        <w:tc>
          <w:tcPr>
            <w:tcW w:w="11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5.0951%</w:t>
            </w:r>
          </w:p>
        </w:tc>
        <w:tc>
          <w:tcPr>
            <w:tcW w:w="180" w:type="dxa"/>
            <w:vAlign w:val="bottom"/>
          </w:tcPr>
          <w:p>
            <w:pPr>
              <w:spacing w:after="0"/>
              <w:rPr>
                <w:sz w:val="11"/>
                <w:szCs w:val="11"/>
                <w:color w:val="auto"/>
              </w:rPr>
            </w:pPr>
          </w:p>
        </w:tc>
        <w:tc>
          <w:tcPr>
            <w:tcW w:w="1820" w:type="dxa"/>
            <w:vAlign w:val="bottom"/>
          </w:tcPr>
          <w:p>
            <w:pPr>
              <w:ind w:left="100"/>
              <w:spacing w:after="0" w:line="127" w:lineRule="exact"/>
              <w:rPr>
                <w:sz w:val="20"/>
                <w:szCs w:val="20"/>
                <w:color w:val="auto"/>
              </w:rPr>
            </w:pPr>
            <w:r>
              <w:rPr>
                <w:rFonts w:ascii="Arial" w:cs="Arial" w:eastAsia="Arial" w:hAnsi="Arial"/>
                <w:sz w:val="14"/>
                <w:szCs w:val="14"/>
                <w:color w:val="auto"/>
              </w:rPr>
              <w:t>Congressional Plaza,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gridSpan w:val="3"/>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3"/>
            <w:vMerge w:val="continue"/>
            <w:shd w:val="clear" w:color="auto" w:fill="CCEEFF"/>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vMerge w:val="restart"/>
          </w:tcPr>
          <w:p>
            <w:pPr>
              <w:ind w:left="100"/>
              <w:spacing w:after="0"/>
              <w:rPr>
                <w:sz w:val="20"/>
                <w:szCs w:val="20"/>
                <w:color w:val="auto"/>
              </w:rPr>
            </w:pPr>
            <w:r>
              <w:rPr>
                <w:rFonts w:ascii="Arial" w:cs="Arial" w:eastAsia="Arial" w:hAnsi="Arial"/>
                <w:sz w:val="18"/>
                <w:szCs w:val="18"/>
                <w:color w:val="auto"/>
              </w:rPr>
              <w:t>Rockville, MD</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Plaza One, LLC</w:t>
            </w: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8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Daniel Lyons</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Member</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1.3346%</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800" w:type="dxa"/>
            <w:vAlign w:val="bottom"/>
            <w:gridSpan w:val="2"/>
          </w:tcPr>
          <w:p>
            <w:pPr>
              <w:spacing w:after="0"/>
              <w:rPr>
                <w:sz w:val="20"/>
                <w:szCs w:val="20"/>
                <w:color w:val="auto"/>
              </w:rPr>
            </w:pPr>
            <w:r>
              <w:rPr>
                <w:rFonts w:ascii="Arial" w:cs="Arial" w:eastAsia="Arial" w:hAnsi="Arial"/>
                <w:sz w:val="18"/>
                <w:szCs w:val="18"/>
                <w:color w:val="auto"/>
              </w:rPr>
              <w:t>FEDERAL REALTY</w:t>
            </w: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w w:val="87"/>
              </w:rPr>
              <w:t>Sole stockholder</w:t>
            </w: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MANAGEMENT SERVICES,</w:t>
            </w:r>
          </w:p>
        </w:tc>
        <w:tc>
          <w:tcPr>
            <w:tcW w:w="1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INC., a Delaware corporation</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800" w:type="dxa"/>
            <w:vAlign w:val="bottom"/>
            <w:gridSpan w:val="2"/>
          </w:tcPr>
          <w:p>
            <w:pPr>
              <w:spacing w:after="0"/>
              <w:rPr>
                <w:sz w:val="20"/>
                <w:szCs w:val="20"/>
                <w:color w:val="auto"/>
              </w:rPr>
            </w:pPr>
            <w:r>
              <w:rPr>
                <w:rFonts w:ascii="Arial" w:cs="Arial" w:eastAsia="Arial" w:hAnsi="Arial"/>
                <w:sz w:val="18"/>
                <w:szCs w:val="18"/>
                <w:color w:val="auto"/>
                <w:w w:val="98"/>
              </w:rPr>
              <w:t>FRIT LEASING &amp; DEVELOPMENT</w:t>
            </w: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w w:val="87"/>
              </w:rPr>
              <w:t>Sole stockholder</w:t>
            </w: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SERVICES, INC., a Delaware</w:t>
            </w:r>
          </w:p>
        </w:tc>
        <w:tc>
          <w:tcPr>
            <w:tcW w:w="1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corporation</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800" w:type="dxa"/>
            <w:vAlign w:val="bottom"/>
            <w:gridSpan w:val="2"/>
          </w:tcPr>
          <w:p>
            <w:pPr>
              <w:spacing w:after="0"/>
              <w:rPr>
                <w:sz w:val="20"/>
                <w:szCs w:val="20"/>
                <w:color w:val="auto"/>
              </w:rPr>
            </w:pPr>
            <w:r>
              <w:rPr>
                <w:rFonts w:ascii="Arial" w:cs="Arial" w:eastAsia="Arial" w:hAnsi="Arial"/>
                <w:sz w:val="18"/>
                <w:szCs w:val="18"/>
                <w:color w:val="auto"/>
                <w:w w:val="97"/>
              </w:rPr>
              <w:t>FRIT SANTANA ROW TRS, INC., a</w:t>
            </w: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FRIT Leasing &amp;</w:t>
            </w:r>
          </w:p>
        </w:tc>
        <w:tc>
          <w:tcPr>
            <w:tcW w:w="12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w w:val="87"/>
              </w:rPr>
              <w:t>Sole stockholder</w:t>
            </w: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Delaware corporation</w:t>
            </w:r>
          </w:p>
        </w:tc>
        <w:tc>
          <w:tcPr>
            <w:tcW w:w="1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Development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Services, Inc.</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800" w:type="dxa"/>
            <w:vAlign w:val="bottom"/>
            <w:gridSpan w:val="2"/>
          </w:tcPr>
          <w:p>
            <w:pPr>
              <w:spacing w:after="0"/>
              <w:rPr>
                <w:sz w:val="20"/>
                <w:szCs w:val="20"/>
                <w:color w:val="auto"/>
              </w:rPr>
            </w:pPr>
            <w:r>
              <w:rPr>
                <w:rFonts w:ascii="Arial" w:cs="Arial" w:eastAsia="Arial" w:hAnsi="Arial"/>
                <w:sz w:val="18"/>
                <w:szCs w:val="18"/>
                <w:color w:val="auto"/>
              </w:rPr>
              <w:t>FEDERAL REALTY PARTNERS,</w:t>
            </w: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Federal Realty</w:t>
            </w:r>
          </w:p>
        </w:tc>
        <w:tc>
          <w:tcPr>
            <w:tcW w:w="12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w w:val="87"/>
              </w:rPr>
              <w:t>Sole stockholder</w:t>
            </w: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INC., a Delaware corporation</w:t>
            </w:r>
          </w:p>
        </w:tc>
        <w:tc>
          <w:tcPr>
            <w:tcW w:w="10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Investment Trust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-4534535</wp:posOffset>
            </wp:positionV>
            <wp:extent cx="7246620" cy="274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-1233170</wp:posOffset>
            </wp:positionV>
            <wp:extent cx="7246620" cy="4114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74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2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5"/>
        <w:spacing w:after="0"/>
        <w:rPr>
          <w:sz w:val="20"/>
          <w:szCs w:val="20"/>
          <w:color w:val="auto"/>
        </w:rPr>
      </w:pPr>
      <w:r>
        <w:rPr>
          <w:rFonts w:ascii="Arial" w:cs="Arial" w:eastAsia="Arial" w:hAnsi="Arial"/>
          <w:sz w:val="12"/>
          <w:szCs w:val="12"/>
          <w:b w:val="1"/>
          <w:bCs w:val="1"/>
          <w:color w:val="auto"/>
        </w:rPr>
        <w:t>Liens, Options, Registration Rights,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15779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17" w:lineRule="exact"/>
        <w:rPr>
          <w:sz w:val="20"/>
          <w:szCs w:val="20"/>
          <w:color w:val="auto"/>
        </w:rPr>
      </w:pPr>
    </w:p>
    <w:p>
      <w:pPr>
        <w:ind w:left="5"/>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285" w:right="40" w:hanging="285"/>
        <w:spacing w:after="0" w:line="283" w:lineRule="auto"/>
        <w:tabs>
          <w:tab w:leader="none" w:pos="28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Right to exchange partnership units for Federal Realty shares or cash (at Federal Realty’s option); and</w:t>
      </w:r>
    </w:p>
    <w:p>
      <w:pPr>
        <w:spacing w:after="0" w:line="2" w:lineRule="exact"/>
        <w:rPr>
          <w:rFonts w:ascii="Arial" w:cs="Arial" w:eastAsia="Arial" w:hAnsi="Arial"/>
          <w:sz w:val="16"/>
          <w:szCs w:val="16"/>
          <w:color w:val="auto"/>
        </w:rPr>
      </w:pPr>
    </w:p>
    <w:p>
      <w:pPr>
        <w:ind w:left="285" w:right="160" w:hanging="285"/>
        <w:spacing w:after="0" w:line="331" w:lineRule="auto"/>
        <w:tabs>
          <w:tab w:leader="none" w:pos="285" w:val="left"/>
        </w:tabs>
        <w:numPr>
          <w:ilvl w:val="0"/>
          <w:numId w:val="123"/>
        </w:numPr>
        <w:rPr>
          <w:rFonts w:ascii="Arial" w:cs="Arial" w:eastAsia="Arial" w:hAnsi="Arial"/>
          <w:sz w:val="15"/>
          <w:szCs w:val="15"/>
          <w:color w:val="auto"/>
        </w:rPr>
      </w:pPr>
      <w:r>
        <w:rPr>
          <w:rFonts w:ascii="Arial" w:cs="Arial" w:eastAsia="Arial" w:hAnsi="Arial"/>
          <w:sz w:val="15"/>
          <w:szCs w:val="15"/>
          <w:color w:val="auto"/>
        </w:rPr>
        <w:t>Registration rights for shares issued on redemption of partnership units.</w:t>
      </w:r>
    </w:p>
    <w:p>
      <w:pPr>
        <w:spacing w:after="0" w:line="49" w:lineRule="exact"/>
        <w:rPr>
          <w:rFonts w:ascii="Arial" w:cs="Arial" w:eastAsia="Arial" w:hAnsi="Arial"/>
          <w:sz w:val="15"/>
          <w:szCs w:val="15"/>
          <w:color w:val="auto"/>
        </w:rPr>
      </w:pPr>
    </w:p>
    <w:p>
      <w:pPr>
        <w:ind w:left="285" w:hanging="285"/>
        <w:spacing w:after="0" w:line="308" w:lineRule="auto"/>
        <w:tabs>
          <w:tab w:leader="none" w:pos="285" w:val="left"/>
        </w:tabs>
        <w:numPr>
          <w:ilvl w:val="0"/>
          <w:numId w:val="123"/>
        </w:numPr>
        <w:rPr>
          <w:rFonts w:ascii="Arial" w:cs="Arial" w:eastAsia="Arial" w:hAnsi="Arial"/>
          <w:sz w:val="15"/>
          <w:szCs w:val="15"/>
          <w:color w:val="auto"/>
        </w:rPr>
      </w:pPr>
      <w:r>
        <w:rPr>
          <w:rFonts w:ascii="Arial" w:cs="Arial" w:eastAsia="Arial" w:hAnsi="Arial"/>
          <w:sz w:val="15"/>
          <w:szCs w:val="15"/>
          <w:color w:val="auto"/>
        </w:rPr>
        <w:t>Patrick M. O’Donnell, Silberberg Family Partnership and JSR Family LLC. permitted transferees of Rockville Plaza Company (“Permitted Transferees”) have right to require other partners to buy 18.75% or greater of all of the Permitted Transferees’ ownership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-1337310</wp:posOffset>
            </wp:positionH>
            <wp:positionV relativeFrom="paragraph">
              <wp:posOffset>-1399540</wp:posOffset>
            </wp:positionV>
            <wp:extent cx="2915920" cy="13722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915920" cy="1372235"/>
                    </a:xfrm>
                    <a:prstGeom prst="rect">
                      <a:avLst/>
                    </a:prstGeom>
                    <a:noFill/>
                  </pic:spPr>
                </pic:pic>
              </a:graphicData>
            </a:graphic>
          </wp:anchor>
        </w:drawing>
      </w:r>
    </w:p>
    <w:p>
      <w:pPr>
        <w:spacing w:after="0" w:line="35" w:lineRule="exact"/>
        <w:rPr>
          <w:sz w:val="20"/>
          <w:szCs w:val="20"/>
          <w:color w:val="auto"/>
        </w:rPr>
      </w:pPr>
    </w:p>
    <w:p>
      <w:pPr>
        <w:ind w:left="5"/>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ind w:left="5"/>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ind w:left="5"/>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ind w:left="5"/>
        <w:spacing w:after="0"/>
        <w:rPr>
          <w:sz w:val="20"/>
          <w:szCs w:val="20"/>
          <w:color w:val="auto"/>
        </w:rPr>
      </w:pPr>
      <w:r>
        <w:rPr>
          <w:rFonts w:ascii="Arial" w:cs="Arial" w:eastAsia="Arial" w:hAnsi="Arial"/>
          <w:sz w:val="18"/>
          <w:szCs w:val="18"/>
          <w:color w:val="auto"/>
        </w:rPr>
        <w:t>None</w:t>
      </w:r>
    </w:p>
    <w:p>
      <w:pPr>
        <w:sectPr>
          <w:pgSz w:w="11900" w:h="16838" w:orient="portrait"/>
          <w:cols w:equalWidth="0" w:num="2">
            <w:col w:w="8820" w:space="115"/>
            <w:col w:w="2465"/>
          </w:cols>
          <w:pgMar w:left="240" w:top="257" w:right="25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Material and/or</w:t>
            </w:r>
          </w:p>
        </w:tc>
        <w:tc>
          <w:tcPr>
            <w:tcW w:w="2480" w:type="dxa"/>
            <w:vAlign w:val="bottom"/>
          </w:tcPr>
          <w:p>
            <w:pPr>
              <w:spacing w:after="0"/>
              <w:rPr>
                <w:sz w:val="14"/>
                <w:szCs w:val="14"/>
                <w:color w:val="auto"/>
              </w:rPr>
            </w:pPr>
          </w:p>
        </w:tc>
      </w:tr>
      <w:tr>
        <w:trPr>
          <w:trHeight w:val="149"/>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Nature of</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Excluded Subsidiary,</w:t>
            </w:r>
          </w:p>
        </w:tc>
        <w:tc>
          <w:tcPr>
            <w:tcW w:w="2480" w:type="dxa"/>
            <w:vAlign w:val="bottom"/>
          </w:tcPr>
          <w:p>
            <w:pPr>
              <w:spacing w:after="0"/>
              <w:rPr>
                <w:sz w:val="12"/>
                <w:szCs w:val="12"/>
                <w:color w:val="auto"/>
              </w:rPr>
            </w:pPr>
          </w:p>
        </w:tc>
      </w:tr>
      <w:tr>
        <w:trPr>
          <w:trHeight w:val="149"/>
        </w:trPr>
        <w:tc>
          <w:tcPr>
            <w:tcW w:w="2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ENTITY NAME/Jurisdiction of</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Equity</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Non-Controlled</w:t>
            </w:r>
          </w:p>
        </w:tc>
        <w:tc>
          <w:tcPr>
            <w:tcW w:w="2480" w:type="dxa"/>
            <w:vAlign w:val="bottom"/>
          </w:tcPr>
          <w:p>
            <w:pPr>
              <w:spacing w:after="0"/>
              <w:rPr>
                <w:sz w:val="12"/>
                <w:szCs w:val="12"/>
                <w:color w:val="auto"/>
              </w:rPr>
            </w:pPr>
          </w:p>
        </w:tc>
      </w:tr>
      <w:tr>
        <w:trPr>
          <w:trHeight w:val="175"/>
        </w:trPr>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0"/>
              </w:rPr>
              <w:t>Formation</w:t>
            </w:r>
          </w:p>
        </w:tc>
        <w:tc>
          <w:tcPr>
            <w:tcW w:w="120" w:type="dxa"/>
            <w:vAlign w:val="bottom"/>
          </w:tcPr>
          <w:p>
            <w:pPr>
              <w:spacing w:after="0"/>
              <w:rPr>
                <w:sz w:val="15"/>
                <w:szCs w:val="15"/>
                <w:color w:val="auto"/>
              </w:rPr>
            </w:pPr>
          </w:p>
        </w:tc>
        <w:tc>
          <w:tcPr>
            <w:tcW w:w="1400" w:type="dxa"/>
            <w:vAlign w:val="bottom"/>
          </w:tcPr>
          <w:p>
            <w:pPr>
              <w:ind w:left="260"/>
              <w:spacing w:after="0"/>
              <w:rPr>
                <w:sz w:val="20"/>
                <w:szCs w:val="20"/>
                <w:color w:val="auto"/>
              </w:rPr>
            </w:pPr>
            <w:r>
              <w:rPr>
                <w:rFonts w:ascii="Arial" w:cs="Arial" w:eastAsia="Arial" w:hAnsi="Arial"/>
                <w:sz w:val="14"/>
                <w:szCs w:val="14"/>
                <w:b w:val="1"/>
                <w:bCs w:val="1"/>
                <w:color w:val="auto"/>
              </w:rPr>
              <w:t>Equity Holders</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1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 Ownership</w:t>
            </w: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Property</w:t>
            </w:r>
          </w:p>
        </w:tc>
        <w:tc>
          <w:tcPr>
            <w:tcW w:w="2480" w:type="dxa"/>
            <w:vAlign w:val="bottom"/>
          </w:tcPr>
          <w:p>
            <w:pPr>
              <w:ind w:left="80"/>
              <w:spacing w:after="0"/>
              <w:rPr>
                <w:sz w:val="20"/>
                <w:szCs w:val="20"/>
                <w:color w:val="auto"/>
              </w:rPr>
            </w:pPr>
            <w:r>
              <w:rPr>
                <w:rFonts w:ascii="Arial" w:cs="Arial" w:eastAsia="Arial" w:hAnsi="Arial"/>
                <w:sz w:val="14"/>
                <w:szCs w:val="14"/>
                <w:b w:val="1"/>
                <w:bCs w:val="1"/>
                <w:color w:val="auto"/>
                <w:w w:val="89"/>
              </w:rPr>
              <w:t>Liens, Options, Registration Rights, etc.</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r>
    </w:tbl>
    <w:p>
      <w:pPr>
        <w:spacing w:after="0" w:line="86" w:lineRule="exact"/>
        <w:rPr>
          <w:sz w:val="20"/>
          <w:szCs w:val="20"/>
          <w:color w:val="auto"/>
        </w:rPr>
      </w:pPr>
    </w:p>
    <w:p>
      <w:pPr>
        <w:sectPr>
          <w:pgSz w:w="11900" w:h="16838" w:orient="portrait"/>
          <w:cols w:equalWidth="0" w:num="1">
            <w:col w:w="11420"/>
          </w:cols>
          <w:pgMar w:left="240" w:top="274" w:right="239" w:bottom="1440" w:gutter="0" w:footer="0" w:header="0"/>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1"/>
              </w:rPr>
              <w:t>FEDERAL REALTY PARTNERS L.P.,</w:t>
            </w:r>
          </w:p>
        </w:tc>
        <w:tc>
          <w:tcPr>
            <w:tcW w:w="1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 Realty</w:t>
            </w: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partner</w:t>
            </w: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722,795</w:t>
            </w:r>
          </w:p>
        </w:tc>
        <w:tc>
          <w:tcPr>
            <w:tcW w:w="1380" w:type="dxa"/>
            <w:vAlign w:val="bottom"/>
          </w:tcPr>
          <w:p>
            <w:pPr>
              <w:spacing w:after="0"/>
              <w:rPr>
                <w:sz w:val="20"/>
                <w:szCs w:val="20"/>
                <w:color w:val="auto"/>
              </w:rPr>
            </w:pPr>
            <w:r>
              <w:rPr>
                <w:rFonts w:ascii="Arial" w:cs="Arial" w:eastAsia="Arial" w:hAnsi="Arial"/>
                <w:sz w:val="18"/>
                <w:szCs w:val="18"/>
                <w:color w:val="auto"/>
              </w:rPr>
              <w:t>Guarantor</w:t>
            </w:r>
          </w:p>
        </w:tc>
      </w:tr>
      <w:tr>
        <w:trPr>
          <w:trHeight w:val="216"/>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 Delaware limited partnership</w:t>
            </w:r>
          </w:p>
        </w:tc>
        <w:tc>
          <w:tcPr>
            <w:tcW w:w="1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Partners, Inc.</w:t>
            </w:r>
          </w:p>
        </w:tc>
        <w:tc>
          <w:tcPr>
            <w:tcW w:w="1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units</w:t>
            </w:r>
          </w:p>
        </w:tc>
        <w:tc>
          <w:tcPr>
            <w:tcW w:w="1380" w:type="dxa"/>
            <w:vAlign w:val="bottom"/>
          </w:tcPr>
          <w:p>
            <w:pPr>
              <w:spacing w:after="0"/>
              <w:rPr>
                <w:sz w:val="20"/>
                <w:szCs w:val="20"/>
                <w:color w:val="auto"/>
              </w:rPr>
            </w:pPr>
            <w:r>
              <w:rPr>
                <w:rFonts w:ascii="Arial" w:cs="Arial" w:eastAsia="Arial" w:hAnsi="Arial"/>
                <w:sz w:val="18"/>
                <w:szCs w:val="18"/>
                <w:color w:val="auto"/>
                <w:w w:val="88"/>
              </w:rPr>
              <w:t>Material Subsidiary</w:t>
            </w:r>
          </w:p>
        </w:tc>
      </w:tr>
      <w:tr>
        <w:trPr>
          <w:trHeight w:val="222"/>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(Master DownREIT)</w:t>
            </w:r>
          </w:p>
        </w:tc>
        <w:tc>
          <w:tcPr>
            <w:tcW w:w="15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80" w:type="dxa"/>
            <w:vAlign w:val="bottom"/>
          </w:tcPr>
          <w:p>
            <w:pPr>
              <w:spacing w:after="0"/>
              <w:rPr>
                <w:sz w:val="19"/>
                <w:szCs w:val="19"/>
                <w:color w:val="auto"/>
              </w:rPr>
            </w:pPr>
          </w:p>
        </w:tc>
      </w:tr>
      <w:tr>
        <w:trPr>
          <w:trHeight w:val="257"/>
        </w:trPr>
        <w:tc>
          <w:tcPr>
            <w:tcW w:w="2800" w:type="dxa"/>
            <w:vAlign w:val="bottom"/>
            <w:shd w:val="clear" w:color="auto" w:fill="CCEEFF"/>
          </w:tcPr>
          <w:p>
            <w:pPr>
              <w:spacing w:after="0"/>
              <w:rPr>
                <w:sz w:val="22"/>
                <w:szCs w:val="22"/>
                <w:color w:val="auto"/>
              </w:rPr>
            </w:pPr>
          </w:p>
        </w:tc>
        <w:tc>
          <w:tcPr>
            <w:tcW w:w="1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FRLP, Inc.</w:t>
            </w: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Limited partner</w:t>
            </w: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40 units</w:t>
            </w:r>
          </w:p>
        </w:tc>
        <w:tc>
          <w:tcPr>
            <w:tcW w:w="1380" w:type="dxa"/>
            <w:vAlign w:val="bottom"/>
          </w:tcPr>
          <w:p>
            <w:pPr>
              <w:spacing w:after="0"/>
              <w:rPr>
                <w:sz w:val="22"/>
                <w:szCs w:val="22"/>
                <w:color w:val="auto"/>
              </w:rPr>
            </w:pPr>
          </w:p>
        </w:tc>
      </w:tr>
      <w:tr>
        <w:trPr>
          <w:trHeight w:val="345"/>
        </w:trPr>
        <w:tc>
          <w:tcPr>
            <w:tcW w:w="2800" w:type="dxa"/>
            <w:vAlign w:val="bottom"/>
            <w:shd w:val="clear" w:color="auto" w:fill="CCEEFF"/>
          </w:tcPr>
          <w:p>
            <w:pPr>
              <w:spacing w:after="0"/>
              <w:rPr>
                <w:sz w:val="24"/>
                <w:szCs w:val="24"/>
                <w:color w:val="auto"/>
              </w:rPr>
            </w:pPr>
          </w:p>
        </w:tc>
        <w:tc>
          <w:tcPr>
            <w:tcW w:w="1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8 separate limited</w:t>
            </w: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Limited partner</w:t>
            </w: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138,793</w:t>
            </w:r>
          </w:p>
        </w:tc>
        <w:tc>
          <w:tcPr>
            <w:tcW w:w="1380" w:type="dxa"/>
            <w:vAlign w:val="bottom"/>
          </w:tcPr>
          <w:p>
            <w:pPr>
              <w:spacing w:after="0"/>
              <w:rPr>
                <w:sz w:val="24"/>
                <w:szCs w:val="24"/>
                <w:color w:val="auto"/>
              </w:rPr>
            </w:pPr>
          </w:p>
        </w:tc>
      </w:tr>
      <w:tr>
        <w:trPr>
          <w:trHeight w:val="222"/>
        </w:trPr>
        <w:tc>
          <w:tcPr>
            <w:tcW w:w="2800" w:type="dxa"/>
            <w:vAlign w:val="bottom"/>
            <w:shd w:val="clear" w:color="auto" w:fill="CCEEFF"/>
          </w:tcPr>
          <w:p>
            <w:pPr>
              <w:spacing w:after="0"/>
              <w:rPr>
                <w:sz w:val="19"/>
                <w:szCs w:val="19"/>
                <w:color w:val="auto"/>
              </w:rPr>
            </w:pPr>
          </w:p>
        </w:tc>
        <w:tc>
          <w:tcPr>
            <w:tcW w:w="1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partners</w:t>
            </w:r>
          </w:p>
        </w:tc>
        <w:tc>
          <w:tcPr>
            <w:tcW w:w="1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units</w:t>
            </w:r>
          </w:p>
        </w:tc>
        <w:tc>
          <w:tcPr>
            <w:tcW w:w="1380" w:type="dxa"/>
            <w:vAlign w:val="bottom"/>
          </w:tcPr>
          <w:p>
            <w:pPr>
              <w:spacing w:after="0"/>
              <w:rPr>
                <w:sz w:val="19"/>
                <w:szCs w:val="19"/>
                <w:color w:val="auto"/>
              </w:rPr>
            </w:pPr>
          </w:p>
        </w:tc>
      </w:tr>
      <w:tr>
        <w:trPr>
          <w:trHeight w:val="272"/>
        </w:trPr>
        <w:tc>
          <w:tcPr>
            <w:tcW w:w="28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80" w:type="dxa"/>
            <w:vAlign w:val="bottom"/>
          </w:tcPr>
          <w:p>
            <w:pPr>
              <w:spacing w:after="0"/>
              <w:rPr>
                <w:sz w:val="23"/>
                <w:szCs w:val="23"/>
                <w:color w:val="auto"/>
              </w:rPr>
            </w:pPr>
          </w:p>
        </w:tc>
      </w:tr>
      <w:tr>
        <w:trPr>
          <w:trHeight w:val="316"/>
        </w:trPr>
        <w:tc>
          <w:tcPr>
            <w:tcW w:w="2800" w:type="dxa"/>
            <w:vAlign w:val="bottom"/>
          </w:tcPr>
          <w:p>
            <w:pPr>
              <w:spacing w:after="0"/>
              <w:rPr>
                <w:sz w:val="20"/>
                <w:szCs w:val="20"/>
                <w:color w:val="auto"/>
              </w:rPr>
            </w:pPr>
            <w:r>
              <w:rPr>
                <w:rFonts w:ascii="Arial" w:cs="Arial" w:eastAsia="Arial" w:hAnsi="Arial"/>
                <w:sz w:val="18"/>
                <w:szCs w:val="18"/>
                <w:color w:val="auto"/>
                <w:w w:val="96"/>
              </w:rPr>
              <w:t>FRLP, INC., a Delaware corporation</w:t>
            </w:r>
          </w:p>
        </w:tc>
        <w:tc>
          <w:tcPr>
            <w:tcW w:w="1520" w:type="dxa"/>
            <w:vAlign w:val="bottom"/>
          </w:tcPr>
          <w:p>
            <w:pPr>
              <w:ind w:left="120"/>
              <w:spacing w:after="0"/>
              <w:rPr>
                <w:sz w:val="20"/>
                <w:szCs w:val="20"/>
                <w:color w:val="auto"/>
              </w:rPr>
            </w:pPr>
            <w:r>
              <w:rPr>
                <w:rFonts w:ascii="Arial" w:cs="Arial" w:eastAsia="Arial" w:hAnsi="Arial"/>
                <w:sz w:val="18"/>
                <w:szCs w:val="18"/>
                <w:color w:val="auto"/>
              </w:rPr>
              <w:t>Federal Realty</w:t>
            </w:r>
          </w:p>
        </w:tc>
        <w:tc>
          <w:tcPr>
            <w:tcW w:w="1460" w:type="dxa"/>
            <w:vAlign w:val="bottom"/>
          </w:tcPr>
          <w:p>
            <w:pPr>
              <w:ind w:left="100"/>
              <w:spacing w:after="0"/>
              <w:rPr>
                <w:sz w:val="20"/>
                <w:szCs w:val="20"/>
                <w:color w:val="auto"/>
              </w:rPr>
            </w:pPr>
            <w:r>
              <w:rPr>
                <w:rFonts w:ascii="Arial" w:cs="Arial" w:eastAsia="Arial" w:hAnsi="Arial"/>
                <w:sz w:val="18"/>
                <w:szCs w:val="18"/>
                <w:color w:val="auto"/>
              </w:rPr>
              <w:t>Sole stockholder</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100%</w:t>
            </w:r>
          </w:p>
        </w:tc>
        <w:tc>
          <w:tcPr>
            <w:tcW w:w="1380" w:type="dxa"/>
            <w:vAlign w:val="bottom"/>
          </w:tcPr>
          <w:p>
            <w:pPr>
              <w:spacing w:after="0"/>
              <w:rPr>
                <w:sz w:val="24"/>
                <w:szCs w:val="24"/>
                <w:color w:val="auto"/>
              </w:rPr>
            </w:pPr>
          </w:p>
        </w:tc>
      </w:tr>
      <w:tr>
        <w:trPr>
          <w:trHeight w:val="222"/>
        </w:trPr>
        <w:tc>
          <w:tcPr>
            <w:tcW w:w="2800" w:type="dxa"/>
            <w:vAlign w:val="bottom"/>
          </w:tcPr>
          <w:p>
            <w:pPr>
              <w:spacing w:after="0"/>
              <w:rPr>
                <w:sz w:val="19"/>
                <w:szCs w:val="19"/>
                <w:color w:val="auto"/>
              </w:rPr>
            </w:pPr>
          </w:p>
        </w:tc>
        <w:tc>
          <w:tcPr>
            <w:tcW w:w="1520" w:type="dxa"/>
            <w:vAlign w:val="bottom"/>
          </w:tcPr>
          <w:p>
            <w:pPr>
              <w:ind w:left="120"/>
              <w:spacing w:after="0"/>
              <w:rPr>
                <w:sz w:val="20"/>
                <w:szCs w:val="20"/>
                <w:color w:val="auto"/>
              </w:rPr>
            </w:pPr>
            <w:r>
              <w:rPr>
                <w:rFonts w:ascii="Arial" w:cs="Arial" w:eastAsia="Arial" w:hAnsi="Arial"/>
                <w:sz w:val="18"/>
                <w:szCs w:val="18"/>
                <w:color w:val="auto"/>
              </w:rPr>
              <w:t>Investment Trust</w:t>
            </w:r>
          </w:p>
        </w:tc>
        <w:tc>
          <w:tcPr>
            <w:tcW w:w="1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ind w:left="285" w:right="60" w:hanging="285"/>
        <w:spacing w:after="0" w:line="283" w:lineRule="auto"/>
        <w:tabs>
          <w:tab w:leader="none" w:pos="28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Right to exchange partnership units for Federal Realty shares or cash (at Federal Realty’s option); and</w:t>
      </w:r>
    </w:p>
    <w:p>
      <w:pPr>
        <w:spacing w:after="0" w:line="2" w:lineRule="exact"/>
        <w:rPr>
          <w:rFonts w:ascii="Arial" w:cs="Arial" w:eastAsia="Arial" w:hAnsi="Arial"/>
          <w:sz w:val="16"/>
          <w:szCs w:val="16"/>
          <w:color w:val="auto"/>
        </w:rPr>
      </w:pPr>
    </w:p>
    <w:p>
      <w:pPr>
        <w:ind w:left="285" w:right="80" w:hanging="285"/>
        <w:spacing w:after="0" w:line="295" w:lineRule="auto"/>
        <w:tabs>
          <w:tab w:leader="none" w:pos="28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Holders of 100,259 units have registration rights for shares issued on redemption of partnership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-1121410</wp:posOffset>
            </wp:positionV>
            <wp:extent cx="2898775" cy="11061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98775" cy="1106170"/>
                    </a:xfrm>
                    <a:prstGeom prst="rect">
                      <a:avLst/>
                    </a:prstGeom>
                    <a:noFill/>
                  </pic:spPr>
                </pic:pic>
              </a:graphicData>
            </a:graphic>
          </wp:anchor>
        </w:drawing>
      </w:r>
    </w:p>
    <w:p>
      <w:pPr>
        <w:spacing w:after="0" w:line="55" w:lineRule="exact"/>
        <w:rPr>
          <w:sz w:val="20"/>
          <w:szCs w:val="20"/>
          <w:color w:val="auto"/>
        </w:rPr>
      </w:pPr>
    </w:p>
    <w:p>
      <w:pPr>
        <w:ind w:left="5"/>
        <w:spacing w:after="0"/>
        <w:rPr>
          <w:sz w:val="20"/>
          <w:szCs w:val="20"/>
          <w:color w:val="auto"/>
        </w:rPr>
      </w:pPr>
      <w:r>
        <w:rPr>
          <w:rFonts w:ascii="Arial" w:cs="Arial" w:eastAsia="Arial" w:hAnsi="Arial"/>
          <w:sz w:val="18"/>
          <w:szCs w:val="18"/>
          <w:color w:val="auto"/>
        </w:rPr>
        <w:t>None</w:t>
      </w:r>
    </w:p>
    <w:p>
      <w:pPr>
        <w:spacing w:after="0" w:line="341" w:lineRule="exact"/>
        <w:rPr>
          <w:sz w:val="20"/>
          <w:szCs w:val="20"/>
          <w:color w:val="auto"/>
        </w:rPr>
      </w:pPr>
    </w:p>
    <w:p>
      <w:pPr>
        <w:sectPr>
          <w:pgSz w:w="11900" w:h="16838" w:orient="portrait"/>
          <w:cols w:equalWidth="0" w:num="2">
            <w:col w:w="8240" w:space="695"/>
            <w:col w:w="2485"/>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FR CROW CANYON, INC. F/K/A</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 Realty</w:t>
            </w:r>
          </w:p>
        </w:tc>
        <w:tc>
          <w:tcPr>
            <w:tcW w:w="1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Sole stockholder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0" w:type="dxa"/>
            <w:vAlign w:val="bottom"/>
            <w:shd w:val="clear" w:color="auto" w:fill="CCEEFF"/>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JS&amp;DB, INC., a Delaware</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 Trust</w:t>
            </w: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1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820" w:type="dxa"/>
            <w:vAlign w:val="bottom"/>
            <w:gridSpan w:val="2"/>
          </w:tcPr>
          <w:p>
            <w:pPr>
              <w:spacing w:after="0"/>
              <w:rPr>
                <w:sz w:val="20"/>
                <w:szCs w:val="20"/>
                <w:color w:val="auto"/>
              </w:rPr>
            </w:pPr>
            <w:r>
              <w:rPr>
                <w:rFonts w:ascii="Arial" w:cs="Arial" w:eastAsia="Arial" w:hAnsi="Arial"/>
                <w:sz w:val="18"/>
                <w:szCs w:val="18"/>
                <w:color w:val="auto"/>
              </w:rPr>
              <w:t>FR CROW CANYON, LLC, a</w:t>
            </w:r>
          </w:p>
        </w:tc>
        <w:tc>
          <w:tcPr>
            <w:tcW w:w="1500" w:type="dxa"/>
            <w:vAlign w:val="bottom"/>
          </w:tcPr>
          <w:p>
            <w:pPr>
              <w:ind w:left="100"/>
              <w:spacing w:after="0"/>
              <w:rPr>
                <w:sz w:val="20"/>
                <w:szCs w:val="20"/>
                <w:color w:val="auto"/>
              </w:rPr>
            </w:pPr>
            <w:r>
              <w:rPr>
                <w:rFonts w:ascii="Arial" w:cs="Arial" w:eastAsia="Arial" w:hAnsi="Arial"/>
                <w:sz w:val="18"/>
                <w:szCs w:val="18"/>
                <w:color w:val="auto"/>
                <w:w w:val="96"/>
              </w:rPr>
              <w:t>FR Crow Canyon,</w:t>
            </w:r>
          </w:p>
        </w:tc>
        <w:tc>
          <w:tcPr>
            <w:tcW w:w="1620" w:type="dxa"/>
            <w:vAlign w:val="bottom"/>
          </w:tcPr>
          <w:p>
            <w:pPr>
              <w:ind w:left="100"/>
              <w:spacing w:after="0"/>
              <w:rPr>
                <w:sz w:val="20"/>
                <w:szCs w:val="20"/>
                <w:color w:val="auto"/>
              </w:rPr>
            </w:pPr>
            <w:r>
              <w:rPr>
                <w:rFonts w:ascii="Arial" w:cs="Arial" w:eastAsia="Arial" w:hAnsi="Arial"/>
                <w:sz w:val="18"/>
                <w:szCs w:val="18"/>
                <w:color w:val="auto"/>
              </w:rPr>
              <w:t>Sole member</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2000" w:type="dxa"/>
            <w:vAlign w:val="bottom"/>
          </w:tcPr>
          <w:p>
            <w:pPr>
              <w:ind w:left="80"/>
              <w:spacing w:after="0"/>
              <w:rPr>
                <w:sz w:val="20"/>
                <w:szCs w:val="20"/>
                <w:color w:val="auto"/>
              </w:rPr>
            </w:pPr>
            <w:r>
              <w:rPr>
                <w:rFonts w:ascii="Arial" w:cs="Arial" w:eastAsia="Arial" w:hAnsi="Arial"/>
                <w:sz w:val="18"/>
                <w:szCs w:val="18"/>
                <w:color w:val="auto"/>
              </w:rPr>
              <w:t>Excluded subsidiary</w:t>
            </w:r>
          </w:p>
        </w:tc>
        <w:tc>
          <w:tcPr>
            <w:tcW w:w="2640" w:type="dxa"/>
            <w:vAlign w:val="bottom"/>
          </w:tcPr>
          <w:p>
            <w:pPr>
              <w:ind w:left="1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w w:val="95"/>
              </w:rPr>
              <w:t>Delaware limited liability company</w:t>
            </w:r>
          </w:p>
        </w:tc>
        <w:tc>
          <w:tcPr>
            <w:tcW w:w="1500" w:type="dxa"/>
            <w:vAlign w:val="bottom"/>
          </w:tcPr>
          <w:p>
            <w:pPr>
              <w:ind w:left="100"/>
              <w:spacing w:after="0"/>
              <w:rPr>
                <w:sz w:val="20"/>
                <w:szCs w:val="20"/>
                <w:color w:val="auto"/>
              </w:rPr>
            </w:pPr>
            <w:r>
              <w:rPr>
                <w:rFonts w:ascii="Arial" w:cs="Arial" w:eastAsia="Arial" w:hAnsi="Arial"/>
                <w:sz w:val="18"/>
                <w:szCs w:val="18"/>
                <w:color w:val="auto"/>
              </w:rPr>
              <w:t>Inc.</w:t>
            </w:r>
          </w:p>
        </w:tc>
        <w:tc>
          <w:tcPr>
            <w:tcW w:w="1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FR MERCER MALL, INC., a</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 Realty</w:t>
            </w:r>
          </w:p>
        </w:tc>
        <w:tc>
          <w:tcPr>
            <w:tcW w:w="1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Sole stockholder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0" w:type="dxa"/>
            <w:vAlign w:val="bottom"/>
            <w:shd w:val="clear" w:color="auto" w:fill="CCEEFF"/>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 corporation</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 Trust</w:t>
            </w:r>
          </w:p>
        </w:tc>
        <w:tc>
          <w:tcPr>
            <w:tcW w:w="1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820" w:type="dxa"/>
            <w:vAlign w:val="bottom"/>
            <w:gridSpan w:val="2"/>
          </w:tcPr>
          <w:p>
            <w:pPr>
              <w:spacing w:after="0"/>
              <w:rPr>
                <w:sz w:val="20"/>
                <w:szCs w:val="20"/>
                <w:color w:val="auto"/>
              </w:rPr>
            </w:pPr>
            <w:r>
              <w:rPr>
                <w:rFonts w:ascii="Arial" w:cs="Arial" w:eastAsia="Arial" w:hAnsi="Arial"/>
                <w:sz w:val="18"/>
                <w:szCs w:val="18"/>
                <w:color w:val="auto"/>
              </w:rPr>
              <w:t>FR MERCER MALL, LLC, a</w:t>
            </w:r>
          </w:p>
        </w:tc>
        <w:tc>
          <w:tcPr>
            <w:tcW w:w="1500" w:type="dxa"/>
            <w:vAlign w:val="bottom"/>
          </w:tcPr>
          <w:p>
            <w:pPr>
              <w:ind w:left="100"/>
              <w:spacing w:after="0"/>
              <w:rPr>
                <w:sz w:val="20"/>
                <w:szCs w:val="20"/>
                <w:color w:val="auto"/>
              </w:rPr>
            </w:pPr>
            <w:r>
              <w:rPr>
                <w:rFonts w:ascii="Arial" w:cs="Arial" w:eastAsia="Arial" w:hAnsi="Arial"/>
                <w:sz w:val="18"/>
                <w:szCs w:val="18"/>
                <w:color w:val="auto"/>
              </w:rPr>
              <w:t>FR Mercer Mall,</w:t>
            </w:r>
          </w:p>
        </w:tc>
        <w:tc>
          <w:tcPr>
            <w:tcW w:w="1620" w:type="dxa"/>
            <w:vAlign w:val="bottom"/>
          </w:tcPr>
          <w:p>
            <w:pPr>
              <w:ind w:left="100"/>
              <w:spacing w:after="0"/>
              <w:rPr>
                <w:sz w:val="20"/>
                <w:szCs w:val="20"/>
                <w:color w:val="auto"/>
              </w:rPr>
            </w:pPr>
            <w:r>
              <w:rPr>
                <w:rFonts w:ascii="Arial" w:cs="Arial" w:eastAsia="Arial" w:hAnsi="Arial"/>
                <w:sz w:val="18"/>
                <w:szCs w:val="18"/>
                <w:color w:val="auto"/>
              </w:rPr>
              <w:t>Sole member</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2000" w:type="dxa"/>
            <w:vAlign w:val="bottom"/>
          </w:tcPr>
          <w:p>
            <w:pPr>
              <w:ind w:left="80"/>
              <w:spacing w:after="0"/>
              <w:rPr>
                <w:sz w:val="20"/>
                <w:szCs w:val="20"/>
                <w:color w:val="auto"/>
              </w:rPr>
            </w:pPr>
            <w:r>
              <w:rPr>
                <w:rFonts w:ascii="Arial" w:cs="Arial" w:eastAsia="Arial" w:hAnsi="Arial"/>
                <w:sz w:val="18"/>
                <w:szCs w:val="18"/>
                <w:color w:val="auto"/>
              </w:rPr>
              <w:t>Guarantor</w:t>
            </w:r>
          </w:p>
        </w:tc>
        <w:tc>
          <w:tcPr>
            <w:tcW w:w="2640" w:type="dxa"/>
            <w:vAlign w:val="bottom"/>
          </w:tcPr>
          <w:p>
            <w:pPr>
              <w:ind w:left="1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w w:val="95"/>
              </w:rPr>
              <w:t>Delaware limited liability company</w:t>
            </w:r>
          </w:p>
        </w:tc>
        <w:tc>
          <w:tcPr>
            <w:tcW w:w="1500" w:type="dxa"/>
            <w:vAlign w:val="bottom"/>
          </w:tcPr>
          <w:p>
            <w:pPr>
              <w:ind w:left="100"/>
              <w:spacing w:after="0"/>
              <w:rPr>
                <w:sz w:val="20"/>
                <w:szCs w:val="20"/>
                <w:color w:val="auto"/>
              </w:rPr>
            </w:pPr>
            <w:r>
              <w:rPr>
                <w:rFonts w:ascii="Arial" w:cs="Arial" w:eastAsia="Arial" w:hAnsi="Arial"/>
                <w:sz w:val="18"/>
                <w:szCs w:val="18"/>
                <w:color w:val="auto"/>
              </w:rPr>
              <w:t>Inc.</w:t>
            </w: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ind w:left="80"/>
              <w:spacing w:after="0"/>
              <w:rPr>
                <w:sz w:val="20"/>
                <w:szCs w:val="20"/>
                <w:color w:val="auto"/>
              </w:rPr>
            </w:pPr>
            <w:r>
              <w:rPr>
                <w:rFonts w:ascii="Arial" w:cs="Arial" w:eastAsia="Arial" w:hAnsi="Arial"/>
                <w:sz w:val="18"/>
                <w:szCs w:val="18"/>
                <w:color w:val="auto"/>
              </w:rPr>
              <w:t>Material Subsidiary (in</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ind w:left="80"/>
              <w:spacing w:after="0"/>
              <w:rPr>
                <w:sz w:val="20"/>
                <w:szCs w:val="20"/>
                <w:color w:val="auto"/>
              </w:rPr>
            </w:pPr>
            <w:r>
              <w:rPr>
                <w:rFonts w:ascii="Arial" w:cs="Arial" w:eastAsia="Arial" w:hAnsi="Arial"/>
                <w:sz w:val="18"/>
                <w:szCs w:val="18"/>
                <w:color w:val="auto"/>
                <w:w w:val="97"/>
              </w:rPr>
              <w:t>conjunction with Federal</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ind w:left="80"/>
              <w:spacing w:after="0"/>
              <w:rPr>
                <w:sz w:val="20"/>
                <w:szCs w:val="20"/>
                <w:color w:val="auto"/>
              </w:rPr>
            </w:pPr>
            <w:r>
              <w:rPr>
                <w:rFonts w:ascii="Arial" w:cs="Arial" w:eastAsia="Arial" w:hAnsi="Arial"/>
                <w:sz w:val="18"/>
                <w:szCs w:val="18"/>
                <w:color w:val="auto"/>
                <w:w w:val="96"/>
              </w:rPr>
              <w:t>Realty Investment Trust)</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8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FR ASSEMBLY SQUARE, LLC, a</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 Realty</w:t>
            </w:r>
          </w:p>
        </w:tc>
        <w:tc>
          <w:tcPr>
            <w:tcW w:w="1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Sole member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Guarantor</w:t>
            </w: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Delaware limited liability company</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Investment Trust.</w:t>
            </w:r>
          </w:p>
        </w:tc>
        <w:tc>
          <w:tcPr>
            <w:tcW w:w="1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820" w:type="dxa"/>
            <w:vAlign w:val="bottom"/>
            <w:gridSpan w:val="2"/>
          </w:tcPr>
          <w:p>
            <w:pPr>
              <w:spacing w:after="0"/>
              <w:rPr>
                <w:sz w:val="20"/>
                <w:szCs w:val="20"/>
                <w:color w:val="auto"/>
              </w:rPr>
            </w:pPr>
            <w:r>
              <w:rPr>
                <w:rFonts w:ascii="Arial" w:cs="Arial" w:eastAsia="Arial" w:hAnsi="Arial"/>
                <w:sz w:val="18"/>
                <w:szCs w:val="18"/>
                <w:color w:val="auto"/>
              </w:rPr>
              <w:t>FR WESTGATE MALL, INC., a</w:t>
            </w:r>
          </w:p>
        </w:tc>
        <w:tc>
          <w:tcPr>
            <w:tcW w:w="1500" w:type="dxa"/>
            <w:vAlign w:val="bottom"/>
          </w:tcPr>
          <w:p>
            <w:pPr>
              <w:ind w:left="100"/>
              <w:spacing w:after="0"/>
              <w:rPr>
                <w:sz w:val="20"/>
                <w:szCs w:val="20"/>
                <w:color w:val="auto"/>
              </w:rPr>
            </w:pPr>
            <w:r>
              <w:rPr>
                <w:rFonts w:ascii="Arial" w:cs="Arial" w:eastAsia="Arial" w:hAnsi="Arial"/>
                <w:sz w:val="18"/>
                <w:szCs w:val="18"/>
                <w:color w:val="auto"/>
              </w:rPr>
              <w:t>Federal Realty</w:t>
            </w:r>
          </w:p>
        </w:tc>
        <w:tc>
          <w:tcPr>
            <w:tcW w:w="1620" w:type="dxa"/>
            <w:vAlign w:val="bottom"/>
          </w:tcPr>
          <w:p>
            <w:pPr>
              <w:ind w:left="100"/>
              <w:spacing w:after="0"/>
              <w:rPr>
                <w:sz w:val="20"/>
                <w:szCs w:val="20"/>
                <w:color w:val="auto"/>
              </w:rPr>
            </w:pPr>
            <w:r>
              <w:rPr>
                <w:rFonts w:ascii="Arial" w:cs="Arial" w:eastAsia="Arial" w:hAnsi="Arial"/>
                <w:sz w:val="18"/>
                <w:szCs w:val="18"/>
                <w:color w:val="auto"/>
              </w:rPr>
              <w:t>Sole stockholder</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2000" w:type="dxa"/>
            <w:vAlign w:val="bottom"/>
          </w:tcPr>
          <w:p>
            <w:pPr>
              <w:spacing w:after="0"/>
              <w:rPr>
                <w:sz w:val="24"/>
                <w:szCs w:val="24"/>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Delaware corporation</w:t>
            </w:r>
          </w:p>
        </w:tc>
        <w:tc>
          <w:tcPr>
            <w:tcW w:w="1500" w:type="dxa"/>
            <w:vAlign w:val="bottom"/>
          </w:tcPr>
          <w:p>
            <w:pPr>
              <w:ind w:left="100"/>
              <w:spacing w:after="0"/>
              <w:rPr>
                <w:sz w:val="20"/>
                <w:szCs w:val="20"/>
                <w:color w:val="auto"/>
              </w:rPr>
            </w:pPr>
            <w:r>
              <w:rPr>
                <w:rFonts w:ascii="Arial" w:cs="Arial" w:eastAsia="Arial" w:hAnsi="Arial"/>
                <w:sz w:val="18"/>
                <w:szCs w:val="18"/>
                <w:color w:val="auto"/>
              </w:rPr>
              <w:t>Investment Trust</w:t>
            </w:r>
          </w:p>
        </w:tc>
        <w:tc>
          <w:tcPr>
            <w:tcW w:w="1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FR WESTGATE MALL, LLC, a</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FR Westgate Mall,</w:t>
            </w:r>
          </w:p>
        </w:tc>
        <w:tc>
          <w:tcPr>
            <w:tcW w:w="1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Sole member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Guarantor</w:t>
            </w: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Delaware limited liability company</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w:t>
            </w:r>
          </w:p>
        </w:tc>
        <w:tc>
          <w:tcPr>
            <w:tcW w:w="16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Material Subsidiary</w:t>
            </w:r>
          </w:p>
        </w:tc>
        <w:tc>
          <w:tcPr>
            <w:tcW w:w="2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74" w:right="239" w:bottom="1440" w:gutter="0" w:footer="0" w:header="0"/>
          <w:type w:val="continuous"/>
        </w:sectPr>
      </w:pPr>
    </w:p>
    <w:bookmarkStart w:id="141" w:name="page142"/>
    <w:bookmarkEnd w:id="14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Material and/or</w:t>
            </w: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Nature of</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Excluded Subsidiary,</w:t>
            </w: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ENTITY NAME/Jurisdiction of</w:t>
            </w: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Equity</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Non-Controlled</w:t>
            </w: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40" w:type="dxa"/>
            <w:vAlign w:val="bottom"/>
            <w:gridSpan w:val="2"/>
          </w:tcPr>
          <w:p>
            <w:pPr>
              <w:ind w:left="960"/>
              <w:spacing w:after="0"/>
              <w:rPr>
                <w:sz w:val="20"/>
                <w:szCs w:val="20"/>
                <w:color w:val="auto"/>
              </w:rPr>
            </w:pPr>
            <w:r>
              <w:rPr>
                <w:rFonts w:ascii="Arial" w:cs="Arial" w:eastAsia="Arial" w:hAnsi="Arial"/>
                <w:sz w:val="14"/>
                <w:szCs w:val="14"/>
                <w:b w:val="1"/>
                <w:bCs w:val="1"/>
                <w:color w:val="auto"/>
              </w:rPr>
              <w:t>Formation</w:t>
            </w:r>
          </w:p>
        </w:tc>
        <w:tc>
          <w:tcPr>
            <w:tcW w:w="1560" w:type="dxa"/>
            <w:vAlign w:val="bottom"/>
            <w:gridSpan w:val="2"/>
          </w:tcPr>
          <w:p>
            <w:pPr>
              <w:ind w:left="240"/>
              <w:spacing w:after="0"/>
              <w:rPr>
                <w:sz w:val="20"/>
                <w:szCs w:val="20"/>
                <w:color w:val="auto"/>
              </w:rPr>
            </w:pPr>
            <w:r>
              <w:rPr>
                <w:rFonts w:ascii="Arial" w:cs="Arial" w:eastAsia="Arial" w:hAnsi="Arial"/>
                <w:sz w:val="14"/>
                <w:szCs w:val="14"/>
                <w:b w:val="1"/>
                <w:bCs w:val="1"/>
                <w:color w:val="auto"/>
              </w:rPr>
              <w:t>Equity Holders</w:t>
            </w: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Interest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 Ownership</w:t>
            </w:r>
          </w:p>
        </w:tc>
        <w:tc>
          <w:tcPr>
            <w:tcW w:w="120" w:type="dxa"/>
            <w:vAlign w:val="bottom"/>
          </w:tcPr>
          <w:p>
            <w:pPr>
              <w:spacing w:after="0"/>
              <w:rPr>
                <w:sz w:val="15"/>
                <w:szCs w:val="15"/>
                <w:color w:val="auto"/>
              </w:rPr>
            </w:pPr>
          </w:p>
        </w:tc>
        <w:tc>
          <w:tcPr>
            <w:tcW w:w="2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Property</w:t>
            </w:r>
          </w:p>
        </w:tc>
        <w:tc>
          <w:tcPr>
            <w:tcW w:w="2480" w:type="dxa"/>
            <w:vAlign w:val="bottom"/>
          </w:tcPr>
          <w:p>
            <w:pPr>
              <w:ind w:left="100"/>
              <w:spacing w:after="0"/>
              <w:rPr>
                <w:sz w:val="20"/>
                <w:szCs w:val="20"/>
                <w:color w:val="auto"/>
              </w:rPr>
            </w:pPr>
            <w:r>
              <w:rPr>
                <w:rFonts w:ascii="Arial" w:cs="Arial" w:eastAsia="Arial" w:hAnsi="Arial"/>
                <w:sz w:val="14"/>
                <w:szCs w:val="14"/>
                <w:b w:val="1"/>
                <w:bCs w:val="1"/>
                <w:color w:val="auto"/>
                <w:w w:val="88"/>
              </w:rPr>
              <w:t>Liens, Options, Registration Rights, etc.</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FEDERAL/LPF GP, INC., a</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Sole stockholder</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Excluded Subsidiary</w:t>
            </w: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Delaware corporation</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760" w:type="dxa"/>
            <w:vAlign w:val="bottom"/>
            <w:gridSpan w:val="3"/>
          </w:tcPr>
          <w:p>
            <w:pPr>
              <w:spacing w:after="0"/>
              <w:rPr>
                <w:sz w:val="20"/>
                <w:szCs w:val="20"/>
                <w:color w:val="auto"/>
              </w:rPr>
            </w:pPr>
            <w:r>
              <w:rPr>
                <w:rFonts w:ascii="Arial" w:cs="Arial" w:eastAsia="Arial" w:hAnsi="Arial"/>
                <w:sz w:val="18"/>
                <w:szCs w:val="18"/>
                <w:color w:val="auto"/>
              </w:rPr>
              <w:t>FR CHELSEA COMMONS I,</w:t>
            </w:r>
          </w:p>
        </w:tc>
        <w:tc>
          <w:tcPr>
            <w:tcW w:w="1560" w:type="dxa"/>
            <w:vAlign w:val="bottom"/>
            <w:gridSpan w:val="2"/>
          </w:tcPr>
          <w:p>
            <w:pPr>
              <w:spacing w:after="0"/>
              <w:rPr>
                <w:sz w:val="20"/>
                <w:szCs w:val="20"/>
                <w:color w:val="auto"/>
              </w:rPr>
            </w:pPr>
            <w:r>
              <w:rPr>
                <w:rFonts w:ascii="Arial" w:cs="Arial" w:eastAsia="Arial" w:hAnsi="Arial"/>
                <w:sz w:val="18"/>
                <w:szCs w:val="18"/>
                <w:color w:val="auto"/>
              </w:rPr>
              <w:t>Federal Realty</w:t>
            </w:r>
          </w:p>
        </w:tc>
        <w:tc>
          <w:tcPr>
            <w:tcW w:w="1380" w:type="dxa"/>
            <w:vAlign w:val="bottom"/>
            <w:gridSpan w:val="2"/>
          </w:tcPr>
          <w:p>
            <w:pPr>
              <w:spacing w:after="0"/>
              <w:rPr>
                <w:sz w:val="20"/>
                <w:szCs w:val="20"/>
                <w:color w:val="auto"/>
              </w:rPr>
            </w:pPr>
            <w:r>
              <w:rPr>
                <w:rFonts w:ascii="Arial" w:cs="Arial" w:eastAsia="Arial" w:hAnsi="Arial"/>
                <w:sz w:val="18"/>
                <w:szCs w:val="18"/>
                <w:color w:val="auto"/>
              </w:rPr>
              <w:t>Sole stockholder</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rPr>
              <w:t>INC., a Delaware corporation</w:t>
            </w:r>
          </w:p>
        </w:tc>
        <w:tc>
          <w:tcPr>
            <w:tcW w:w="1560" w:type="dxa"/>
            <w:vAlign w:val="bottom"/>
            <w:gridSpan w:val="2"/>
          </w:tcPr>
          <w:p>
            <w:pPr>
              <w:spacing w:after="0"/>
              <w:rPr>
                <w:sz w:val="20"/>
                <w:szCs w:val="20"/>
                <w:color w:val="auto"/>
              </w:rPr>
            </w:pPr>
            <w:r>
              <w:rPr>
                <w:rFonts w:ascii="Arial" w:cs="Arial" w:eastAsia="Arial" w:hAnsi="Arial"/>
                <w:sz w:val="18"/>
                <w:szCs w:val="18"/>
                <w:color w:val="auto"/>
              </w:rPr>
              <w:t>Investment Trust</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FR CHELSEA COMMONS I, LLC,</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Chelsea</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Sole member</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Excluded subsidiary</w:t>
            </w: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 Delaware limited liability</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Commons I, Inc.</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company</w:t>
            </w: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760" w:type="dxa"/>
            <w:vAlign w:val="bottom"/>
            <w:gridSpan w:val="3"/>
          </w:tcPr>
          <w:p>
            <w:pPr>
              <w:spacing w:after="0"/>
              <w:rPr>
                <w:sz w:val="20"/>
                <w:szCs w:val="20"/>
                <w:color w:val="auto"/>
              </w:rPr>
            </w:pPr>
            <w:r>
              <w:rPr>
                <w:rFonts w:ascii="Arial" w:cs="Arial" w:eastAsia="Arial" w:hAnsi="Arial"/>
                <w:sz w:val="18"/>
                <w:szCs w:val="18"/>
                <w:color w:val="auto"/>
              </w:rPr>
              <w:t>FR CHELSEA COMMONS II,</w:t>
            </w:r>
          </w:p>
        </w:tc>
        <w:tc>
          <w:tcPr>
            <w:tcW w:w="1560" w:type="dxa"/>
            <w:vAlign w:val="bottom"/>
            <w:gridSpan w:val="2"/>
          </w:tcPr>
          <w:p>
            <w:pPr>
              <w:spacing w:after="0"/>
              <w:rPr>
                <w:sz w:val="20"/>
                <w:szCs w:val="20"/>
                <w:color w:val="auto"/>
              </w:rPr>
            </w:pPr>
            <w:r>
              <w:rPr>
                <w:rFonts w:ascii="Arial" w:cs="Arial" w:eastAsia="Arial" w:hAnsi="Arial"/>
                <w:sz w:val="18"/>
                <w:szCs w:val="18"/>
                <w:color w:val="auto"/>
              </w:rPr>
              <w:t>Federal Realty</w:t>
            </w:r>
          </w:p>
        </w:tc>
        <w:tc>
          <w:tcPr>
            <w:tcW w:w="1380" w:type="dxa"/>
            <w:vAlign w:val="bottom"/>
            <w:gridSpan w:val="2"/>
          </w:tcPr>
          <w:p>
            <w:pPr>
              <w:spacing w:after="0"/>
              <w:rPr>
                <w:sz w:val="20"/>
                <w:szCs w:val="20"/>
                <w:color w:val="auto"/>
              </w:rPr>
            </w:pPr>
            <w:r>
              <w:rPr>
                <w:rFonts w:ascii="Arial" w:cs="Arial" w:eastAsia="Arial" w:hAnsi="Arial"/>
                <w:sz w:val="18"/>
                <w:szCs w:val="18"/>
                <w:color w:val="auto"/>
              </w:rPr>
              <w:t>Sole stockholder</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rPr>
              <w:t>INC., a Delaware corporation</w:t>
            </w:r>
          </w:p>
        </w:tc>
        <w:tc>
          <w:tcPr>
            <w:tcW w:w="1560" w:type="dxa"/>
            <w:vAlign w:val="bottom"/>
            <w:gridSpan w:val="2"/>
          </w:tcPr>
          <w:p>
            <w:pPr>
              <w:spacing w:after="0"/>
              <w:rPr>
                <w:sz w:val="20"/>
                <w:szCs w:val="20"/>
                <w:color w:val="auto"/>
              </w:rPr>
            </w:pPr>
            <w:r>
              <w:rPr>
                <w:rFonts w:ascii="Arial" w:cs="Arial" w:eastAsia="Arial" w:hAnsi="Arial"/>
                <w:sz w:val="18"/>
                <w:szCs w:val="18"/>
                <w:color w:val="auto"/>
              </w:rPr>
              <w:t>Investment Trust</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CHELSEA COMMONS II,</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Chelsea</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Sole member</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Guarantor</w:t>
            </w: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LLC, a Delaware limited liability</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Commons II, Inc.</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company</w:t>
            </w: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760" w:type="dxa"/>
            <w:vAlign w:val="bottom"/>
            <w:gridSpan w:val="3"/>
          </w:tcPr>
          <w:p>
            <w:pPr>
              <w:spacing w:after="0"/>
              <w:rPr>
                <w:sz w:val="20"/>
                <w:szCs w:val="20"/>
                <w:color w:val="auto"/>
              </w:rPr>
            </w:pPr>
            <w:r>
              <w:rPr>
                <w:rFonts w:ascii="Arial" w:cs="Arial" w:eastAsia="Arial" w:hAnsi="Arial"/>
                <w:sz w:val="18"/>
                <w:szCs w:val="18"/>
                <w:color w:val="auto"/>
              </w:rPr>
              <w:t>FR NORTH DARTMOUTH, INC.,</w:t>
            </w:r>
          </w:p>
        </w:tc>
        <w:tc>
          <w:tcPr>
            <w:tcW w:w="1560" w:type="dxa"/>
            <w:vAlign w:val="bottom"/>
            <w:gridSpan w:val="2"/>
          </w:tcPr>
          <w:p>
            <w:pPr>
              <w:spacing w:after="0"/>
              <w:rPr>
                <w:sz w:val="20"/>
                <w:szCs w:val="20"/>
                <w:color w:val="auto"/>
              </w:rPr>
            </w:pPr>
            <w:r>
              <w:rPr>
                <w:rFonts w:ascii="Arial" w:cs="Arial" w:eastAsia="Arial" w:hAnsi="Arial"/>
                <w:sz w:val="18"/>
                <w:szCs w:val="18"/>
                <w:color w:val="auto"/>
              </w:rPr>
              <w:t>Federal Realty</w:t>
            </w:r>
          </w:p>
        </w:tc>
        <w:tc>
          <w:tcPr>
            <w:tcW w:w="1380" w:type="dxa"/>
            <w:vAlign w:val="bottom"/>
            <w:gridSpan w:val="2"/>
          </w:tcPr>
          <w:p>
            <w:pPr>
              <w:spacing w:after="0"/>
              <w:rPr>
                <w:sz w:val="20"/>
                <w:szCs w:val="20"/>
                <w:color w:val="auto"/>
              </w:rPr>
            </w:pPr>
            <w:r>
              <w:rPr>
                <w:rFonts w:ascii="Arial" w:cs="Arial" w:eastAsia="Arial" w:hAnsi="Arial"/>
                <w:sz w:val="18"/>
                <w:szCs w:val="18"/>
                <w:color w:val="auto"/>
              </w:rPr>
              <w:t>Sole stockholder</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rPr>
              <w:t>a Delaware corporation</w:t>
            </w:r>
          </w:p>
        </w:tc>
        <w:tc>
          <w:tcPr>
            <w:tcW w:w="1560" w:type="dxa"/>
            <w:vAlign w:val="bottom"/>
            <w:gridSpan w:val="2"/>
          </w:tcPr>
          <w:p>
            <w:pPr>
              <w:spacing w:after="0"/>
              <w:rPr>
                <w:sz w:val="20"/>
                <w:szCs w:val="20"/>
                <w:color w:val="auto"/>
              </w:rPr>
            </w:pPr>
            <w:r>
              <w:rPr>
                <w:rFonts w:ascii="Arial" w:cs="Arial" w:eastAsia="Arial" w:hAnsi="Arial"/>
                <w:sz w:val="18"/>
                <w:szCs w:val="18"/>
                <w:color w:val="auto"/>
              </w:rPr>
              <w:t>Investment Trust</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NORTH DARTMOUTH, LLC,</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North</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Sole member</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Guarantor</w:t>
            </w: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 Delaware limited liability</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Dartmouth, Inc.</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company</w:t>
            </w: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760" w:type="dxa"/>
            <w:vAlign w:val="bottom"/>
            <w:gridSpan w:val="3"/>
          </w:tcPr>
          <w:p>
            <w:pPr>
              <w:spacing w:after="0"/>
              <w:rPr>
                <w:sz w:val="20"/>
                <w:szCs w:val="20"/>
                <w:color w:val="auto"/>
              </w:rPr>
            </w:pPr>
            <w:r>
              <w:rPr>
                <w:rFonts w:ascii="Arial" w:cs="Arial" w:eastAsia="Arial" w:hAnsi="Arial"/>
                <w:sz w:val="18"/>
                <w:szCs w:val="18"/>
                <w:color w:val="auto"/>
              </w:rPr>
              <w:t>FR LINDEN SQUARE, INC., a</w:t>
            </w:r>
          </w:p>
        </w:tc>
        <w:tc>
          <w:tcPr>
            <w:tcW w:w="1560" w:type="dxa"/>
            <w:vAlign w:val="bottom"/>
            <w:gridSpan w:val="2"/>
          </w:tcPr>
          <w:p>
            <w:pPr>
              <w:spacing w:after="0"/>
              <w:rPr>
                <w:sz w:val="20"/>
                <w:szCs w:val="20"/>
                <w:color w:val="auto"/>
              </w:rPr>
            </w:pPr>
            <w:r>
              <w:rPr>
                <w:rFonts w:ascii="Arial" w:cs="Arial" w:eastAsia="Arial" w:hAnsi="Arial"/>
                <w:sz w:val="18"/>
                <w:szCs w:val="18"/>
                <w:color w:val="auto"/>
              </w:rPr>
              <w:t>Federal Realty</w:t>
            </w:r>
          </w:p>
        </w:tc>
        <w:tc>
          <w:tcPr>
            <w:tcW w:w="1380" w:type="dxa"/>
            <w:vAlign w:val="bottom"/>
            <w:gridSpan w:val="2"/>
          </w:tcPr>
          <w:p>
            <w:pPr>
              <w:spacing w:after="0"/>
              <w:rPr>
                <w:sz w:val="20"/>
                <w:szCs w:val="20"/>
                <w:color w:val="auto"/>
              </w:rPr>
            </w:pPr>
            <w:r>
              <w:rPr>
                <w:rFonts w:ascii="Arial" w:cs="Arial" w:eastAsia="Arial" w:hAnsi="Arial"/>
                <w:sz w:val="18"/>
                <w:szCs w:val="18"/>
                <w:color w:val="auto"/>
              </w:rPr>
              <w:t>Sole stockholder</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Guarantor</w:t>
            </w:r>
          </w:p>
        </w:tc>
        <w:tc>
          <w:tcPr>
            <w:tcW w:w="24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rPr>
              <w:t>Delaware corporation</w:t>
            </w:r>
          </w:p>
        </w:tc>
        <w:tc>
          <w:tcPr>
            <w:tcW w:w="1560" w:type="dxa"/>
            <w:vAlign w:val="bottom"/>
            <w:gridSpan w:val="2"/>
          </w:tcPr>
          <w:p>
            <w:pPr>
              <w:spacing w:after="0"/>
              <w:rPr>
                <w:sz w:val="20"/>
                <w:szCs w:val="20"/>
                <w:color w:val="auto"/>
              </w:rPr>
            </w:pPr>
            <w:r>
              <w:rPr>
                <w:rFonts w:ascii="Arial" w:cs="Arial" w:eastAsia="Arial" w:hAnsi="Arial"/>
                <w:sz w:val="18"/>
                <w:szCs w:val="18"/>
                <w:color w:val="auto"/>
              </w:rPr>
              <w:t>Investment Trust</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Material Subsidiary</w:t>
            </w: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KEY ROAD, INC., a Delaware</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corporation (TO BE</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DISSOLVED)</w:t>
            </w: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760" w:type="dxa"/>
            <w:vAlign w:val="bottom"/>
            <w:gridSpan w:val="3"/>
          </w:tcPr>
          <w:p>
            <w:pPr>
              <w:spacing w:after="0"/>
              <w:rPr>
                <w:sz w:val="20"/>
                <w:szCs w:val="20"/>
                <w:color w:val="auto"/>
              </w:rPr>
            </w:pPr>
            <w:r>
              <w:rPr>
                <w:rFonts w:ascii="Arial" w:cs="Arial" w:eastAsia="Arial" w:hAnsi="Arial"/>
                <w:sz w:val="18"/>
                <w:szCs w:val="18"/>
                <w:color w:val="auto"/>
              </w:rPr>
              <w:t>FR RIVERSIDE, INC., a Delaware</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rPr>
              <w:t>corporation (TO BE</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rPr>
              <w:t>DISSOLVED)</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SHOPPERS WORLD, INC. a</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Sole stockholder</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Delaware corporation</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4"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Material and/or</w:t>
            </w: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Nature of</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Excluded Subsidiary,</w:t>
            </w: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ENTITY NAME/Jurisdiction of</w:t>
            </w: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Equity</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Non-Controlled</w:t>
            </w: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80" w:type="dxa"/>
            <w:vAlign w:val="bottom"/>
          </w:tcPr>
          <w:p>
            <w:pPr>
              <w:ind w:left="980"/>
              <w:spacing w:after="0"/>
              <w:rPr>
                <w:sz w:val="20"/>
                <w:szCs w:val="20"/>
                <w:color w:val="auto"/>
              </w:rPr>
            </w:pPr>
            <w:r>
              <w:rPr>
                <w:rFonts w:ascii="Arial" w:cs="Arial" w:eastAsia="Arial" w:hAnsi="Arial"/>
                <w:sz w:val="14"/>
                <w:szCs w:val="14"/>
                <w:b w:val="1"/>
                <w:bCs w:val="1"/>
                <w:color w:val="auto"/>
              </w:rPr>
              <w:t>Formation</w:t>
            </w:r>
          </w:p>
        </w:tc>
        <w:tc>
          <w:tcPr>
            <w:tcW w:w="200" w:type="dxa"/>
            <w:vAlign w:val="bottom"/>
          </w:tcPr>
          <w:p>
            <w:pPr>
              <w:spacing w:after="0"/>
              <w:rPr>
                <w:sz w:val="15"/>
                <w:szCs w:val="15"/>
                <w:color w:val="auto"/>
              </w:rPr>
            </w:pPr>
          </w:p>
        </w:tc>
        <w:tc>
          <w:tcPr>
            <w:tcW w:w="1520" w:type="dxa"/>
            <w:vAlign w:val="bottom"/>
            <w:gridSpan w:val="2"/>
          </w:tcPr>
          <w:p>
            <w:pPr>
              <w:ind w:left="220"/>
              <w:spacing w:after="0"/>
              <w:rPr>
                <w:sz w:val="20"/>
                <w:szCs w:val="20"/>
                <w:color w:val="auto"/>
              </w:rPr>
            </w:pPr>
            <w:r>
              <w:rPr>
                <w:rFonts w:ascii="Arial" w:cs="Arial" w:eastAsia="Arial" w:hAnsi="Arial"/>
                <w:sz w:val="14"/>
                <w:szCs w:val="14"/>
                <w:b w:val="1"/>
                <w:bCs w:val="1"/>
                <w:color w:val="auto"/>
              </w:rPr>
              <w:t>Equity Holders</w:t>
            </w: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Interest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 Ownership</w:t>
            </w:r>
          </w:p>
        </w:tc>
        <w:tc>
          <w:tcPr>
            <w:tcW w:w="120" w:type="dxa"/>
            <w:vAlign w:val="bottom"/>
          </w:tcPr>
          <w:p>
            <w:pPr>
              <w:spacing w:after="0"/>
              <w:rPr>
                <w:sz w:val="15"/>
                <w:szCs w:val="15"/>
                <w:color w:val="auto"/>
              </w:rPr>
            </w:pPr>
          </w:p>
        </w:tc>
        <w:tc>
          <w:tcPr>
            <w:tcW w:w="2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Property</w:t>
            </w:r>
          </w:p>
        </w:tc>
        <w:tc>
          <w:tcPr>
            <w:tcW w:w="2480" w:type="dxa"/>
            <w:vAlign w:val="bottom"/>
          </w:tcPr>
          <w:p>
            <w:pPr>
              <w:ind w:left="100"/>
              <w:spacing w:after="0"/>
              <w:rPr>
                <w:sz w:val="20"/>
                <w:szCs w:val="20"/>
                <w:color w:val="auto"/>
              </w:rPr>
            </w:pPr>
            <w:r>
              <w:rPr>
                <w:rFonts w:ascii="Arial" w:cs="Arial" w:eastAsia="Arial" w:hAnsi="Arial"/>
                <w:sz w:val="14"/>
                <w:szCs w:val="14"/>
                <w:b w:val="1"/>
                <w:bCs w:val="1"/>
                <w:color w:val="auto"/>
                <w:w w:val="88"/>
              </w:rPr>
              <w:t>Liens, Options, Registration Rights, etc.</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6"/>
              </w:rPr>
              <w:t>FR SHOPPERS WORLD, LLC, a</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Shoppers</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Sole member</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Excluded Subsidiary</w:t>
            </w: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 limited liability</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 Inc.</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00" w:type="dxa"/>
            <w:vAlign w:val="bottom"/>
            <w:gridSpan w:val="2"/>
          </w:tcPr>
          <w:p>
            <w:pPr>
              <w:spacing w:after="0"/>
              <w:rPr>
                <w:sz w:val="20"/>
                <w:szCs w:val="20"/>
                <w:color w:val="auto"/>
              </w:rPr>
            </w:pPr>
            <w:r>
              <w:rPr>
                <w:rFonts w:ascii="Arial" w:cs="Arial" w:eastAsia="Arial" w:hAnsi="Arial"/>
                <w:sz w:val="18"/>
                <w:szCs w:val="18"/>
                <w:color w:val="auto"/>
              </w:rPr>
              <w:t>FR WHITE MARSH, INC., a</w:t>
            </w:r>
          </w:p>
        </w:tc>
        <w:tc>
          <w:tcPr>
            <w:tcW w:w="20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Federal Realty</w:t>
            </w:r>
          </w:p>
        </w:tc>
        <w:tc>
          <w:tcPr>
            <w:tcW w:w="1380" w:type="dxa"/>
            <w:vAlign w:val="bottom"/>
            <w:gridSpan w:val="2"/>
          </w:tcPr>
          <w:p>
            <w:pPr>
              <w:spacing w:after="0"/>
              <w:rPr>
                <w:sz w:val="20"/>
                <w:szCs w:val="20"/>
                <w:color w:val="auto"/>
              </w:rPr>
            </w:pPr>
            <w:r>
              <w:rPr>
                <w:rFonts w:ascii="Arial" w:cs="Arial" w:eastAsia="Arial" w:hAnsi="Arial"/>
                <w:sz w:val="18"/>
                <w:szCs w:val="18"/>
                <w:color w:val="auto"/>
              </w:rPr>
              <w:t>Sole</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Guarantor</w:t>
            </w:r>
          </w:p>
        </w:tc>
        <w:tc>
          <w:tcPr>
            <w:tcW w:w="24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Maryland corporation</w:t>
            </w:r>
          </w:p>
        </w:tc>
        <w:tc>
          <w:tcPr>
            <w:tcW w:w="200" w:type="dxa"/>
            <w:vAlign w:val="bottom"/>
          </w:tcPr>
          <w:p>
            <w:pPr>
              <w:spacing w:after="0"/>
              <w:rPr>
                <w:sz w:val="19"/>
                <w:szCs w:val="19"/>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Investment Trust</w:t>
            </w:r>
          </w:p>
        </w:tc>
        <w:tc>
          <w:tcPr>
            <w:tcW w:w="1380" w:type="dxa"/>
            <w:vAlign w:val="bottom"/>
            <w:gridSpan w:val="2"/>
          </w:tcPr>
          <w:p>
            <w:pPr>
              <w:spacing w:after="0"/>
              <w:rPr>
                <w:sz w:val="20"/>
                <w:szCs w:val="20"/>
                <w:color w:val="auto"/>
              </w:rPr>
            </w:pPr>
            <w:r>
              <w:rPr>
                <w:rFonts w:ascii="Arial" w:cs="Arial" w:eastAsia="Arial" w:hAnsi="Arial"/>
                <w:sz w:val="18"/>
                <w:szCs w:val="18"/>
                <w:color w:val="auto"/>
              </w:rPr>
              <w:t>Stockholder</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WHITE MARSH PLAZA, LLC, a</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White Marsh,</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Sole member</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Maryland limited liability</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00" w:type="dxa"/>
            <w:vAlign w:val="bottom"/>
            <w:gridSpan w:val="2"/>
          </w:tcPr>
          <w:p>
            <w:pPr>
              <w:spacing w:after="0"/>
              <w:rPr>
                <w:sz w:val="20"/>
                <w:szCs w:val="20"/>
                <w:color w:val="auto"/>
              </w:rPr>
            </w:pPr>
            <w:r>
              <w:rPr>
                <w:rFonts w:ascii="Arial" w:cs="Arial" w:eastAsia="Arial" w:hAnsi="Arial"/>
                <w:sz w:val="18"/>
                <w:szCs w:val="18"/>
                <w:color w:val="auto"/>
              </w:rPr>
              <w:t>WHITE MARSH PLAZA</w:t>
            </w:r>
          </w:p>
        </w:tc>
        <w:tc>
          <w:tcPr>
            <w:tcW w:w="20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White Marsh</w:t>
            </w:r>
          </w:p>
        </w:tc>
        <w:tc>
          <w:tcPr>
            <w:tcW w:w="138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LIMITED PARTNERSHIP, a</w:t>
            </w:r>
          </w:p>
        </w:tc>
        <w:tc>
          <w:tcPr>
            <w:tcW w:w="20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Plaza, LLC</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Maryland limited partnership</w:t>
            </w:r>
          </w:p>
        </w:tc>
        <w:tc>
          <w:tcPr>
            <w:tcW w:w="20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FR White Marsh,</w:t>
            </w:r>
          </w:p>
        </w:tc>
        <w:tc>
          <w:tcPr>
            <w:tcW w:w="1380" w:type="dxa"/>
            <w:vAlign w:val="bottom"/>
            <w:gridSpan w:val="2"/>
          </w:tcPr>
          <w:p>
            <w:pPr>
              <w:spacing w:after="0"/>
              <w:rPr>
                <w:sz w:val="20"/>
                <w:szCs w:val="20"/>
                <w:color w:val="auto"/>
              </w:rPr>
            </w:pPr>
            <w:r>
              <w:rPr>
                <w:rFonts w:ascii="Arial" w:cs="Arial" w:eastAsia="Arial" w:hAnsi="Arial"/>
                <w:sz w:val="18"/>
                <w:szCs w:val="18"/>
                <w:color w:val="auto"/>
              </w:rPr>
              <w:t>Limited partner</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Inc.</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WHITE MARSH PLAZA</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White Marsh Plaza</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Sole shareholder</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Excluded Subsidiary</w:t>
            </w: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BUSINESS TRUST, a Maryland</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business trust</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Partnership</w:t>
            </w: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00" w:type="dxa"/>
            <w:vAlign w:val="bottom"/>
            <w:gridSpan w:val="2"/>
          </w:tcPr>
          <w:p>
            <w:pPr>
              <w:spacing w:after="0"/>
              <w:rPr>
                <w:sz w:val="20"/>
                <w:szCs w:val="20"/>
                <w:color w:val="auto"/>
              </w:rPr>
            </w:pPr>
            <w:r>
              <w:rPr>
                <w:rFonts w:ascii="Arial" w:cs="Arial" w:eastAsia="Arial" w:hAnsi="Arial"/>
                <w:sz w:val="18"/>
                <w:szCs w:val="18"/>
                <w:color w:val="auto"/>
              </w:rPr>
              <w:t>BYRON STATION, LLC, a</w:t>
            </w:r>
          </w:p>
        </w:tc>
        <w:tc>
          <w:tcPr>
            <w:tcW w:w="20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FR White Marsh,</w:t>
            </w:r>
          </w:p>
        </w:tc>
        <w:tc>
          <w:tcPr>
            <w:tcW w:w="1380" w:type="dxa"/>
            <w:vAlign w:val="bottom"/>
            <w:gridSpan w:val="2"/>
          </w:tcPr>
          <w:p>
            <w:pPr>
              <w:spacing w:after="0"/>
              <w:rPr>
                <w:sz w:val="20"/>
                <w:szCs w:val="20"/>
                <w:color w:val="auto"/>
              </w:rPr>
            </w:pPr>
            <w:r>
              <w:rPr>
                <w:rFonts w:ascii="Arial" w:cs="Arial" w:eastAsia="Arial" w:hAnsi="Arial"/>
                <w:sz w:val="18"/>
                <w:szCs w:val="18"/>
                <w:color w:val="auto"/>
              </w:rPr>
              <w:t>Sole member</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Maryland limited liability</w:t>
            </w:r>
          </w:p>
        </w:tc>
        <w:tc>
          <w:tcPr>
            <w:tcW w:w="20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Inc.</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company</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BYRON STATION LIMITED</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Byron Station,</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Guarantor</w:t>
            </w: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PARTNERSHIP, LLLP, a</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LLC</w:t>
            </w: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Maryland limited liability limited</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White Marsh,</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partnership</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w:t>
            </w: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00" w:type="dxa"/>
            <w:vAlign w:val="bottom"/>
            <w:gridSpan w:val="2"/>
          </w:tcPr>
          <w:p>
            <w:pPr>
              <w:spacing w:after="0"/>
              <w:rPr>
                <w:sz w:val="20"/>
                <w:szCs w:val="20"/>
                <w:color w:val="auto"/>
              </w:rPr>
            </w:pPr>
            <w:r>
              <w:rPr>
                <w:rFonts w:ascii="Arial" w:cs="Arial" w:eastAsia="Arial" w:hAnsi="Arial"/>
                <w:sz w:val="18"/>
                <w:szCs w:val="18"/>
                <w:color w:val="auto"/>
                <w:w w:val="94"/>
              </w:rPr>
              <w:t>CORDON FAIRFIELD BUSINESS</w:t>
            </w:r>
          </w:p>
        </w:tc>
        <w:tc>
          <w:tcPr>
            <w:tcW w:w="20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FR White Marsh,</w:t>
            </w:r>
          </w:p>
        </w:tc>
        <w:tc>
          <w:tcPr>
            <w:tcW w:w="1380" w:type="dxa"/>
            <w:vAlign w:val="bottom"/>
            <w:gridSpan w:val="2"/>
          </w:tcPr>
          <w:p>
            <w:pPr>
              <w:spacing w:after="0"/>
              <w:rPr>
                <w:sz w:val="20"/>
                <w:szCs w:val="20"/>
                <w:color w:val="auto"/>
              </w:rPr>
            </w:pPr>
            <w:r>
              <w:rPr>
                <w:rFonts w:ascii="Arial" w:cs="Arial" w:eastAsia="Arial" w:hAnsi="Arial"/>
                <w:sz w:val="18"/>
                <w:szCs w:val="18"/>
                <w:color w:val="auto"/>
                <w:w w:val="99"/>
              </w:rPr>
              <w:t>Sole shareholder</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Guarantor</w:t>
            </w:r>
          </w:p>
        </w:tc>
        <w:tc>
          <w:tcPr>
            <w:tcW w:w="24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TRUST, a Maryland business</w:t>
            </w:r>
          </w:p>
        </w:tc>
        <w:tc>
          <w:tcPr>
            <w:tcW w:w="20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Inc.</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ind w:left="200"/>
              <w:spacing w:after="0"/>
              <w:rPr>
                <w:sz w:val="20"/>
                <w:szCs w:val="20"/>
                <w:color w:val="auto"/>
              </w:rPr>
            </w:pPr>
            <w:r>
              <w:rPr>
                <w:rFonts w:ascii="Arial" w:cs="Arial" w:eastAsia="Arial" w:hAnsi="Arial"/>
                <w:sz w:val="18"/>
                <w:szCs w:val="18"/>
                <w:color w:val="auto"/>
              </w:rPr>
              <w:t>trust</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9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CAMPBELL-PHILADELPHIA</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White Marsh,</w:t>
            </w: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Sole shareholder</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Guarantor</w:t>
            </w: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BUSINESS TRUST, a Maryland</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business trust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2600" w:type="dxa"/>
            <w:vAlign w:val="bottom"/>
            <w:gridSpan w:val="2"/>
          </w:tcPr>
          <w:p>
            <w:pPr>
              <w:spacing w:after="0"/>
              <w:rPr>
                <w:sz w:val="20"/>
                <w:szCs w:val="20"/>
                <w:color w:val="auto"/>
              </w:rPr>
            </w:pPr>
            <w:r>
              <w:rPr>
                <w:rFonts w:ascii="Arial" w:cs="Arial" w:eastAsia="Arial" w:hAnsi="Arial"/>
                <w:sz w:val="18"/>
                <w:szCs w:val="18"/>
                <w:color w:val="auto"/>
              </w:rPr>
              <w:t>SHOPPES AT NOTTINGHAM</w:t>
            </w:r>
          </w:p>
        </w:tc>
        <w:tc>
          <w:tcPr>
            <w:tcW w:w="20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FR White Marsh,</w:t>
            </w:r>
          </w:p>
        </w:tc>
        <w:tc>
          <w:tcPr>
            <w:tcW w:w="1380" w:type="dxa"/>
            <w:vAlign w:val="bottom"/>
            <w:gridSpan w:val="2"/>
          </w:tcPr>
          <w:p>
            <w:pPr>
              <w:spacing w:after="0"/>
              <w:rPr>
                <w:sz w:val="20"/>
                <w:szCs w:val="20"/>
                <w:color w:val="auto"/>
              </w:rPr>
            </w:pPr>
            <w:r>
              <w:rPr>
                <w:rFonts w:ascii="Arial" w:cs="Arial" w:eastAsia="Arial" w:hAnsi="Arial"/>
                <w:sz w:val="18"/>
                <w:szCs w:val="18"/>
                <w:color w:val="auto"/>
              </w:rPr>
              <w:t>Sole</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160" w:type="dxa"/>
            <w:vAlign w:val="bottom"/>
            <w:gridSpan w:val="3"/>
          </w:tcPr>
          <w:p>
            <w:pPr>
              <w:ind w:left="120"/>
              <w:spacing w:after="0"/>
              <w:rPr>
                <w:sz w:val="20"/>
                <w:szCs w:val="20"/>
                <w:color w:val="auto"/>
              </w:rPr>
            </w:pPr>
            <w:r>
              <w:rPr>
                <w:rFonts w:ascii="Arial" w:cs="Arial" w:eastAsia="Arial" w:hAnsi="Arial"/>
                <w:sz w:val="18"/>
                <w:szCs w:val="18"/>
                <w:color w:val="auto"/>
              </w:rPr>
              <w:t>Guarantor</w:t>
            </w:r>
          </w:p>
        </w:tc>
        <w:tc>
          <w:tcPr>
            <w:tcW w:w="24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gridSpan w:val="4"/>
          </w:tcPr>
          <w:p>
            <w:pPr>
              <w:ind w:left="1160"/>
              <w:spacing w:after="0"/>
              <w:rPr>
                <w:sz w:val="20"/>
                <w:szCs w:val="20"/>
                <w:color w:val="auto"/>
              </w:rPr>
            </w:pPr>
            <w:r>
              <w:rPr>
                <w:rFonts w:ascii="Arial" w:cs="Arial" w:eastAsia="Arial" w:hAnsi="Arial"/>
                <w:sz w:val="18"/>
                <w:szCs w:val="18"/>
                <w:color w:val="auto"/>
              </w:rPr>
              <w:t>Page 6</w:t>
            </w: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Material and/or</w:t>
            </w: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Nature of</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Excluded Subsidiary,</w:t>
            </w: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ENTITY NAME/Jurisdiction of</w:t>
            </w: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Equity</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Non-Controlled</w:t>
            </w: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80" w:type="dxa"/>
            <w:vAlign w:val="bottom"/>
          </w:tcPr>
          <w:p>
            <w:pPr>
              <w:ind w:left="1080"/>
              <w:spacing w:after="0"/>
              <w:rPr>
                <w:sz w:val="20"/>
                <w:szCs w:val="20"/>
                <w:color w:val="auto"/>
              </w:rPr>
            </w:pPr>
            <w:r>
              <w:rPr>
                <w:rFonts w:ascii="Arial" w:cs="Arial" w:eastAsia="Arial" w:hAnsi="Arial"/>
                <w:sz w:val="14"/>
                <w:szCs w:val="14"/>
                <w:b w:val="1"/>
                <w:bCs w:val="1"/>
                <w:color w:val="auto"/>
              </w:rPr>
              <w:t>Formation</w:t>
            </w:r>
          </w:p>
        </w:tc>
        <w:tc>
          <w:tcPr>
            <w:tcW w:w="120" w:type="dxa"/>
            <w:vAlign w:val="bottom"/>
          </w:tcPr>
          <w:p>
            <w:pPr>
              <w:spacing w:after="0"/>
              <w:rPr>
                <w:sz w:val="15"/>
                <w:szCs w:val="15"/>
                <w:color w:val="auto"/>
              </w:rPr>
            </w:pPr>
          </w:p>
        </w:tc>
        <w:tc>
          <w:tcPr>
            <w:tcW w:w="1520" w:type="dxa"/>
            <w:vAlign w:val="bottom"/>
            <w:gridSpan w:val="2"/>
          </w:tcPr>
          <w:p>
            <w:pPr>
              <w:ind w:left="260"/>
              <w:spacing w:after="0"/>
              <w:rPr>
                <w:sz w:val="20"/>
                <w:szCs w:val="20"/>
                <w:color w:val="auto"/>
              </w:rPr>
            </w:pPr>
            <w:r>
              <w:rPr>
                <w:rFonts w:ascii="Arial" w:cs="Arial" w:eastAsia="Arial" w:hAnsi="Arial"/>
                <w:sz w:val="14"/>
                <w:szCs w:val="14"/>
                <w:b w:val="1"/>
                <w:bCs w:val="1"/>
                <w:color w:val="auto"/>
              </w:rPr>
              <w:t>Equity Holders</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Interest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 Ownership</w:t>
            </w:r>
          </w:p>
        </w:tc>
        <w:tc>
          <w:tcPr>
            <w:tcW w:w="80" w:type="dxa"/>
            <w:vAlign w:val="bottom"/>
          </w:tcPr>
          <w:p>
            <w:pPr>
              <w:spacing w:after="0"/>
              <w:rPr>
                <w:sz w:val="15"/>
                <w:szCs w:val="15"/>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Property</w:t>
            </w:r>
          </w:p>
        </w:tc>
        <w:tc>
          <w:tcPr>
            <w:tcW w:w="2480" w:type="dxa"/>
            <w:vAlign w:val="bottom"/>
          </w:tcPr>
          <w:p>
            <w:pPr>
              <w:ind w:left="80"/>
              <w:spacing w:after="0"/>
              <w:rPr>
                <w:sz w:val="20"/>
                <w:szCs w:val="20"/>
                <w:color w:val="auto"/>
              </w:rPr>
            </w:pPr>
            <w:r>
              <w:rPr>
                <w:rFonts w:ascii="Arial" w:cs="Arial" w:eastAsia="Arial" w:hAnsi="Arial"/>
                <w:sz w:val="14"/>
                <w:szCs w:val="14"/>
                <w:b w:val="1"/>
                <w:bCs w:val="1"/>
                <w:color w:val="auto"/>
                <w:w w:val="89"/>
              </w:rPr>
              <w:t>Liens, Options, Registration Rights, etc.</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SQUARE BUSINESS TRUST, a</w:t>
            </w: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Inc.</w:t>
            </w: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shareholder</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Maryland business trust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800" w:type="dxa"/>
            <w:vAlign w:val="bottom"/>
            <w:gridSpan w:val="2"/>
          </w:tcPr>
          <w:p>
            <w:pPr>
              <w:spacing w:after="0"/>
              <w:rPr>
                <w:sz w:val="20"/>
                <w:szCs w:val="20"/>
                <w:color w:val="auto"/>
              </w:rPr>
            </w:pPr>
            <w:r>
              <w:rPr>
                <w:rFonts w:ascii="Arial" w:cs="Arial" w:eastAsia="Arial" w:hAnsi="Arial"/>
                <w:sz w:val="18"/>
                <w:szCs w:val="18"/>
                <w:color w:val="auto"/>
                <w:w w:val="99"/>
              </w:rPr>
              <w:t>RETAIL PROPERTIES BUSINESS</w:t>
            </w:r>
          </w:p>
        </w:tc>
        <w:tc>
          <w:tcPr>
            <w:tcW w:w="1640" w:type="dxa"/>
            <w:vAlign w:val="bottom"/>
            <w:gridSpan w:val="3"/>
          </w:tcPr>
          <w:p>
            <w:pPr>
              <w:ind w:left="120"/>
              <w:spacing w:after="0"/>
              <w:rPr>
                <w:sz w:val="20"/>
                <w:szCs w:val="20"/>
                <w:color w:val="auto"/>
              </w:rPr>
            </w:pPr>
            <w:r>
              <w:rPr>
                <w:rFonts w:ascii="Arial" w:cs="Arial" w:eastAsia="Arial" w:hAnsi="Arial"/>
                <w:sz w:val="18"/>
                <w:szCs w:val="18"/>
                <w:color w:val="auto"/>
              </w:rPr>
              <w:t>FR White Marsh,</w:t>
            </w:r>
          </w:p>
        </w:tc>
        <w:tc>
          <w:tcPr>
            <w:tcW w:w="1320" w:type="dxa"/>
            <w:vAlign w:val="bottom"/>
            <w:gridSpan w:val="2"/>
          </w:tcPr>
          <w:p>
            <w:pPr>
              <w:spacing w:after="0"/>
              <w:rPr>
                <w:sz w:val="20"/>
                <w:szCs w:val="20"/>
                <w:color w:val="auto"/>
              </w:rPr>
            </w:pPr>
            <w:r>
              <w:rPr>
                <w:rFonts w:ascii="Arial" w:cs="Arial" w:eastAsia="Arial" w:hAnsi="Arial"/>
                <w:sz w:val="18"/>
                <w:szCs w:val="18"/>
                <w:color w:val="auto"/>
                <w:w w:val="95"/>
              </w:rPr>
              <w:t>Sole shareholder</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140" w:type="dxa"/>
            <w:vAlign w:val="bottom"/>
            <w:gridSpan w:val="3"/>
          </w:tcPr>
          <w:p>
            <w:pPr>
              <w:ind w:left="80"/>
              <w:spacing w:after="0"/>
              <w:rPr>
                <w:sz w:val="20"/>
                <w:szCs w:val="20"/>
                <w:color w:val="auto"/>
              </w:rPr>
            </w:pPr>
            <w:r>
              <w:rPr>
                <w:rFonts w:ascii="Arial" w:cs="Arial" w:eastAsia="Arial" w:hAnsi="Arial"/>
                <w:sz w:val="18"/>
                <w:szCs w:val="18"/>
                <w:color w:val="auto"/>
              </w:rPr>
              <w:t>Guarantor</w:t>
            </w:r>
          </w:p>
        </w:tc>
        <w:tc>
          <w:tcPr>
            <w:tcW w:w="24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w w:val="93"/>
              </w:rPr>
              <w:t>TRUST, a Maryland business trust</w:t>
            </w:r>
          </w:p>
        </w:tc>
        <w:tc>
          <w:tcPr>
            <w:tcW w:w="1640" w:type="dxa"/>
            <w:vAlign w:val="bottom"/>
            <w:gridSpan w:val="3"/>
          </w:tcPr>
          <w:p>
            <w:pPr>
              <w:ind w:left="120"/>
              <w:spacing w:after="0"/>
              <w:rPr>
                <w:sz w:val="20"/>
                <w:szCs w:val="20"/>
                <w:color w:val="auto"/>
              </w:rPr>
            </w:pPr>
            <w:r>
              <w:rPr>
                <w:rFonts w:ascii="Arial" w:cs="Arial" w:eastAsia="Arial" w:hAnsi="Arial"/>
                <w:sz w:val="18"/>
                <w:szCs w:val="18"/>
                <w:color w:val="auto"/>
              </w:rPr>
              <w:t>Inc.</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NOTTINGHAM SQUARE</w:t>
            </w:r>
          </w:p>
        </w:tc>
        <w:tc>
          <w:tcPr>
            <w:tcW w:w="1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FR White Marsh,</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Sole shareholder</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1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Guarantor</w:t>
            </w: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BUSINESS TRUST, a Maryland</w:t>
            </w:r>
          </w:p>
        </w:tc>
        <w:tc>
          <w:tcPr>
            <w:tcW w:w="1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Inc.</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business trust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800" w:type="dxa"/>
            <w:vAlign w:val="bottom"/>
            <w:gridSpan w:val="2"/>
          </w:tcPr>
          <w:p>
            <w:pPr>
              <w:spacing w:after="0"/>
              <w:rPr>
                <w:sz w:val="20"/>
                <w:szCs w:val="20"/>
                <w:color w:val="auto"/>
              </w:rPr>
            </w:pPr>
            <w:r>
              <w:rPr>
                <w:rFonts w:ascii="Arial" w:cs="Arial" w:eastAsia="Arial" w:hAnsi="Arial"/>
                <w:sz w:val="18"/>
                <w:szCs w:val="18"/>
                <w:color w:val="auto"/>
              </w:rPr>
              <w:t>THE AVENUE AT WHITE MARSH</w:t>
            </w:r>
          </w:p>
        </w:tc>
        <w:tc>
          <w:tcPr>
            <w:tcW w:w="1640" w:type="dxa"/>
            <w:vAlign w:val="bottom"/>
            <w:gridSpan w:val="3"/>
          </w:tcPr>
          <w:p>
            <w:pPr>
              <w:ind w:left="120"/>
              <w:spacing w:after="0"/>
              <w:rPr>
                <w:sz w:val="20"/>
                <w:szCs w:val="20"/>
                <w:color w:val="auto"/>
              </w:rPr>
            </w:pPr>
            <w:r>
              <w:rPr>
                <w:rFonts w:ascii="Arial" w:cs="Arial" w:eastAsia="Arial" w:hAnsi="Arial"/>
                <w:sz w:val="18"/>
                <w:szCs w:val="18"/>
                <w:color w:val="auto"/>
              </w:rPr>
              <w:t>FR White Marsh,</w:t>
            </w:r>
          </w:p>
        </w:tc>
        <w:tc>
          <w:tcPr>
            <w:tcW w:w="1320" w:type="dxa"/>
            <w:vAlign w:val="bottom"/>
            <w:gridSpan w:val="2"/>
          </w:tcPr>
          <w:p>
            <w:pPr>
              <w:spacing w:after="0"/>
              <w:rPr>
                <w:sz w:val="20"/>
                <w:szCs w:val="20"/>
                <w:color w:val="auto"/>
              </w:rPr>
            </w:pPr>
            <w:r>
              <w:rPr>
                <w:rFonts w:ascii="Arial" w:cs="Arial" w:eastAsia="Arial" w:hAnsi="Arial"/>
                <w:sz w:val="18"/>
                <w:szCs w:val="18"/>
                <w:color w:val="auto"/>
                <w:w w:val="95"/>
              </w:rPr>
              <w:t>Sole shareholder</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140" w:type="dxa"/>
            <w:vAlign w:val="bottom"/>
            <w:gridSpan w:val="3"/>
          </w:tcPr>
          <w:p>
            <w:pPr>
              <w:ind w:left="80"/>
              <w:spacing w:after="0"/>
              <w:rPr>
                <w:sz w:val="20"/>
                <w:szCs w:val="20"/>
                <w:color w:val="auto"/>
              </w:rPr>
            </w:pPr>
            <w:r>
              <w:rPr>
                <w:rFonts w:ascii="Arial" w:cs="Arial" w:eastAsia="Arial" w:hAnsi="Arial"/>
                <w:sz w:val="18"/>
                <w:szCs w:val="18"/>
                <w:color w:val="auto"/>
              </w:rPr>
              <w:t>Excluded Subsidiary</w:t>
            </w:r>
          </w:p>
        </w:tc>
        <w:tc>
          <w:tcPr>
            <w:tcW w:w="24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BUSINESS TRUST, a Maryland</w:t>
            </w:r>
          </w:p>
        </w:tc>
        <w:tc>
          <w:tcPr>
            <w:tcW w:w="1640" w:type="dxa"/>
            <w:vAlign w:val="bottom"/>
            <w:gridSpan w:val="3"/>
          </w:tcPr>
          <w:p>
            <w:pPr>
              <w:ind w:left="120"/>
              <w:spacing w:after="0"/>
              <w:rPr>
                <w:sz w:val="20"/>
                <w:szCs w:val="20"/>
                <w:color w:val="auto"/>
              </w:rPr>
            </w:pPr>
            <w:r>
              <w:rPr>
                <w:rFonts w:ascii="Arial" w:cs="Arial" w:eastAsia="Arial" w:hAnsi="Arial"/>
                <w:sz w:val="18"/>
                <w:szCs w:val="18"/>
                <w:color w:val="auto"/>
              </w:rPr>
              <w:t>Inc.</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business trust</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NVI-AVENUE, LLC, a Maryland</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White Marsh,</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Managing</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9,644</w:t>
            </w:r>
          </w:p>
        </w:tc>
        <w:tc>
          <w:tcPr>
            <w:tcW w:w="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Excluded Subsidiary</w:t>
            </w: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w w:val="98"/>
              </w:rPr>
              <w:t>Right to exchange membership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liability company</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units</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w w:val="92"/>
              </w:rPr>
              <w:t>units for Federal Realty shares 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(DownREIT)</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54 separate investor</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175,860</w:t>
            </w: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w w:val="94"/>
              </w:rPr>
              <w:t>cash (at Federal Realty’s option)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units</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800" w:type="dxa"/>
            <w:vAlign w:val="bottom"/>
            <w:gridSpan w:val="2"/>
          </w:tcPr>
          <w:p>
            <w:pPr>
              <w:spacing w:after="0"/>
              <w:rPr>
                <w:sz w:val="20"/>
                <w:szCs w:val="20"/>
                <w:color w:val="auto"/>
              </w:rPr>
            </w:pPr>
            <w:r>
              <w:rPr>
                <w:rFonts w:ascii="Arial" w:cs="Arial" w:eastAsia="Arial" w:hAnsi="Arial"/>
                <w:sz w:val="18"/>
                <w:szCs w:val="18"/>
                <w:color w:val="auto"/>
              </w:rPr>
              <w:t>RETAIL FUNDING AFFILIATES,</w:t>
            </w:r>
          </w:p>
        </w:tc>
        <w:tc>
          <w:tcPr>
            <w:tcW w:w="1640" w:type="dxa"/>
            <w:vAlign w:val="bottom"/>
            <w:gridSpan w:val="3"/>
          </w:tcPr>
          <w:p>
            <w:pPr>
              <w:ind w:left="120"/>
              <w:spacing w:after="0"/>
              <w:rPr>
                <w:sz w:val="20"/>
                <w:szCs w:val="20"/>
                <w:color w:val="auto"/>
              </w:rPr>
            </w:pPr>
            <w:r>
              <w:rPr>
                <w:rFonts w:ascii="Arial" w:cs="Arial" w:eastAsia="Arial" w:hAnsi="Arial"/>
                <w:sz w:val="18"/>
                <w:szCs w:val="18"/>
                <w:color w:val="auto"/>
              </w:rPr>
              <w:t>FR White Marsh,</w:t>
            </w:r>
          </w:p>
        </w:tc>
        <w:tc>
          <w:tcPr>
            <w:tcW w:w="1320" w:type="dxa"/>
            <w:vAlign w:val="bottom"/>
            <w:gridSpan w:val="2"/>
          </w:tcPr>
          <w:p>
            <w:pPr>
              <w:spacing w:after="0"/>
              <w:rPr>
                <w:sz w:val="20"/>
                <w:szCs w:val="20"/>
                <w:color w:val="auto"/>
              </w:rPr>
            </w:pPr>
            <w:r>
              <w:rPr>
                <w:rFonts w:ascii="Arial" w:cs="Arial" w:eastAsia="Arial" w:hAnsi="Arial"/>
                <w:sz w:val="18"/>
                <w:szCs w:val="18"/>
                <w:color w:val="auto"/>
              </w:rPr>
              <w:t>Managing</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LLC, a Maryland limited liability</w:t>
            </w:r>
          </w:p>
        </w:tc>
        <w:tc>
          <w:tcPr>
            <w:tcW w:w="1640" w:type="dxa"/>
            <w:vAlign w:val="bottom"/>
            <w:gridSpan w:val="3"/>
          </w:tcPr>
          <w:p>
            <w:pPr>
              <w:ind w:left="120"/>
              <w:spacing w:after="0"/>
              <w:rPr>
                <w:sz w:val="20"/>
                <w:szCs w:val="20"/>
                <w:color w:val="auto"/>
              </w:rPr>
            </w:pPr>
            <w:r>
              <w:rPr>
                <w:rFonts w:ascii="Arial" w:cs="Arial" w:eastAsia="Arial" w:hAnsi="Arial"/>
                <w:sz w:val="18"/>
                <w:szCs w:val="18"/>
                <w:color w:val="auto"/>
              </w:rPr>
              <w:t>Inc.</w:t>
            </w:r>
          </w:p>
        </w:tc>
        <w:tc>
          <w:tcPr>
            <w:tcW w:w="1320" w:type="dxa"/>
            <w:vAlign w:val="bottom"/>
            <w:gridSpan w:val="2"/>
          </w:tcPr>
          <w:p>
            <w:pPr>
              <w:spacing w:after="0"/>
              <w:rPr>
                <w:sz w:val="20"/>
                <w:szCs w:val="20"/>
                <w:color w:val="auto"/>
              </w:rPr>
            </w:pPr>
            <w:r>
              <w:rPr>
                <w:rFonts w:ascii="Arial" w:cs="Arial" w:eastAsia="Arial" w:hAnsi="Arial"/>
                <w:sz w:val="18"/>
                <w:szCs w:val="18"/>
                <w:color w:val="auto"/>
              </w:rPr>
              <w:t>member</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company</w:t>
            </w:r>
          </w:p>
        </w:tc>
        <w:tc>
          <w:tcPr>
            <w:tcW w:w="1640" w:type="dxa"/>
            <w:vAlign w:val="bottom"/>
            <w:gridSpan w:val="3"/>
          </w:tcPr>
          <w:p>
            <w:pPr>
              <w:ind w:left="120"/>
              <w:spacing w:after="0"/>
              <w:rPr>
                <w:sz w:val="20"/>
                <w:szCs w:val="20"/>
                <w:color w:val="auto"/>
              </w:rPr>
            </w:pPr>
            <w:r>
              <w:rPr>
                <w:rFonts w:ascii="Arial" w:cs="Arial" w:eastAsia="Arial" w:hAnsi="Arial"/>
                <w:sz w:val="18"/>
                <w:szCs w:val="18"/>
                <w:color w:val="auto"/>
              </w:rPr>
              <w:t>NVI-Avenue, LLC</w:t>
            </w:r>
          </w:p>
        </w:tc>
        <w:tc>
          <w:tcPr>
            <w:tcW w:w="1320" w:type="dxa"/>
            <w:vAlign w:val="bottom"/>
            <w:gridSpan w:val="2"/>
          </w:tcPr>
          <w:p>
            <w:pPr>
              <w:spacing w:after="0"/>
              <w:rPr>
                <w:sz w:val="20"/>
                <w:szCs w:val="20"/>
                <w:color w:val="auto"/>
              </w:rPr>
            </w:pPr>
            <w:r>
              <w:rPr>
                <w:rFonts w:ascii="Arial" w:cs="Arial" w:eastAsia="Arial" w:hAnsi="Arial"/>
                <w:sz w:val="18"/>
                <w:szCs w:val="18"/>
                <w:color w:val="auto"/>
              </w:rPr>
              <w:t>Member</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40" w:type="dxa"/>
            <w:vAlign w:val="bottom"/>
            <w:gridSpan w:val="3"/>
          </w:tcPr>
          <w:p>
            <w:pPr>
              <w:ind w:left="120"/>
              <w:spacing w:after="0"/>
              <w:rPr>
                <w:sz w:val="20"/>
                <w:szCs w:val="20"/>
                <w:color w:val="auto"/>
              </w:rPr>
            </w:pPr>
            <w:r>
              <w:rPr>
                <w:rFonts w:ascii="Arial" w:cs="Arial" w:eastAsia="Arial" w:hAnsi="Arial"/>
                <w:sz w:val="18"/>
                <w:szCs w:val="18"/>
                <w:color w:val="auto"/>
              </w:rPr>
              <w:t>The Avenue at</w:t>
            </w:r>
          </w:p>
        </w:tc>
        <w:tc>
          <w:tcPr>
            <w:tcW w:w="1320" w:type="dxa"/>
            <w:vAlign w:val="bottom"/>
            <w:gridSpan w:val="2"/>
          </w:tcPr>
          <w:p>
            <w:pPr>
              <w:spacing w:after="0"/>
              <w:rPr>
                <w:sz w:val="20"/>
                <w:szCs w:val="20"/>
                <w:color w:val="auto"/>
              </w:rPr>
            </w:pPr>
            <w:r>
              <w:rPr>
                <w:rFonts w:ascii="Arial" w:cs="Arial" w:eastAsia="Arial" w:hAnsi="Arial"/>
                <w:sz w:val="18"/>
                <w:szCs w:val="18"/>
                <w:color w:val="auto"/>
              </w:rPr>
              <w:t>Member</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40" w:type="dxa"/>
            <w:vAlign w:val="bottom"/>
            <w:gridSpan w:val="3"/>
          </w:tcPr>
          <w:p>
            <w:pPr>
              <w:ind w:left="120"/>
              <w:spacing w:after="0"/>
              <w:rPr>
                <w:sz w:val="20"/>
                <w:szCs w:val="20"/>
                <w:color w:val="auto"/>
              </w:rPr>
            </w:pPr>
            <w:r>
              <w:rPr>
                <w:rFonts w:ascii="Arial" w:cs="Arial" w:eastAsia="Arial" w:hAnsi="Arial"/>
                <w:sz w:val="18"/>
                <w:szCs w:val="18"/>
                <w:color w:val="auto"/>
              </w:rPr>
              <w:t>White Marsh</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640" w:type="dxa"/>
            <w:vAlign w:val="bottom"/>
            <w:gridSpan w:val="3"/>
          </w:tcPr>
          <w:p>
            <w:pPr>
              <w:ind w:left="120"/>
              <w:spacing w:after="0"/>
              <w:rPr>
                <w:sz w:val="20"/>
                <w:szCs w:val="20"/>
                <w:color w:val="auto"/>
              </w:rPr>
            </w:pPr>
            <w:r>
              <w:rPr>
                <w:rFonts w:ascii="Arial" w:cs="Arial" w:eastAsia="Arial" w:hAnsi="Arial"/>
                <w:sz w:val="18"/>
                <w:szCs w:val="18"/>
                <w:color w:val="auto"/>
              </w:rPr>
              <w:t>Business Trust</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15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FR FLORIDA, INC. (F/K/A FR</w:t>
            </w:r>
          </w:p>
        </w:tc>
        <w:tc>
          <w:tcPr>
            <w:tcW w:w="1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Federal Realty</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Sole Stockholder</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CHELSEA COMMONS III, INC.),</w:t>
            </w:r>
          </w:p>
        </w:tc>
        <w:tc>
          <w:tcPr>
            <w:tcW w:w="1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Investment Trust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 Delaware corporation</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800" w:type="dxa"/>
            <w:vAlign w:val="bottom"/>
            <w:gridSpan w:val="2"/>
          </w:tcPr>
          <w:p>
            <w:pPr>
              <w:spacing w:after="0"/>
              <w:rPr>
                <w:sz w:val="20"/>
                <w:szCs w:val="20"/>
                <w:color w:val="auto"/>
              </w:rPr>
            </w:pPr>
            <w:r>
              <w:rPr>
                <w:rFonts w:ascii="Arial" w:cs="Arial" w:eastAsia="Arial" w:hAnsi="Arial"/>
                <w:sz w:val="18"/>
                <w:szCs w:val="18"/>
                <w:color w:val="auto"/>
              </w:rPr>
              <w:t>FR DEL MAR VILLAGE, LLC, a</w:t>
            </w:r>
          </w:p>
        </w:tc>
        <w:tc>
          <w:tcPr>
            <w:tcW w:w="1640" w:type="dxa"/>
            <w:vAlign w:val="bottom"/>
            <w:gridSpan w:val="3"/>
          </w:tcPr>
          <w:p>
            <w:pPr>
              <w:ind w:left="120"/>
              <w:spacing w:after="0"/>
              <w:rPr>
                <w:sz w:val="20"/>
                <w:szCs w:val="20"/>
                <w:color w:val="auto"/>
              </w:rPr>
            </w:pPr>
            <w:r>
              <w:rPr>
                <w:rFonts w:ascii="Arial" w:cs="Arial" w:eastAsia="Arial" w:hAnsi="Arial"/>
                <w:sz w:val="18"/>
                <w:szCs w:val="18"/>
                <w:color w:val="auto"/>
              </w:rPr>
              <w:t>FR Florida, Inc.</w:t>
            </w:r>
          </w:p>
        </w:tc>
        <w:tc>
          <w:tcPr>
            <w:tcW w:w="1320" w:type="dxa"/>
            <w:vAlign w:val="bottom"/>
            <w:gridSpan w:val="2"/>
          </w:tcPr>
          <w:p>
            <w:pPr>
              <w:spacing w:after="0"/>
              <w:rPr>
                <w:sz w:val="20"/>
                <w:szCs w:val="20"/>
                <w:color w:val="auto"/>
              </w:rPr>
            </w:pPr>
            <w:r>
              <w:rPr>
                <w:rFonts w:ascii="Arial" w:cs="Arial" w:eastAsia="Arial" w:hAnsi="Arial"/>
                <w:sz w:val="18"/>
                <w:szCs w:val="18"/>
                <w:color w:val="auto"/>
              </w:rPr>
              <w:t>Sole member</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140" w:type="dxa"/>
            <w:vAlign w:val="bottom"/>
            <w:gridSpan w:val="3"/>
          </w:tcPr>
          <w:p>
            <w:pPr>
              <w:ind w:left="80"/>
              <w:spacing w:after="0"/>
              <w:rPr>
                <w:sz w:val="20"/>
                <w:szCs w:val="20"/>
                <w:color w:val="auto"/>
              </w:rPr>
            </w:pPr>
            <w:r>
              <w:rPr>
                <w:rFonts w:ascii="Arial" w:cs="Arial" w:eastAsia="Arial" w:hAnsi="Arial"/>
                <w:sz w:val="18"/>
                <w:szCs w:val="18"/>
                <w:color w:val="auto"/>
              </w:rPr>
              <w:t>Guarantor</w:t>
            </w:r>
          </w:p>
        </w:tc>
        <w:tc>
          <w:tcPr>
            <w:tcW w:w="24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w w:val="94"/>
              </w:rPr>
              <w:t>Delaware limited liability company</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15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FR DEL MAR VILLAGE II, LLC, a</w:t>
            </w:r>
          </w:p>
        </w:tc>
        <w:tc>
          <w:tcPr>
            <w:tcW w:w="1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FR Florida, Inc.</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Sole member</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1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Guarantor</w:t>
            </w: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 limited liability</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274"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Material and/or</w:t>
            </w: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Nature of</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Excluded Subsidiary,</w:t>
            </w: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ENTITY NAME/Jurisdiction of</w:t>
            </w: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Equity</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Non-Controlled</w:t>
            </w: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80" w:type="dxa"/>
            <w:vAlign w:val="bottom"/>
            <w:gridSpan w:val="2"/>
          </w:tcPr>
          <w:p>
            <w:pPr>
              <w:ind w:left="980"/>
              <w:spacing w:after="0"/>
              <w:rPr>
                <w:sz w:val="20"/>
                <w:szCs w:val="20"/>
                <w:color w:val="auto"/>
              </w:rPr>
            </w:pPr>
            <w:r>
              <w:rPr>
                <w:rFonts w:ascii="Arial" w:cs="Arial" w:eastAsia="Arial" w:hAnsi="Arial"/>
                <w:sz w:val="14"/>
                <w:szCs w:val="14"/>
                <w:b w:val="1"/>
                <w:bCs w:val="1"/>
                <w:color w:val="auto"/>
              </w:rPr>
              <w:t>Formation</w:t>
            </w:r>
          </w:p>
        </w:tc>
        <w:tc>
          <w:tcPr>
            <w:tcW w:w="1560" w:type="dxa"/>
            <w:vAlign w:val="bottom"/>
            <w:gridSpan w:val="2"/>
          </w:tcPr>
          <w:p>
            <w:pPr>
              <w:ind w:left="240"/>
              <w:spacing w:after="0"/>
              <w:rPr>
                <w:sz w:val="20"/>
                <w:szCs w:val="20"/>
                <w:color w:val="auto"/>
              </w:rPr>
            </w:pPr>
            <w:r>
              <w:rPr>
                <w:rFonts w:ascii="Arial" w:cs="Arial" w:eastAsia="Arial" w:hAnsi="Arial"/>
                <w:sz w:val="14"/>
                <w:szCs w:val="14"/>
                <w:b w:val="1"/>
                <w:bCs w:val="1"/>
                <w:color w:val="auto"/>
              </w:rPr>
              <w:t>Equity Holders</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Interest</w:t>
            </w: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 Ownership</w:t>
            </w:r>
          </w:p>
        </w:tc>
        <w:tc>
          <w:tcPr>
            <w:tcW w:w="2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Property</w:t>
            </w:r>
          </w:p>
        </w:tc>
        <w:tc>
          <w:tcPr>
            <w:tcW w:w="2480" w:type="dxa"/>
            <w:vAlign w:val="bottom"/>
          </w:tcPr>
          <w:p>
            <w:pPr>
              <w:ind w:left="100"/>
              <w:spacing w:after="0"/>
              <w:rPr>
                <w:sz w:val="20"/>
                <w:szCs w:val="20"/>
                <w:color w:val="auto"/>
              </w:rPr>
            </w:pPr>
            <w:r>
              <w:rPr>
                <w:rFonts w:ascii="Arial" w:cs="Arial" w:eastAsia="Arial" w:hAnsi="Arial"/>
                <w:sz w:val="14"/>
                <w:szCs w:val="14"/>
                <w:b w:val="1"/>
                <w:bCs w:val="1"/>
                <w:color w:val="auto"/>
                <w:w w:val="88"/>
              </w:rPr>
              <w:t>Liens, Options, Registration Rights, etc.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company</w:t>
            </w: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800" w:type="dxa"/>
            <w:vAlign w:val="bottom"/>
            <w:gridSpan w:val="3"/>
          </w:tcPr>
          <w:p>
            <w:pPr>
              <w:spacing w:after="0"/>
              <w:rPr>
                <w:sz w:val="20"/>
                <w:szCs w:val="20"/>
                <w:color w:val="auto"/>
              </w:rPr>
            </w:pPr>
            <w:r>
              <w:rPr>
                <w:rFonts w:ascii="Arial" w:cs="Arial" w:eastAsia="Arial" w:hAnsi="Arial"/>
                <w:sz w:val="18"/>
                <w:szCs w:val="18"/>
                <w:color w:val="auto"/>
              </w:rPr>
              <w:t>FR COURTYARD SHOPS, LLC, a</w:t>
            </w:r>
          </w:p>
        </w:tc>
        <w:tc>
          <w:tcPr>
            <w:tcW w:w="1560" w:type="dxa"/>
            <w:vAlign w:val="bottom"/>
            <w:gridSpan w:val="2"/>
          </w:tcPr>
          <w:p>
            <w:pPr>
              <w:spacing w:after="0"/>
              <w:rPr>
                <w:sz w:val="20"/>
                <w:szCs w:val="20"/>
                <w:color w:val="auto"/>
              </w:rPr>
            </w:pPr>
            <w:r>
              <w:rPr>
                <w:rFonts w:ascii="Arial" w:cs="Arial" w:eastAsia="Arial" w:hAnsi="Arial"/>
                <w:sz w:val="18"/>
                <w:szCs w:val="18"/>
                <w:color w:val="auto"/>
              </w:rPr>
              <w:t>FR Florida, Inc.</w:t>
            </w:r>
          </w:p>
        </w:tc>
        <w:tc>
          <w:tcPr>
            <w:tcW w:w="1360" w:type="dxa"/>
            <w:vAlign w:val="bottom"/>
            <w:gridSpan w:val="2"/>
          </w:tcPr>
          <w:p>
            <w:pPr>
              <w:spacing w:after="0"/>
              <w:rPr>
                <w:sz w:val="20"/>
                <w:szCs w:val="20"/>
                <w:color w:val="auto"/>
              </w:rPr>
            </w:pPr>
            <w:r>
              <w:rPr>
                <w:rFonts w:ascii="Arial" w:cs="Arial" w:eastAsia="Arial" w:hAnsi="Arial"/>
                <w:sz w:val="18"/>
                <w:szCs w:val="18"/>
                <w:color w:val="auto"/>
              </w:rPr>
              <w:t>Sole member</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2020" w:type="dxa"/>
            <w:vAlign w:val="bottom"/>
            <w:gridSpan w:val="2"/>
          </w:tcPr>
          <w:p>
            <w:pPr>
              <w:spacing w:after="0"/>
              <w:rPr>
                <w:sz w:val="20"/>
                <w:szCs w:val="20"/>
                <w:color w:val="auto"/>
              </w:rPr>
            </w:pPr>
            <w:r>
              <w:rPr>
                <w:rFonts w:ascii="Arial" w:cs="Arial" w:eastAsia="Arial" w:hAnsi="Arial"/>
                <w:sz w:val="18"/>
                <w:szCs w:val="18"/>
                <w:color w:val="auto"/>
              </w:rPr>
              <w:t>Excluded Subsidiary</w:t>
            </w:r>
          </w:p>
        </w:tc>
        <w:tc>
          <w:tcPr>
            <w:tcW w:w="24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Delaware limited liability</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company</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CHELSEA COMMONS III,</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Sole member</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Guarantor</w:t>
            </w: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LLC, a Delaware limited liability</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company</w:t>
            </w: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800" w:type="dxa"/>
            <w:vAlign w:val="bottom"/>
            <w:gridSpan w:val="3"/>
          </w:tcPr>
          <w:p>
            <w:pPr>
              <w:spacing w:after="0"/>
              <w:rPr>
                <w:sz w:val="20"/>
                <w:szCs w:val="20"/>
                <w:color w:val="auto"/>
              </w:rPr>
            </w:pPr>
            <w:r>
              <w:rPr>
                <w:rFonts w:ascii="Arial" w:cs="Arial" w:eastAsia="Arial" w:hAnsi="Arial"/>
                <w:sz w:val="18"/>
                <w:szCs w:val="18"/>
                <w:color w:val="auto"/>
              </w:rPr>
              <w:t>FR ROLLINGWOOD, LLC, a</w:t>
            </w:r>
          </w:p>
        </w:tc>
        <w:tc>
          <w:tcPr>
            <w:tcW w:w="1560" w:type="dxa"/>
            <w:vAlign w:val="bottom"/>
            <w:gridSpan w:val="2"/>
          </w:tcPr>
          <w:p>
            <w:pPr>
              <w:spacing w:after="0"/>
              <w:rPr>
                <w:sz w:val="20"/>
                <w:szCs w:val="20"/>
                <w:color w:val="auto"/>
              </w:rPr>
            </w:pPr>
            <w:r>
              <w:rPr>
                <w:rFonts w:ascii="Arial" w:cs="Arial" w:eastAsia="Arial" w:hAnsi="Arial"/>
                <w:sz w:val="18"/>
                <w:szCs w:val="18"/>
                <w:color w:val="auto"/>
              </w:rPr>
              <w:t>Federal Realty</w:t>
            </w:r>
          </w:p>
        </w:tc>
        <w:tc>
          <w:tcPr>
            <w:tcW w:w="1360" w:type="dxa"/>
            <w:vAlign w:val="bottom"/>
            <w:gridSpan w:val="2"/>
          </w:tcPr>
          <w:p>
            <w:pPr>
              <w:spacing w:after="0"/>
              <w:rPr>
                <w:sz w:val="20"/>
                <w:szCs w:val="20"/>
                <w:color w:val="auto"/>
              </w:rPr>
            </w:pPr>
            <w:r>
              <w:rPr>
                <w:rFonts w:ascii="Arial" w:cs="Arial" w:eastAsia="Arial" w:hAnsi="Arial"/>
                <w:sz w:val="18"/>
                <w:szCs w:val="18"/>
                <w:color w:val="auto"/>
              </w:rPr>
              <w:t>Sole member</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Delaware limited liability</w:t>
            </w:r>
          </w:p>
        </w:tc>
        <w:tc>
          <w:tcPr>
            <w:tcW w:w="1560" w:type="dxa"/>
            <w:vAlign w:val="bottom"/>
            <w:gridSpan w:val="2"/>
          </w:tcPr>
          <w:p>
            <w:pPr>
              <w:spacing w:after="0"/>
              <w:rPr>
                <w:sz w:val="20"/>
                <w:szCs w:val="20"/>
                <w:color w:val="auto"/>
              </w:rPr>
            </w:pPr>
            <w:r>
              <w:rPr>
                <w:rFonts w:ascii="Arial" w:cs="Arial" w:eastAsia="Arial" w:hAnsi="Arial"/>
                <w:sz w:val="18"/>
                <w:szCs w:val="18"/>
                <w:color w:val="auto"/>
              </w:rPr>
              <w:t>Investment Trust</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company</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ROLLINGWOOD, INC., a</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Rollingwood,</w:t>
            </w: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Sole stockholder</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Excluded Subsidiary</w:t>
            </w: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Delaware corporation</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LLC</w:t>
            </w: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800" w:type="dxa"/>
            <w:vAlign w:val="bottom"/>
            <w:gridSpan w:val="3"/>
          </w:tcPr>
          <w:p>
            <w:pPr>
              <w:spacing w:after="0"/>
              <w:rPr>
                <w:sz w:val="20"/>
                <w:szCs w:val="20"/>
                <w:color w:val="auto"/>
              </w:rPr>
            </w:pPr>
            <w:r>
              <w:rPr>
                <w:rFonts w:ascii="Arial" w:cs="Arial" w:eastAsia="Arial" w:hAnsi="Arial"/>
                <w:sz w:val="18"/>
                <w:szCs w:val="18"/>
                <w:color w:val="auto"/>
              </w:rPr>
              <w:t>FR HUNTINGTON SQUARE,</w:t>
            </w:r>
          </w:p>
        </w:tc>
        <w:tc>
          <w:tcPr>
            <w:tcW w:w="1560" w:type="dxa"/>
            <w:vAlign w:val="bottom"/>
            <w:gridSpan w:val="2"/>
          </w:tcPr>
          <w:p>
            <w:pPr>
              <w:spacing w:after="0"/>
              <w:rPr>
                <w:sz w:val="20"/>
                <w:szCs w:val="20"/>
                <w:color w:val="auto"/>
              </w:rPr>
            </w:pPr>
            <w:r>
              <w:rPr>
                <w:rFonts w:ascii="Arial" w:cs="Arial" w:eastAsia="Arial" w:hAnsi="Arial"/>
                <w:sz w:val="18"/>
                <w:szCs w:val="18"/>
                <w:color w:val="auto"/>
              </w:rPr>
              <w:t>Federal Realty</w:t>
            </w:r>
          </w:p>
        </w:tc>
        <w:tc>
          <w:tcPr>
            <w:tcW w:w="1360" w:type="dxa"/>
            <w:vAlign w:val="bottom"/>
            <w:gridSpan w:val="2"/>
          </w:tcPr>
          <w:p>
            <w:pPr>
              <w:spacing w:after="0"/>
              <w:rPr>
                <w:sz w:val="20"/>
                <w:szCs w:val="20"/>
                <w:color w:val="auto"/>
              </w:rPr>
            </w:pPr>
            <w:r>
              <w:rPr>
                <w:rFonts w:ascii="Arial" w:cs="Arial" w:eastAsia="Arial" w:hAnsi="Arial"/>
                <w:sz w:val="18"/>
                <w:szCs w:val="18"/>
                <w:color w:val="auto"/>
              </w:rPr>
              <w:t>Sole member</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2020" w:type="dxa"/>
            <w:vAlign w:val="bottom"/>
            <w:gridSpan w:val="2"/>
          </w:tcPr>
          <w:p>
            <w:pPr>
              <w:spacing w:after="0"/>
              <w:rPr>
                <w:sz w:val="20"/>
                <w:szCs w:val="20"/>
                <w:color w:val="auto"/>
              </w:rPr>
            </w:pPr>
            <w:r>
              <w:rPr>
                <w:rFonts w:ascii="Arial" w:cs="Arial" w:eastAsia="Arial" w:hAnsi="Arial"/>
                <w:sz w:val="18"/>
                <w:szCs w:val="18"/>
                <w:color w:val="auto"/>
              </w:rPr>
              <w:t>Guarantor</w:t>
            </w:r>
          </w:p>
        </w:tc>
        <w:tc>
          <w:tcPr>
            <w:tcW w:w="24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LLC, a Delaware limited liability</w:t>
            </w:r>
          </w:p>
        </w:tc>
        <w:tc>
          <w:tcPr>
            <w:tcW w:w="1560" w:type="dxa"/>
            <w:vAlign w:val="bottom"/>
            <w:gridSpan w:val="2"/>
          </w:tcPr>
          <w:p>
            <w:pPr>
              <w:spacing w:after="0"/>
              <w:rPr>
                <w:sz w:val="20"/>
                <w:szCs w:val="20"/>
                <w:color w:val="auto"/>
              </w:rPr>
            </w:pPr>
            <w:r>
              <w:rPr>
                <w:rFonts w:ascii="Arial" w:cs="Arial" w:eastAsia="Arial" w:hAnsi="Arial"/>
                <w:sz w:val="18"/>
                <w:szCs w:val="18"/>
                <w:color w:val="auto"/>
              </w:rPr>
              <w:t>Investment Trust</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company</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TOWER SHOPS, LLC, a</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Florida, Inc.</w:t>
            </w: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Sole member</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 become a Guarantor</w:t>
            </w: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Delaware limited liability</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company (to be acquired upon</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winding down of reverse 1031 no</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later than July 18, 2011)</w:t>
            </w: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800" w:type="dxa"/>
            <w:vAlign w:val="bottom"/>
            <w:gridSpan w:val="3"/>
          </w:tcPr>
          <w:p>
            <w:pPr>
              <w:spacing w:after="0"/>
              <w:rPr>
                <w:sz w:val="20"/>
                <w:szCs w:val="20"/>
                <w:color w:val="auto"/>
              </w:rPr>
            </w:pPr>
            <w:r>
              <w:rPr>
                <w:rFonts w:ascii="Arial" w:cs="Arial" w:eastAsia="Arial" w:hAnsi="Arial"/>
                <w:sz w:val="18"/>
                <w:szCs w:val="18"/>
                <w:color w:val="auto"/>
              </w:rPr>
              <w:t>FEDERAL REALTY BOSTON,</w:t>
            </w:r>
          </w:p>
        </w:tc>
        <w:tc>
          <w:tcPr>
            <w:tcW w:w="1560" w:type="dxa"/>
            <w:vAlign w:val="bottom"/>
            <w:gridSpan w:val="2"/>
          </w:tcPr>
          <w:p>
            <w:pPr>
              <w:spacing w:after="0"/>
              <w:rPr>
                <w:sz w:val="20"/>
                <w:szCs w:val="20"/>
                <w:color w:val="auto"/>
              </w:rPr>
            </w:pPr>
            <w:r>
              <w:rPr>
                <w:rFonts w:ascii="Arial" w:cs="Arial" w:eastAsia="Arial" w:hAnsi="Arial"/>
                <w:sz w:val="18"/>
                <w:szCs w:val="18"/>
                <w:color w:val="auto"/>
              </w:rPr>
              <w:t>Federal Realty</w:t>
            </w:r>
          </w:p>
        </w:tc>
        <w:tc>
          <w:tcPr>
            <w:tcW w:w="1360" w:type="dxa"/>
            <w:vAlign w:val="bottom"/>
            <w:gridSpan w:val="2"/>
          </w:tcPr>
          <w:p>
            <w:pPr>
              <w:spacing w:after="0"/>
              <w:rPr>
                <w:sz w:val="20"/>
                <w:szCs w:val="20"/>
                <w:color w:val="auto"/>
              </w:rPr>
            </w:pPr>
            <w:r>
              <w:rPr>
                <w:rFonts w:ascii="Arial" w:cs="Arial" w:eastAsia="Arial" w:hAnsi="Arial"/>
                <w:sz w:val="18"/>
                <w:szCs w:val="18"/>
                <w:color w:val="auto"/>
              </w:rPr>
              <w:t>Sole stockholder</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INC., a Delaware corporation</w:t>
            </w:r>
          </w:p>
        </w:tc>
        <w:tc>
          <w:tcPr>
            <w:tcW w:w="1560" w:type="dxa"/>
            <w:vAlign w:val="bottom"/>
            <w:gridSpan w:val="2"/>
          </w:tcPr>
          <w:p>
            <w:pPr>
              <w:spacing w:after="0"/>
              <w:rPr>
                <w:sz w:val="20"/>
                <w:szCs w:val="20"/>
                <w:color w:val="auto"/>
              </w:rPr>
            </w:pPr>
            <w:r>
              <w:rPr>
                <w:rFonts w:ascii="Arial" w:cs="Arial" w:eastAsia="Arial" w:hAnsi="Arial"/>
                <w:sz w:val="18"/>
                <w:szCs w:val="18"/>
                <w:color w:val="auto"/>
              </w:rPr>
              <w:t>Investment Trust</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REALTY WEST</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Sole stockholder</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COAST, INC., a Delaware</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Trust</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800" w:type="dxa"/>
            <w:vAlign w:val="bottom"/>
            <w:gridSpan w:val="3"/>
          </w:tcPr>
          <w:p>
            <w:pPr>
              <w:spacing w:after="0"/>
              <w:rPr>
                <w:sz w:val="20"/>
                <w:szCs w:val="20"/>
                <w:color w:val="auto"/>
              </w:rPr>
            </w:pPr>
            <w:r>
              <w:rPr>
                <w:rFonts w:ascii="Arial" w:cs="Arial" w:eastAsia="Arial" w:hAnsi="Arial"/>
                <w:sz w:val="18"/>
                <w:szCs w:val="18"/>
                <w:color w:val="auto"/>
              </w:rPr>
              <w:t>STREET RETAIL, INC., a</w:t>
            </w:r>
          </w:p>
        </w:tc>
        <w:tc>
          <w:tcPr>
            <w:tcW w:w="1560" w:type="dxa"/>
            <w:vAlign w:val="bottom"/>
            <w:gridSpan w:val="2"/>
          </w:tcPr>
          <w:p>
            <w:pPr>
              <w:spacing w:after="0"/>
              <w:rPr>
                <w:sz w:val="20"/>
                <w:szCs w:val="20"/>
                <w:color w:val="auto"/>
              </w:rPr>
            </w:pPr>
            <w:r>
              <w:rPr>
                <w:rFonts w:ascii="Arial" w:cs="Arial" w:eastAsia="Arial" w:hAnsi="Arial"/>
                <w:sz w:val="18"/>
                <w:szCs w:val="18"/>
                <w:color w:val="auto"/>
              </w:rPr>
              <w:t>Federal Realty</w:t>
            </w:r>
          </w:p>
        </w:tc>
        <w:tc>
          <w:tcPr>
            <w:tcW w:w="1360" w:type="dxa"/>
            <w:vAlign w:val="bottom"/>
            <w:gridSpan w:val="2"/>
          </w:tcPr>
          <w:p>
            <w:pPr>
              <w:spacing w:after="0"/>
              <w:rPr>
                <w:sz w:val="20"/>
                <w:szCs w:val="20"/>
                <w:color w:val="auto"/>
              </w:rPr>
            </w:pPr>
            <w:r>
              <w:rPr>
                <w:rFonts w:ascii="Arial" w:cs="Arial" w:eastAsia="Arial" w:hAnsi="Arial"/>
                <w:sz w:val="18"/>
                <w:szCs w:val="18"/>
                <w:color w:val="auto"/>
              </w:rPr>
              <w:t>Sole stockholder</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2020" w:type="dxa"/>
            <w:vAlign w:val="bottom"/>
            <w:gridSpan w:val="2"/>
          </w:tcPr>
          <w:p>
            <w:pPr>
              <w:spacing w:after="0"/>
              <w:rPr>
                <w:sz w:val="20"/>
                <w:szCs w:val="20"/>
                <w:color w:val="auto"/>
              </w:rPr>
            </w:pPr>
            <w:r>
              <w:rPr>
                <w:rFonts w:ascii="Arial" w:cs="Arial" w:eastAsia="Arial" w:hAnsi="Arial"/>
                <w:sz w:val="18"/>
                <w:szCs w:val="18"/>
                <w:color w:val="auto"/>
              </w:rPr>
              <w:t>Guarantor</w:t>
            </w:r>
          </w:p>
        </w:tc>
        <w:tc>
          <w:tcPr>
            <w:tcW w:w="24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Maryland corporation</w:t>
            </w:r>
          </w:p>
        </w:tc>
        <w:tc>
          <w:tcPr>
            <w:tcW w:w="1560" w:type="dxa"/>
            <w:vAlign w:val="bottom"/>
            <w:gridSpan w:val="2"/>
          </w:tcPr>
          <w:p>
            <w:pPr>
              <w:spacing w:after="0"/>
              <w:rPr>
                <w:sz w:val="20"/>
                <w:szCs w:val="20"/>
                <w:color w:val="auto"/>
              </w:rPr>
            </w:pPr>
            <w:r>
              <w:rPr>
                <w:rFonts w:ascii="Arial" w:cs="Arial" w:eastAsia="Arial" w:hAnsi="Arial"/>
                <w:sz w:val="18"/>
                <w:szCs w:val="18"/>
                <w:color w:val="auto"/>
              </w:rPr>
              <w:t>Investment Trust</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Material Subsidiary</w:t>
            </w: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74"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2"/>
              </w:rPr>
              <w:t>Material and/or</w:t>
            </w:r>
          </w:p>
        </w:tc>
        <w:tc>
          <w:tcPr>
            <w:tcW w:w="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Excluded Subsidiary,</w:t>
            </w:r>
          </w:p>
        </w:tc>
        <w:tc>
          <w:tcPr>
            <w:tcW w:w="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ENTITY NAME/Jurisdiction of</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Nature of</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Non-Controlled</w:t>
            </w:r>
          </w:p>
        </w:tc>
        <w:tc>
          <w:tcPr>
            <w:tcW w:w="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20" w:type="dxa"/>
            <w:vAlign w:val="bottom"/>
            <w:gridSpan w:val="2"/>
          </w:tcPr>
          <w:p>
            <w:pPr>
              <w:ind w:left="900"/>
              <w:spacing w:after="0"/>
              <w:rPr>
                <w:sz w:val="20"/>
                <w:szCs w:val="20"/>
                <w:color w:val="auto"/>
              </w:rPr>
            </w:pPr>
            <w:r>
              <w:rPr>
                <w:rFonts w:ascii="Arial" w:cs="Arial" w:eastAsia="Arial" w:hAnsi="Arial"/>
                <w:sz w:val="14"/>
                <w:szCs w:val="14"/>
                <w:b w:val="1"/>
                <w:bCs w:val="1"/>
                <w:color w:val="auto"/>
              </w:rPr>
              <w:t>Formation</w:t>
            </w:r>
          </w:p>
        </w:tc>
        <w:tc>
          <w:tcPr>
            <w:tcW w:w="1420" w:type="dxa"/>
            <w:vAlign w:val="bottom"/>
          </w:tcPr>
          <w:p>
            <w:pPr>
              <w:ind w:left="260"/>
              <w:spacing w:after="0"/>
              <w:rPr>
                <w:sz w:val="20"/>
                <w:szCs w:val="20"/>
                <w:color w:val="auto"/>
              </w:rPr>
            </w:pPr>
            <w:r>
              <w:rPr>
                <w:rFonts w:ascii="Arial" w:cs="Arial" w:eastAsia="Arial" w:hAnsi="Arial"/>
                <w:sz w:val="14"/>
                <w:szCs w:val="14"/>
                <w:b w:val="1"/>
                <w:bCs w:val="1"/>
                <w:color w:val="auto"/>
              </w:rPr>
              <w:t>Equity Holders</w:t>
            </w:r>
          </w:p>
        </w:tc>
        <w:tc>
          <w:tcPr>
            <w:tcW w:w="1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Equity Interest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 Ownership</w:t>
            </w:r>
          </w:p>
        </w:tc>
        <w:tc>
          <w:tcPr>
            <w:tcW w:w="1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0"/>
              </w:rPr>
              <w:t>Property</w:t>
            </w:r>
          </w:p>
        </w:tc>
        <w:tc>
          <w:tcPr>
            <w:tcW w:w="180" w:type="dxa"/>
            <w:vAlign w:val="bottom"/>
          </w:tcPr>
          <w:p>
            <w:pPr>
              <w:spacing w:after="0"/>
              <w:rPr>
                <w:sz w:val="15"/>
                <w:szCs w:val="15"/>
                <w:color w:val="auto"/>
              </w:rPr>
            </w:pPr>
          </w:p>
        </w:tc>
        <w:tc>
          <w:tcPr>
            <w:tcW w:w="2460" w:type="dxa"/>
            <w:vAlign w:val="bottom"/>
          </w:tcPr>
          <w:p>
            <w:pPr>
              <w:ind w:left="80"/>
              <w:spacing w:after="0"/>
              <w:rPr>
                <w:sz w:val="20"/>
                <w:szCs w:val="20"/>
                <w:color w:val="auto"/>
              </w:rPr>
            </w:pPr>
            <w:r>
              <w:rPr>
                <w:rFonts w:ascii="Arial" w:cs="Arial" w:eastAsia="Arial" w:hAnsi="Arial"/>
                <w:sz w:val="14"/>
                <w:szCs w:val="14"/>
                <w:b w:val="1"/>
                <w:bCs w:val="1"/>
                <w:color w:val="auto"/>
                <w:w w:val="88"/>
              </w:rPr>
              <w:t>Liens, Options, Registration Rights, etc.</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4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4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 STURTEVANT STREET,</w:t>
            </w: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Street Retail, Inc.</w:t>
            </w:r>
          </w:p>
        </w:tc>
        <w:tc>
          <w:tcPr>
            <w:tcW w:w="1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Sole stockholder</w:t>
            </w:r>
          </w:p>
        </w:tc>
        <w:tc>
          <w:tcPr>
            <w:tcW w:w="13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 a Delaware corporation</w:t>
            </w: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40" w:type="dxa"/>
            <w:vAlign w:val="bottom"/>
            <w:gridSpan w:val="3"/>
          </w:tcPr>
          <w:p>
            <w:pPr>
              <w:spacing w:after="0"/>
              <w:rPr>
                <w:sz w:val="20"/>
                <w:szCs w:val="20"/>
                <w:color w:val="auto"/>
              </w:rPr>
            </w:pPr>
            <w:r>
              <w:rPr>
                <w:rFonts w:ascii="Arial" w:cs="Arial" w:eastAsia="Arial" w:hAnsi="Arial"/>
                <w:sz w:val="18"/>
                <w:szCs w:val="18"/>
                <w:color w:val="auto"/>
              </w:rPr>
              <w:t>FR STURTEVANT STREET,</w:t>
            </w:r>
          </w:p>
        </w:tc>
        <w:tc>
          <w:tcPr>
            <w:tcW w:w="1420" w:type="dxa"/>
            <w:vAlign w:val="bottom"/>
          </w:tcPr>
          <w:p>
            <w:pPr>
              <w:spacing w:after="0"/>
              <w:rPr>
                <w:sz w:val="20"/>
                <w:szCs w:val="20"/>
                <w:color w:val="auto"/>
              </w:rPr>
            </w:pPr>
            <w:r>
              <w:rPr>
                <w:rFonts w:ascii="Arial" w:cs="Arial" w:eastAsia="Arial" w:hAnsi="Arial"/>
                <w:sz w:val="18"/>
                <w:szCs w:val="18"/>
                <w:color w:val="auto"/>
              </w:rPr>
              <w:t>FR Sturtevant</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Sole member</w:t>
            </w: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100%</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Guarantor</w:t>
            </w: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LLC, a Delaware limited</w:t>
            </w:r>
          </w:p>
        </w:tc>
        <w:tc>
          <w:tcPr>
            <w:tcW w:w="1420" w:type="dxa"/>
            <w:vAlign w:val="bottom"/>
          </w:tcPr>
          <w:p>
            <w:pPr>
              <w:spacing w:after="0"/>
              <w:rPr>
                <w:sz w:val="20"/>
                <w:szCs w:val="20"/>
                <w:color w:val="auto"/>
              </w:rPr>
            </w:pPr>
            <w:r>
              <w:rPr>
                <w:rFonts w:ascii="Arial" w:cs="Arial" w:eastAsia="Arial" w:hAnsi="Arial"/>
                <w:sz w:val="18"/>
                <w:szCs w:val="18"/>
                <w:color w:val="auto"/>
              </w:rPr>
              <w:t>Street, Inc.</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Material Subsidiary</w:t>
            </w:r>
          </w:p>
        </w:tc>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liability company</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SRI ASSEMBLY ROW B2, LLC,</w:t>
            </w: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Street Retail, Inc.</w:t>
            </w:r>
          </w:p>
        </w:tc>
        <w:tc>
          <w:tcPr>
            <w:tcW w:w="1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Sole member</w:t>
            </w:r>
          </w:p>
        </w:tc>
        <w:tc>
          <w:tcPr>
            <w:tcW w:w="13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Guarantor</w:t>
            </w: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 Delaware limited liability</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Material Subsidiary</w:t>
            </w:r>
          </w:p>
        </w:tc>
        <w:tc>
          <w:tcPr>
            <w:tcW w:w="1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company</w:t>
            </w: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40" w:type="dxa"/>
            <w:vAlign w:val="bottom"/>
            <w:gridSpan w:val="3"/>
          </w:tcPr>
          <w:p>
            <w:pPr>
              <w:spacing w:after="0"/>
              <w:rPr>
                <w:sz w:val="20"/>
                <w:szCs w:val="20"/>
                <w:color w:val="auto"/>
              </w:rPr>
            </w:pPr>
            <w:r>
              <w:rPr>
                <w:rFonts w:ascii="Arial" w:cs="Arial" w:eastAsia="Arial" w:hAnsi="Arial"/>
                <w:sz w:val="18"/>
                <w:szCs w:val="18"/>
                <w:color w:val="auto"/>
              </w:rPr>
              <w:t>SRI ASSEMBLY ROW B3, LLC,</w:t>
            </w:r>
          </w:p>
        </w:tc>
        <w:tc>
          <w:tcPr>
            <w:tcW w:w="1420" w:type="dxa"/>
            <w:vAlign w:val="bottom"/>
          </w:tcPr>
          <w:p>
            <w:pPr>
              <w:spacing w:after="0"/>
              <w:rPr>
                <w:sz w:val="20"/>
                <w:szCs w:val="20"/>
                <w:color w:val="auto"/>
              </w:rPr>
            </w:pPr>
            <w:r>
              <w:rPr>
                <w:rFonts w:ascii="Arial" w:cs="Arial" w:eastAsia="Arial" w:hAnsi="Arial"/>
                <w:sz w:val="18"/>
                <w:szCs w:val="18"/>
                <w:color w:val="auto"/>
              </w:rPr>
              <w:t>Street Retail, Inc.</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Sole member</w:t>
            </w: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100%</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Guarantor</w:t>
            </w: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a Delaware limited liability</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Material Subsidiary</w:t>
            </w:r>
          </w:p>
        </w:tc>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company</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SRI ASSEMBLY ROW B5, LLC,</w:t>
            </w: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Street Retail, Inc.</w:t>
            </w:r>
          </w:p>
        </w:tc>
        <w:tc>
          <w:tcPr>
            <w:tcW w:w="1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Sole member</w:t>
            </w:r>
          </w:p>
        </w:tc>
        <w:tc>
          <w:tcPr>
            <w:tcW w:w="13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Guarantor</w:t>
            </w: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 Delaware limited liability</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Material Subsidiary</w:t>
            </w:r>
          </w:p>
        </w:tc>
        <w:tc>
          <w:tcPr>
            <w:tcW w:w="1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company</w:t>
            </w: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40" w:type="dxa"/>
            <w:vAlign w:val="bottom"/>
            <w:gridSpan w:val="3"/>
          </w:tcPr>
          <w:p>
            <w:pPr>
              <w:spacing w:after="0"/>
              <w:rPr>
                <w:sz w:val="20"/>
                <w:szCs w:val="20"/>
                <w:color w:val="auto"/>
              </w:rPr>
            </w:pPr>
            <w:r>
              <w:rPr>
                <w:rFonts w:ascii="Arial" w:cs="Arial" w:eastAsia="Arial" w:hAnsi="Arial"/>
                <w:sz w:val="18"/>
                <w:szCs w:val="18"/>
                <w:color w:val="auto"/>
              </w:rPr>
              <w:t>SRI ASSEMBLY ROW B6, LLC,</w:t>
            </w:r>
          </w:p>
        </w:tc>
        <w:tc>
          <w:tcPr>
            <w:tcW w:w="1420" w:type="dxa"/>
            <w:vAlign w:val="bottom"/>
          </w:tcPr>
          <w:p>
            <w:pPr>
              <w:spacing w:after="0"/>
              <w:rPr>
                <w:sz w:val="20"/>
                <w:szCs w:val="20"/>
                <w:color w:val="auto"/>
              </w:rPr>
            </w:pPr>
            <w:r>
              <w:rPr>
                <w:rFonts w:ascii="Arial" w:cs="Arial" w:eastAsia="Arial" w:hAnsi="Arial"/>
                <w:sz w:val="18"/>
                <w:szCs w:val="18"/>
                <w:color w:val="auto"/>
              </w:rPr>
              <w:t>Street Retail, Inc.</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Sole member</w:t>
            </w: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100%</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Guarantor</w:t>
            </w: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a Delaware limited liability</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Material Subsidiary</w:t>
            </w:r>
          </w:p>
        </w:tc>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company</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SRI ASSEMBLY ROW B7, LLC,</w:t>
            </w: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Street Retail, Inc.</w:t>
            </w:r>
          </w:p>
        </w:tc>
        <w:tc>
          <w:tcPr>
            <w:tcW w:w="1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Sole member</w:t>
            </w:r>
          </w:p>
        </w:tc>
        <w:tc>
          <w:tcPr>
            <w:tcW w:w="13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Guarantor Material</w:t>
            </w: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 Delaware limited liability</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Subsidiary</w:t>
            </w:r>
          </w:p>
        </w:tc>
        <w:tc>
          <w:tcPr>
            <w:tcW w:w="1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company</w:t>
            </w: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40" w:type="dxa"/>
            <w:vAlign w:val="bottom"/>
            <w:gridSpan w:val="3"/>
          </w:tcPr>
          <w:p>
            <w:pPr>
              <w:spacing w:after="0"/>
              <w:rPr>
                <w:sz w:val="20"/>
                <w:szCs w:val="20"/>
                <w:color w:val="auto"/>
              </w:rPr>
            </w:pPr>
            <w:r>
              <w:rPr>
                <w:rFonts w:ascii="Arial" w:cs="Arial" w:eastAsia="Arial" w:hAnsi="Arial"/>
                <w:sz w:val="18"/>
                <w:szCs w:val="18"/>
                <w:color w:val="auto"/>
              </w:rPr>
              <w:t>SRI ASSEMBLY ROW B8, LLC,</w:t>
            </w:r>
          </w:p>
        </w:tc>
        <w:tc>
          <w:tcPr>
            <w:tcW w:w="1420" w:type="dxa"/>
            <w:vAlign w:val="bottom"/>
          </w:tcPr>
          <w:p>
            <w:pPr>
              <w:spacing w:after="0"/>
              <w:rPr>
                <w:sz w:val="20"/>
                <w:szCs w:val="20"/>
                <w:color w:val="auto"/>
              </w:rPr>
            </w:pPr>
            <w:r>
              <w:rPr>
                <w:rFonts w:ascii="Arial" w:cs="Arial" w:eastAsia="Arial" w:hAnsi="Arial"/>
                <w:sz w:val="18"/>
                <w:szCs w:val="18"/>
                <w:color w:val="auto"/>
              </w:rPr>
              <w:t>Street Retail, Inc.</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Sole member</w:t>
            </w: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100%</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Guarantor</w:t>
            </w: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a Delaware limited liability</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Material Subsidiary</w:t>
            </w:r>
          </w:p>
        </w:tc>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company</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SRI ASSEMBLY ROW B9, LLC,</w:t>
            </w: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Street Retail, Inc.</w:t>
            </w:r>
          </w:p>
        </w:tc>
        <w:tc>
          <w:tcPr>
            <w:tcW w:w="1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Sole member</w:t>
            </w:r>
          </w:p>
        </w:tc>
        <w:tc>
          <w:tcPr>
            <w:tcW w:w="13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Guarantor</w:t>
            </w: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 Delaware limited liability</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Material Subsidiary</w:t>
            </w:r>
          </w:p>
        </w:tc>
        <w:tc>
          <w:tcPr>
            <w:tcW w:w="1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company</w:t>
            </w: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2640" w:type="dxa"/>
            <w:vAlign w:val="bottom"/>
            <w:gridSpan w:val="3"/>
          </w:tcPr>
          <w:p>
            <w:pPr>
              <w:spacing w:after="0"/>
              <w:rPr>
                <w:sz w:val="20"/>
                <w:szCs w:val="20"/>
                <w:color w:val="auto"/>
              </w:rPr>
            </w:pPr>
            <w:r>
              <w:rPr>
                <w:rFonts w:ascii="Arial" w:cs="Arial" w:eastAsia="Arial" w:hAnsi="Arial"/>
                <w:sz w:val="18"/>
                <w:szCs w:val="18"/>
                <w:color w:val="auto"/>
              </w:rPr>
              <w:t>FRIT SAN JOSE TOWN AND</w:t>
            </w:r>
          </w:p>
        </w:tc>
        <w:tc>
          <w:tcPr>
            <w:tcW w:w="1420" w:type="dxa"/>
            <w:vAlign w:val="bottom"/>
          </w:tcPr>
          <w:p>
            <w:pPr>
              <w:spacing w:after="0"/>
              <w:rPr>
                <w:sz w:val="20"/>
                <w:szCs w:val="20"/>
                <w:color w:val="auto"/>
              </w:rPr>
            </w:pPr>
            <w:r>
              <w:rPr>
                <w:rFonts w:ascii="Arial" w:cs="Arial" w:eastAsia="Arial" w:hAnsi="Arial"/>
                <w:sz w:val="18"/>
                <w:szCs w:val="18"/>
                <w:color w:val="auto"/>
              </w:rPr>
              <w:t>Street Retail, Inc.</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Sole member</w:t>
            </w: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100%</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Guarantor</w:t>
            </w: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00" w:type="dxa"/>
            <w:vAlign w:val="bottom"/>
            <w:gridSpan w:val="4"/>
          </w:tcPr>
          <w:p>
            <w:pPr>
              <w:jc w:val="right"/>
              <w:ind w:right="800"/>
              <w:spacing w:after="0"/>
              <w:rPr>
                <w:sz w:val="20"/>
                <w:szCs w:val="20"/>
                <w:color w:val="auto"/>
              </w:rPr>
            </w:pPr>
            <w:r>
              <w:rPr>
                <w:rFonts w:ascii="Arial" w:cs="Arial" w:eastAsia="Arial" w:hAnsi="Arial"/>
                <w:sz w:val="18"/>
                <w:szCs w:val="18"/>
                <w:color w:val="auto"/>
                <w:w w:val="84"/>
              </w:rPr>
              <w:t>Page 9</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2"/>
              </w:rPr>
              <w:t>Material and/or</w:t>
            </w:r>
          </w:p>
        </w:tc>
        <w:tc>
          <w:tcPr>
            <w:tcW w:w="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Excluded Subsidiary,</w:t>
            </w:r>
          </w:p>
        </w:tc>
        <w:tc>
          <w:tcPr>
            <w:tcW w:w="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ENTITY NAME/Jurisdiction of</w:t>
            </w: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Nature of</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Non-Controlled</w:t>
            </w:r>
          </w:p>
        </w:tc>
        <w:tc>
          <w:tcPr>
            <w:tcW w:w="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00" w:type="dxa"/>
            <w:vAlign w:val="bottom"/>
          </w:tcPr>
          <w:p>
            <w:pPr>
              <w:ind w:left="940"/>
              <w:spacing w:after="0"/>
              <w:rPr>
                <w:sz w:val="20"/>
                <w:szCs w:val="20"/>
                <w:color w:val="auto"/>
              </w:rPr>
            </w:pPr>
            <w:r>
              <w:rPr>
                <w:rFonts w:ascii="Arial" w:cs="Arial" w:eastAsia="Arial" w:hAnsi="Arial"/>
                <w:sz w:val="14"/>
                <w:szCs w:val="14"/>
                <w:b w:val="1"/>
                <w:bCs w:val="1"/>
                <w:color w:val="auto"/>
              </w:rPr>
              <w:t>Formation</w:t>
            </w:r>
          </w:p>
        </w:tc>
        <w:tc>
          <w:tcPr>
            <w:tcW w:w="180" w:type="dxa"/>
            <w:vAlign w:val="bottom"/>
          </w:tcPr>
          <w:p>
            <w:pPr>
              <w:spacing w:after="0"/>
              <w:rPr>
                <w:sz w:val="15"/>
                <w:szCs w:val="15"/>
                <w:color w:val="auto"/>
              </w:rPr>
            </w:pPr>
          </w:p>
        </w:tc>
        <w:tc>
          <w:tcPr>
            <w:tcW w:w="1360" w:type="dxa"/>
            <w:vAlign w:val="bottom"/>
          </w:tcPr>
          <w:p>
            <w:pPr>
              <w:ind w:left="240"/>
              <w:spacing w:after="0"/>
              <w:rPr>
                <w:sz w:val="20"/>
                <w:szCs w:val="20"/>
                <w:color w:val="auto"/>
              </w:rPr>
            </w:pPr>
            <w:r>
              <w:rPr>
                <w:rFonts w:ascii="Arial" w:cs="Arial" w:eastAsia="Arial" w:hAnsi="Arial"/>
                <w:sz w:val="14"/>
                <w:szCs w:val="14"/>
                <w:b w:val="1"/>
                <w:bCs w:val="1"/>
                <w:color w:val="auto"/>
              </w:rPr>
              <w:t>Equity Holders</w:t>
            </w:r>
          </w:p>
        </w:tc>
        <w:tc>
          <w:tcPr>
            <w:tcW w:w="180" w:type="dxa"/>
            <w:vAlign w:val="bottom"/>
          </w:tcPr>
          <w:p>
            <w:pPr>
              <w:spacing w:after="0"/>
              <w:rPr>
                <w:sz w:val="15"/>
                <w:szCs w:val="15"/>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Equity Interest</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 Ownership</w:t>
            </w:r>
          </w:p>
        </w:tc>
        <w:tc>
          <w:tcPr>
            <w:tcW w:w="12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6"/>
              </w:rPr>
              <w:t>Property</w:t>
            </w:r>
          </w:p>
        </w:tc>
        <w:tc>
          <w:tcPr>
            <w:tcW w:w="180" w:type="dxa"/>
            <w:vAlign w:val="bottom"/>
          </w:tcPr>
          <w:p>
            <w:pPr>
              <w:spacing w:after="0"/>
              <w:rPr>
                <w:sz w:val="15"/>
                <w:szCs w:val="15"/>
                <w:color w:val="auto"/>
              </w:rPr>
            </w:pPr>
          </w:p>
        </w:tc>
        <w:tc>
          <w:tcPr>
            <w:tcW w:w="2460" w:type="dxa"/>
            <w:vAlign w:val="bottom"/>
          </w:tcPr>
          <w:p>
            <w:pPr>
              <w:ind w:left="80"/>
              <w:spacing w:after="0"/>
              <w:rPr>
                <w:sz w:val="20"/>
                <w:szCs w:val="20"/>
                <w:color w:val="auto"/>
              </w:rPr>
            </w:pPr>
            <w:r>
              <w:rPr>
                <w:rFonts w:ascii="Arial" w:cs="Arial" w:eastAsia="Arial" w:hAnsi="Arial"/>
                <w:sz w:val="14"/>
                <w:szCs w:val="14"/>
                <w:b w:val="1"/>
                <w:bCs w:val="1"/>
                <w:color w:val="auto"/>
                <w:w w:val="88"/>
              </w:rPr>
              <w:t>Liens, Options, Registration Rights, etc.</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4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COUNTRY VILLAGE, LLC, a</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Material Subsidiary</w:t>
            </w:r>
          </w:p>
        </w:tc>
        <w:tc>
          <w:tcPr>
            <w:tcW w:w="1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California limited liability</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520" w:type="dxa"/>
            <w:vAlign w:val="bottom"/>
            <w:gridSpan w:val="2"/>
          </w:tcPr>
          <w:p>
            <w:pPr>
              <w:spacing w:after="0"/>
              <w:rPr>
                <w:sz w:val="20"/>
                <w:szCs w:val="20"/>
                <w:color w:val="auto"/>
              </w:rPr>
            </w:pPr>
            <w:r>
              <w:rPr>
                <w:rFonts w:ascii="Arial" w:cs="Arial" w:eastAsia="Arial" w:hAnsi="Arial"/>
                <w:sz w:val="18"/>
                <w:szCs w:val="18"/>
                <w:color w:val="auto"/>
                <w:w w:val="95"/>
              </w:rPr>
              <w:t>SAN JOSE RESIDENTIAL, INC.,</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Federal Realty</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Class A Voting</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a Maryland corporation</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w w:val="99"/>
              </w:rPr>
              <w:t>Investment Trust</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Common</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Stockholder</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w w:val="92"/>
              </w:rPr>
              <w:t>Jeanne T. Connor</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Class A Voting</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Common</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Stockholder</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FRIT San Jose</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Class B Non-</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Town &amp; Country</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Voting Common</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Village, LLC</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Stockholder</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STREET RETAIL FOREST</w:t>
            </w: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Street Retail, Inc.</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Sole member</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Guarantor</w:t>
            </w: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HILLS I, LLC, a Delaware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liability company</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520" w:type="dxa"/>
            <w:vAlign w:val="bottom"/>
            <w:gridSpan w:val="2"/>
          </w:tcPr>
          <w:p>
            <w:pPr>
              <w:spacing w:after="0"/>
              <w:rPr>
                <w:sz w:val="20"/>
                <w:szCs w:val="20"/>
                <w:color w:val="auto"/>
              </w:rPr>
            </w:pPr>
            <w:r>
              <w:rPr>
                <w:rFonts w:ascii="Arial" w:cs="Arial" w:eastAsia="Arial" w:hAnsi="Arial"/>
                <w:sz w:val="18"/>
                <w:szCs w:val="18"/>
                <w:color w:val="auto"/>
              </w:rPr>
              <w:t>SRI OLD TOWN, LLC, a</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w w:val="97"/>
              </w:rPr>
              <w:t>Street Retail, Inc.</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Sole member</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20" w:type="dxa"/>
            <w:vAlign w:val="bottom"/>
            <w:gridSpan w:val="2"/>
          </w:tcPr>
          <w:p>
            <w:pPr>
              <w:ind w:left="120"/>
              <w:spacing w:after="0"/>
              <w:rPr>
                <w:sz w:val="20"/>
                <w:szCs w:val="20"/>
                <w:color w:val="auto"/>
              </w:rPr>
            </w:pPr>
            <w:r>
              <w:rPr>
                <w:rFonts w:ascii="Arial" w:cs="Arial" w:eastAsia="Arial" w:hAnsi="Arial"/>
                <w:sz w:val="18"/>
                <w:szCs w:val="18"/>
                <w:color w:val="auto"/>
              </w:rPr>
              <w:t>Guarantor</w:t>
            </w: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California limited liability</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rPr>
              <w:t>company</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STREET RETAIL WEST GP,</w:t>
            </w:r>
          </w:p>
        </w:tc>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Street Retail, Inc.</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Sole stockholder</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INC., a Maryland corporation</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520" w:type="dxa"/>
            <w:vAlign w:val="bottom"/>
            <w:gridSpan w:val="2"/>
          </w:tcPr>
          <w:p>
            <w:pPr>
              <w:spacing w:after="0"/>
              <w:rPr>
                <w:sz w:val="20"/>
                <w:szCs w:val="20"/>
                <w:color w:val="auto"/>
              </w:rPr>
            </w:pPr>
            <w:r>
              <w:rPr>
                <w:rFonts w:ascii="Arial" w:cs="Arial" w:eastAsia="Arial" w:hAnsi="Arial"/>
                <w:sz w:val="18"/>
                <w:szCs w:val="18"/>
                <w:color w:val="auto"/>
                <w:w w:val="93"/>
              </w:rPr>
              <w:t>STREET RETAIL WEST I, L.P., a</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w w:val="92"/>
              </w:rPr>
              <w:t>Street Retail West</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General partner</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2020" w:type="dxa"/>
            <w:vAlign w:val="bottom"/>
            <w:gridSpan w:val="2"/>
          </w:tcPr>
          <w:p>
            <w:pPr>
              <w:ind w:left="120"/>
              <w:spacing w:after="0"/>
              <w:rPr>
                <w:sz w:val="20"/>
                <w:szCs w:val="20"/>
                <w:color w:val="auto"/>
              </w:rPr>
            </w:pPr>
            <w:r>
              <w:rPr>
                <w:rFonts w:ascii="Arial" w:cs="Arial" w:eastAsia="Arial" w:hAnsi="Arial"/>
                <w:sz w:val="18"/>
                <w:szCs w:val="18"/>
                <w:color w:val="auto"/>
              </w:rPr>
              <w:t>Guarantor</w:t>
            </w: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ind w:left="200"/>
              <w:spacing w:after="0"/>
              <w:rPr>
                <w:sz w:val="20"/>
                <w:szCs w:val="20"/>
                <w:color w:val="auto"/>
              </w:rPr>
            </w:pPr>
            <w:r>
              <w:rPr>
                <w:rFonts w:ascii="Arial" w:cs="Arial" w:eastAsia="Arial" w:hAnsi="Arial"/>
                <w:sz w:val="18"/>
                <w:szCs w:val="18"/>
                <w:color w:val="auto"/>
                <w:w w:val="99"/>
              </w:rPr>
              <w:t>Delaware limited partnership</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GP, Inc.</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2"/>
          </w:tcPr>
          <w:p>
            <w:pPr>
              <w:ind w:left="120"/>
              <w:spacing w:after="0"/>
              <w:rPr>
                <w:sz w:val="20"/>
                <w:szCs w:val="20"/>
                <w:color w:val="auto"/>
              </w:rPr>
            </w:pPr>
            <w:r>
              <w:rPr>
                <w:rFonts w:ascii="Arial" w:cs="Arial" w:eastAsia="Arial" w:hAnsi="Arial"/>
                <w:sz w:val="18"/>
                <w:szCs w:val="18"/>
                <w:color w:val="auto"/>
              </w:rPr>
              <w:t>Material Subsidiary</w:t>
            </w:r>
          </w:p>
        </w:tc>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w w:val="97"/>
              </w:rPr>
              <w:t>Street Retail, Inc.</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General partner</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w w:val="97"/>
              </w:rPr>
              <w:t>Street Retail, Inc.</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Limited partner</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0"/>
              </w:rPr>
              <w:t>STREET RETAIL WEST II, L.P., a</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2"/>
              </w:rPr>
              <w:t>Street Retail West</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Delaware limited partnership</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GP, Inc.</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3"/>
              </w:rPr>
              <w:t>Street Retail, Inc.,</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7"/>
              </w:rPr>
              <w:t>Street Retail, Inc.</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Limited partner</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274"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Material and/or</w:t>
            </w: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Excluded Subsidiary,</w:t>
            </w: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ENTITY NAME/Jurisdiction of</w:t>
            </w: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Nature of</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Non-Controlled</w:t>
            </w: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0"/>
              </w:rPr>
              <w:t>Formation</w:t>
            </w:r>
          </w:p>
        </w:tc>
        <w:tc>
          <w:tcPr>
            <w:tcW w:w="180" w:type="dxa"/>
            <w:vAlign w:val="bottom"/>
          </w:tcPr>
          <w:p>
            <w:pPr>
              <w:spacing w:after="0"/>
              <w:rPr>
                <w:sz w:val="15"/>
                <w:szCs w:val="15"/>
                <w:color w:val="auto"/>
              </w:rPr>
            </w:pPr>
          </w:p>
        </w:tc>
        <w:tc>
          <w:tcPr>
            <w:tcW w:w="1360" w:type="dxa"/>
            <w:vAlign w:val="bottom"/>
          </w:tcPr>
          <w:p>
            <w:pPr>
              <w:ind w:left="240"/>
              <w:spacing w:after="0"/>
              <w:rPr>
                <w:sz w:val="20"/>
                <w:szCs w:val="20"/>
                <w:color w:val="auto"/>
              </w:rPr>
            </w:pPr>
            <w:r>
              <w:rPr>
                <w:rFonts w:ascii="Arial" w:cs="Arial" w:eastAsia="Arial" w:hAnsi="Arial"/>
                <w:sz w:val="14"/>
                <w:szCs w:val="14"/>
                <w:b w:val="1"/>
                <w:bCs w:val="1"/>
                <w:color w:val="auto"/>
              </w:rPr>
              <w:t>Equity Holders</w:t>
            </w:r>
          </w:p>
        </w:tc>
        <w:tc>
          <w:tcPr>
            <w:tcW w:w="18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Equity Interest</w:t>
            </w:r>
          </w:p>
        </w:tc>
        <w:tc>
          <w:tcPr>
            <w:tcW w:w="120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w w:val="87"/>
              </w:rPr>
              <w:t>% Ownership</w:t>
            </w:r>
          </w:p>
        </w:tc>
        <w:tc>
          <w:tcPr>
            <w:tcW w:w="2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Property</w:t>
            </w:r>
          </w:p>
        </w:tc>
        <w:tc>
          <w:tcPr>
            <w:tcW w:w="2480" w:type="dxa"/>
            <w:vAlign w:val="bottom"/>
          </w:tcPr>
          <w:p>
            <w:pPr>
              <w:ind w:left="100"/>
              <w:spacing w:after="0"/>
              <w:rPr>
                <w:sz w:val="20"/>
                <w:szCs w:val="20"/>
                <w:color w:val="auto"/>
              </w:rPr>
            </w:pPr>
            <w:r>
              <w:rPr>
                <w:rFonts w:ascii="Arial" w:cs="Arial" w:eastAsia="Arial" w:hAnsi="Arial"/>
                <w:sz w:val="14"/>
                <w:szCs w:val="14"/>
                <w:b w:val="1"/>
                <w:bCs w:val="1"/>
                <w:color w:val="auto"/>
                <w:w w:val="88"/>
              </w:rPr>
              <w:t>Liens, Options, Registration Rights, etc.</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4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STREET RETAIL WEST 3, L.P., a</w:t>
            </w:r>
          </w:p>
        </w:tc>
        <w:tc>
          <w:tcPr>
            <w:tcW w:w="1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2"/>
              </w:rPr>
              <w:t>Street Retail West</w:t>
            </w:r>
          </w:p>
        </w:tc>
        <w:tc>
          <w:tcPr>
            <w:tcW w:w="1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6"/>
              </w:rPr>
              <w:t>General partner</w:t>
            </w: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90</w:t>
            </w:r>
          </w:p>
        </w:tc>
        <w:tc>
          <w:tcPr>
            <w:tcW w:w="400" w:type="dxa"/>
            <w:vAlign w:val="bottom"/>
            <w:tcBorders>
              <w:top w:val="single" w:sz="8" w:color="CCEEFF"/>
            </w:tcBorders>
            <w:shd w:val="clear" w:color="auto" w:fill="CCEEFF"/>
          </w:tcPr>
          <w:p>
            <w:pPr>
              <w:jc w:val="right"/>
              <w:ind w:right="172"/>
              <w:spacing w:after="0" w:line="201" w:lineRule="exact"/>
              <w:rPr>
                <w:sz w:val="20"/>
                <w:szCs w:val="20"/>
                <w:color w:val="auto"/>
              </w:rPr>
            </w:pPr>
            <w:r>
              <w:rPr>
                <w:rFonts w:ascii="Arial" w:cs="Arial" w:eastAsia="Arial" w:hAnsi="Arial"/>
                <w:sz w:val="18"/>
                <w:szCs w:val="18"/>
                <w:color w:val="auto"/>
                <w:w w:val="74"/>
              </w:rPr>
              <w:t>%</w:t>
            </w:r>
          </w:p>
        </w:tc>
        <w:tc>
          <w:tcPr>
            <w:tcW w:w="19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Guarantor</w:t>
            </w:r>
          </w:p>
        </w:tc>
        <w:tc>
          <w:tcPr>
            <w:tcW w:w="18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Delaware limited partnership</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GP, Inc.</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7"/>
              </w:rPr>
              <w:t>Street Retail, Inc.</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12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Street Retail, Inc</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Limited partner</w:t>
            </w:r>
          </w:p>
        </w:tc>
        <w:tc>
          <w:tcPr>
            <w:tcW w:w="12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500" w:type="dxa"/>
            <w:vAlign w:val="bottom"/>
            <w:gridSpan w:val="2"/>
          </w:tcPr>
          <w:p>
            <w:pPr>
              <w:jc w:val="center"/>
              <w:spacing w:after="0"/>
              <w:rPr>
                <w:sz w:val="20"/>
                <w:szCs w:val="20"/>
                <w:color w:val="auto"/>
              </w:rPr>
            </w:pPr>
            <w:r>
              <w:rPr>
                <w:rFonts w:ascii="Arial" w:cs="Arial" w:eastAsia="Arial" w:hAnsi="Arial"/>
                <w:sz w:val="18"/>
                <w:szCs w:val="18"/>
                <w:color w:val="auto"/>
                <w:w w:val="90"/>
              </w:rPr>
              <w:t>STREET RETAIL WEST 4, L.P., a</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w w:val="92"/>
              </w:rPr>
              <w:t>Street Retail West</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Class C general</w:t>
            </w: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90%</w:t>
            </w:r>
          </w:p>
        </w:tc>
        <w:tc>
          <w:tcPr>
            <w:tcW w:w="2080" w:type="dxa"/>
            <w:vAlign w:val="bottom"/>
            <w:gridSpan w:val="2"/>
          </w:tcPr>
          <w:p>
            <w:pPr>
              <w:spacing w:after="0"/>
              <w:rPr>
                <w:sz w:val="20"/>
                <w:szCs w:val="20"/>
                <w:color w:val="auto"/>
              </w:rPr>
            </w:pPr>
            <w:r>
              <w:rPr>
                <w:rFonts w:ascii="Arial" w:cs="Arial" w:eastAsia="Arial" w:hAnsi="Arial"/>
                <w:sz w:val="18"/>
                <w:szCs w:val="18"/>
                <w:color w:val="auto"/>
              </w:rPr>
              <w:t>Guarantor</w:t>
            </w:r>
          </w:p>
        </w:tc>
        <w:tc>
          <w:tcPr>
            <w:tcW w:w="248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Delaware limited partnership</w:t>
            </w: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GP, Inc.</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partner</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w w:val="97"/>
              </w:rPr>
              <w:t>Street Retail, Inc.</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General partner</w:t>
            </w: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9%</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w w:val="97"/>
              </w:rPr>
              <w:t>Street Retail, Inc.</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Limited partner</w:t>
            </w:r>
          </w:p>
        </w:tc>
        <w:tc>
          <w:tcPr>
            <w:tcW w:w="1200" w:type="dxa"/>
            <w:vAlign w:val="bottom"/>
            <w:gridSpan w:val="2"/>
          </w:tcPr>
          <w:p>
            <w:pPr>
              <w:jc w:val="right"/>
              <w:ind w:right="172"/>
              <w:spacing w:after="0"/>
              <w:rPr>
                <w:sz w:val="20"/>
                <w:szCs w:val="20"/>
                <w:color w:val="auto"/>
              </w:rPr>
            </w:pPr>
            <w:r>
              <w:rPr>
                <w:rFonts w:ascii="Arial" w:cs="Arial" w:eastAsia="Arial" w:hAnsi="Arial"/>
                <w:sz w:val="18"/>
                <w:szCs w:val="18"/>
                <w:color w:val="auto"/>
              </w:rPr>
              <w:t>1%</w:t>
            </w: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80" w:type="dxa"/>
            <w:vAlign w:val="bottom"/>
          </w:tcPr>
          <w:p>
            <w:pPr>
              <w:spacing w:after="0"/>
              <w:rPr>
                <w:sz w:val="9"/>
                <w:szCs w:val="9"/>
                <w:color w:val="auto"/>
              </w:rPr>
            </w:pPr>
          </w:p>
        </w:tc>
        <w:tc>
          <w:tcPr>
            <w:tcW w:w="15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STREET RETAIL WEST 6, L.P., a</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2"/>
              </w:rPr>
              <w:t>Street Retail West</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12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90%</w:t>
            </w: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Guarantor</w:t>
            </w: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Delaware limited partnership</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GP, Inc.</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7"/>
              </w:rPr>
              <w:t>Street Retail, Inc.</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12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7"/>
              </w:rPr>
              <w:t>Street Retail, Inc.</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Limited partner</w:t>
            </w:r>
          </w:p>
        </w:tc>
        <w:tc>
          <w:tcPr>
            <w:tcW w:w="12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1">
            <w:col w:w="11420"/>
          </w:cols>
          <w:pgMar w:left="240" w:top="274"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2580" w:type="dxa"/>
            <w:vAlign w:val="bottom"/>
          </w:tcPr>
          <w:p>
            <w:pPr>
              <w:jc w:val="center"/>
              <w:ind w:right="12"/>
              <w:spacing w:after="0"/>
              <w:rPr>
                <w:sz w:val="20"/>
                <w:szCs w:val="20"/>
                <w:color w:val="auto"/>
              </w:rPr>
            </w:pPr>
            <w:r>
              <w:rPr>
                <w:rFonts w:ascii="Arial" w:cs="Arial" w:eastAsia="Arial" w:hAnsi="Arial"/>
                <w:sz w:val="18"/>
                <w:szCs w:val="18"/>
                <w:color w:val="auto"/>
                <w:w w:val="90"/>
              </w:rPr>
              <w:t>STREET RETAIL WEST 7, L.P., a</w:t>
            </w:r>
          </w:p>
        </w:tc>
        <w:tc>
          <w:tcPr>
            <w:tcW w:w="1500" w:type="dxa"/>
            <w:vAlign w:val="bottom"/>
          </w:tcPr>
          <w:p>
            <w:pPr>
              <w:ind w:left="100"/>
              <w:spacing w:after="0"/>
              <w:rPr>
                <w:sz w:val="20"/>
                <w:szCs w:val="20"/>
                <w:color w:val="auto"/>
              </w:rPr>
            </w:pPr>
            <w:r>
              <w:rPr>
                <w:rFonts w:ascii="Arial" w:cs="Arial" w:eastAsia="Arial" w:hAnsi="Arial"/>
                <w:sz w:val="18"/>
                <w:szCs w:val="18"/>
                <w:color w:val="auto"/>
                <w:w w:val="95"/>
              </w:rPr>
              <w:t>Street Retail West</w:t>
            </w:r>
          </w:p>
        </w:tc>
        <w:tc>
          <w:tcPr>
            <w:tcW w:w="1700" w:type="dxa"/>
            <w:vAlign w:val="bottom"/>
          </w:tcPr>
          <w:p>
            <w:pPr>
              <w:ind w:left="140"/>
              <w:spacing w:after="0"/>
              <w:rPr>
                <w:sz w:val="20"/>
                <w:szCs w:val="20"/>
                <w:color w:val="auto"/>
              </w:rPr>
            </w:pPr>
            <w:r>
              <w:rPr>
                <w:rFonts w:ascii="Arial" w:cs="Arial" w:eastAsia="Arial" w:hAnsi="Arial"/>
                <w:sz w:val="18"/>
                <w:szCs w:val="18"/>
                <w:color w:val="auto"/>
              </w:rPr>
              <w:t>Class C general</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90%</w:t>
            </w: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w w:val="97"/>
              </w:rPr>
              <w:t>Owner of Non-Controlled   •</w:t>
            </w:r>
          </w:p>
        </w:tc>
        <w:tc>
          <w:tcPr>
            <w:tcW w:w="0" w:type="dxa"/>
            <w:vAlign w:val="bottom"/>
          </w:tcPr>
          <w:p>
            <w:pPr>
              <w:spacing w:after="0"/>
              <w:rPr>
                <w:sz w:val="1"/>
                <w:szCs w:val="1"/>
                <w:color w:val="auto"/>
              </w:rPr>
            </w:pPr>
          </w:p>
        </w:tc>
      </w:tr>
      <w:tr>
        <w:trPr>
          <w:trHeight w:val="222"/>
        </w:trPr>
        <w:tc>
          <w:tcPr>
            <w:tcW w:w="2580" w:type="dxa"/>
            <w:vAlign w:val="bottom"/>
          </w:tcPr>
          <w:p>
            <w:pPr>
              <w:jc w:val="center"/>
              <w:spacing w:after="0"/>
              <w:rPr>
                <w:sz w:val="20"/>
                <w:szCs w:val="20"/>
                <w:color w:val="auto"/>
              </w:rPr>
            </w:pPr>
            <w:r>
              <w:rPr>
                <w:rFonts w:ascii="Arial" w:cs="Arial" w:eastAsia="Arial" w:hAnsi="Arial"/>
                <w:sz w:val="18"/>
                <w:szCs w:val="18"/>
                <w:color w:val="auto"/>
                <w:w w:val="90"/>
              </w:rPr>
              <w:t>Delaware limited partnership</w:t>
            </w:r>
          </w:p>
        </w:tc>
        <w:tc>
          <w:tcPr>
            <w:tcW w:w="1500" w:type="dxa"/>
            <w:vAlign w:val="bottom"/>
          </w:tcPr>
          <w:p>
            <w:pPr>
              <w:ind w:left="100"/>
              <w:spacing w:after="0"/>
              <w:rPr>
                <w:sz w:val="20"/>
                <w:szCs w:val="20"/>
                <w:color w:val="auto"/>
              </w:rPr>
            </w:pPr>
            <w:r>
              <w:rPr>
                <w:rFonts w:ascii="Arial" w:cs="Arial" w:eastAsia="Arial" w:hAnsi="Arial"/>
                <w:sz w:val="18"/>
                <w:szCs w:val="18"/>
                <w:color w:val="auto"/>
              </w:rPr>
              <w:t>GP, Inc.</w:t>
            </w:r>
          </w:p>
        </w:tc>
        <w:tc>
          <w:tcPr>
            <w:tcW w:w="1700" w:type="dxa"/>
            <w:vAlign w:val="bottom"/>
          </w:tcPr>
          <w:p>
            <w:pPr>
              <w:ind w:left="140"/>
              <w:spacing w:after="0"/>
              <w:rPr>
                <w:sz w:val="20"/>
                <w:szCs w:val="20"/>
                <w:color w:val="auto"/>
              </w:rPr>
            </w:pPr>
            <w:r>
              <w:rPr>
                <w:rFonts w:ascii="Arial" w:cs="Arial" w:eastAsia="Arial" w:hAnsi="Arial"/>
                <w:sz w:val="18"/>
                <w:szCs w:val="18"/>
                <w:color w:val="auto"/>
              </w:rPr>
              <w:t>partner</w:t>
            </w:r>
          </w:p>
        </w:tc>
        <w:tc>
          <w:tcPr>
            <w:tcW w:w="960" w:type="dxa"/>
            <w:vAlign w:val="bottom"/>
          </w:tcPr>
          <w:p>
            <w:pPr>
              <w:spacing w:after="0"/>
              <w:rPr>
                <w:sz w:val="19"/>
                <w:szCs w:val="19"/>
                <w:color w:val="auto"/>
              </w:rPr>
            </w:pP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Property</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1500" w:type="dxa"/>
            <w:vAlign w:val="bottom"/>
          </w:tcPr>
          <w:p>
            <w:pPr>
              <w:ind w:left="100"/>
              <w:spacing w:after="0"/>
              <w:rPr>
                <w:sz w:val="20"/>
                <w:szCs w:val="20"/>
                <w:color w:val="auto"/>
              </w:rPr>
            </w:pPr>
            <w:r>
              <w:rPr>
                <w:rFonts w:ascii="Arial" w:cs="Arial" w:eastAsia="Arial" w:hAnsi="Arial"/>
                <w:sz w:val="18"/>
                <w:szCs w:val="18"/>
                <w:color w:val="auto"/>
              </w:rPr>
              <w:t>Delaware GPO 7</w:t>
            </w:r>
          </w:p>
        </w:tc>
        <w:tc>
          <w:tcPr>
            <w:tcW w:w="1700" w:type="dxa"/>
            <w:vAlign w:val="bottom"/>
          </w:tcPr>
          <w:p>
            <w:pPr>
              <w:ind w:left="140"/>
              <w:spacing w:after="0"/>
              <w:rPr>
                <w:sz w:val="20"/>
                <w:szCs w:val="20"/>
                <w:color w:val="auto"/>
              </w:rPr>
            </w:pPr>
            <w:r>
              <w:rPr>
                <w:rFonts w:ascii="Arial" w:cs="Arial" w:eastAsia="Arial" w:hAnsi="Arial"/>
                <w:sz w:val="18"/>
                <w:szCs w:val="18"/>
                <w:color w:val="auto"/>
              </w:rPr>
              <w:t>Class A general</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w:t>
            </w:r>
          </w:p>
        </w:tc>
        <w:tc>
          <w:tcPr>
            <w:tcW w:w="36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1600" w:type="dxa"/>
            <w:vAlign w:val="bottom"/>
            <w:vMerge w:val="restart"/>
          </w:tcPr>
          <w:p>
            <w:pPr>
              <w:ind w:left="160"/>
              <w:spacing w:after="0"/>
              <w:rPr>
                <w:sz w:val="20"/>
                <w:szCs w:val="20"/>
                <w:color w:val="auto"/>
              </w:rPr>
            </w:pPr>
            <w:r>
              <w:rPr>
                <w:rFonts w:ascii="Arial" w:cs="Arial" w:eastAsia="Arial" w:hAnsi="Arial"/>
                <w:sz w:val="18"/>
                <w:szCs w:val="18"/>
                <w:color w:val="auto"/>
              </w:rPr>
              <w:t>7001 Hollywood</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1500" w:type="dxa"/>
            <w:vAlign w:val="bottom"/>
            <w:vMerge w:val="restart"/>
          </w:tcPr>
          <w:p>
            <w:pPr>
              <w:ind w:left="100"/>
              <w:spacing w:after="0"/>
              <w:rPr>
                <w:sz w:val="20"/>
                <w:szCs w:val="20"/>
                <w:color w:val="auto"/>
              </w:rPr>
            </w:pPr>
            <w:r>
              <w:rPr>
                <w:rFonts w:ascii="Arial" w:cs="Arial" w:eastAsia="Arial" w:hAnsi="Arial"/>
                <w:sz w:val="18"/>
                <w:szCs w:val="18"/>
                <w:color w:val="auto"/>
              </w:rPr>
              <w:t>Inc.</w:t>
            </w:r>
          </w:p>
        </w:tc>
        <w:tc>
          <w:tcPr>
            <w:tcW w:w="1700" w:type="dxa"/>
            <w:vAlign w:val="bottom"/>
            <w:vMerge w:val="restart"/>
          </w:tcPr>
          <w:p>
            <w:pPr>
              <w:ind w:left="140"/>
              <w:spacing w:after="0"/>
              <w:rPr>
                <w:sz w:val="20"/>
                <w:szCs w:val="20"/>
                <w:color w:val="auto"/>
              </w:rPr>
            </w:pPr>
            <w:r>
              <w:rPr>
                <w:rFonts w:ascii="Arial" w:cs="Arial" w:eastAsia="Arial" w:hAnsi="Arial"/>
                <w:sz w:val="18"/>
                <w:szCs w:val="18"/>
                <w:color w:val="auto"/>
              </w:rPr>
              <w:t>partner</w:t>
            </w:r>
          </w:p>
        </w:tc>
        <w:tc>
          <w:tcPr>
            <w:tcW w:w="9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58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vMerge w:val="restart"/>
          </w:tcPr>
          <w:p>
            <w:pPr>
              <w:ind w:left="180"/>
              <w:spacing w:after="0"/>
              <w:rPr>
                <w:sz w:val="20"/>
                <w:szCs w:val="20"/>
                <w:color w:val="auto"/>
              </w:rPr>
            </w:pPr>
            <w:r>
              <w:rPr>
                <w:rFonts w:ascii="Arial" w:cs="Arial" w:eastAsia="Arial" w:hAnsi="Arial"/>
                <w:sz w:val="18"/>
                <w:szCs w:val="18"/>
                <w:color w:val="auto"/>
              </w:rPr>
              <w:t>Boulevard,</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580" w:type="dxa"/>
            <w:vAlign w:val="bottom"/>
          </w:tcPr>
          <w:p>
            <w:pPr>
              <w:spacing w:after="0"/>
              <w:rPr>
                <w:sz w:val="5"/>
                <w:szCs w:val="5"/>
                <w:color w:val="auto"/>
              </w:rPr>
            </w:pPr>
          </w:p>
        </w:tc>
        <w:tc>
          <w:tcPr>
            <w:tcW w:w="1500" w:type="dxa"/>
            <w:vAlign w:val="bottom"/>
            <w:vMerge w:val="restart"/>
          </w:tcPr>
          <w:p>
            <w:pPr>
              <w:ind w:left="100"/>
              <w:spacing w:after="0"/>
              <w:rPr>
                <w:sz w:val="20"/>
                <w:szCs w:val="20"/>
                <w:color w:val="auto"/>
              </w:rPr>
            </w:pPr>
            <w:r>
              <w:rPr>
                <w:rFonts w:ascii="Arial" w:cs="Arial" w:eastAsia="Arial" w:hAnsi="Arial"/>
                <w:sz w:val="18"/>
                <w:szCs w:val="18"/>
                <w:color w:val="auto"/>
              </w:rPr>
              <w:t>Delaware GPO 7</w:t>
            </w:r>
          </w:p>
        </w:tc>
        <w:tc>
          <w:tcPr>
            <w:tcW w:w="1700" w:type="dxa"/>
            <w:vAlign w:val="bottom"/>
            <w:vMerge w:val="restart"/>
          </w:tcPr>
          <w:p>
            <w:pPr>
              <w:ind w:left="140"/>
              <w:spacing w:after="0"/>
              <w:rPr>
                <w:sz w:val="20"/>
                <w:szCs w:val="20"/>
                <w:color w:val="auto"/>
              </w:rPr>
            </w:pPr>
            <w:r>
              <w:rPr>
                <w:rFonts w:ascii="Arial" w:cs="Arial" w:eastAsia="Arial" w:hAnsi="Arial"/>
                <w:sz w:val="18"/>
                <w:szCs w:val="18"/>
                <w:color w:val="auto"/>
              </w:rPr>
              <w:t>Class B general</w:t>
            </w:r>
          </w:p>
        </w:tc>
        <w:tc>
          <w:tcPr>
            <w:tcW w:w="960" w:type="dxa"/>
            <w:vAlign w:val="bottom"/>
            <w:vMerge w:val="restart"/>
          </w:tcPr>
          <w:p>
            <w:pPr>
              <w:jc w:val="right"/>
              <w:ind w:right="52"/>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5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ind w:left="180"/>
              <w:spacing w:after="0" w:line="170" w:lineRule="exact"/>
              <w:rPr>
                <w:sz w:val="20"/>
                <w:szCs w:val="20"/>
                <w:color w:val="auto"/>
              </w:rPr>
            </w:pPr>
            <w:r>
              <w:rPr>
                <w:rFonts w:ascii="Arial" w:cs="Arial" w:eastAsia="Arial" w:hAnsi="Arial"/>
                <w:sz w:val="18"/>
                <w:szCs w:val="18"/>
                <w:color w:val="auto"/>
              </w:rPr>
              <w:t>Hollywood, CA</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580" w:type="dxa"/>
            <w:vAlign w:val="bottom"/>
          </w:tcPr>
          <w:p>
            <w:pPr>
              <w:spacing w:after="0"/>
              <w:rPr>
                <w:sz w:val="19"/>
                <w:szCs w:val="19"/>
                <w:color w:val="auto"/>
              </w:rPr>
            </w:pPr>
          </w:p>
        </w:tc>
        <w:tc>
          <w:tcPr>
            <w:tcW w:w="1500" w:type="dxa"/>
            <w:vAlign w:val="bottom"/>
          </w:tcPr>
          <w:p>
            <w:pPr>
              <w:ind w:left="100"/>
              <w:spacing w:after="0"/>
              <w:rPr>
                <w:sz w:val="20"/>
                <w:szCs w:val="20"/>
                <w:color w:val="auto"/>
              </w:rPr>
            </w:pPr>
            <w:r>
              <w:rPr>
                <w:rFonts w:ascii="Arial" w:cs="Arial" w:eastAsia="Arial" w:hAnsi="Arial"/>
                <w:sz w:val="18"/>
                <w:szCs w:val="18"/>
                <w:color w:val="auto"/>
              </w:rPr>
              <w:t>Inc.</w:t>
            </w:r>
          </w:p>
        </w:tc>
        <w:tc>
          <w:tcPr>
            <w:tcW w:w="1700" w:type="dxa"/>
            <w:vAlign w:val="bottom"/>
          </w:tcPr>
          <w:p>
            <w:pPr>
              <w:ind w:left="140"/>
              <w:spacing w:after="0"/>
              <w:rPr>
                <w:sz w:val="20"/>
                <w:szCs w:val="20"/>
                <w:color w:val="auto"/>
              </w:rPr>
            </w:pPr>
            <w:r>
              <w:rPr>
                <w:rFonts w:ascii="Arial" w:cs="Arial" w:eastAsia="Arial" w:hAnsi="Arial"/>
                <w:sz w:val="18"/>
                <w:szCs w:val="18"/>
                <w:color w:val="auto"/>
              </w:rPr>
              <w:t>partner</w:t>
            </w:r>
          </w:p>
        </w:tc>
        <w:tc>
          <w:tcPr>
            <w:tcW w:w="960" w:type="dxa"/>
            <w:vAlign w:val="bottom"/>
          </w:tcPr>
          <w:p>
            <w:pPr>
              <w:spacing w:after="0"/>
              <w:rPr>
                <w:sz w:val="19"/>
                <w:szCs w:val="19"/>
                <w:color w:val="auto"/>
              </w:rPr>
            </w:pPr>
          </w:p>
        </w:tc>
        <w:tc>
          <w:tcPr>
            <w:tcW w:w="36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1600" w:type="dxa"/>
            <w:vAlign w:val="bottom"/>
            <w:vMerge w:val="restart"/>
          </w:tcPr>
          <w:p>
            <w:pPr>
              <w:ind w:left="160"/>
              <w:spacing w:after="0"/>
              <w:rPr>
                <w:sz w:val="20"/>
                <w:szCs w:val="20"/>
                <w:color w:val="auto"/>
              </w:rPr>
            </w:pPr>
            <w:r>
              <w:rPr>
                <w:rFonts w:ascii="Arial" w:cs="Arial" w:eastAsia="Arial" w:hAnsi="Arial"/>
                <w:sz w:val="18"/>
                <w:szCs w:val="18"/>
                <w:color w:val="auto"/>
              </w:rPr>
              <w:t>7021 Hollywood</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580" w:type="dxa"/>
            <w:vAlign w:val="bottom"/>
          </w:tcPr>
          <w:p>
            <w:pPr>
              <w:spacing w:after="0"/>
              <w:rPr>
                <w:sz w:val="10"/>
                <w:szCs w:val="10"/>
                <w:color w:val="auto"/>
              </w:rPr>
            </w:pPr>
          </w:p>
        </w:tc>
        <w:tc>
          <w:tcPr>
            <w:tcW w:w="1500" w:type="dxa"/>
            <w:vAlign w:val="bottom"/>
            <w:vMerge w:val="restart"/>
          </w:tcPr>
          <w:p>
            <w:pPr>
              <w:ind w:left="100"/>
              <w:spacing w:after="0"/>
              <w:rPr>
                <w:sz w:val="20"/>
                <w:szCs w:val="20"/>
                <w:color w:val="auto"/>
              </w:rPr>
            </w:pPr>
            <w:r>
              <w:rPr>
                <w:rFonts w:ascii="Arial" w:cs="Arial" w:eastAsia="Arial" w:hAnsi="Arial"/>
                <w:sz w:val="18"/>
                <w:szCs w:val="18"/>
                <w:color w:val="auto"/>
              </w:rPr>
              <w:t>Delaware GPM 7</w:t>
            </w:r>
          </w:p>
        </w:tc>
        <w:tc>
          <w:tcPr>
            <w:tcW w:w="1700" w:type="dxa"/>
            <w:vAlign w:val="bottom"/>
            <w:vMerge w:val="restart"/>
          </w:tcPr>
          <w:p>
            <w:pPr>
              <w:ind w:left="140"/>
              <w:spacing w:after="0"/>
              <w:rPr>
                <w:sz w:val="20"/>
                <w:szCs w:val="20"/>
                <w:color w:val="auto"/>
              </w:rPr>
            </w:pPr>
            <w:r>
              <w:rPr>
                <w:rFonts w:ascii="Arial" w:cs="Arial" w:eastAsia="Arial" w:hAnsi="Arial"/>
                <w:sz w:val="18"/>
                <w:szCs w:val="18"/>
                <w:color w:val="auto"/>
              </w:rPr>
              <w:t>Class B general</w:t>
            </w:r>
          </w:p>
        </w:tc>
        <w:tc>
          <w:tcPr>
            <w:tcW w:w="960" w:type="dxa"/>
            <w:vAlign w:val="bottom"/>
            <w:vMerge w:val="restart"/>
          </w:tcPr>
          <w:p>
            <w:pPr>
              <w:jc w:val="right"/>
              <w:ind w:right="52"/>
              <w:spacing w:after="0"/>
              <w:rPr>
                <w:sz w:val="20"/>
                <w:szCs w:val="20"/>
                <w:color w:val="auto"/>
              </w:rPr>
            </w:pPr>
            <w:r>
              <w:rPr>
                <w:rFonts w:ascii="Arial" w:cs="Arial" w:eastAsia="Arial" w:hAnsi="Arial"/>
                <w:sz w:val="18"/>
                <w:szCs w:val="18"/>
                <w:color w:val="auto"/>
              </w:rPr>
              <w:t>8.1%</w:t>
            </w:r>
          </w:p>
        </w:tc>
        <w:tc>
          <w:tcPr>
            <w:tcW w:w="3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58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600" w:type="dxa"/>
            <w:vAlign w:val="bottom"/>
            <w:vMerge w:val="restart"/>
          </w:tcPr>
          <w:p>
            <w:pPr>
              <w:ind w:left="180"/>
              <w:spacing w:after="0"/>
              <w:rPr>
                <w:sz w:val="20"/>
                <w:szCs w:val="20"/>
                <w:color w:val="auto"/>
              </w:rPr>
            </w:pPr>
            <w:r>
              <w:rPr>
                <w:rFonts w:ascii="Arial" w:cs="Arial" w:eastAsia="Arial" w:hAnsi="Arial"/>
                <w:sz w:val="18"/>
                <w:szCs w:val="18"/>
                <w:color w:val="auto"/>
              </w:rPr>
              <w:t>Boulevard,</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580" w:type="dxa"/>
            <w:vAlign w:val="bottom"/>
          </w:tcPr>
          <w:p>
            <w:pPr>
              <w:spacing w:after="0"/>
              <w:rPr>
                <w:sz w:val="10"/>
                <w:szCs w:val="10"/>
                <w:color w:val="auto"/>
              </w:rPr>
            </w:pPr>
          </w:p>
        </w:tc>
        <w:tc>
          <w:tcPr>
            <w:tcW w:w="1500" w:type="dxa"/>
            <w:vAlign w:val="bottom"/>
            <w:vMerge w:val="restart"/>
          </w:tcPr>
          <w:p>
            <w:pPr>
              <w:ind w:left="100"/>
              <w:spacing w:after="0"/>
              <w:rPr>
                <w:sz w:val="20"/>
                <w:szCs w:val="20"/>
                <w:color w:val="auto"/>
              </w:rPr>
            </w:pPr>
            <w:r>
              <w:rPr>
                <w:rFonts w:ascii="Arial" w:cs="Arial" w:eastAsia="Arial" w:hAnsi="Arial"/>
                <w:sz w:val="18"/>
                <w:szCs w:val="18"/>
                <w:color w:val="auto"/>
              </w:rPr>
              <w:t>Inc.</w:t>
            </w:r>
          </w:p>
        </w:tc>
        <w:tc>
          <w:tcPr>
            <w:tcW w:w="1700" w:type="dxa"/>
            <w:vAlign w:val="bottom"/>
            <w:vMerge w:val="restart"/>
          </w:tcPr>
          <w:p>
            <w:pPr>
              <w:ind w:left="140"/>
              <w:spacing w:after="0"/>
              <w:rPr>
                <w:sz w:val="20"/>
                <w:szCs w:val="20"/>
                <w:color w:val="auto"/>
              </w:rPr>
            </w:pPr>
            <w:r>
              <w:rPr>
                <w:rFonts w:ascii="Arial" w:cs="Arial" w:eastAsia="Arial" w:hAnsi="Arial"/>
                <w:sz w:val="18"/>
                <w:szCs w:val="18"/>
                <w:color w:val="auto"/>
              </w:rPr>
              <w:t>partner</w:t>
            </w:r>
          </w:p>
        </w:tc>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320" w:type="dxa"/>
            <w:vAlign w:val="bottom"/>
            <w:vMerge w:val="restart"/>
          </w:tcPr>
          <w:p>
            <w:pPr>
              <w:ind w:left="240"/>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0" w:type="dxa"/>
            <w:vAlign w:val="bottom"/>
            <w:vMerge w:val="restart"/>
          </w:tcPr>
          <w:p>
            <w:pPr>
              <w:ind w:left="180"/>
              <w:spacing w:after="0"/>
              <w:rPr>
                <w:sz w:val="20"/>
                <w:szCs w:val="20"/>
                <w:color w:val="auto"/>
              </w:rPr>
            </w:pPr>
            <w:r>
              <w:rPr>
                <w:rFonts w:ascii="Arial" w:cs="Arial" w:eastAsia="Arial" w:hAnsi="Arial"/>
                <w:sz w:val="18"/>
                <w:szCs w:val="18"/>
                <w:color w:val="auto"/>
              </w:rPr>
              <w:t>Hollywood, CA</w:t>
            </w:r>
          </w:p>
        </w:tc>
        <w:tc>
          <w:tcPr>
            <w:tcW w:w="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580" w:type="dxa"/>
            <w:vAlign w:val="bottom"/>
          </w:tcPr>
          <w:p>
            <w:pPr>
              <w:spacing w:after="0"/>
              <w:rPr>
                <w:sz w:val="9"/>
                <w:szCs w:val="9"/>
                <w:color w:val="auto"/>
              </w:rPr>
            </w:pPr>
          </w:p>
        </w:tc>
        <w:tc>
          <w:tcPr>
            <w:tcW w:w="1500" w:type="dxa"/>
            <w:vAlign w:val="bottom"/>
            <w:vMerge w:val="restart"/>
          </w:tcPr>
          <w:p>
            <w:pPr>
              <w:ind w:left="100"/>
              <w:spacing w:after="0"/>
              <w:rPr>
                <w:sz w:val="20"/>
                <w:szCs w:val="20"/>
                <w:color w:val="auto"/>
              </w:rPr>
            </w:pPr>
            <w:r>
              <w:rPr>
                <w:rFonts w:ascii="Arial" w:cs="Arial" w:eastAsia="Arial" w:hAnsi="Arial"/>
                <w:sz w:val="18"/>
                <w:szCs w:val="18"/>
                <w:color w:val="auto"/>
              </w:rPr>
              <w:t>Delaware GPO 7</w:t>
            </w:r>
          </w:p>
        </w:tc>
        <w:tc>
          <w:tcPr>
            <w:tcW w:w="1700" w:type="dxa"/>
            <w:vAlign w:val="bottom"/>
            <w:vMerge w:val="restart"/>
          </w:tcPr>
          <w:p>
            <w:pPr>
              <w:ind w:left="140"/>
              <w:spacing w:after="0"/>
              <w:rPr>
                <w:sz w:val="20"/>
                <w:szCs w:val="20"/>
                <w:color w:val="auto"/>
              </w:rPr>
            </w:pPr>
            <w:r>
              <w:rPr>
                <w:rFonts w:ascii="Arial" w:cs="Arial" w:eastAsia="Arial" w:hAnsi="Arial"/>
                <w:sz w:val="18"/>
                <w:szCs w:val="18"/>
                <w:color w:val="auto"/>
              </w:rPr>
              <w:t>Class B limited</w:t>
            </w:r>
          </w:p>
        </w:tc>
        <w:tc>
          <w:tcPr>
            <w:tcW w:w="960" w:type="dxa"/>
            <w:vAlign w:val="bottom"/>
            <w:vMerge w:val="restart"/>
          </w:tcPr>
          <w:p>
            <w:pPr>
              <w:jc w:val="right"/>
              <w:ind w:right="52"/>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8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1500" w:type="dxa"/>
            <w:vAlign w:val="bottom"/>
          </w:tcPr>
          <w:p>
            <w:pPr>
              <w:ind w:left="100"/>
              <w:spacing w:after="0"/>
              <w:rPr>
                <w:sz w:val="20"/>
                <w:szCs w:val="20"/>
                <w:color w:val="auto"/>
              </w:rPr>
            </w:pPr>
            <w:r>
              <w:rPr>
                <w:rFonts w:ascii="Arial" w:cs="Arial" w:eastAsia="Arial" w:hAnsi="Arial"/>
                <w:sz w:val="18"/>
                <w:szCs w:val="18"/>
                <w:color w:val="auto"/>
              </w:rPr>
              <w:t>Inc.</w:t>
            </w:r>
          </w:p>
        </w:tc>
        <w:tc>
          <w:tcPr>
            <w:tcW w:w="1700" w:type="dxa"/>
            <w:vAlign w:val="bottom"/>
          </w:tcPr>
          <w:p>
            <w:pPr>
              <w:ind w:left="140"/>
              <w:spacing w:after="0"/>
              <w:rPr>
                <w:sz w:val="20"/>
                <w:szCs w:val="20"/>
                <w:color w:val="auto"/>
              </w:rPr>
            </w:pPr>
            <w:r>
              <w:rPr>
                <w:rFonts w:ascii="Arial" w:cs="Arial" w:eastAsia="Arial" w:hAnsi="Arial"/>
                <w:sz w:val="18"/>
                <w:szCs w:val="18"/>
                <w:color w:val="auto"/>
              </w:rPr>
              <w:t>partner</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1500" w:type="dxa"/>
            <w:vAlign w:val="bottom"/>
          </w:tcPr>
          <w:p>
            <w:pPr>
              <w:ind w:left="100"/>
              <w:spacing w:after="0"/>
              <w:rPr>
                <w:sz w:val="20"/>
                <w:szCs w:val="20"/>
                <w:color w:val="auto"/>
              </w:rPr>
            </w:pPr>
            <w:r>
              <w:rPr>
                <w:rFonts w:ascii="Arial" w:cs="Arial" w:eastAsia="Arial" w:hAnsi="Arial"/>
                <w:sz w:val="18"/>
                <w:szCs w:val="18"/>
                <w:color w:val="auto"/>
              </w:rPr>
              <w:t>Delaware GPM 7</w:t>
            </w:r>
          </w:p>
        </w:tc>
        <w:tc>
          <w:tcPr>
            <w:tcW w:w="1700" w:type="dxa"/>
            <w:vAlign w:val="bottom"/>
          </w:tcPr>
          <w:p>
            <w:pPr>
              <w:ind w:left="140"/>
              <w:spacing w:after="0"/>
              <w:rPr>
                <w:sz w:val="20"/>
                <w:szCs w:val="20"/>
                <w:color w:val="auto"/>
              </w:rPr>
            </w:pPr>
            <w:r>
              <w:rPr>
                <w:rFonts w:ascii="Arial" w:cs="Arial" w:eastAsia="Arial" w:hAnsi="Arial"/>
                <w:sz w:val="18"/>
                <w:szCs w:val="18"/>
                <w:color w:val="auto"/>
              </w:rPr>
              <w:t>Class B limited</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1500" w:type="dxa"/>
            <w:vAlign w:val="bottom"/>
          </w:tcPr>
          <w:p>
            <w:pPr>
              <w:ind w:left="100"/>
              <w:spacing w:after="0"/>
              <w:rPr>
                <w:sz w:val="20"/>
                <w:szCs w:val="20"/>
                <w:color w:val="auto"/>
              </w:rPr>
            </w:pPr>
            <w:r>
              <w:rPr>
                <w:rFonts w:ascii="Arial" w:cs="Arial" w:eastAsia="Arial" w:hAnsi="Arial"/>
                <w:sz w:val="18"/>
                <w:szCs w:val="18"/>
                <w:color w:val="auto"/>
              </w:rPr>
              <w:t>Inc.</w:t>
            </w:r>
          </w:p>
        </w:tc>
        <w:tc>
          <w:tcPr>
            <w:tcW w:w="1700" w:type="dxa"/>
            <w:vAlign w:val="bottom"/>
          </w:tcPr>
          <w:p>
            <w:pPr>
              <w:ind w:left="140"/>
              <w:spacing w:after="0"/>
              <w:rPr>
                <w:sz w:val="20"/>
                <w:szCs w:val="20"/>
                <w:color w:val="auto"/>
              </w:rPr>
            </w:pPr>
            <w:r>
              <w:rPr>
                <w:rFonts w:ascii="Arial" w:cs="Arial" w:eastAsia="Arial" w:hAnsi="Arial"/>
                <w:sz w:val="18"/>
                <w:szCs w:val="18"/>
                <w:color w:val="auto"/>
              </w:rPr>
              <w:t>partner</w:t>
            </w: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20" w:hanging="19"/>
        <w:spacing w:after="0" w:line="290" w:lineRule="auto"/>
        <w:rPr>
          <w:sz w:val="20"/>
          <w:szCs w:val="20"/>
          <w:color w:val="auto"/>
        </w:rPr>
      </w:pPr>
      <w:r>
        <w:rPr>
          <w:rFonts w:ascii="Arial" w:cs="Arial" w:eastAsia="Arial" w:hAnsi="Arial"/>
          <w:sz w:val="16"/>
          <w:szCs w:val="16"/>
          <w:color w:val="auto"/>
        </w:rPr>
        <w:t>Right to merge entities into a Federal Realty entity in exchange for Federal Realty shares or cash (at option of non-Federal Realty partners, subject to certain conditions); and</w:t>
      </w:r>
    </w:p>
    <w:p>
      <w:pPr>
        <w:spacing w:after="0" w:line="37" w:lineRule="exact"/>
        <w:rPr>
          <w:sz w:val="20"/>
          <w:szCs w:val="20"/>
          <w:color w:val="auto"/>
        </w:rPr>
      </w:pPr>
    </w:p>
    <w:p>
      <w:pPr>
        <w:ind w:right="40" w:hanging="19"/>
        <w:spacing w:after="0" w:line="294" w:lineRule="auto"/>
        <w:rPr>
          <w:sz w:val="20"/>
          <w:szCs w:val="20"/>
          <w:color w:val="auto"/>
        </w:rPr>
      </w:pPr>
      <w:r>
        <w:rPr>
          <w:rFonts w:ascii="Arial" w:cs="Arial" w:eastAsia="Arial" w:hAnsi="Arial"/>
          <w:sz w:val="16"/>
          <w:szCs w:val="16"/>
          <w:color w:val="auto"/>
        </w:rPr>
        <w:t>Registration rights for Federal Realty shares issued in connection with transfer of partnership interests through merger.</w:t>
      </w:r>
    </w:p>
    <w:p>
      <w:pPr>
        <w:spacing w:after="0" w:line="83" w:lineRule="exact"/>
        <w:rPr>
          <w:sz w:val="20"/>
          <w:szCs w:val="20"/>
          <w:color w:val="auto"/>
        </w:rPr>
      </w:pPr>
    </w:p>
    <w:p>
      <w:pPr>
        <w:sectPr>
          <w:pgSz w:w="11900" w:h="16838" w:orient="portrait"/>
          <w:cols w:equalWidth="0" w:num="2">
            <w:col w:w="9020" w:space="360"/>
            <w:col w:w="204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2"/>
              </w:rPr>
              <w:t>STREET RETAIL WEST 10, L.P.,</w:t>
            </w:r>
          </w:p>
        </w:tc>
        <w:tc>
          <w:tcPr>
            <w:tcW w:w="1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Street Retail West</w:t>
            </w:r>
          </w:p>
        </w:tc>
        <w:tc>
          <w:tcPr>
            <w:tcW w:w="1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partner</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90%</w:t>
            </w:r>
          </w:p>
        </w:tc>
        <w:tc>
          <w:tcPr>
            <w:tcW w:w="1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Guarantor</w:t>
            </w:r>
          </w:p>
        </w:tc>
        <w:tc>
          <w:tcPr>
            <w:tcW w:w="3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None</w:t>
            </w:r>
          </w:p>
        </w:tc>
      </w:tr>
      <w:tr>
        <w:trPr>
          <w:trHeight w:val="222"/>
        </w:trPr>
        <w:tc>
          <w:tcPr>
            <w:tcW w:w="2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a Delaware limited partnership</w:t>
            </w:r>
          </w:p>
        </w:tc>
        <w:tc>
          <w:tcPr>
            <w:tcW w:w="1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GP, Inc.</w:t>
            </w:r>
          </w:p>
        </w:tc>
        <w:tc>
          <w:tcPr>
            <w:tcW w:w="1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r>
      <w:tr>
        <w:trPr>
          <w:trHeight w:val="218"/>
        </w:trPr>
        <w:tc>
          <w:tcPr>
            <w:tcW w:w="250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Street Retail, Inc.</w:t>
            </w:r>
          </w:p>
        </w:tc>
        <w:tc>
          <w:tcPr>
            <w:tcW w:w="1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partner</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w:t>
            </w:r>
          </w:p>
        </w:tc>
        <w:tc>
          <w:tcPr>
            <w:tcW w:w="15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r>
      <w:tr>
        <w:trPr>
          <w:trHeight w:val="216"/>
        </w:trPr>
        <w:tc>
          <w:tcPr>
            <w:tcW w:w="2500" w:type="dxa"/>
            <w:vAlign w:val="bottom"/>
            <w:shd w:val="clear" w:color="auto" w:fill="CCEEFF"/>
          </w:tcPr>
          <w:p>
            <w:pPr>
              <w:spacing w:after="0"/>
              <w:rPr>
                <w:sz w:val="18"/>
                <w:szCs w:val="18"/>
                <w:color w:val="auto"/>
              </w:rPr>
            </w:pPr>
          </w:p>
        </w:tc>
        <w:tc>
          <w:tcPr>
            <w:tcW w:w="1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Street Retail, Inc.</w:t>
            </w:r>
          </w:p>
        </w:tc>
        <w:tc>
          <w:tcPr>
            <w:tcW w:w="1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Limited partner</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5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r>
      <w:tr>
        <w:trPr>
          <w:trHeight w:val="322"/>
        </w:trPr>
        <w:tc>
          <w:tcPr>
            <w:tcW w:w="2500" w:type="dxa"/>
            <w:vAlign w:val="bottom"/>
          </w:tcPr>
          <w:p>
            <w:pPr>
              <w:spacing w:after="0"/>
              <w:rPr>
                <w:sz w:val="20"/>
                <w:szCs w:val="20"/>
                <w:color w:val="auto"/>
              </w:rPr>
            </w:pPr>
            <w:r>
              <w:rPr>
                <w:rFonts w:ascii="Arial" w:cs="Arial" w:eastAsia="Arial" w:hAnsi="Arial"/>
                <w:sz w:val="18"/>
                <w:szCs w:val="18"/>
                <w:color w:val="auto"/>
              </w:rPr>
              <w:t>SRI SAN ANTONIO, INC.</w:t>
            </w:r>
          </w:p>
        </w:tc>
        <w:tc>
          <w:tcPr>
            <w:tcW w:w="1580" w:type="dxa"/>
            <w:vAlign w:val="bottom"/>
          </w:tcPr>
          <w:p>
            <w:pPr>
              <w:ind w:left="180"/>
              <w:spacing w:after="0"/>
              <w:rPr>
                <w:sz w:val="20"/>
                <w:szCs w:val="20"/>
                <w:color w:val="auto"/>
              </w:rPr>
            </w:pPr>
            <w:r>
              <w:rPr>
                <w:rFonts w:ascii="Arial" w:cs="Arial" w:eastAsia="Arial" w:hAnsi="Arial"/>
                <w:sz w:val="18"/>
                <w:szCs w:val="18"/>
                <w:color w:val="auto"/>
                <w:w w:val="99"/>
              </w:rPr>
              <w:t>Street Retail, Inc.</w:t>
            </w:r>
          </w:p>
        </w:tc>
        <w:tc>
          <w:tcPr>
            <w:tcW w:w="1720" w:type="dxa"/>
            <w:vAlign w:val="bottom"/>
          </w:tcPr>
          <w:p>
            <w:pPr>
              <w:ind w:left="140"/>
              <w:spacing w:after="0"/>
              <w:rPr>
                <w:sz w:val="20"/>
                <w:szCs w:val="20"/>
                <w:color w:val="auto"/>
              </w:rPr>
            </w:pPr>
            <w:r>
              <w:rPr>
                <w:rFonts w:ascii="Arial" w:cs="Arial" w:eastAsia="Arial" w:hAnsi="Arial"/>
                <w:sz w:val="18"/>
                <w:szCs w:val="18"/>
                <w:color w:val="auto"/>
              </w:rPr>
              <w:t>Sole stockholder</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100%</w:t>
            </w:r>
          </w:p>
        </w:tc>
        <w:tc>
          <w:tcPr>
            <w:tcW w:w="1520" w:type="dxa"/>
            <w:vAlign w:val="bottom"/>
          </w:tcPr>
          <w:p>
            <w:pPr>
              <w:spacing w:after="0"/>
              <w:rPr>
                <w:sz w:val="24"/>
                <w:szCs w:val="24"/>
                <w:color w:val="auto"/>
              </w:rPr>
            </w:pPr>
          </w:p>
        </w:tc>
        <w:tc>
          <w:tcPr>
            <w:tcW w:w="3160" w:type="dxa"/>
            <w:vAlign w:val="bottom"/>
          </w:tcPr>
          <w:p>
            <w:pPr>
              <w:ind w:left="680"/>
              <w:spacing w:after="0"/>
              <w:rPr>
                <w:sz w:val="20"/>
                <w:szCs w:val="20"/>
                <w:color w:val="auto"/>
              </w:rPr>
            </w:pPr>
            <w:r>
              <w:rPr>
                <w:rFonts w:ascii="Arial" w:cs="Arial" w:eastAsia="Arial" w:hAnsi="Arial"/>
                <w:sz w:val="18"/>
                <w:szCs w:val="18"/>
                <w:color w:val="auto"/>
              </w:rPr>
              <w:t>None</w:t>
            </w:r>
          </w:p>
        </w:tc>
      </w:tr>
    </w:tbl>
    <w:p>
      <w:pPr>
        <w:ind w:left="220"/>
        <w:spacing w:after="0"/>
        <w:rPr>
          <w:sz w:val="20"/>
          <w:szCs w:val="20"/>
          <w:color w:val="auto"/>
        </w:rPr>
      </w:pPr>
      <w:r>
        <w:rPr>
          <w:rFonts w:ascii="Arial" w:cs="Arial" w:eastAsia="Arial" w:hAnsi="Arial"/>
          <w:sz w:val="18"/>
          <w:szCs w:val="18"/>
          <w:color w:val="auto"/>
        </w:rPr>
        <w:t>(F/K/A DIM SUM, INC.), a</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Maryland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74" w:right="239" w:bottom="1440" w:gutter="0" w:footer="0" w:header="0"/>
          <w:type w:val="continuous"/>
        </w:sectPr>
      </w:pPr>
    </w:p>
    <w:bookmarkStart w:id="148" w:name="page149"/>
    <w:bookmarkEnd w:id="14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2"/>
              </w:rPr>
              <w:t>Material and/or</w:t>
            </w:r>
          </w:p>
        </w:tc>
        <w:tc>
          <w:tcPr>
            <w:tcW w:w="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Excluded Subsidiary,</w:t>
            </w:r>
          </w:p>
        </w:tc>
        <w:tc>
          <w:tcPr>
            <w:tcW w:w="2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ENTITY NAME/Jurisdiction of</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Nature of</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Non-Controlled</w:t>
            </w:r>
          </w:p>
        </w:tc>
        <w:tc>
          <w:tcPr>
            <w:tcW w:w="2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20" w:type="dxa"/>
            <w:vAlign w:val="bottom"/>
          </w:tcPr>
          <w:p>
            <w:pPr>
              <w:ind w:left="940"/>
              <w:spacing w:after="0"/>
              <w:rPr>
                <w:sz w:val="20"/>
                <w:szCs w:val="20"/>
                <w:color w:val="auto"/>
              </w:rPr>
            </w:pPr>
            <w:r>
              <w:rPr>
                <w:rFonts w:ascii="Arial" w:cs="Arial" w:eastAsia="Arial" w:hAnsi="Arial"/>
                <w:sz w:val="14"/>
                <w:szCs w:val="14"/>
                <w:b w:val="1"/>
                <w:bCs w:val="1"/>
                <w:color w:val="auto"/>
              </w:rPr>
              <w:t>Formation</w:t>
            </w:r>
          </w:p>
        </w:tc>
        <w:tc>
          <w:tcPr>
            <w:tcW w:w="200" w:type="dxa"/>
            <w:vAlign w:val="bottom"/>
          </w:tcPr>
          <w:p>
            <w:pPr>
              <w:spacing w:after="0"/>
              <w:rPr>
                <w:sz w:val="15"/>
                <w:szCs w:val="15"/>
                <w:color w:val="auto"/>
              </w:rPr>
            </w:pPr>
          </w:p>
        </w:tc>
        <w:tc>
          <w:tcPr>
            <w:tcW w:w="1540" w:type="dxa"/>
            <w:vAlign w:val="bottom"/>
            <w:gridSpan w:val="2"/>
          </w:tcPr>
          <w:p>
            <w:pPr>
              <w:ind w:left="240"/>
              <w:spacing w:after="0"/>
              <w:rPr>
                <w:sz w:val="20"/>
                <w:szCs w:val="20"/>
                <w:color w:val="auto"/>
              </w:rPr>
            </w:pPr>
            <w:r>
              <w:rPr>
                <w:rFonts w:ascii="Arial" w:cs="Arial" w:eastAsia="Arial" w:hAnsi="Arial"/>
                <w:sz w:val="14"/>
                <w:szCs w:val="14"/>
                <w:b w:val="1"/>
                <w:bCs w:val="1"/>
                <w:color w:val="auto"/>
              </w:rPr>
              <w:t>Equity Holders</w:t>
            </w: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Equity Interest</w:t>
            </w: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 Ownership</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0"/>
              </w:rPr>
              <w:t>Property</w:t>
            </w:r>
          </w:p>
        </w:tc>
        <w:tc>
          <w:tcPr>
            <w:tcW w:w="200" w:type="dxa"/>
            <w:vAlign w:val="bottom"/>
          </w:tcPr>
          <w:p>
            <w:pPr>
              <w:spacing w:after="0"/>
              <w:rPr>
                <w:sz w:val="15"/>
                <w:szCs w:val="15"/>
                <w:color w:val="auto"/>
              </w:rPr>
            </w:pPr>
          </w:p>
        </w:tc>
        <w:tc>
          <w:tcPr>
            <w:tcW w:w="2380" w:type="dxa"/>
            <w:vAlign w:val="bottom"/>
          </w:tcPr>
          <w:p>
            <w:pPr>
              <w:ind w:left="40"/>
              <w:spacing w:after="0"/>
              <w:rPr>
                <w:sz w:val="20"/>
                <w:szCs w:val="20"/>
                <w:color w:val="auto"/>
              </w:rPr>
            </w:pPr>
            <w:r>
              <w:rPr>
                <w:rFonts w:ascii="Arial" w:cs="Arial" w:eastAsia="Arial" w:hAnsi="Arial"/>
                <w:sz w:val="14"/>
                <w:szCs w:val="14"/>
                <w:b w:val="1"/>
                <w:bCs w:val="1"/>
                <w:color w:val="auto"/>
                <w:w w:val="87"/>
              </w:rPr>
              <w:t>Liens, Options, Registration Rights, etc.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corporation</w:t>
            </w:r>
          </w:p>
        </w:tc>
        <w:tc>
          <w:tcPr>
            <w:tcW w:w="2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STREET RETAIL SAN</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SRI San Antonio,</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Guarantor</w:t>
            </w:r>
          </w:p>
        </w:tc>
        <w:tc>
          <w:tcPr>
            <w:tcW w:w="2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ANTONIO, LP, a Delaware</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partnership</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SRI Texas, Inc.</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99.9%</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540" w:type="dxa"/>
            <w:vAlign w:val="bottom"/>
            <w:gridSpan w:val="2"/>
          </w:tcPr>
          <w:p>
            <w:pPr>
              <w:spacing w:after="0"/>
              <w:rPr>
                <w:sz w:val="20"/>
                <w:szCs w:val="20"/>
                <w:color w:val="auto"/>
              </w:rPr>
            </w:pPr>
            <w:r>
              <w:rPr>
                <w:rFonts w:ascii="Arial" w:cs="Arial" w:eastAsia="Arial" w:hAnsi="Arial"/>
                <w:sz w:val="18"/>
                <w:szCs w:val="18"/>
                <w:color w:val="auto"/>
              </w:rPr>
              <w:t>SRI TEXAS, INC., a Delaware</w:t>
            </w:r>
          </w:p>
        </w:tc>
        <w:tc>
          <w:tcPr>
            <w:tcW w:w="1740" w:type="dxa"/>
            <w:vAlign w:val="bottom"/>
            <w:gridSpan w:val="3"/>
          </w:tcPr>
          <w:p>
            <w:pPr>
              <w:ind w:left="200"/>
              <w:spacing w:after="0"/>
              <w:rPr>
                <w:sz w:val="20"/>
                <w:szCs w:val="20"/>
                <w:color w:val="auto"/>
              </w:rPr>
            </w:pPr>
            <w:r>
              <w:rPr>
                <w:rFonts w:ascii="Arial" w:cs="Arial" w:eastAsia="Arial" w:hAnsi="Arial"/>
                <w:sz w:val="18"/>
                <w:szCs w:val="18"/>
                <w:color w:val="auto"/>
              </w:rPr>
              <w:t>Street Retail,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Sole stockholder</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920" w:type="dxa"/>
            <w:vAlign w:val="bottom"/>
          </w:tcPr>
          <w:p>
            <w:pPr>
              <w:spacing w:after="0"/>
              <w:rPr>
                <w:sz w:val="24"/>
                <w:szCs w:val="24"/>
                <w:color w:val="auto"/>
              </w:rPr>
            </w:pPr>
          </w:p>
        </w:tc>
        <w:tc>
          <w:tcPr>
            <w:tcW w:w="2580" w:type="dxa"/>
            <w:vAlign w:val="bottom"/>
            <w:gridSpan w:val="2"/>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corporation</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156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6"/>
              </w:rPr>
              <w:t>SRI ARLINGTON ROAD WEST,</w:t>
            </w:r>
          </w:p>
        </w:tc>
        <w:tc>
          <w:tcPr>
            <w:tcW w:w="17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Street Retail, Inc.,</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Sole stockholder</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9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INC., a Delaware corporation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540" w:type="dxa"/>
            <w:vAlign w:val="bottom"/>
            <w:gridSpan w:val="2"/>
          </w:tcPr>
          <w:p>
            <w:pPr>
              <w:spacing w:after="0"/>
              <w:rPr>
                <w:sz w:val="20"/>
                <w:szCs w:val="20"/>
                <w:color w:val="auto"/>
              </w:rPr>
            </w:pPr>
            <w:r>
              <w:rPr>
                <w:rFonts w:ascii="Arial" w:cs="Arial" w:eastAsia="Arial" w:hAnsi="Arial"/>
                <w:sz w:val="18"/>
                <w:szCs w:val="18"/>
                <w:color w:val="auto"/>
                <w:w w:val="97"/>
              </w:rPr>
              <w:t>SRI ARLINGTON ROAD WEST,</w:t>
            </w:r>
          </w:p>
        </w:tc>
        <w:tc>
          <w:tcPr>
            <w:tcW w:w="1740" w:type="dxa"/>
            <w:vAlign w:val="bottom"/>
            <w:gridSpan w:val="3"/>
          </w:tcPr>
          <w:p>
            <w:pPr>
              <w:ind w:left="200"/>
              <w:spacing w:after="0"/>
              <w:rPr>
                <w:sz w:val="20"/>
                <w:szCs w:val="20"/>
                <w:color w:val="auto"/>
              </w:rPr>
            </w:pPr>
            <w:r>
              <w:rPr>
                <w:rFonts w:ascii="Arial" w:cs="Arial" w:eastAsia="Arial" w:hAnsi="Arial"/>
                <w:sz w:val="18"/>
                <w:szCs w:val="18"/>
                <w:color w:val="auto"/>
              </w:rPr>
              <w:t>SRI Arlington</w:t>
            </w:r>
          </w:p>
        </w:tc>
        <w:tc>
          <w:tcPr>
            <w:tcW w:w="1440" w:type="dxa"/>
            <w:vAlign w:val="bottom"/>
            <w:gridSpan w:val="2"/>
          </w:tcPr>
          <w:p>
            <w:pPr>
              <w:spacing w:after="0"/>
              <w:rPr>
                <w:sz w:val="20"/>
                <w:szCs w:val="20"/>
                <w:color w:val="auto"/>
              </w:rPr>
            </w:pPr>
            <w:r>
              <w:rPr>
                <w:rFonts w:ascii="Arial" w:cs="Arial" w:eastAsia="Arial" w:hAnsi="Arial"/>
                <w:sz w:val="18"/>
                <w:szCs w:val="18"/>
                <w:color w:val="auto"/>
              </w:rPr>
              <w:t>Sole member</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920" w:type="dxa"/>
            <w:vAlign w:val="bottom"/>
          </w:tcPr>
          <w:p>
            <w:pPr>
              <w:spacing w:after="0"/>
              <w:rPr>
                <w:sz w:val="20"/>
                <w:szCs w:val="20"/>
                <w:color w:val="auto"/>
              </w:rPr>
            </w:pPr>
            <w:r>
              <w:rPr>
                <w:rFonts w:ascii="Arial" w:cs="Arial" w:eastAsia="Arial" w:hAnsi="Arial"/>
                <w:sz w:val="18"/>
                <w:szCs w:val="18"/>
                <w:color w:val="auto"/>
              </w:rPr>
              <w:t>Excluded Subsidiary</w:t>
            </w:r>
          </w:p>
        </w:tc>
        <w:tc>
          <w:tcPr>
            <w:tcW w:w="2580" w:type="dxa"/>
            <w:vAlign w:val="bottom"/>
            <w:gridSpan w:val="2"/>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LLC, a Delaware limited</w:t>
            </w:r>
          </w:p>
        </w:tc>
        <w:tc>
          <w:tcPr>
            <w:tcW w:w="1740" w:type="dxa"/>
            <w:vAlign w:val="bottom"/>
            <w:gridSpan w:val="3"/>
          </w:tcPr>
          <w:p>
            <w:pPr>
              <w:ind w:left="200"/>
              <w:spacing w:after="0"/>
              <w:rPr>
                <w:sz w:val="20"/>
                <w:szCs w:val="20"/>
                <w:color w:val="auto"/>
              </w:rPr>
            </w:pPr>
            <w:r>
              <w:rPr>
                <w:rFonts w:ascii="Arial" w:cs="Arial" w:eastAsia="Arial" w:hAnsi="Arial"/>
                <w:sz w:val="18"/>
                <w:szCs w:val="18"/>
                <w:color w:val="auto"/>
              </w:rPr>
              <w:t>Road West, Inc.</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liability company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156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SRI BETHESDA AVENUE</w:t>
            </w:r>
          </w:p>
        </w:tc>
        <w:tc>
          <w:tcPr>
            <w:tcW w:w="17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Street Retail, Inc.,</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Sole stockholder</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9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NORTH, INC., a Delaware</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540" w:type="dxa"/>
            <w:vAlign w:val="bottom"/>
            <w:gridSpan w:val="2"/>
          </w:tcPr>
          <w:p>
            <w:pPr>
              <w:spacing w:after="0"/>
              <w:rPr>
                <w:sz w:val="20"/>
                <w:szCs w:val="20"/>
                <w:color w:val="auto"/>
              </w:rPr>
            </w:pPr>
            <w:r>
              <w:rPr>
                <w:rFonts w:ascii="Arial" w:cs="Arial" w:eastAsia="Arial" w:hAnsi="Arial"/>
                <w:sz w:val="18"/>
                <w:szCs w:val="18"/>
                <w:color w:val="auto"/>
              </w:rPr>
              <w:t>SRI BETHESDA AVENUE</w:t>
            </w:r>
          </w:p>
        </w:tc>
        <w:tc>
          <w:tcPr>
            <w:tcW w:w="1740" w:type="dxa"/>
            <w:vAlign w:val="bottom"/>
            <w:gridSpan w:val="3"/>
          </w:tcPr>
          <w:p>
            <w:pPr>
              <w:ind w:left="200"/>
              <w:spacing w:after="0"/>
              <w:rPr>
                <w:sz w:val="20"/>
                <w:szCs w:val="20"/>
                <w:color w:val="auto"/>
              </w:rPr>
            </w:pPr>
            <w:r>
              <w:rPr>
                <w:rFonts w:ascii="Arial" w:cs="Arial" w:eastAsia="Arial" w:hAnsi="Arial"/>
                <w:sz w:val="18"/>
                <w:szCs w:val="18"/>
                <w:color w:val="auto"/>
              </w:rPr>
              <w:t>SRI Bethesda</w:t>
            </w:r>
          </w:p>
        </w:tc>
        <w:tc>
          <w:tcPr>
            <w:tcW w:w="1440" w:type="dxa"/>
            <w:vAlign w:val="bottom"/>
            <w:gridSpan w:val="2"/>
          </w:tcPr>
          <w:p>
            <w:pPr>
              <w:spacing w:after="0"/>
              <w:rPr>
                <w:sz w:val="20"/>
                <w:szCs w:val="20"/>
                <w:color w:val="auto"/>
              </w:rPr>
            </w:pPr>
            <w:r>
              <w:rPr>
                <w:rFonts w:ascii="Arial" w:cs="Arial" w:eastAsia="Arial" w:hAnsi="Arial"/>
                <w:sz w:val="18"/>
                <w:szCs w:val="18"/>
                <w:color w:val="auto"/>
              </w:rPr>
              <w:t>Sole member</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920" w:type="dxa"/>
            <w:vAlign w:val="bottom"/>
          </w:tcPr>
          <w:p>
            <w:pPr>
              <w:spacing w:after="0"/>
              <w:rPr>
                <w:sz w:val="20"/>
                <w:szCs w:val="20"/>
                <w:color w:val="auto"/>
              </w:rPr>
            </w:pPr>
            <w:r>
              <w:rPr>
                <w:rFonts w:ascii="Arial" w:cs="Arial" w:eastAsia="Arial" w:hAnsi="Arial"/>
                <w:sz w:val="18"/>
                <w:szCs w:val="18"/>
                <w:color w:val="auto"/>
              </w:rPr>
              <w:t>Excluded Subsidiary</w:t>
            </w:r>
          </w:p>
        </w:tc>
        <w:tc>
          <w:tcPr>
            <w:tcW w:w="2580" w:type="dxa"/>
            <w:vAlign w:val="bottom"/>
            <w:gridSpan w:val="2"/>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NORTH, LLC, a Delaware</w:t>
            </w:r>
          </w:p>
        </w:tc>
        <w:tc>
          <w:tcPr>
            <w:tcW w:w="1740" w:type="dxa"/>
            <w:vAlign w:val="bottom"/>
            <w:gridSpan w:val="3"/>
          </w:tcPr>
          <w:p>
            <w:pPr>
              <w:ind w:left="200"/>
              <w:spacing w:after="0"/>
              <w:rPr>
                <w:sz w:val="20"/>
                <w:szCs w:val="20"/>
                <w:color w:val="auto"/>
              </w:rPr>
            </w:pPr>
            <w:r>
              <w:rPr>
                <w:rFonts w:ascii="Arial" w:cs="Arial" w:eastAsia="Arial" w:hAnsi="Arial"/>
                <w:sz w:val="18"/>
                <w:szCs w:val="18"/>
                <w:color w:val="auto"/>
              </w:rPr>
              <w:t>Avenue North, Inc.</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limited liability company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156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SANTANA ROW SERVICES,</w:t>
            </w:r>
          </w:p>
        </w:tc>
        <w:tc>
          <w:tcPr>
            <w:tcW w:w="17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Street Retail, Inc.</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Sole stockholder</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9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INC., a Delaware corporation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540" w:type="dxa"/>
            <w:vAlign w:val="bottom"/>
            <w:gridSpan w:val="2"/>
          </w:tcPr>
          <w:p>
            <w:pPr>
              <w:spacing w:after="0"/>
              <w:rPr>
                <w:sz w:val="20"/>
                <w:szCs w:val="20"/>
                <w:color w:val="auto"/>
              </w:rPr>
            </w:pPr>
            <w:r>
              <w:rPr>
                <w:rFonts w:ascii="Arial" w:cs="Arial" w:eastAsia="Arial" w:hAnsi="Arial"/>
                <w:sz w:val="18"/>
                <w:szCs w:val="18"/>
                <w:color w:val="auto"/>
              </w:rPr>
              <w:t>SANTANA ROW ROF, INC., a</w:t>
            </w:r>
          </w:p>
        </w:tc>
        <w:tc>
          <w:tcPr>
            <w:tcW w:w="1740" w:type="dxa"/>
            <w:vAlign w:val="bottom"/>
            <w:gridSpan w:val="3"/>
          </w:tcPr>
          <w:p>
            <w:pPr>
              <w:ind w:left="200"/>
              <w:spacing w:after="0"/>
              <w:rPr>
                <w:sz w:val="20"/>
                <w:szCs w:val="20"/>
                <w:color w:val="auto"/>
              </w:rPr>
            </w:pPr>
            <w:r>
              <w:rPr>
                <w:rFonts w:ascii="Arial" w:cs="Arial" w:eastAsia="Arial" w:hAnsi="Arial"/>
                <w:sz w:val="18"/>
                <w:szCs w:val="18"/>
                <w:color w:val="auto"/>
              </w:rPr>
              <w:t>Street Retail, Inc.</w:t>
            </w:r>
          </w:p>
        </w:tc>
        <w:tc>
          <w:tcPr>
            <w:tcW w:w="1440" w:type="dxa"/>
            <w:vAlign w:val="bottom"/>
            <w:gridSpan w:val="2"/>
          </w:tcPr>
          <w:p>
            <w:pPr>
              <w:spacing w:after="0"/>
              <w:rPr>
                <w:sz w:val="20"/>
                <w:szCs w:val="20"/>
                <w:color w:val="auto"/>
              </w:rPr>
            </w:pPr>
            <w:r>
              <w:rPr>
                <w:rFonts w:ascii="Arial" w:cs="Arial" w:eastAsia="Arial" w:hAnsi="Arial"/>
                <w:sz w:val="18"/>
                <w:szCs w:val="18"/>
                <w:color w:val="auto"/>
              </w:rPr>
              <w:t>Sole stockholder</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920" w:type="dxa"/>
            <w:vAlign w:val="bottom"/>
          </w:tcPr>
          <w:p>
            <w:pPr>
              <w:spacing w:after="0"/>
              <w:rPr>
                <w:sz w:val="24"/>
                <w:szCs w:val="24"/>
                <w:color w:val="auto"/>
              </w:rPr>
            </w:pPr>
          </w:p>
        </w:tc>
        <w:tc>
          <w:tcPr>
            <w:tcW w:w="2580" w:type="dxa"/>
            <w:vAlign w:val="bottom"/>
            <w:gridSpan w:val="2"/>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Delaware corporation</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274"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 Unconsolidated Affiliates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ind w:left="780"/>
              <w:spacing w:after="0"/>
              <w:rPr>
                <w:sz w:val="20"/>
                <w:szCs w:val="20"/>
                <w:color w:val="auto"/>
              </w:rPr>
            </w:pPr>
            <w:r>
              <w:rPr>
                <w:rFonts w:ascii="Arial" w:cs="Arial" w:eastAsia="Arial" w:hAnsi="Arial"/>
                <w:sz w:val="14"/>
                <w:szCs w:val="14"/>
                <w:b w:val="1"/>
                <w:bCs w:val="1"/>
                <w:color w:val="auto"/>
              </w:rPr>
              <w:t>ENTITY NAME/Jurisdiction of</w:t>
            </w:r>
          </w:p>
        </w:tc>
        <w:tc>
          <w:tcPr>
            <w:tcW w:w="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240"/>
              <w:spacing w:after="0"/>
              <w:rPr>
                <w:sz w:val="20"/>
                <w:szCs w:val="20"/>
                <w:color w:val="auto"/>
              </w:rPr>
            </w:pPr>
            <w:r>
              <w:rPr>
                <w:rFonts w:ascii="Arial" w:cs="Arial" w:eastAsia="Arial" w:hAnsi="Arial"/>
                <w:sz w:val="14"/>
                <w:szCs w:val="14"/>
                <w:b w:val="1"/>
                <w:bCs w:val="1"/>
                <w:color w:val="auto"/>
              </w:rPr>
              <w:t>Nature of Equity</w:t>
            </w: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20" w:type="dxa"/>
            <w:vAlign w:val="bottom"/>
          </w:tcPr>
          <w:p>
            <w:pPr>
              <w:ind w:left="360"/>
              <w:spacing w:after="0"/>
              <w:rPr>
                <w:sz w:val="20"/>
                <w:szCs w:val="20"/>
                <w:color w:val="auto"/>
              </w:rPr>
            </w:pPr>
            <w:r>
              <w:rPr>
                <w:rFonts w:ascii="Arial" w:cs="Arial" w:eastAsia="Arial" w:hAnsi="Arial"/>
                <w:sz w:val="14"/>
                <w:szCs w:val="14"/>
                <w:b w:val="1"/>
                <w:bCs w:val="1"/>
                <w:color w:val="auto"/>
              </w:rPr>
              <w:t>Material and/or Excluded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20" w:type="dxa"/>
            <w:vAlign w:val="bottom"/>
          </w:tcPr>
          <w:p>
            <w:pPr>
              <w:ind w:left="1400"/>
              <w:spacing w:after="0"/>
              <w:rPr>
                <w:sz w:val="20"/>
                <w:szCs w:val="20"/>
                <w:color w:val="auto"/>
              </w:rPr>
            </w:pPr>
            <w:r>
              <w:rPr>
                <w:rFonts w:ascii="Arial" w:cs="Arial" w:eastAsia="Arial" w:hAnsi="Arial"/>
                <w:sz w:val="14"/>
                <w:szCs w:val="14"/>
                <w:b w:val="1"/>
                <w:bCs w:val="1"/>
                <w:color w:val="auto"/>
              </w:rPr>
              <w:t>Formation</w:t>
            </w:r>
          </w:p>
        </w:tc>
        <w:tc>
          <w:tcPr>
            <w:tcW w:w="200" w:type="dxa"/>
            <w:vAlign w:val="bottom"/>
          </w:tcPr>
          <w:p>
            <w:pPr>
              <w:spacing w:after="0"/>
              <w:rPr>
                <w:sz w:val="15"/>
                <w:szCs w:val="15"/>
                <w:color w:val="auto"/>
              </w:rPr>
            </w:pPr>
          </w:p>
        </w:tc>
        <w:tc>
          <w:tcPr>
            <w:tcW w:w="2480" w:type="dxa"/>
            <w:vAlign w:val="bottom"/>
          </w:tcPr>
          <w:p>
            <w:pPr>
              <w:ind w:left="800"/>
              <w:spacing w:after="0"/>
              <w:rPr>
                <w:sz w:val="20"/>
                <w:szCs w:val="20"/>
                <w:color w:val="auto"/>
              </w:rPr>
            </w:pPr>
            <w:r>
              <w:rPr>
                <w:rFonts w:ascii="Arial" w:cs="Arial" w:eastAsia="Arial" w:hAnsi="Arial"/>
                <w:sz w:val="14"/>
                <w:szCs w:val="14"/>
                <w:b w:val="1"/>
                <w:bCs w:val="1"/>
                <w:color w:val="auto"/>
              </w:rPr>
              <w:t>Equity Holders</w:t>
            </w:r>
          </w:p>
        </w:tc>
        <w:tc>
          <w:tcPr>
            <w:tcW w:w="200" w:type="dxa"/>
            <w:vAlign w:val="bottom"/>
          </w:tcPr>
          <w:p>
            <w:pPr>
              <w:spacing w:after="0"/>
              <w:rPr>
                <w:sz w:val="15"/>
                <w:szCs w:val="15"/>
                <w:color w:val="auto"/>
              </w:rPr>
            </w:pPr>
          </w:p>
        </w:tc>
        <w:tc>
          <w:tcPr>
            <w:tcW w:w="1660" w:type="dxa"/>
            <w:vAlign w:val="bottom"/>
            <w:gridSpan w:val="2"/>
          </w:tcPr>
          <w:p>
            <w:pPr>
              <w:ind w:left="500"/>
              <w:spacing w:after="0"/>
              <w:rPr>
                <w:sz w:val="20"/>
                <w:szCs w:val="20"/>
                <w:color w:val="auto"/>
              </w:rPr>
            </w:pPr>
            <w:r>
              <w:rPr>
                <w:rFonts w:ascii="Arial" w:cs="Arial" w:eastAsia="Arial" w:hAnsi="Arial"/>
                <w:sz w:val="14"/>
                <w:szCs w:val="14"/>
                <w:b w:val="1"/>
                <w:bCs w:val="1"/>
                <w:color w:val="auto"/>
              </w:rPr>
              <w:t>Interest</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 Ownership</w:t>
            </w:r>
          </w:p>
        </w:tc>
        <w:tc>
          <w:tcPr>
            <w:tcW w:w="2220" w:type="dxa"/>
            <w:vAlign w:val="bottom"/>
          </w:tcPr>
          <w:p>
            <w:pPr>
              <w:ind w:left="800"/>
              <w:spacing w:after="0"/>
              <w:rPr>
                <w:sz w:val="20"/>
                <w:szCs w:val="20"/>
                <w:color w:val="auto"/>
              </w:rPr>
            </w:pPr>
            <w:r>
              <w:rPr>
                <w:rFonts w:ascii="Arial" w:cs="Arial" w:eastAsia="Arial" w:hAnsi="Arial"/>
                <w:sz w:val="14"/>
                <w:szCs w:val="14"/>
                <w:b w:val="1"/>
                <w:bCs w:val="1"/>
                <w:color w:val="auto"/>
              </w:rPr>
              <w:t>Subsidiary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4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4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2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LA RIVE GAUCHE SAN JOSE, LLC, a</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Santana Row ROF, Inc.</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w:t>
            </w: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California limited liability company</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Vine Dining Enterprises, Inc.</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Manager/member</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w:t>
            </w: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440" w:type="dxa"/>
            <w:vAlign w:val="bottom"/>
            <w:gridSpan w:val="2"/>
          </w:tcPr>
          <w:p>
            <w:pPr>
              <w:spacing w:after="0"/>
              <w:rPr>
                <w:sz w:val="20"/>
                <w:szCs w:val="20"/>
                <w:color w:val="auto"/>
              </w:rPr>
            </w:pPr>
            <w:r>
              <w:rPr>
                <w:rFonts w:ascii="Arial" w:cs="Arial" w:eastAsia="Arial" w:hAnsi="Arial"/>
                <w:sz w:val="18"/>
                <w:szCs w:val="18"/>
                <w:color w:val="auto"/>
                <w:w w:val="95"/>
              </w:rPr>
              <w:t>STRAITS SANTANA ROW, LLC, a California</w:t>
            </w:r>
          </w:p>
        </w:tc>
        <w:tc>
          <w:tcPr>
            <w:tcW w:w="2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Santana Row ROF, Inc.</w:t>
            </w:r>
          </w:p>
        </w:tc>
        <w:tc>
          <w:tcPr>
            <w:tcW w:w="20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Member</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90%</w:t>
            </w:r>
          </w:p>
        </w:tc>
        <w:tc>
          <w:tcPr>
            <w:tcW w:w="2220" w:type="dxa"/>
            <w:vAlign w:val="bottom"/>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limited liability company</w:t>
            </w:r>
          </w:p>
        </w:tc>
        <w:tc>
          <w:tcPr>
            <w:tcW w:w="20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Christopher Yeo</w:t>
            </w:r>
          </w:p>
        </w:tc>
        <w:tc>
          <w:tcPr>
            <w:tcW w:w="20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Manager/member</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VILLAGE CAFÉ SANTANA ROW, LLC, a</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Santana Row ROF, Inc.</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California limited liability company</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w w:val="98"/>
              </w:rPr>
              <w:t>San Francisco Coffee Roasting</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Manager/member</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Company, Inc.</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440" w:type="dxa"/>
            <w:vAlign w:val="bottom"/>
            <w:gridSpan w:val="2"/>
          </w:tcPr>
          <w:p>
            <w:pPr>
              <w:spacing w:after="0"/>
              <w:rPr>
                <w:sz w:val="20"/>
                <w:szCs w:val="20"/>
                <w:color w:val="auto"/>
              </w:rPr>
            </w:pPr>
            <w:r>
              <w:rPr>
                <w:rFonts w:ascii="Arial" w:cs="Arial" w:eastAsia="Arial" w:hAnsi="Arial"/>
                <w:sz w:val="18"/>
                <w:szCs w:val="18"/>
                <w:color w:val="auto"/>
              </w:rPr>
              <w:t>BLOWFISH SR, LLC, a California limited</w:t>
            </w:r>
          </w:p>
        </w:tc>
        <w:tc>
          <w:tcPr>
            <w:tcW w:w="2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Santana Row ROF, Inc.</w:t>
            </w:r>
          </w:p>
        </w:tc>
        <w:tc>
          <w:tcPr>
            <w:tcW w:w="20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Member</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2220" w:type="dxa"/>
            <w:vAlign w:val="bottom"/>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liability company</w:t>
            </w:r>
          </w:p>
        </w:tc>
        <w:tc>
          <w:tcPr>
            <w:tcW w:w="20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Fugu Management, LLC</w:t>
            </w:r>
          </w:p>
        </w:tc>
        <w:tc>
          <w:tcPr>
            <w:tcW w:w="20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Manager/member</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YANKEE PIER SANTANA ROW, LLC, a</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Santana Row ROF, Inc.</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California limited liability company</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Lark Creek Café, Inc.</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Manager/member</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440" w:type="dxa"/>
            <w:vAlign w:val="bottom"/>
            <w:gridSpan w:val="2"/>
          </w:tcPr>
          <w:p>
            <w:pPr>
              <w:spacing w:after="0"/>
              <w:rPr>
                <w:sz w:val="20"/>
                <w:szCs w:val="20"/>
                <w:color w:val="auto"/>
              </w:rPr>
            </w:pPr>
            <w:r>
              <w:rPr>
                <w:rFonts w:ascii="Arial" w:cs="Arial" w:eastAsia="Arial" w:hAnsi="Arial"/>
                <w:sz w:val="18"/>
                <w:szCs w:val="18"/>
                <w:color w:val="auto"/>
              </w:rPr>
              <w:t>PIZZA ANTICA, LLC, a California limited</w:t>
            </w:r>
          </w:p>
        </w:tc>
        <w:tc>
          <w:tcPr>
            <w:tcW w:w="2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Santana Row ROF, Inc.</w:t>
            </w:r>
          </w:p>
        </w:tc>
        <w:tc>
          <w:tcPr>
            <w:tcW w:w="20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Member</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2220" w:type="dxa"/>
            <w:vAlign w:val="bottom"/>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liability company</w:t>
            </w:r>
          </w:p>
        </w:tc>
        <w:tc>
          <w:tcPr>
            <w:tcW w:w="20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Tim Stannard</w:t>
            </w:r>
          </w:p>
        </w:tc>
        <w:tc>
          <w:tcPr>
            <w:tcW w:w="20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Manager/member</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SINO, LLC F/K/A RED LANTERN</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Santana Row ROF, Inc.</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w:t>
            </w: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RESTAURANT, LLC, a California limited</w:t>
            </w:r>
          </w:p>
        </w:tc>
        <w:tc>
          <w:tcPr>
            <w:tcW w:w="200" w:type="dxa"/>
            <w:vAlign w:val="bottom"/>
            <w:shd w:val="clear" w:color="auto" w:fill="CCEEFF"/>
          </w:tcPr>
          <w:p>
            <w:pPr>
              <w:spacing w:after="0"/>
              <w:rPr>
                <w:sz w:val="18"/>
                <w:szCs w:val="18"/>
                <w:color w:val="auto"/>
              </w:rPr>
            </w:pPr>
          </w:p>
        </w:tc>
        <w:tc>
          <w:tcPr>
            <w:tcW w:w="2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Christopher Yeo</w:t>
            </w:r>
          </w:p>
        </w:tc>
        <w:tc>
          <w:tcPr>
            <w:tcW w:w="200" w:type="dxa"/>
            <w:vAlign w:val="bottom"/>
            <w:shd w:val="clear" w:color="auto" w:fill="CCEEFF"/>
          </w:tcPr>
          <w:p>
            <w:pPr>
              <w:spacing w:after="0"/>
              <w:rPr>
                <w:sz w:val="18"/>
                <w:szCs w:val="18"/>
                <w:color w:val="auto"/>
              </w:rPr>
            </w:pPr>
          </w:p>
        </w:tc>
        <w:tc>
          <w:tcPr>
            <w:tcW w:w="1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Manager/member</w:t>
            </w: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2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liability company</w:t>
            </w:r>
          </w:p>
        </w:tc>
        <w:tc>
          <w:tcPr>
            <w:tcW w:w="200" w:type="dxa"/>
            <w:vAlign w:val="bottom"/>
            <w:shd w:val="clear" w:color="auto" w:fill="CCEEFF"/>
          </w:tcPr>
          <w:p>
            <w:pPr>
              <w:spacing w:after="0"/>
              <w:rPr>
                <w:sz w:val="9"/>
                <w:szCs w:val="9"/>
                <w:color w:val="auto"/>
              </w:rPr>
            </w:pPr>
          </w:p>
        </w:tc>
        <w:tc>
          <w:tcPr>
            <w:tcW w:w="248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60" w:type="dxa"/>
            <w:vAlign w:val="bottom"/>
            <w:gridSpan w:val="2"/>
            <w:vMerge w:val="continue"/>
            <w:shd w:val="clear" w:color="auto" w:fill="CCEEFF"/>
          </w:tcPr>
          <w:p>
            <w:pPr>
              <w:spacing w:after="0"/>
              <w:rPr>
                <w:sz w:val="9"/>
                <w:szCs w:val="9"/>
                <w:color w:val="auto"/>
              </w:rPr>
            </w:pPr>
          </w:p>
        </w:tc>
        <w:tc>
          <w:tcPr>
            <w:tcW w:w="1220" w:type="dxa"/>
            <w:vAlign w:val="bottom"/>
            <w:gridSpan w:val="2"/>
            <w:vMerge w:val="continue"/>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2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40" w:type="dxa"/>
            <w:vAlign w:val="bottom"/>
            <w:gridSpan w:val="2"/>
          </w:tcPr>
          <w:p>
            <w:pPr>
              <w:spacing w:after="0"/>
              <w:rPr>
                <w:sz w:val="20"/>
                <w:szCs w:val="20"/>
                <w:color w:val="auto"/>
              </w:rPr>
            </w:pPr>
            <w:r>
              <w:rPr>
                <w:rFonts w:ascii="Arial" w:cs="Arial" w:eastAsia="Arial" w:hAnsi="Arial"/>
                <w:sz w:val="18"/>
                <w:szCs w:val="18"/>
                <w:color w:val="auto"/>
              </w:rPr>
              <w:t>SANTANA GRILL PARTNERS, LP, a</w:t>
            </w:r>
          </w:p>
        </w:tc>
        <w:tc>
          <w:tcPr>
            <w:tcW w:w="20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VDAE, LLC</w:t>
            </w:r>
          </w:p>
        </w:tc>
        <w:tc>
          <w:tcPr>
            <w:tcW w:w="20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65.000%</w:t>
            </w:r>
          </w:p>
        </w:tc>
        <w:tc>
          <w:tcPr>
            <w:tcW w:w="2220" w:type="dxa"/>
            <w:vAlign w:val="bottom"/>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California limited partnership</w:t>
            </w:r>
          </w:p>
        </w:tc>
        <w:tc>
          <w:tcPr>
            <w:tcW w:w="20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Santana Row ROF, Inc.</w:t>
            </w:r>
          </w:p>
        </w:tc>
        <w:tc>
          <w:tcPr>
            <w:tcW w:w="20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Limited partner</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29.167%</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VDAE, LLC</w:t>
            </w:r>
          </w:p>
        </w:tc>
        <w:tc>
          <w:tcPr>
            <w:tcW w:w="20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Limited partner</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1.250%</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VDAE, Inc.</w:t>
            </w:r>
          </w:p>
        </w:tc>
        <w:tc>
          <w:tcPr>
            <w:tcW w:w="20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Limited partner</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4.583%</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7"/>
              </w:rPr>
              <w:t>FEDERAL/LION VENTURE LP, a Delaware</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Federal/LPF GP, Inc.</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limited partnership</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CLPF-Federal GP, LLC</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w w:val="96"/>
              </w:rPr>
              <w:t>Federal Realty Investment Trust</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w:t>
            </w: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CLPF-Federal, L.P.</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partner</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69.9%</w:t>
            </w: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274"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FLV ATLANTIC PLAZA GP, LLC, a Delaware limited</w:t>
            </w:r>
          </w:p>
        </w:tc>
        <w:tc>
          <w:tcPr>
            <w:tcW w:w="2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Federal/Lion Venture LP</w:t>
            </w:r>
          </w:p>
        </w:tc>
        <w:tc>
          <w:tcPr>
            <w:tcW w:w="1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Sole member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liability company</w:t>
            </w:r>
          </w:p>
        </w:tc>
        <w:tc>
          <w:tcPr>
            <w:tcW w:w="25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240" w:type="dxa"/>
            <w:vAlign w:val="bottom"/>
            <w:gridSpan w:val="2"/>
          </w:tcPr>
          <w:p>
            <w:pPr>
              <w:spacing w:after="0"/>
              <w:rPr>
                <w:sz w:val="20"/>
                <w:szCs w:val="20"/>
                <w:color w:val="auto"/>
              </w:rPr>
            </w:pPr>
            <w:r>
              <w:rPr>
                <w:rFonts w:ascii="Arial" w:cs="Arial" w:eastAsia="Arial" w:hAnsi="Arial"/>
                <w:sz w:val="18"/>
                <w:szCs w:val="18"/>
                <w:color w:val="auto"/>
              </w:rPr>
              <w:t>FLV ATLANTIC PLAZA LIMITED PARTNERSHIP, a</w:t>
            </w:r>
          </w:p>
        </w:tc>
        <w:tc>
          <w:tcPr>
            <w:tcW w:w="2500" w:type="dxa"/>
            <w:vAlign w:val="bottom"/>
          </w:tcPr>
          <w:p>
            <w:pPr>
              <w:ind w:left="60"/>
              <w:spacing w:after="0"/>
              <w:rPr>
                <w:sz w:val="20"/>
                <w:szCs w:val="20"/>
                <w:color w:val="auto"/>
              </w:rPr>
            </w:pPr>
            <w:r>
              <w:rPr>
                <w:rFonts w:ascii="Arial" w:cs="Arial" w:eastAsia="Arial" w:hAnsi="Arial"/>
                <w:sz w:val="18"/>
                <w:szCs w:val="18"/>
                <w:color w:val="auto"/>
              </w:rPr>
              <w:t>FLV Atlantic Plaza GP, LLC</w:t>
            </w:r>
          </w:p>
        </w:tc>
        <w:tc>
          <w:tcPr>
            <w:tcW w:w="1580" w:type="dxa"/>
            <w:vAlign w:val="bottom"/>
          </w:tcPr>
          <w:p>
            <w:pPr>
              <w:ind w:left="220"/>
              <w:spacing w:after="0"/>
              <w:rPr>
                <w:sz w:val="20"/>
                <w:szCs w:val="20"/>
                <w:color w:val="auto"/>
              </w:rPr>
            </w:pPr>
            <w:r>
              <w:rPr>
                <w:rFonts w:ascii="Arial" w:cs="Arial" w:eastAsia="Arial" w:hAnsi="Arial"/>
                <w:sz w:val="18"/>
                <w:szCs w:val="18"/>
                <w:color w:val="auto"/>
              </w:rPr>
              <w:t>General partner</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320" w:type="dxa"/>
            <w:vAlign w:val="bottom"/>
          </w:tcPr>
          <w:p>
            <w:pPr>
              <w:ind w:left="8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Delaware limited partnership</w:t>
            </w:r>
          </w:p>
        </w:tc>
        <w:tc>
          <w:tcPr>
            <w:tcW w:w="2500" w:type="dxa"/>
            <w:vAlign w:val="bottom"/>
          </w:tcPr>
          <w:p>
            <w:pPr>
              <w:ind w:left="60"/>
              <w:spacing w:after="0"/>
              <w:rPr>
                <w:sz w:val="20"/>
                <w:szCs w:val="20"/>
                <w:color w:val="auto"/>
              </w:rPr>
            </w:pPr>
            <w:r>
              <w:rPr>
                <w:rFonts w:ascii="Arial" w:cs="Arial" w:eastAsia="Arial" w:hAnsi="Arial"/>
                <w:sz w:val="18"/>
                <w:szCs w:val="18"/>
                <w:color w:val="auto"/>
              </w:rPr>
              <w:t>Federal/Lion Venture LP</w:t>
            </w:r>
          </w:p>
        </w:tc>
        <w:tc>
          <w:tcPr>
            <w:tcW w:w="1580" w:type="dxa"/>
            <w:vAlign w:val="bottom"/>
          </w:tcPr>
          <w:p>
            <w:pPr>
              <w:ind w:left="220"/>
              <w:spacing w:after="0"/>
              <w:rPr>
                <w:sz w:val="20"/>
                <w:szCs w:val="20"/>
                <w:color w:val="auto"/>
              </w:rPr>
            </w:pPr>
            <w:r>
              <w:rPr>
                <w:rFonts w:ascii="Arial" w:cs="Arial" w:eastAsia="Arial" w:hAnsi="Arial"/>
                <w:sz w:val="18"/>
                <w:szCs w:val="18"/>
                <w:color w:val="auto"/>
              </w:rPr>
              <w:t>Limited partner</w:t>
            </w:r>
          </w:p>
        </w:tc>
        <w:tc>
          <w:tcPr>
            <w:tcW w:w="780" w:type="dxa"/>
            <w:vAlign w:val="bottom"/>
          </w:tcPr>
          <w:p>
            <w:pPr>
              <w:jc w:val="right"/>
              <w:spacing w:after="0"/>
              <w:rPr>
                <w:sz w:val="20"/>
                <w:szCs w:val="20"/>
                <w:color w:val="auto"/>
              </w:rPr>
            </w:pPr>
            <w:r>
              <w:rPr>
                <w:rFonts w:ascii="Arial" w:cs="Arial" w:eastAsia="Arial" w:hAnsi="Arial"/>
                <w:sz w:val="18"/>
                <w:szCs w:val="18"/>
                <w:color w:val="auto"/>
              </w:rPr>
              <w:t>99.9%</w:t>
            </w: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7"/>
              </w:rPr>
              <w:t>FLV PLEASANT SHOPS GP, LLC, a Delaware limited</w:t>
            </w:r>
          </w:p>
        </w:tc>
        <w:tc>
          <w:tcPr>
            <w:tcW w:w="2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Federal/Lion Venture LP</w:t>
            </w:r>
          </w:p>
        </w:tc>
        <w:tc>
          <w:tcPr>
            <w:tcW w:w="1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Sole member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liability company</w:t>
            </w:r>
          </w:p>
        </w:tc>
        <w:tc>
          <w:tcPr>
            <w:tcW w:w="25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240" w:type="dxa"/>
            <w:vAlign w:val="bottom"/>
            <w:gridSpan w:val="2"/>
          </w:tcPr>
          <w:p>
            <w:pPr>
              <w:spacing w:after="0"/>
              <w:rPr>
                <w:sz w:val="20"/>
                <w:szCs w:val="20"/>
                <w:color w:val="auto"/>
              </w:rPr>
            </w:pPr>
            <w:r>
              <w:rPr>
                <w:rFonts w:ascii="Arial" w:cs="Arial" w:eastAsia="Arial" w:hAnsi="Arial"/>
                <w:sz w:val="18"/>
                <w:szCs w:val="18"/>
                <w:color w:val="auto"/>
                <w:w w:val="98"/>
              </w:rPr>
              <w:t>FLV PLEASANT SHOPS LIMITED PARTNERSHIP, a</w:t>
            </w:r>
          </w:p>
        </w:tc>
        <w:tc>
          <w:tcPr>
            <w:tcW w:w="2500" w:type="dxa"/>
            <w:vAlign w:val="bottom"/>
          </w:tcPr>
          <w:p>
            <w:pPr>
              <w:ind w:left="60"/>
              <w:spacing w:after="0"/>
              <w:rPr>
                <w:sz w:val="20"/>
                <w:szCs w:val="20"/>
                <w:color w:val="auto"/>
              </w:rPr>
            </w:pPr>
            <w:r>
              <w:rPr>
                <w:rFonts w:ascii="Arial" w:cs="Arial" w:eastAsia="Arial" w:hAnsi="Arial"/>
                <w:sz w:val="18"/>
                <w:szCs w:val="18"/>
                <w:color w:val="auto"/>
              </w:rPr>
              <w:t>FLV Pleasant Shops GP, LLC</w:t>
            </w:r>
          </w:p>
        </w:tc>
        <w:tc>
          <w:tcPr>
            <w:tcW w:w="1580" w:type="dxa"/>
            <w:vAlign w:val="bottom"/>
          </w:tcPr>
          <w:p>
            <w:pPr>
              <w:ind w:left="220"/>
              <w:spacing w:after="0"/>
              <w:rPr>
                <w:sz w:val="20"/>
                <w:szCs w:val="20"/>
                <w:color w:val="auto"/>
              </w:rPr>
            </w:pPr>
            <w:r>
              <w:rPr>
                <w:rFonts w:ascii="Arial" w:cs="Arial" w:eastAsia="Arial" w:hAnsi="Arial"/>
                <w:sz w:val="18"/>
                <w:szCs w:val="18"/>
                <w:color w:val="auto"/>
              </w:rPr>
              <w:t>General partner</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320" w:type="dxa"/>
            <w:vAlign w:val="bottom"/>
          </w:tcPr>
          <w:p>
            <w:pPr>
              <w:ind w:left="8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Delaware limited partnership</w:t>
            </w:r>
          </w:p>
        </w:tc>
        <w:tc>
          <w:tcPr>
            <w:tcW w:w="2500" w:type="dxa"/>
            <w:vAlign w:val="bottom"/>
          </w:tcPr>
          <w:p>
            <w:pPr>
              <w:ind w:left="60"/>
              <w:spacing w:after="0"/>
              <w:rPr>
                <w:sz w:val="20"/>
                <w:szCs w:val="20"/>
                <w:color w:val="auto"/>
              </w:rPr>
            </w:pPr>
            <w:r>
              <w:rPr>
                <w:rFonts w:ascii="Arial" w:cs="Arial" w:eastAsia="Arial" w:hAnsi="Arial"/>
                <w:sz w:val="18"/>
                <w:szCs w:val="18"/>
                <w:color w:val="auto"/>
              </w:rPr>
              <w:t>Federal/Lion Venture LP</w:t>
            </w:r>
          </w:p>
        </w:tc>
        <w:tc>
          <w:tcPr>
            <w:tcW w:w="1580" w:type="dxa"/>
            <w:vAlign w:val="bottom"/>
          </w:tcPr>
          <w:p>
            <w:pPr>
              <w:ind w:left="220"/>
              <w:spacing w:after="0"/>
              <w:rPr>
                <w:sz w:val="20"/>
                <w:szCs w:val="20"/>
                <w:color w:val="auto"/>
              </w:rPr>
            </w:pPr>
            <w:r>
              <w:rPr>
                <w:rFonts w:ascii="Arial" w:cs="Arial" w:eastAsia="Arial" w:hAnsi="Arial"/>
                <w:sz w:val="18"/>
                <w:szCs w:val="18"/>
                <w:color w:val="auto"/>
              </w:rPr>
              <w:t>Limited partner</w:t>
            </w:r>
          </w:p>
        </w:tc>
        <w:tc>
          <w:tcPr>
            <w:tcW w:w="780" w:type="dxa"/>
            <w:vAlign w:val="bottom"/>
          </w:tcPr>
          <w:p>
            <w:pPr>
              <w:jc w:val="right"/>
              <w:spacing w:after="0"/>
              <w:rPr>
                <w:sz w:val="20"/>
                <w:szCs w:val="20"/>
                <w:color w:val="auto"/>
              </w:rPr>
            </w:pPr>
            <w:r>
              <w:rPr>
                <w:rFonts w:ascii="Arial" w:cs="Arial" w:eastAsia="Arial" w:hAnsi="Arial"/>
                <w:sz w:val="18"/>
                <w:szCs w:val="18"/>
                <w:color w:val="auto"/>
              </w:rPr>
              <w:t>99.9%</w:t>
            </w: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FLV CAMPUS PLAZA GP, LLC, a Delaware limited</w:t>
            </w:r>
          </w:p>
        </w:tc>
        <w:tc>
          <w:tcPr>
            <w:tcW w:w="2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Federal/Lion Venture LP</w:t>
            </w:r>
          </w:p>
        </w:tc>
        <w:tc>
          <w:tcPr>
            <w:tcW w:w="1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Sole member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liability company</w:t>
            </w:r>
          </w:p>
        </w:tc>
        <w:tc>
          <w:tcPr>
            <w:tcW w:w="25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240" w:type="dxa"/>
            <w:vAlign w:val="bottom"/>
            <w:gridSpan w:val="2"/>
          </w:tcPr>
          <w:p>
            <w:pPr>
              <w:spacing w:after="0"/>
              <w:rPr>
                <w:sz w:val="20"/>
                <w:szCs w:val="20"/>
                <w:color w:val="auto"/>
              </w:rPr>
            </w:pPr>
            <w:r>
              <w:rPr>
                <w:rFonts w:ascii="Arial" w:cs="Arial" w:eastAsia="Arial" w:hAnsi="Arial"/>
                <w:sz w:val="18"/>
                <w:szCs w:val="18"/>
                <w:color w:val="auto"/>
              </w:rPr>
              <w:t>FLV CAMPUS PLAZA LIMITED PARTNERSHIP, a</w:t>
            </w:r>
          </w:p>
        </w:tc>
        <w:tc>
          <w:tcPr>
            <w:tcW w:w="2500" w:type="dxa"/>
            <w:vAlign w:val="bottom"/>
          </w:tcPr>
          <w:p>
            <w:pPr>
              <w:ind w:left="60"/>
              <w:spacing w:after="0"/>
              <w:rPr>
                <w:sz w:val="20"/>
                <w:szCs w:val="20"/>
                <w:color w:val="auto"/>
              </w:rPr>
            </w:pPr>
            <w:r>
              <w:rPr>
                <w:rFonts w:ascii="Arial" w:cs="Arial" w:eastAsia="Arial" w:hAnsi="Arial"/>
                <w:sz w:val="18"/>
                <w:szCs w:val="18"/>
                <w:color w:val="auto"/>
              </w:rPr>
              <w:t>FLV Campus Plaza GP, LLC</w:t>
            </w:r>
          </w:p>
        </w:tc>
        <w:tc>
          <w:tcPr>
            <w:tcW w:w="1580" w:type="dxa"/>
            <w:vAlign w:val="bottom"/>
          </w:tcPr>
          <w:p>
            <w:pPr>
              <w:ind w:left="220"/>
              <w:spacing w:after="0"/>
              <w:rPr>
                <w:sz w:val="20"/>
                <w:szCs w:val="20"/>
                <w:color w:val="auto"/>
              </w:rPr>
            </w:pPr>
            <w:r>
              <w:rPr>
                <w:rFonts w:ascii="Arial" w:cs="Arial" w:eastAsia="Arial" w:hAnsi="Arial"/>
                <w:sz w:val="18"/>
                <w:szCs w:val="18"/>
                <w:color w:val="auto"/>
              </w:rPr>
              <w:t>General partner</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320" w:type="dxa"/>
            <w:vAlign w:val="bottom"/>
          </w:tcPr>
          <w:p>
            <w:pPr>
              <w:ind w:left="8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Delaware limited partnership</w:t>
            </w:r>
          </w:p>
        </w:tc>
        <w:tc>
          <w:tcPr>
            <w:tcW w:w="2500" w:type="dxa"/>
            <w:vAlign w:val="bottom"/>
          </w:tcPr>
          <w:p>
            <w:pPr>
              <w:ind w:left="60"/>
              <w:spacing w:after="0"/>
              <w:rPr>
                <w:sz w:val="20"/>
                <w:szCs w:val="20"/>
                <w:color w:val="auto"/>
              </w:rPr>
            </w:pPr>
            <w:r>
              <w:rPr>
                <w:rFonts w:ascii="Arial" w:cs="Arial" w:eastAsia="Arial" w:hAnsi="Arial"/>
                <w:sz w:val="18"/>
                <w:szCs w:val="18"/>
                <w:color w:val="auto"/>
              </w:rPr>
              <w:t>Federal/Lion Venture LP</w:t>
            </w:r>
          </w:p>
        </w:tc>
        <w:tc>
          <w:tcPr>
            <w:tcW w:w="1580" w:type="dxa"/>
            <w:vAlign w:val="bottom"/>
          </w:tcPr>
          <w:p>
            <w:pPr>
              <w:ind w:left="220"/>
              <w:spacing w:after="0"/>
              <w:rPr>
                <w:sz w:val="20"/>
                <w:szCs w:val="20"/>
                <w:color w:val="auto"/>
              </w:rPr>
            </w:pPr>
            <w:r>
              <w:rPr>
                <w:rFonts w:ascii="Arial" w:cs="Arial" w:eastAsia="Arial" w:hAnsi="Arial"/>
                <w:sz w:val="18"/>
                <w:szCs w:val="18"/>
                <w:color w:val="auto"/>
              </w:rPr>
              <w:t>Limited partner</w:t>
            </w:r>
          </w:p>
        </w:tc>
        <w:tc>
          <w:tcPr>
            <w:tcW w:w="780" w:type="dxa"/>
            <w:vAlign w:val="bottom"/>
          </w:tcPr>
          <w:p>
            <w:pPr>
              <w:jc w:val="right"/>
              <w:spacing w:after="0"/>
              <w:rPr>
                <w:sz w:val="20"/>
                <w:szCs w:val="20"/>
                <w:color w:val="auto"/>
              </w:rPr>
            </w:pPr>
            <w:r>
              <w:rPr>
                <w:rFonts w:ascii="Arial" w:cs="Arial" w:eastAsia="Arial" w:hAnsi="Arial"/>
                <w:sz w:val="18"/>
                <w:szCs w:val="18"/>
                <w:color w:val="auto"/>
              </w:rPr>
              <w:t>99.9%</w:t>
            </w: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6"/>
              </w:rPr>
              <w:t>FLV PLAZA DEL MERCADO, LLC, a Delaware limited</w:t>
            </w:r>
          </w:p>
        </w:tc>
        <w:tc>
          <w:tcPr>
            <w:tcW w:w="2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Federal/Lion Venture LP</w:t>
            </w:r>
          </w:p>
        </w:tc>
        <w:tc>
          <w:tcPr>
            <w:tcW w:w="1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Sole member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liability company</w:t>
            </w:r>
          </w:p>
        </w:tc>
        <w:tc>
          <w:tcPr>
            <w:tcW w:w="25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240" w:type="dxa"/>
            <w:vAlign w:val="bottom"/>
            <w:gridSpan w:val="2"/>
          </w:tcPr>
          <w:p>
            <w:pPr>
              <w:spacing w:after="0"/>
              <w:rPr>
                <w:sz w:val="20"/>
                <w:szCs w:val="20"/>
                <w:color w:val="auto"/>
              </w:rPr>
            </w:pPr>
            <w:r>
              <w:rPr>
                <w:rFonts w:ascii="Arial" w:cs="Arial" w:eastAsia="Arial" w:hAnsi="Arial"/>
                <w:sz w:val="18"/>
                <w:szCs w:val="18"/>
                <w:color w:val="auto"/>
                <w:w w:val="99"/>
              </w:rPr>
              <w:t>FLV PLAZA DEL MERCADO, LP, a Delaware limited</w:t>
            </w:r>
          </w:p>
        </w:tc>
        <w:tc>
          <w:tcPr>
            <w:tcW w:w="2500" w:type="dxa"/>
            <w:vAlign w:val="bottom"/>
          </w:tcPr>
          <w:p>
            <w:pPr>
              <w:ind w:left="60"/>
              <w:spacing w:after="0"/>
              <w:rPr>
                <w:sz w:val="20"/>
                <w:szCs w:val="20"/>
                <w:color w:val="auto"/>
              </w:rPr>
            </w:pPr>
            <w:r>
              <w:rPr>
                <w:rFonts w:ascii="Arial" w:cs="Arial" w:eastAsia="Arial" w:hAnsi="Arial"/>
                <w:sz w:val="18"/>
                <w:szCs w:val="18"/>
                <w:color w:val="auto"/>
              </w:rPr>
              <w:t>FLV Plaza del Mercado, LLC</w:t>
            </w:r>
          </w:p>
        </w:tc>
        <w:tc>
          <w:tcPr>
            <w:tcW w:w="1580" w:type="dxa"/>
            <w:vAlign w:val="bottom"/>
          </w:tcPr>
          <w:p>
            <w:pPr>
              <w:ind w:left="220"/>
              <w:spacing w:after="0"/>
              <w:rPr>
                <w:sz w:val="20"/>
                <w:szCs w:val="20"/>
                <w:color w:val="auto"/>
              </w:rPr>
            </w:pPr>
            <w:r>
              <w:rPr>
                <w:rFonts w:ascii="Arial" w:cs="Arial" w:eastAsia="Arial" w:hAnsi="Arial"/>
                <w:sz w:val="18"/>
                <w:szCs w:val="18"/>
                <w:color w:val="auto"/>
              </w:rPr>
              <w:t>General partner</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320" w:type="dxa"/>
            <w:vAlign w:val="bottom"/>
          </w:tcPr>
          <w:p>
            <w:pPr>
              <w:ind w:left="8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partnership</w:t>
            </w:r>
          </w:p>
        </w:tc>
        <w:tc>
          <w:tcPr>
            <w:tcW w:w="2500" w:type="dxa"/>
            <w:vAlign w:val="bottom"/>
          </w:tcPr>
          <w:p>
            <w:pPr>
              <w:ind w:left="60"/>
              <w:spacing w:after="0"/>
              <w:rPr>
                <w:sz w:val="20"/>
                <w:szCs w:val="20"/>
                <w:color w:val="auto"/>
              </w:rPr>
            </w:pPr>
            <w:r>
              <w:rPr>
                <w:rFonts w:ascii="Arial" w:cs="Arial" w:eastAsia="Arial" w:hAnsi="Arial"/>
                <w:sz w:val="18"/>
                <w:szCs w:val="18"/>
                <w:color w:val="auto"/>
              </w:rPr>
              <w:t>Federal/Lion Venture LP</w:t>
            </w:r>
          </w:p>
        </w:tc>
        <w:tc>
          <w:tcPr>
            <w:tcW w:w="1580" w:type="dxa"/>
            <w:vAlign w:val="bottom"/>
          </w:tcPr>
          <w:p>
            <w:pPr>
              <w:ind w:left="220"/>
              <w:spacing w:after="0"/>
              <w:rPr>
                <w:sz w:val="20"/>
                <w:szCs w:val="20"/>
                <w:color w:val="auto"/>
              </w:rPr>
            </w:pPr>
            <w:r>
              <w:rPr>
                <w:rFonts w:ascii="Arial" w:cs="Arial" w:eastAsia="Arial" w:hAnsi="Arial"/>
                <w:sz w:val="18"/>
                <w:szCs w:val="18"/>
                <w:color w:val="auto"/>
              </w:rPr>
              <w:t>Limited partner</w:t>
            </w:r>
          </w:p>
        </w:tc>
        <w:tc>
          <w:tcPr>
            <w:tcW w:w="780" w:type="dxa"/>
            <w:vAlign w:val="bottom"/>
          </w:tcPr>
          <w:p>
            <w:pPr>
              <w:jc w:val="right"/>
              <w:spacing w:after="0"/>
              <w:rPr>
                <w:sz w:val="20"/>
                <w:szCs w:val="20"/>
                <w:color w:val="auto"/>
              </w:rPr>
            </w:pPr>
            <w:r>
              <w:rPr>
                <w:rFonts w:ascii="Arial" w:cs="Arial" w:eastAsia="Arial" w:hAnsi="Arial"/>
                <w:sz w:val="18"/>
                <w:szCs w:val="18"/>
                <w:color w:val="auto"/>
              </w:rPr>
              <w:t>99.9%</w:t>
            </w: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3"/>
              </w:rPr>
              <w:t>FLV GREENLAWN PLAZA GP, LLC, a Delaware limited</w:t>
            </w:r>
          </w:p>
        </w:tc>
        <w:tc>
          <w:tcPr>
            <w:tcW w:w="2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Federal/Lion Venture LP</w:t>
            </w:r>
          </w:p>
        </w:tc>
        <w:tc>
          <w:tcPr>
            <w:tcW w:w="1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Sole member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liability company</w:t>
            </w:r>
          </w:p>
        </w:tc>
        <w:tc>
          <w:tcPr>
            <w:tcW w:w="25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240" w:type="dxa"/>
            <w:vAlign w:val="bottom"/>
            <w:gridSpan w:val="2"/>
          </w:tcPr>
          <w:p>
            <w:pPr>
              <w:spacing w:after="0"/>
              <w:rPr>
                <w:sz w:val="20"/>
                <w:szCs w:val="20"/>
                <w:color w:val="auto"/>
              </w:rPr>
            </w:pPr>
            <w:r>
              <w:rPr>
                <w:rFonts w:ascii="Arial" w:cs="Arial" w:eastAsia="Arial" w:hAnsi="Arial"/>
                <w:sz w:val="18"/>
                <w:szCs w:val="18"/>
                <w:color w:val="auto"/>
              </w:rPr>
              <w:t>FLV GREENLAWN PLAZA, LP, a Delaware limited</w:t>
            </w:r>
          </w:p>
        </w:tc>
        <w:tc>
          <w:tcPr>
            <w:tcW w:w="2500" w:type="dxa"/>
            <w:vAlign w:val="bottom"/>
          </w:tcPr>
          <w:p>
            <w:pPr>
              <w:ind w:left="60"/>
              <w:spacing w:after="0"/>
              <w:rPr>
                <w:sz w:val="20"/>
                <w:szCs w:val="20"/>
                <w:color w:val="auto"/>
              </w:rPr>
            </w:pPr>
            <w:r>
              <w:rPr>
                <w:rFonts w:ascii="Arial" w:cs="Arial" w:eastAsia="Arial" w:hAnsi="Arial"/>
                <w:sz w:val="18"/>
                <w:szCs w:val="18"/>
                <w:color w:val="auto"/>
                <w:w w:val="97"/>
              </w:rPr>
              <w:t>FLV Greenlawn Plaza GP, LLC</w:t>
            </w:r>
          </w:p>
        </w:tc>
        <w:tc>
          <w:tcPr>
            <w:tcW w:w="1580" w:type="dxa"/>
            <w:vAlign w:val="bottom"/>
          </w:tcPr>
          <w:p>
            <w:pPr>
              <w:ind w:left="220"/>
              <w:spacing w:after="0"/>
              <w:rPr>
                <w:sz w:val="20"/>
                <w:szCs w:val="20"/>
                <w:color w:val="auto"/>
              </w:rPr>
            </w:pPr>
            <w:r>
              <w:rPr>
                <w:rFonts w:ascii="Arial" w:cs="Arial" w:eastAsia="Arial" w:hAnsi="Arial"/>
                <w:sz w:val="18"/>
                <w:szCs w:val="18"/>
                <w:color w:val="auto"/>
              </w:rPr>
              <w:t>General partner</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320" w:type="dxa"/>
            <w:vAlign w:val="bottom"/>
          </w:tcPr>
          <w:p>
            <w:pPr>
              <w:ind w:left="8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partnership</w:t>
            </w:r>
          </w:p>
        </w:tc>
        <w:tc>
          <w:tcPr>
            <w:tcW w:w="2500" w:type="dxa"/>
            <w:vAlign w:val="bottom"/>
          </w:tcPr>
          <w:p>
            <w:pPr>
              <w:ind w:left="60"/>
              <w:spacing w:after="0"/>
              <w:rPr>
                <w:sz w:val="20"/>
                <w:szCs w:val="20"/>
                <w:color w:val="auto"/>
              </w:rPr>
            </w:pPr>
            <w:r>
              <w:rPr>
                <w:rFonts w:ascii="Arial" w:cs="Arial" w:eastAsia="Arial" w:hAnsi="Arial"/>
                <w:sz w:val="18"/>
                <w:szCs w:val="18"/>
                <w:color w:val="auto"/>
              </w:rPr>
              <w:t>Federal/Lion Venture LP</w:t>
            </w:r>
          </w:p>
        </w:tc>
        <w:tc>
          <w:tcPr>
            <w:tcW w:w="1580" w:type="dxa"/>
            <w:vAlign w:val="bottom"/>
          </w:tcPr>
          <w:p>
            <w:pPr>
              <w:ind w:left="220"/>
              <w:spacing w:after="0"/>
              <w:rPr>
                <w:sz w:val="20"/>
                <w:szCs w:val="20"/>
                <w:color w:val="auto"/>
              </w:rPr>
            </w:pPr>
            <w:r>
              <w:rPr>
                <w:rFonts w:ascii="Arial" w:cs="Arial" w:eastAsia="Arial" w:hAnsi="Arial"/>
                <w:sz w:val="18"/>
                <w:szCs w:val="18"/>
                <w:color w:val="auto"/>
              </w:rPr>
              <w:t>Limited partner</w:t>
            </w:r>
          </w:p>
        </w:tc>
        <w:tc>
          <w:tcPr>
            <w:tcW w:w="780" w:type="dxa"/>
            <w:vAlign w:val="bottom"/>
          </w:tcPr>
          <w:p>
            <w:pPr>
              <w:jc w:val="right"/>
              <w:spacing w:after="0"/>
              <w:rPr>
                <w:sz w:val="20"/>
                <w:szCs w:val="20"/>
                <w:color w:val="auto"/>
              </w:rPr>
            </w:pPr>
            <w:r>
              <w:rPr>
                <w:rFonts w:ascii="Arial" w:cs="Arial" w:eastAsia="Arial" w:hAnsi="Arial"/>
                <w:sz w:val="18"/>
                <w:szCs w:val="18"/>
                <w:color w:val="auto"/>
              </w:rPr>
              <w:t>99.9%</w:t>
            </w: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7"/>
              </w:rPr>
              <w:t>FLV BARCROFT PLAZA GP, LLC, a Delaware limited</w:t>
            </w:r>
          </w:p>
        </w:tc>
        <w:tc>
          <w:tcPr>
            <w:tcW w:w="2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Federal/Lion Venture LP</w:t>
            </w:r>
          </w:p>
        </w:tc>
        <w:tc>
          <w:tcPr>
            <w:tcW w:w="1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Sole member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liability company</w:t>
            </w:r>
          </w:p>
        </w:tc>
        <w:tc>
          <w:tcPr>
            <w:tcW w:w="25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240" w:type="dxa"/>
            <w:vAlign w:val="bottom"/>
            <w:gridSpan w:val="2"/>
          </w:tcPr>
          <w:p>
            <w:pPr>
              <w:spacing w:after="0"/>
              <w:rPr>
                <w:sz w:val="20"/>
                <w:szCs w:val="20"/>
                <w:color w:val="auto"/>
              </w:rPr>
            </w:pPr>
            <w:r>
              <w:rPr>
                <w:rFonts w:ascii="Arial" w:cs="Arial" w:eastAsia="Arial" w:hAnsi="Arial"/>
                <w:sz w:val="18"/>
                <w:szCs w:val="18"/>
                <w:color w:val="auto"/>
              </w:rPr>
              <w:t>FLV BARCROFT PLAZA, LP, a Delaware limited</w:t>
            </w:r>
          </w:p>
        </w:tc>
        <w:tc>
          <w:tcPr>
            <w:tcW w:w="2500" w:type="dxa"/>
            <w:vAlign w:val="bottom"/>
          </w:tcPr>
          <w:p>
            <w:pPr>
              <w:ind w:left="60"/>
              <w:spacing w:after="0"/>
              <w:rPr>
                <w:sz w:val="20"/>
                <w:szCs w:val="20"/>
                <w:color w:val="auto"/>
              </w:rPr>
            </w:pPr>
            <w:r>
              <w:rPr>
                <w:rFonts w:ascii="Arial" w:cs="Arial" w:eastAsia="Arial" w:hAnsi="Arial"/>
                <w:sz w:val="18"/>
                <w:szCs w:val="18"/>
                <w:color w:val="auto"/>
              </w:rPr>
              <w:t>FLV Barcroft Plaza GP, LLC</w:t>
            </w:r>
          </w:p>
        </w:tc>
        <w:tc>
          <w:tcPr>
            <w:tcW w:w="1580" w:type="dxa"/>
            <w:vAlign w:val="bottom"/>
          </w:tcPr>
          <w:p>
            <w:pPr>
              <w:ind w:left="220"/>
              <w:spacing w:after="0"/>
              <w:rPr>
                <w:sz w:val="20"/>
                <w:szCs w:val="20"/>
                <w:color w:val="auto"/>
              </w:rPr>
            </w:pPr>
            <w:r>
              <w:rPr>
                <w:rFonts w:ascii="Arial" w:cs="Arial" w:eastAsia="Arial" w:hAnsi="Arial"/>
                <w:sz w:val="18"/>
                <w:szCs w:val="18"/>
                <w:color w:val="auto"/>
              </w:rPr>
              <w:t>General partner</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320" w:type="dxa"/>
            <w:vAlign w:val="bottom"/>
          </w:tcPr>
          <w:p>
            <w:pPr>
              <w:ind w:left="8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partnership</w:t>
            </w:r>
          </w:p>
        </w:tc>
        <w:tc>
          <w:tcPr>
            <w:tcW w:w="2500" w:type="dxa"/>
            <w:vAlign w:val="bottom"/>
          </w:tcPr>
          <w:p>
            <w:pPr>
              <w:ind w:left="60"/>
              <w:spacing w:after="0"/>
              <w:rPr>
                <w:sz w:val="20"/>
                <w:szCs w:val="20"/>
                <w:color w:val="auto"/>
              </w:rPr>
            </w:pPr>
            <w:r>
              <w:rPr>
                <w:rFonts w:ascii="Arial" w:cs="Arial" w:eastAsia="Arial" w:hAnsi="Arial"/>
                <w:sz w:val="18"/>
                <w:szCs w:val="18"/>
                <w:color w:val="auto"/>
              </w:rPr>
              <w:t>Federal/Lion Venture LP</w:t>
            </w:r>
          </w:p>
        </w:tc>
        <w:tc>
          <w:tcPr>
            <w:tcW w:w="1580" w:type="dxa"/>
            <w:vAlign w:val="bottom"/>
          </w:tcPr>
          <w:p>
            <w:pPr>
              <w:ind w:left="220"/>
              <w:spacing w:after="0"/>
              <w:rPr>
                <w:sz w:val="20"/>
                <w:szCs w:val="20"/>
                <w:color w:val="auto"/>
              </w:rPr>
            </w:pPr>
            <w:r>
              <w:rPr>
                <w:rFonts w:ascii="Arial" w:cs="Arial" w:eastAsia="Arial" w:hAnsi="Arial"/>
                <w:sz w:val="18"/>
                <w:szCs w:val="18"/>
                <w:color w:val="auto"/>
              </w:rPr>
              <w:t>Limited partner</w:t>
            </w:r>
          </w:p>
        </w:tc>
        <w:tc>
          <w:tcPr>
            <w:tcW w:w="780" w:type="dxa"/>
            <w:vAlign w:val="bottom"/>
          </w:tcPr>
          <w:p>
            <w:pPr>
              <w:jc w:val="right"/>
              <w:spacing w:after="0"/>
              <w:rPr>
                <w:sz w:val="20"/>
                <w:szCs w:val="20"/>
                <w:color w:val="auto"/>
              </w:rPr>
            </w:pPr>
            <w:r>
              <w:rPr>
                <w:rFonts w:ascii="Arial" w:cs="Arial" w:eastAsia="Arial" w:hAnsi="Arial"/>
                <w:sz w:val="18"/>
                <w:szCs w:val="18"/>
                <w:color w:val="auto"/>
              </w:rPr>
              <w:t>99.9%</w:t>
            </w: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274"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OWNERSHIP STRUCTURE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230" w:type="dxa"/>
            <w:vAlign w:val="bottom"/>
            <w:shd w:val="clear" w:color="auto" w:fill="CCEEFF"/>
          </w:tcPr>
          <w:p>
            <w:pPr>
              <w:spacing w:after="0"/>
              <w:rPr>
                <w:sz w:val="20"/>
                <w:szCs w:val="20"/>
                <w:color w:val="auto"/>
              </w:rPr>
            </w:pPr>
            <w:r>
              <w:rPr>
                <w:rFonts w:ascii="Arial" w:cs="Arial" w:eastAsia="Arial" w:hAnsi="Arial"/>
                <w:sz w:val="18"/>
                <w:szCs w:val="18"/>
                <w:color w:val="auto"/>
                <w:w w:val="95"/>
              </w:rPr>
              <w:t>FLV FREE STATE GP, LLC, a Delaware limited liability</w:t>
            </w:r>
          </w:p>
        </w:tc>
        <w:tc>
          <w:tcPr>
            <w:tcW w:w="2610" w:type="dxa"/>
            <w:vAlign w:val="bottom"/>
            <w:shd w:val="clear" w:color="auto" w:fill="CCEEFF"/>
          </w:tcPr>
          <w:p>
            <w:pPr>
              <w:ind w:left="50"/>
              <w:spacing w:after="0"/>
              <w:rPr>
                <w:sz w:val="20"/>
                <w:szCs w:val="20"/>
                <w:color w:val="auto"/>
              </w:rPr>
            </w:pPr>
            <w:r>
              <w:rPr>
                <w:rFonts w:ascii="Arial" w:cs="Arial" w:eastAsia="Arial" w:hAnsi="Arial"/>
                <w:sz w:val="18"/>
                <w:szCs w:val="18"/>
                <w:color w:val="auto"/>
              </w:rPr>
              <w:t>Federal/Lion Venture LP</w:t>
            </w: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Sole member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3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w:t>
            </w:r>
          </w:p>
        </w:tc>
        <w:tc>
          <w:tcPr>
            <w:tcW w:w="261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250" w:type="dxa"/>
            <w:vAlign w:val="bottom"/>
            <w:gridSpan w:val="2"/>
          </w:tcPr>
          <w:p>
            <w:pPr>
              <w:spacing w:after="0"/>
              <w:rPr>
                <w:sz w:val="20"/>
                <w:szCs w:val="20"/>
                <w:color w:val="auto"/>
              </w:rPr>
            </w:pPr>
            <w:r>
              <w:rPr>
                <w:rFonts w:ascii="Arial" w:cs="Arial" w:eastAsia="Arial" w:hAnsi="Arial"/>
                <w:sz w:val="18"/>
                <w:szCs w:val="18"/>
                <w:color w:val="auto"/>
                <w:w w:val="92"/>
              </w:rPr>
              <w:t>FLV FREE STATE LIMITED PARTNERSHIP, a Delaware</w:t>
            </w:r>
          </w:p>
        </w:tc>
        <w:tc>
          <w:tcPr>
            <w:tcW w:w="2610" w:type="dxa"/>
            <w:vAlign w:val="bottom"/>
          </w:tcPr>
          <w:p>
            <w:pPr>
              <w:ind w:left="50"/>
              <w:spacing w:after="0"/>
              <w:rPr>
                <w:sz w:val="20"/>
                <w:szCs w:val="20"/>
                <w:color w:val="auto"/>
              </w:rPr>
            </w:pPr>
            <w:r>
              <w:rPr>
                <w:rFonts w:ascii="Arial" w:cs="Arial" w:eastAsia="Arial" w:hAnsi="Arial"/>
                <w:sz w:val="18"/>
                <w:szCs w:val="18"/>
                <w:color w:val="auto"/>
              </w:rPr>
              <w:t>FLV Free State GP, LLC</w:t>
            </w:r>
          </w:p>
        </w:tc>
        <w:tc>
          <w:tcPr>
            <w:tcW w:w="1460" w:type="dxa"/>
            <w:vAlign w:val="bottom"/>
          </w:tcPr>
          <w:p>
            <w:pPr>
              <w:ind w:left="100"/>
              <w:spacing w:after="0"/>
              <w:rPr>
                <w:sz w:val="20"/>
                <w:szCs w:val="20"/>
                <w:color w:val="auto"/>
              </w:rPr>
            </w:pPr>
            <w:r>
              <w:rPr>
                <w:rFonts w:ascii="Arial" w:cs="Arial" w:eastAsia="Arial" w:hAnsi="Arial"/>
                <w:sz w:val="18"/>
                <w:szCs w:val="18"/>
                <w:color w:val="auto"/>
              </w:rPr>
              <w:t>General partner</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320" w:type="dxa"/>
            <w:vAlign w:val="bottom"/>
          </w:tcPr>
          <w:p>
            <w:pPr>
              <w:ind w:left="8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30" w:type="dxa"/>
            <w:vAlign w:val="bottom"/>
          </w:tcPr>
          <w:p>
            <w:pPr>
              <w:ind w:left="200"/>
              <w:spacing w:after="0"/>
              <w:rPr>
                <w:sz w:val="20"/>
                <w:szCs w:val="20"/>
                <w:color w:val="auto"/>
              </w:rPr>
            </w:pPr>
            <w:r>
              <w:rPr>
                <w:rFonts w:ascii="Arial" w:cs="Arial" w:eastAsia="Arial" w:hAnsi="Arial"/>
                <w:sz w:val="18"/>
                <w:szCs w:val="18"/>
                <w:color w:val="auto"/>
              </w:rPr>
              <w:t>limited partnership</w:t>
            </w:r>
          </w:p>
        </w:tc>
        <w:tc>
          <w:tcPr>
            <w:tcW w:w="2610" w:type="dxa"/>
            <w:vAlign w:val="bottom"/>
          </w:tcPr>
          <w:p>
            <w:pPr>
              <w:ind w:left="50"/>
              <w:spacing w:after="0"/>
              <w:rPr>
                <w:sz w:val="20"/>
                <w:szCs w:val="20"/>
                <w:color w:val="auto"/>
              </w:rPr>
            </w:pPr>
            <w:r>
              <w:rPr>
                <w:rFonts w:ascii="Arial" w:cs="Arial" w:eastAsia="Arial" w:hAnsi="Arial"/>
                <w:sz w:val="18"/>
                <w:szCs w:val="18"/>
                <w:color w:val="auto"/>
              </w:rPr>
              <w:t>Federal/Lion Venture LP</w:t>
            </w:r>
          </w:p>
        </w:tc>
        <w:tc>
          <w:tcPr>
            <w:tcW w:w="1460" w:type="dxa"/>
            <w:vAlign w:val="bottom"/>
          </w:tcPr>
          <w:p>
            <w:pPr>
              <w:ind w:left="100"/>
              <w:spacing w:after="0"/>
              <w:rPr>
                <w:sz w:val="20"/>
                <w:szCs w:val="20"/>
                <w:color w:val="auto"/>
              </w:rPr>
            </w:pPr>
            <w:r>
              <w:rPr>
                <w:rFonts w:ascii="Arial" w:cs="Arial" w:eastAsia="Arial" w:hAnsi="Arial"/>
                <w:sz w:val="18"/>
                <w:szCs w:val="18"/>
                <w:color w:val="auto"/>
              </w:rPr>
              <w:t>Limited partner</w:t>
            </w:r>
          </w:p>
        </w:tc>
        <w:tc>
          <w:tcPr>
            <w:tcW w:w="780" w:type="dxa"/>
            <w:vAlign w:val="bottom"/>
          </w:tcPr>
          <w:p>
            <w:pPr>
              <w:jc w:val="right"/>
              <w:spacing w:after="0"/>
              <w:rPr>
                <w:sz w:val="20"/>
                <w:szCs w:val="20"/>
                <w:color w:val="auto"/>
              </w:rPr>
            </w:pPr>
            <w:r>
              <w:rPr>
                <w:rFonts w:ascii="Arial" w:cs="Arial" w:eastAsia="Arial" w:hAnsi="Arial"/>
                <w:sz w:val="18"/>
                <w:szCs w:val="18"/>
                <w:color w:val="auto"/>
              </w:rPr>
              <w:t>99.9%</w:t>
            </w: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30" w:type="dxa"/>
            <w:vAlign w:val="bottom"/>
          </w:tcPr>
          <w:p>
            <w:pPr>
              <w:spacing w:after="0"/>
              <w:rPr>
                <w:sz w:val="9"/>
                <w:szCs w:val="9"/>
                <w:color w:val="auto"/>
              </w:rPr>
            </w:pPr>
          </w:p>
        </w:tc>
        <w:tc>
          <w:tcPr>
            <w:tcW w:w="2610" w:type="dxa"/>
            <w:vAlign w:val="bottom"/>
          </w:tcPr>
          <w:p>
            <w:pPr>
              <w:spacing w:after="0"/>
              <w:rPr>
                <w:sz w:val="9"/>
                <w:szCs w:val="9"/>
                <w:color w:val="auto"/>
              </w:rPr>
            </w:pPr>
          </w:p>
        </w:tc>
        <w:tc>
          <w:tcPr>
            <w:tcW w:w="1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30" w:type="dxa"/>
            <w:vAlign w:val="bottom"/>
            <w:shd w:val="clear" w:color="auto" w:fill="CCEEFF"/>
          </w:tcPr>
          <w:p>
            <w:pPr>
              <w:spacing w:after="0"/>
              <w:rPr>
                <w:sz w:val="20"/>
                <w:szCs w:val="20"/>
                <w:color w:val="auto"/>
              </w:rPr>
            </w:pPr>
            <w:r>
              <w:rPr>
                <w:rFonts w:ascii="Arial" w:cs="Arial" w:eastAsia="Arial" w:hAnsi="Arial"/>
                <w:sz w:val="18"/>
                <w:szCs w:val="18"/>
                <w:color w:val="auto"/>
              </w:rPr>
              <w:t>TAURUS NEWBURY STREET JV II LIMITED</w:t>
            </w:r>
          </w:p>
        </w:tc>
        <w:tc>
          <w:tcPr>
            <w:tcW w:w="2610" w:type="dxa"/>
            <w:vAlign w:val="bottom"/>
            <w:shd w:val="clear" w:color="auto" w:fill="CCEEFF"/>
          </w:tcPr>
          <w:p>
            <w:pPr>
              <w:ind w:left="50"/>
              <w:spacing w:after="0"/>
              <w:rPr>
                <w:sz w:val="20"/>
                <w:szCs w:val="20"/>
                <w:color w:val="auto"/>
              </w:rPr>
            </w:pPr>
            <w:r>
              <w:rPr>
                <w:rFonts w:ascii="Arial" w:cs="Arial" w:eastAsia="Arial" w:hAnsi="Arial"/>
                <w:sz w:val="18"/>
                <w:szCs w:val="18"/>
                <w:color w:val="auto"/>
              </w:rPr>
              <w:t>Street Retail, Inc.</w:t>
            </w: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Limited partner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3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PARTNERSHIP, a Delaware limited partnership</w:t>
            </w:r>
          </w:p>
        </w:tc>
        <w:tc>
          <w:tcPr>
            <w:tcW w:w="2610" w:type="dxa"/>
            <w:vAlign w:val="bottom"/>
            <w:shd w:val="clear" w:color="auto" w:fill="CCEEFF"/>
          </w:tcPr>
          <w:p>
            <w:pPr>
              <w:ind w:left="50"/>
              <w:spacing w:after="0"/>
              <w:rPr>
                <w:sz w:val="20"/>
                <w:szCs w:val="20"/>
                <w:color w:val="auto"/>
              </w:rPr>
            </w:pPr>
            <w:r>
              <w:rPr>
                <w:rFonts w:ascii="Arial" w:cs="Arial" w:eastAsia="Arial" w:hAnsi="Arial"/>
                <w:sz w:val="18"/>
                <w:szCs w:val="18"/>
                <w:color w:val="auto"/>
                <w:w w:val="96"/>
              </w:rPr>
              <w:t>Taurus Newbury Street II Limited</w:t>
            </w: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Limited partner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30" w:type="dxa"/>
            <w:vAlign w:val="bottom"/>
            <w:shd w:val="clear" w:color="auto" w:fill="CCEEFF"/>
          </w:tcPr>
          <w:p>
            <w:pPr>
              <w:spacing w:after="0"/>
              <w:rPr>
                <w:sz w:val="19"/>
                <w:szCs w:val="19"/>
                <w:color w:val="auto"/>
              </w:rPr>
            </w:pPr>
          </w:p>
        </w:tc>
        <w:tc>
          <w:tcPr>
            <w:tcW w:w="2610" w:type="dxa"/>
            <w:vAlign w:val="bottom"/>
            <w:shd w:val="clear" w:color="auto" w:fill="CCEEFF"/>
          </w:tcPr>
          <w:p>
            <w:pPr>
              <w:ind w:left="50"/>
              <w:spacing w:after="0"/>
              <w:rPr>
                <w:sz w:val="20"/>
                <w:szCs w:val="20"/>
                <w:color w:val="auto"/>
              </w:rPr>
            </w:pPr>
            <w:r>
              <w:rPr>
                <w:rFonts w:ascii="Arial" w:cs="Arial" w:eastAsia="Arial" w:hAnsi="Arial"/>
                <w:sz w:val="18"/>
                <w:szCs w:val="18"/>
                <w:color w:val="auto"/>
              </w:rPr>
              <w:t>Partnership</w:t>
            </w:r>
          </w:p>
        </w:tc>
        <w:tc>
          <w:tcPr>
            <w:tcW w:w="1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30" w:type="dxa"/>
            <w:vAlign w:val="bottom"/>
            <w:shd w:val="clear" w:color="auto" w:fill="CCEEFF"/>
          </w:tcPr>
          <w:p>
            <w:pPr>
              <w:spacing w:after="0"/>
              <w:rPr>
                <w:sz w:val="18"/>
                <w:szCs w:val="18"/>
                <w:color w:val="auto"/>
              </w:rPr>
            </w:pPr>
          </w:p>
        </w:tc>
        <w:tc>
          <w:tcPr>
            <w:tcW w:w="2610" w:type="dxa"/>
            <w:vAlign w:val="bottom"/>
            <w:shd w:val="clear" w:color="auto" w:fill="CCEEFF"/>
          </w:tcPr>
          <w:p>
            <w:pPr>
              <w:ind w:left="50"/>
              <w:spacing w:after="0"/>
              <w:rPr>
                <w:sz w:val="20"/>
                <w:szCs w:val="20"/>
                <w:color w:val="auto"/>
              </w:rPr>
            </w:pPr>
            <w:r>
              <w:rPr>
                <w:rFonts w:ascii="Arial" w:cs="Arial" w:eastAsia="Arial" w:hAnsi="Arial"/>
                <w:sz w:val="18"/>
                <w:szCs w:val="18"/>
                <w:color w:val="auto"/>
                <w:w w:val="92"/>
              </w:rPr>
              <w:t>Taurus Newbury Street II GP, LLC</w:t>
            </w: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partner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250" w:type="dxa"/>
            <w:vAlign w:val="bottom"/>
            <w:gridSpan w:val="2"/>
          </w:tcPr>
          <w:p>
            <w:pPr>
              <w:spacing w:after="0"/>
              <w:rPr>
                <w:sz w:val="20"/>
                <w:szCs w:val="20"/>
                <w:color w:val="auto"/>
              </w:rPr>
            </w:pPr>
            <w:r>
              <w:rPr>
                <w:rFonts w:ascii="Arial" w:cs="Arial" w:eastAsia="Arial" w:hAnsi="Arial"/>
                <w:sz w:val="18"/>
                <w:szCs w:val="18"/>
                <w:color w:val="auto"/>
                <w:w w:val="98"/>
              </w:rPr>
              <w:t>TNL 127-129 NEWBURY LIMITED PARTNERSHIP, a</w:t>
            </w:r>
          </w:p>
        </w:tc>
        <w:tc>
          <w:tcPr>
            <w:tcW w:w="2610" w:type="dxa"/>
            <w:vAlign w:val="bottom"/>
          </w:tcPr>
          <w:p>
            <w:pPr>
              <w:ind w:left="50"/>
              <w:spacing w:after="0"/>
              <w:rPr>
                <w:sz w:val="20"/>
                <w:szCs w:val="20"/>
                <w:color w:val="auto"/>
              </w:rPr>
            </w:pPr>
            <w:r>
              <w:rPr>
                <w:rFonts w:ascii="Arial" w:cs="Arial" w:eastAsia="Arial" w:hAnsi="Arial"/>
                <w:sz w:val="18"/>
                <w:szCs w:val="18"/>
                <w:color w:val="auto"/>
              </w:rPr>
              <w:t>Taurus Newbury Street JV II</w:t>
            </w:r>
          </w:p>
        </w:tc>
        <w:tc>
          <w:tcPr>
            <w:tcW w:w="1460" w:type="dxa"/>
            <w:vAlign w:val="bottom"/>
          </w:tcPr>
          <w:p>
            <w:pPr>
              <w:ind w:left="100"/>
              <w:spacing w:after="0"/>
              <w:rPr>
                <w:sz w:val="20"/>
                <w:szCs w:val="20"/>
                <w:color w:val="auto"/>
              </w:rPr>
            </w:pPr>
            <w:r>
              <w:rPr>
                <w:rFonts w:ascii="Arial" w:cs="Arial" w:eastAsia="Arial" w:hAnsi="Arial"/>
                <w:sz w:val="18"/>
                <w:szCs w:val="18"/>
                <w:color w:val="auto"/>
              </w:rPr>
              <w:t>Limited partner</w:t>
            </w: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2320" w:type="dxa"/>
            <w:vAlign w:val="bottom"/>
          </w:tcPr>
          <w:p>
            <w:pPr>
              <w:ind w:left="8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30" w:type="dxa"/>
            <w:vAlign w:val="bottom"/>
          </w:tcPr>
          <w:p>
            <w:pPr>
              <w:ind w:left="200"/>
              <w:spacing w:after="0"/>
              <w:rPr>
                <w:sz w:val="20"/>
                <w:szCs w:val="20"/>
                <w:color w:val="auto"/>
              </w:rPr>
            </w:pPr>
            <w:r>
              <w:rPr>
                <w:rFonts w:ascii="Arial" w:cs="Arial" w:eastAsia="Arial" w:hAnsi="Arial"/>
                <w:sz w:val="18"/>
                <w:szCs w:val="18"/>
                <w:color w:val="auto"/>
              </w:rPr>
              <w:t>Delaware limited partnership</w:t>
            </w:r>
          </w:p>
        </w:tc>
        <w:tc>
          <w:tcPr>
            <w:tcW w:w="2610" w:type="dxa"/>
            <w:vAlign w:val="bottom"/>
          </w:tcPr>
          <w:p>
            <w:pPr>
              <w:ind w:left="50"/>
              <w:spacing w:after="0"/>
              <w:rPr>
                <w:sz w:val="20"/>
                <w:szCs w:val="20"/>
                <w:color w:val="auto"/>
              </w:rPr>
            </w:pPr>
            <w:r>
              <w:rPr>
                <w:rFonts w:ascii="Arial" w:cs="Arial" w:eastAsia="Arial" w:hAnsi="Arial"/>
                <w:sz w:val="18"/>
                <w:szCs w:val="18"/>
                <w:color w:val="auto"/>
              </w:rPr>
              <w:t>Limited Partnership</w:t>
            </w: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30" w:type="dxa"/>
            <w:vAlign w:val="bottom"/>
          </w:tcPr>
          <w:p>
            <w:pPr>
              <w:spacing w:after="0"/>
              <w:rPr>
                <w:sz w:val="19"/>
                <w:szCs w:val="19"/>
                <w:color w:val="auto"/>
              </w:rPr>
            </w:pPr>
          </w:p>
        </w:tc>
        <w:tc>
          <w:tcPr>
            <w:tcW w:w="2610" w:type="dxa"/>
            <w:vAlign w:val="bottom"/>
          </w:tcPr>
          <w:p>
            <w:pPr>
              <w:ind w:left="50"/>
              <w:spacing w:after="0"/>
              <w:rPr>
                <w:sz w:val="20"/>
                <w:szCs w:val="20"/>
                <w:color w:val="auto"/>
              </w:rPr>
            </w:pPr>
            <w:r>
              <w:rPr>
                <w:rFonts w:ascii="Arial" w:cs="Arial" w:eastAsia="Arial" w:hAnsi="Arial"/>
                <w:sz w:val="18"/>
                <w:szCs w:val="18"/>
                <w:color w:val="auto"/>
                <w:w w:val="92"/>
              </w:rPr>
              <w:t>Taurus Newbury Street II GP, LLC</w:t>
            </w:r>
          </w:p>
        </w:tc>
        <w:tc>
          <w:tcPr>
            <w:tcW w:w="1460" w:type="dxa"/>
            <w:vAlign w:val="bottom"/>
          </w:tcPr>
          <w:p>
            <w:pPr>
              <w:ind w:left="100"/>
              <w:spacing w:after="0"/>
              <w:rPr>
                <w:sz w:val="20"/>
                <w:szCs w:val="20"/>
                <w:color w:val="auto"/>
              </w:rPr>
            </w:pPr>
            <w:r>
              <w:rPr>
                <w:rFonts w:ascii="Arial" w:cs="Arial" w:eastAsia="Arial" w:hAnsi="Arial"/>
                <w:sz w:val="18"/>
                <w:szCs w:val="18"/>
                <w:color w:val="auto"/>
              </w:rPr>
              <w:t>General partner</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30" w:type="dxa"/>
            <w:vAlign w:val="bottom"/>
          </w:tcPr>
          <w:p>
            <w:pPr>
              <w:spacing w:after="0"/>
              <w:rPr>
                <w:sz w:val="9"/>
                <w:szCs w:val="9"/>
                <w:color w:val="auto"/>
              </w:rPr>
            </w:pPr>
          </w:p>
        </w:tc>
        <w:tc>
          <w:tcPr>
            <w:tcW w:w="2610" w:type="dxa"/>
            <w:vAlign w:val="bottom"/>
          </w:tcPr>
          <w:p>
            <w:pPr>
              <w:spacing w:after="0"/>
              <w:rPr>
                <w:sz w:val="9"/>
                <w:szCs w:val="9"/>
                <w:color w:val="auto"/>
              </w:rPr>
            </w:pPr>
          </w:p>
        </w:tc>
        <w:tc>
          <w:tcPr>
            <w:tcW w:w="1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30" w:type="dxa"/>
            <w:vAlign w:val="bottom"/>
            <w:shd w:val="clear" w:color="auto" w:fill="CCEEFF"/>
          </w:tcPr>
          <w:p>
            <w:pPr>
              <w:spacing w:after="0"/>
              <w:rPr>
                <w:sz w:val="20"/>
                <w:szCs w:val="20"/>
                <w:color w:val="auto"/>
              </w:rPr>
            </w:pPr>
            <w:r>
              <w:rPr>
                <w:rFonts w:ascii="Arial" w:cs="Arial" w:eastAsia="Arial" w:hAnsi="Arial"/>
                <w:sz w:val="18"/>
                <w:szCs w:val="18"/>
                <w:color w:val="auto"/>
                <w:w w:val="97"/>
              </w:rPr>
              <w:t>TNL 111-115 NEWBURY LIMITED PARTNERSHIP, a</w:t>
            </w:r>
          </w:p>
        </w:tc>
        <w:tc>
          <w:tcPr>
            <w:tcW w:w="2610" w:type="dxa"/>
            <w:vAlign w:val="bottom"/>
            <w:shd w:val="clear" w:color="auto" w:fill="CCEEFF"/>
          </w:tcPr>
          <w:p>
            <w:pPr>
              <w:ind w:left="50"/>
              <w:spacing w:after="0"/>
              <w:rPr>
                <w:sz w:val="20"/>
                <w:szCs w:val="20"/>
                <w:color w:val="auto"/>
              </w:rPr>
            </w:pPr>
            <w:r>
              <w:rPr>
                <w:rFonts w:ascii="Arial" w:cs="Arial" w:eastAsia="Arial" w:hAnsi="Arial"/>
                <w:sz w:val="18"/>
                <w:szCs w:val="18"/>
                <w:color w:val="auto"/>
              </w:rPr>
              <w:t>Taurus Newbury Street JV II</w:t>
            </w: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Limited partner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3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 limited partnership</w:t>
            </w:r>
          </w:p>
        </w:tc>
        <w:tc>
          <w:tcPr>
            <w:tcW w:w="2610" w:type="dxa"/>
            <w:vAlign w:val="bottom"/>
            <w:shd w:val="clear" w:color="auto" w:fill="CCEEFF"/>
          </w:tcPr>
          <w:p>
            <w:pPr>
              <w:ind w:left="50"/>
              <w:spacing w:after="0"/>
              <w:rPr>
                <w:sz w:val="20"/>
                <w:szCs w:val="20"/>
                <w:color w:val="auto"/>
              </w:rPr>
            </w:pPr>
            <w:r>
              <w:rPr>
                <w:rFonts w:ascii="Arial" w:cs="Arial" w:eastAsia="Arial" w:hAnsi="Arial"/>
                <w:sz w:val="18"/>
                <w:szCs w:val="18"/>
                <w:color w:val="auto"/>
              </w:rPr>
              <w:t>Limited Partnership</w:t>
            </w:r>
          </w:p>
        </w:tc>
        <w:tc>
          <w:tcPr>
            <w:tcW w:w="1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30" w:type="dxa"/>
            <w:vAlign w:val="bottom"/>
            <w:shd w:val="clear" w:color="auto" w:fill="CCEEFF"/>
          </w:tcPr>
          <w:p>
            <w:pPr>
              <w:spacing w:after="0"/>
              <w:rPr>
                <w:sz w:val="18"/>
                <w:szCs w:val="18"/>
                <w:color w:val="auto"/>
              </w:rPr>
            </w:pPr>
          </w:p>
        </w:tc>
        <w:tc>
          <w:tcPr>
            <w:tcW w:w="2610" w:type="dxa"/>
            <w:vAlign w:val="bottom"/>
            <w:shd w:val="clear" w:color="auto" w:fill="CCEEFF"/>
          </w:tcPr>
          <w:p>
            <w:pPr>
              <w:ind w:left="50"/>
              <w:spacing w:after="0"/>
              <w:rPr>
                <w:sz w:val="20"/>
                <w:szCs w:val="20"/>
                <w:color w:val="auto"/>
              </w:rPr>
            </w:pPr>
            <w:r>
              <w:rPr>
                <w:rFonts w:ascii="Arial" w:cs="Arial" w:eastAsia="Arial" w:hAnsi="Arial"/>
                <w:sz w:val="18"/>
                <w:szCs w:val="18"/>
                <w:color w:val="auto"/>
                <w:w w:val="92"/>
              </w:rPr>
              <w:t>Taurus Newbury Street II GP, LLC</w:t>
            </w:r>
          </w:p>
        </w:tc>
        <w:tc>
          <w:tcPr>
            <w:tcW w:w="1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partner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250" w:type="dxa"/>
            <w:vAlign w:val="bottom"/>
            <w:gridSpan w:val="2"/>
          </w:tcPr>
          <w:p>
            <w:pPr>
              <w:spacing w:after="0"/>
              <w:rPr>
                <w:sz w:val="20"/>
                <w:szCs w:val="20"/>
                <w:color w:val="auto"/>
              </w:rPr>
            </w:pPr>
            <w:r>
              <w:rPr>
                <w:rFonts w:ascii="Arial" w:cs="Arial" w:eastAsia="Arial" w:hAnsi="Arial"/>
                <w:sz w:val="18"/>
                <w:szCs w:val="18"/>
                <w:color w:val="auto"/>
              </w:rPr>
              <w:t>TNL 328 NEWBURY LIMITED PARTNERSHIP, a</w:t>
            </w:r>
          </w:p>
        </w:tc>
        <w:tc>
          <w:tcPr>
            <w:tcW w:w="2610" w:type="dxa"/>
            <w:vAlign w:val="bottom"/>
          </w:tcPr>
          <w:p>
            <w:pPr>
              <w:ind w:left="50"/>
              <w:spacing w:after="0"/>
              <w:rPr>
                <w:sz w:val="20"/>
                <w:szCs w:val="20"/>
                <w:color w:val="auto"/>
              </w:rPr>
            </w:pPr>
            <w:r>
              <w:rPr>
                <w:rFonts w:ascii="Arial" w:cs="Arial" w:eastAsia="Arial" w:hAnsi="Arial"/>
                <w:sz w:val="18"/>
                <w:szCs w:val="18"/>
                <w:color w:val="auto"/>
              </w:rPr>
              <w:t>Taurus Newbury Street JV II</w:t>
            </w:r>
          </w:p>
        </w:tc>
        <w:tc>
          <w:tcPr>
            <w:tcW w:w="1460" w:type="dxa"/>
            <w:vAlign w:val="bottom"/>
          </w:tcPr>
          <w:p>
            <w:pPr>
              <w:ind w:left="100"/>
              <w:spacing w:after="0"/>
              <w:rPr>
                <w:sz w:val="20"/>
                <w:szCs w:val="20"/>
                <w:color w:val="auto"/>
              </w:rPr>
            </w:pPr>
            <w:r>
              <w:rPr>
                <w:rFonts w:ascii="Arial" w:cs="Arial" w:eastAsia="Arial" w:hAnsi="Arial"/>
                <w:sz w:val="18"/>
                <w:szCs w:val="18"/>
                <w:color w:val="auto"/>
              </w:rPr>
              <w:t>Limited partner</w:t>
            </w: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2320" w:type="dxa"/>
            <w:vAlign w:val="bottom"/>
          </w:tcPr>
          <w:p>
            <w:pPr>
              <w:ind w:left="80"/>
              <w:spacing w:after="0"/>
              <w:rPr>
                <w:sz w:val="20"/>
                <w:szCs w:val="20"/>
                <w:color w:val="auto"/>
              </w:rPr>
            </w:pPr>
            <w:r>
              <w:rPr>
                <w:rFonts w:ascii="Arial" w:cs="Arial" w:eastAsia="Arial" w:hAnsi="Arial"/>
                <w:sz w:val="18"/>
                <w:szCs w:val="18"/>
                <w:color w:val="auto"/>
              </w:rPr>
              <w:t>Unconsolidated affiliate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30" w:type="dxa"/>
            <w:vAlign w:val="bottom"/>
          </w:tcPr>
          <w:p>
            <w:pPr>
              <w:ind w:left="200"/>
              <w:spacing w:after="0"/>
              <w:rPr>
                <w:sz w:val="20"/>
                <w:szCs w:val="20"/>
                <w:color w:val="auto"/>
              </w:rPr>
            </w:pPr>
            <w:r>
              <w:rPr>
                <w:rFonts w:ascii="Arial" w:cs="Arial" w:eastAsia="Arial" w:hAnsi="Arial"/>
                <w:sz w:val="18"/>
                <w:szCs w:val="18"/>
                <w:color w:val="auto"/>
              </w:rPr>
              <w:t>Delaware limited partnership</w:t>
            </w:r>
          </w:p>
        </w:tc>
        <w:tc>
          <w:tcPr>
            <w:tcW w:w="2610" w:type="dxa"/>
            <w:vAlign w:val="bottom"/>
          </w:tcPr>
          <w:p>
            <w:pPr>
              <w:ind w:left="50"/>
              <w:spacing w:after="0"/>
              <w:rPr>
                <w:sz w:val="20"/>
                <w:szCs w:val="20"/>
                <w:color w:val="auto"/>
              </w:rPr>
            </w:pPr>
            <w:r>
              <w:rPr>
                <w:rFonts w:ascii="Arial" w:cs="Arial" w:eastAsia="Arial" w:hAnsi="Arial"/>
                <w:sz w:val="18"/>
                <w:szCs w:val="18"/>
                <w:color w:val="auto"/>
              </w:rPr>
              <w:t>Limited Partnership</w:t>
            </w: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30" w:type="dxa"/>
            <w:vAlign w:val="bottom"/>
          </w:tcPr>
          <w:p>
            <w:pPr>
              <w:spacing w:after="0"/>
              <w:rPr>
                <w:sz w:val="19"/>
                <w:szCs w:val="19"/>
                <w:color w:val="auto"/>
              </w:rPr>
            </w:pPr>
          </w:p>
        </w:tc>
        <w:tc>
          <w:tcPr>
            <w:tcW w:w="2610" w:type="dxa"/>
            <w:vAlign w:val="bottom"/>
          </w:tcPr>
          <w:p>
            <w:pPr>
              <w:ind w:left="50"/>
              <w:spacing w:after="0"/>
              <w:rPr>
                <w:sz w:val="20"/>
                <w:szCs w:val="20"/>
                <w:color w:val="auto"/>
              </w:rPr>
            </w:pPr>
            <w:r>
              <w:rPr>
                <w:rFonts w:ascii="Arial" w:cs="Arial" w:eastAsia="Arial" w:hAnsi="Arial"/>
                <w:sz w:val="18"/>
                <w:szCs w:val="18"/>
                <w:color w:val="auto"/>
                <w:w w:val="92"/>
              </w:rPr>
              <w:t>Taurus Newbury Street II GP, LLC</w:t>
            </w:r>
          </w:p>
        </w:tc>
        <w:tc>
          <w:tcPr>
            <w:tcW w:w="1460" w:type="dxa"/>
            <w:vAlign w:val="bottom"/>
          </w:tcPr>
          <w:p>
            <w:pPr>
              <w:ind w:left="100"/>
              <w:spacing w:after="0"/>
              <w:rPr>
                <w:sz w:val="20"/>
                <w:szCs w:val="20"/>
                <w:color w:val="auto"/>
              </w:rPr>
            </w:pPr>
            <w:r>
              <w:rPr>
                <w:rFonts w:ascii="Arial" w:cs="Arial" w:eastAsia="Arial" w:hAnsi="Arial"/>
                <w:sz w:val="18"/>
                <w:szCs w:val="18"/>
                <w:color w:val="auto"/>
              </w:rPr>
              <w:t>General partner</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Santana Row Association, a California non-profit mutual benefit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Deforest Building Condominium Owners Association, a California non-profit mutual benefit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Margo Building and Villa Cornet Building Condominium Owners Association, a California non-profit mutual benefit corporation</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273"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22,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Property Number</w:t>
            </w:r>
          </w:p>
        </w:tc>
        <w:tc>
          <w:tcPr>
            <w:tcW w:w="5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940" w:type="dxa"/>
            <w:vAlign w:val="bottom"/>
          </w:tcPr>
          <w:p>
            <w:pPr>
              <w:ind w:left="1740"/>
              <w:spacing w:after="0"/>
              <w:rPr>
                <w:sz w:val="20"/>
                <w:szCs w:val="20"/>
                <w:color w:val="auto"/>
              </w:rPr>
            </w:pPr>
            <w:r>
              <w:rPr>
                <w:rFonts w:ascii="Arial" w:cs="Arial" w:eastAsia="Arial" w:hAnsi="Arial"/>
                <w:sz w:val="14"/>
                <w:szCs w:val="14"/>
                <w:b w:val="1"/>
                <w:bCs w:val="1"/>
                <w:color w:val="auto"/>
              </w:rPr>
              <w:t>Property</w:t>
            </w:r>
          </w:p>
        </w:tc>
        <w:tc>
          <w:tcPr>
            <w:tcW w:w="120" w:type="dxa"/>
            <w:vAlign w:val="bottom"/>
          </w:tcPr>
          <w:p>
            <w:pPr>
              <w:spacing w:after="0"/>
              <w:rPr>
                <w:sz w:val="15"/>
                <w:szCs w:val="15"/>
                <w:color w:val="auto"/>
              </w:rPr>
            </w:pPr>
          </w:p>
        </w:tc>
        <w:tc>
          <w:tcPr>
            <w:tcW w:w="1460" w:type="dxa"/>
            <w:vAlign w:val="bottom"/>
            <w:gridSpan w:val="2"/>
          </w:tcPr>
          <w:p>
            <w:pPr>
              <w:ind w:left="540"/>
              <w:spacing w:after="0"/>
              <w:rPr>
                <w:sz w:val="20"/>
                <w:szCs w:val="20"/>
                <w:color w:val="auto"/>
              </w:rPr>
            </w:pPr>
            <w:r>
              <w:rPr>
                <w:rFonts w:ascii="Arial" w:cs="Arial" w:eastAsia="Arial" w:hAnsi="Arial"/>
                <w:sz w:val="14"/>
                <w:szCs w:val="14"/>
                <w:b w:val="1"/>
                <w:bCs w:val="1"/>
                <w:color w:val="auto"/>
              </w:rPr>
              <w:t>City</w:t>
            </w: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87"/>
              </w:rPr>
              <w:t>State</w:t>
            </w:r>
          </w:p>
        </w:tc>
        <w:tc>
          <w:tcPr>
            <w:tcW w:w="0" w:type="dxa"/>
            <w:vAlign w:val="bottom"/>
          </w:tcPr>
          <w:p>
            <w:pPr>
              <w:spacing w:after="0"/>
              <w:rPr>
                <w:sz w:val="1"/>
                <w:szCs w:val="1"/>
                <w:color w:val="auto"/>
              </w:rPr>
            </w:pPr>
          </w:p>
        </w:tc>
      </w:tr>
      <w:tr>
        <w:trPr>
          <w:trHeight w:val="296"/>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Part 1</w:t>
            </w:r>
          </w:p>
        </w:tc>
        <w:tc>
          <w:tcPr>
            <w:tcW w:w="78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Wholly Owned Properties</w:t>
            </w:r>
          </w:p>
        </w:tc>
        <w:tc>
          <w:tcPr>
            <w:tcW w:w="1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010-1002</w:t>
            </w:r>
          </w:p>
        </w:tc>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Andorra Shopping Center</w:t>
            </w:r>
          </w:p>
        </w:tc>
        <w:tc>
          <w:tcPr>
            <w:tcW w:w="5940" w:type="dxa"/>
            <w:vAlign w:val="bottom"/>
          </w:tcPr>
          <w:p>
            <w:pPr>
              <w:spacing w:after="0"/>
              <w:rPr>
                <w:sz w:val="19"/>
                <w:szCs w:val="19"/>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Philadelphia</w:t>
            </w:r>
          </w:p>
        </w:tc>
        <w:tc>
          <w:tcPr>
            <w:tcW w:w="340" w:type="dxa"/>
            <w:vAlign w:val="bottom"/>
          </w:tcPr>
          <w:p>
            <w:pPr>
              <w:spacing w:after="0"/>
              <w:rPr>
                <w:sz w:val="20"/>
                <w:szCs w:val="20"/>
                <w:color w:val="auto"/>
              </w:rPr>
            </w:pPr>
            <w:r>
              <w:rPr>
                <w:rFonts w:ascii="Arial" w:cs="Arial" w:eastAsia="Arial" w:hAnsi="Arial"/>
                <w:sz w:val="18"/>
                <w:szCs w:val="18"/>
                <w:color w:val="auto"/>
              </w:rPr>
              <w:t>PA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040-1240</w:t>
            </w:r>
          </w:p>
        </w:tc>
        <w:tc>
          <w:tcPr>
            <w:tcW w:w="7880" w:type="dxa"/>
            <w:vAlign w:val="bottom"/>
            <w:gridSpan w:val="2"/>
          </w:tcPr>
          <w:p>
            <w:pPr>
              <w:spacing w:after="0"/>
              <w:rPr>
                <w:sz w:val="20"/>
                <w:szCs w:val="20"/>
                <w:color w:val="auto"/>
              </w:rPr>
            </w:pPr>
            <w:r>
              <w:rPr>
                <w:rFonts w:ascii="Arial" w:cs="Arial" w:eastAsia="Arial" w:hAnsi="Arial"/>
                <w:sz w:val="18"/>
                <w:szCs w:val="18"/>
                <w:color w:val="auto"/>
              </w:rPr>
              <w:t>Governor Plaza</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Glen Burnie</w:t>
            </w:r>
          </w:p>
        </w:tc>
        <w:tc>
          <w:tcPr>
            <w:tcW w:w="34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080-1600</w:t>
            </w:r>
          </w:p>
        </w:tc>
        <w:tc>
          <w:tcPr>
            <w:tcW w:w="7880" w:type="dxa"/>
            <w:vAlign w:val="bottom"/>
            <w:gridSpan w:val="2"/>
          </w:tcPr>
          <w:p>
            <w:pPr>
              <w:spacing w:after="0"/>
              <w:rPr>
                <w:sz w:val="20"/>
                <w:szCs w:val="20"/>
                <w:color w:val="auto"/>
              </w:rPr>
            </w:pPr>
            <w:r>
              <w:rPr>
                <w:rFonts w:ascii="Arial" w:cs="Arial" w:eastAsia="Arial" w:hAnsi="Arial"/>
                <w:sz w:val="18"/>
                <w:szCs w:val="18"/>
                <w:color w:val="auto"/>
              </w:rPr>
              <w:t>Perring Plaza</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Baltimore</w:t>
            </w:r>
          </w:p>
        </w:tc>
        <w:tc>
          <w:tcPr>
            <w:tcW w:w="34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100-1630</w:t>
            </w:r>
          </w:p>
        </w:tc>
        <w:tc>
          <w:tcPr>
            <w:tcW w:w="7880" w:type="dxa"/>
            <w:vAlign w:val="bottom"/>
            <w:gridSpan w:val="2"/>
          </w:tcPr>
          <w:p>
            <w:pPr>
              <w:spacing w:after="0"/>
              <w:rPr>
                <w:sz w:val="20"/>
                <w:szCs w:val="20"/>
                <w:color w:val="auto"/>
              </w:rPr>
            </w:pPr>
            <w:r>
              <w:rPr>
                <w:rFonts w:ascii="Arial" w:cs="Arial" w:eastAsia="Arial" w:hAnsi="Arial"/>
                <w:sz w:val="18"/>
                <w:szCs w:val="18"/>
                <w:color w:val="auto"/>
              </w:rPr>
              <w:t>Santana Row Bld 1-Retail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100-1632</w:t>
            </w:r>
          </w:p>
        </w:tc>
        <w:tc>
          <w:tcPr>
            <w:tcW w:w="7880" w:type="dxa"/>
            <w:vAlign w:val="bottom"/>
            <w:gridSpan w:val="2"/>
          </w:tcPr>
          <w:p>
            <w:pPr>
              <w:spacing w:after="0"/>
              <w:rPr>
                <w:sz w:val="20"/>
                <w:szCs w:val="20"/>
                <w:color w:val="auto"/>
              </w:rPr>
            </w:pPr>
            <w:r>
              <w:rPr>
                <w:rFonts w:ascii="Arial" w:cs="Arial" w:eastAsia="Arial" w:hAnsi="Arial"/>
                <w:sz w:val="18"/>
                <w:szCs w:val="18"/>
                <w:color w:val="auto"/>
              </w:rPr>
              <w:t>Santana Row Bld 1B-Retail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100-1634</w:t>
            </w:r>
          </w:p>
        </w:tc>
        <w:tc>
          <w:tcPr>
            <w:tcW w:w="7880" w:type="dxa"/>
            <w:vAlign w:val="bottom"/>
            <w:gridSpan w:val="2"/>
          </w:tcPr>
          <w:p>
            <w:pPr>
              <w:spacing w:after="0"/>
              <w:rPr>
                <w:sz w:val="20"/>
                <w:szCs w:val="20"/>
                <w:color w:val="auto"/>
              </w:rPr>
            </w:pPr>
            <w:r>
              <w:rPr>
                <w:rFonts w:ascii="Arial" w:cs="Arial" w:eastAsia="Arial" w:hAnsi="Arial"/>
                <w:sz w:val="18"/>
                <w:szCs w:val="18"/>
                <w:color w:val="auto"/>
              </w:rPr>
              <w:t>Santana Row Bld 1C-Retail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100-1636</w:t>
            </w:r>
          </w:p>
        </w:tc>
        <w:tc>
          <w:tcPr>
            <w:tcW w:w="7880" w:type="dxa"/>
            <w:vAlign w:val="bottom"/>
            <w:gridSpan w:val="2"/>
          </w:tcPr>
          <w:p>
            <w:pPr>
              <w:spacing w:after="0"/>
              <w:rPr>
                <w:sz w:val="20"/>
                <w:szCs w:val="20"/>
                <w:color w:val="auto"/>
              </w:rPr>
            </w:pPr>
            <w:r>
              <w:rPr>
                <w:rFonts w:ascii="Arial" w:cs="Arial" w:eastAsia="Arial" w:hAnsi="Arial"/>
                <w:sz w:val="18"/>
                <w:szCs w:val="18"/>
                <w:color w:val="auto"/>
              </w:rPr>
              <w:t>Santana Row Bld 2-Retail/Off</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100-1638</w:t>
            </w:r>
          </w:p>
        </w:tc>
        <w:tc>
          <w:tcPr>
            <w:tcW w:w="7880" w:type="dxa"/>
            <w:vAlign w:val="bottom"/>
            <w:gridSpan w:val="2"/>
          </w:tcPr>
          <w:p>
            <w:pPr>
              <w:spacing w:after="0"/>
              <w:rPr>
                <w:sz w:val="20"/>
                <w:szCs w:val="20"/>
                <w:color w:val="auto"/>
              </w:rPr>
            </w:pPr>
            <w:r>
              <w:rPr>
                <w:rFonts w:ascii="Arial" w:cs="Arial" w:eastAsia="Arial" w:hAnsi="Arial"/>
                <w:sz w:val="18"/>
                <w:szCs w:val="18"/>
                <w:color w:val="auto"/>
              </w:rPr>
              <w:t>Santana Row Bld 3-Retail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100-1642</w:t>
            </w:r>
          </w:p>
        </w:tc>
        <w:tc>
          <w:tcPr>
            <w:tcW w:w="7880" w:type="dxa"/>
            <w:vAlign w:val="bottom"/>
            <w:gridSpan w:val="2"/>
          </w:tcPr>
          <w:p>
            <w:pPr>
              <w:spacing w:after="0"/>
              <w:rPr>
                <w:sz w:val="20"/>
                <w:szCs w:val="20"/>
                <w:color w:val="auto"/>
              </w:rPr>
            </w:pPr>
            <w:r>
              <w:rPr>
                <w:rFonts w:ascii="Arial" w:cs="Arial" w:eastAsia="Arial" w:hAnsi="Arial"/>
                <w:sz w:val="18"/>
                <w:szCs w:val="18"/>
                <w:color w:val="auto"/>
              </w:rPr>
              <w:t>Santana Row Bld 4-Retail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100-1644</w:t>
            </w:r>
          </w:p>
        </w:tc>
        <w:tc>
          <w:tcPr>
            <w:tcW w:w="7880" w:type="dxa"/>
            <w:vAlign w:val="bottom"/>
            <w:gridSpan w:val="2"/>
          </w:tcPr>
          <w:p>
            <w:pPr>
              <w:spacing w:after="0"/>
              <w:rPr>
                <w:sz w:val="20"/>
                <w:szCs w:val="20"/>
                <w:color w:val="auto"/>
              </w:rPr>
            </w:pPr>
            <w:r>
              <w:rPr>
                <w:rFonts w:ascii="Arial" w:cs="Arial" w:eastAsia="Arial" w:hAnsi="Arial"/>
                <w:sz w:val="18"/>
                <w:szCs w:val="18"/>
                <w:color w:val="auto"/>
              </w:rPr>
              <w:t>Santana Row Bld 5-Retail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100-1645</w:t>
            </w:r>
          </w:p>
        </w:tc>
        <w:tc>
          <w:tcPr>
            <w:tcW w:w="7880" w:type="dxa"/>
            <w:vAlign w:val="bottom"/>
            <w:gridSpan w:val="2"/>
          </w:tcPr>
          <w:p>
            <w:pPr>
              <w:spacing w:after="0"/>
              <w:rPr>
                <w:sz w:val="20"/>
                <w:szCs w:val="20"/>
                <w:color w:val="auto"/>
              </w:rPr>
            </w:pPr>
            <w:r>
              <w:rPr>
                <w:rFonts w:ascii="Arial" w:cs="Arial" w:eastAsia="Arial" w:hAnsi="Arial"/>
                <w:sz w:val="18"/>
                <w:szCs w:val="18"/>
                <w:color w:val="auto"/>
              </w:rPr>
              <w:t>Santana Row Bld 5-Hotel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100-1646</w:t>
            </w:r>
          </w:p>
        </w:tc>
        <w:tc>
          <w:tcPr>
            <w:tcW w:w="7880" w:type="dxa"/>
            <w:vAlign w:val="bottom"/>
            <w:gridSpan w:val="2"/>
          </w:tcPr>
          <w:p>
            <w:pPr>
              <w:spacing w:after="0"/>
              <w:rPr>
                <w:sz w:val="20"/>
                <w:szCs w:val="20"/>
                <w:color w:val="auto"/>
              </w:rPr>
            </w:pPr>
            <w:r>
              <w:rPr>
                <w:rFonts w:ascii="Arial" w:cs="Arial" w:eastAsia="Arial" w:hAnsi="Arial"/>
                <w:sz w:val="18"/>
                <w:szCs w:val="18"/>
                <w:color w:val="auto"/>
              </w:rPr>
              <w:t>Santana Row Bld 6A-Retail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100-1650</w:t>
            </w:r>
          </w:p>
        </w:tc>
        <w:tc>
          <w:tcPr>
            <w:tcW w:w="7880" w:type="dxa"/>
            <w:vAlign w:val="bottom"/>
            <w:gridSpan w:val="2"/>
          </w:tcPr>
          <w:p>
            <w:pPr>
              <w:spacing w:after="0"/>
              <w:rPr>
                <w:sz w:val="20"/>
                <w:szCs w:val="20"/>
                <w:color w:val="auto"/>
              </w:rPr>
            </w:pPr>
            <w:r>
              <w:rPr>
                <w:rFonts w:ascii="Arial" w:cs="Arial" w:eastAsia="Arial" w:hAnsi="Arial"/>
                <w:sz w:val="18"/>
                <w:szCs w:val="18"/>
                <w:color w:val="auto"/>
              </w:rPr>
              <w:t>Santana Row Bld 7-Retail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100-1652</w:t>
            </w:r>
          </w:p>
        </w:tc>
        <w:tc>
          <w:tcPr>
            <w:tcW w:w="7880" w:type="dxa"/>
            <w:vAlign w:val="bottom"/>
            <w:gridSpan w:val="2"/>
          </w:tcPr>
          <w:p>
            <w:pPr>
              <w:spacing w:after="0"/>
              <w:rPr>
                <w:sz w:val="20"/>
                <w:szCs w:val="20"/>
                <w:color w:val="auto"/>
              </w:rPr>
            </w:pPr>
            <w:r>
              <w:rPr>
                <w:rFonts w:ascii="Arial" w:cs="Arial" w:eastAsia="Arial" w:hAnsi="Arial"/>
                <w:sz w:val="18"/>
                <w:szCs w:val="18"/>
                <w:color w:val="auto"/>
              </w:rPr>
              <w:t>Santana Row Bld 8A-Retail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100-1662</w:t>
            </w:r>
          </w:p>
        </w:tc>
        <w:tc>
          <w:tcPr>
            <w:tcW w:w="7880" w:type="dxa"/>
            <w:vAlign w:val="bottom"/>
            <w:gridSpan w:val="2"/>
          </w:tcPr>
          <w:p>
            <w:pPr>
              <w:spacing w:after="0"/>
              <w:rPr>
                <w:sz w:val="20"/>
                <w:szCs w:val="20"/>
                <w:color w:val="auto"/>
              </w:rPr>
            </w:pPr>
            <w:r>
              <w:rPr>
                <w:rFonts w:ascii="Arial" w:cs="Arial" w:eastAsia="Arial" w:hAnsi="Arial"/>
                <w:sz w:val="18"/>
                <w:szCs w:val="18"/>
                <w:color w:val="auto"/>
              </w:rPr>
              <w:t>Santana Row Bld 11A-Retail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100-1668</w:t>
            </w:r>
          </w:p>
        </w:tc>
        <w:tc>
          <w:tcPr>
            <w:tcW w:w="7880" w:type="dxa"/>
            <w:vAlign w:val="bottom"/>
            <w:gridSpan w:val="2"/>
          </w:tcPr>
          <w:p>
            <w:pPr>
              <w:spacing w:after="0"/>
              <w:rPr>
                <w:sz w:val="20"/>
                <w:szCs w:val="20"/>
                <w:color w:val="auto"/>
              </w:rPr>
            </w:pPr>
            <w:r>
              <w:rPr>
                <w:rFonts w:ascii="Arial" w:cs="Arial" w:eastAsia="Arial" w:hAnsi="Arial"/>
                <w:sz w:val="18"/>
                <w:szCs w:val="18"/>
                <w:color w:val="auto"/>
              </w:rPr>
              <w:t>Santana Row Bld 13/15 Retail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100-1674</w:t>
            </w:r>
          </w:p>
        </w:tc>
        <w:tc>
          <w:tcPr>
            <w:tcW w:w="7880" w:type="dxa"/>
            <w:vAlign w:val="bottom"/>
            <w:gridSpan w:val="2"/>
          </w:tcPr>
          <w:p>
            <w:pPr>
              <w:spacing w:after="0"/>
              <w:rPr>
                <w:sz w:val="20"/>
                <w:szCs w:val="20"/>
                <w:color w:val="auto"/>
              </w:rPr>
            </w:pPr>
            <w:r>
              <w:rPr>
                <w:rFonts w:ascii="Arial" w:cs="Arial" w:eastAsia="Arial" w:hAnsi="Arial"/>
                <w:sz w:val="18"/>
                <w:szCs w:val="18"/>
                <w:color w:val="auto"/>
              </w:rPr>
              <w:t>Santana Row Bld K-Retail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100-1651</w:t>
            </w:r>
          </w:p>
        </w:tc>
        <w:tc>
          <w:tcPr>
            <w:tcW w:w="7880" w:type="dxa"/>
            <w:vAlign w:val="bottom"/>
            <w:gridSpan w:val="2"/>
          </w:tcPr>
          <w:p>
            <w:pPr>
              <w:spacing w:after="0"/>
              <w:rPr>
                <w:sz w:val="20"/>
                <w:szCs w:val="20"/>
                <w:color w:val="auto"/>
              </w:rPr>
            </w:pPr>
            <w:r>
              <w:rPr>
                <w:rFonts w:ascii="Arial" w:cs="Arial" w:eastAsia="Arial" w:hAnsi="Arial"/>
                <w:sz w:val="18"/>
                <w:szCs w:val="18"/>
                <w:color w:val="auto"/>
              </w:rPr>
              <w:t>Santana Row Bld 7-Residential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100-1653</w:t>
            </w:r>
          </w:p>
        </w:tc>
        <w:tc>
          <w:tcPr>
            <w:tcW w:w="7880" w:type="dxa"/>
            <w:vAlign w:val="bottom"/>
            <w:gridSpan w:val="2"/>
          </w:tcPr>
          <w:p>
            <w:pPr>
              <w:spacing w:after="0"/>
              <w:rPr>
                <w:sz w:val="20"/>
                <w:szCs w:val="20"/>
                <w:color w:val="auto"/>
              </w:rPr>
            </w:pPr>
            <w:r>
              <w:rPr>
                <w:rFonts w:ascii="Arial" w:cs="Arial" w:eastAsia="Arial" w:hAnsi="Arial"/>
                <w:sz w:val="18"/>
                <w:szCs w:val="18"/>
                <w:color w:val="auto"/>
              </w:rPr>
              <w:t>Santana Row Bld 8A-Residential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100-1663</w:t>
            </w:r>
          </w:p>
        </w:tc>
        <w:tc>
          <w:tcPr>
            <w:tcW w:w="7880" w:type="dxa"/>
            <w:vAlign w:val="bottom"/>
            <w:gridSpan w:val="2"/>
          </w:tcPr>
          <w:p>
            <w:pPr>
              <w:spacing w:after="0"/>
              <w:rPr>
                <w:sz w:val="20"/>
                <w:szCs w:val="20"/>
                <w:color w:val="auto"/>
              </w:rPr>
            </w:pPr>
            <w:r>
              <w:rPr>
                <w:rFonts w:ascii="Arial" w:cs="Arial" w:eastAsia="Arial" w:hAnsi="Arial"/>
                <w:sz w:val="18"/>
                <w:szCs w:val="18"/>
                <w:color w:val="auto"/>
              </w:rPr>
              <w:t>Santana Row Bld 11A-Res/Office</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100-1669</w:t>
            </w:r>
          </w:p>
        </w:tc>
        <w:tc>
          <w:tcPr>
            <w:tcW w:w="7880" w:type="dxa"/>
            <w:vAlign w:val="bottom"/>
            <w:gridSpan w:val="2"/>
          </w:tcPr>
          <w:p>
            <w:pPr>
              <w:spacing w:after="0"/>
              <w:rPr>
                <w:sz w:val="20"/>
                <w:szCs w:val="20"/>
                <w:color w:val="auto"/>
              </w:rPr>
            </w:pPr>
            <w:r>
              <w:rPr>
                <w:rFonts w:ascii="Arial" w:cs="Arial" w:eastAsia="Arial" w:hAnsi="Arial"/>
                <w:sz w:val="18"/>
                <w:szCs w:val="18"/>
                <w:color w:val="auto"/>
              </w:rPr>
              <w:t>Santana Row Bld 13/15 Res/Off</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100-1692</w:t>
            </w:r>
          </w:p>
        </w:tc>
        <w:tc>
          <w:tcPr>
            <w:tcW w:w="7880" w:type="dxa"/>
            <w:vAlign w:val="bottom"/>
            <w:gridSpan w:val="2"/>
          </w:tcPr>
          <w:p>
            <w:pPr>
              <w:spacing w:after="0"/>
              <w:rPr>
                <w:sz w:val="20"/>
                <w:szCs w:val="20"/>
                <w:color w:val="auto"/>
              </w:rPr>
            </w:pPr>
            <w:r>
              <w:rPr>
                <w:rFonts w:ascii="Arial" w:cs="Arial" w:eastAsia="Arial" w:hAnsi="Arial"/>
                <w:sz w:val="18"/>
                <w:szCs w:val="18"/>
                <w:color w:val="auto"/>
              </w:rPr>
              <w:t>Santana Row Bld 6B Residential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130-1215</w:t>
            </w:r>
          </w:p>
        </w:tc>
        <w:tc>
          <w:tcPr>
            <w:tcW w:w="7880" w:type="dxa"/>
            <w:vAlign w:val="bottom"/>
            <w:gridSpan w:val="2"/>
          </w:tcPr>
          <w:p>
            <w:pPr>
              <w:spacing w:after="0"/>
              <w:rPr>
                <w:sz w:val="20"/>
                <w:szCs w:val="20"/>
                <w:color w:val="auto"/>
              </w:rPr>
            </w:pPr>
            <w:r>
              <w:rPr>
                <w:rFonts w:ascii="Arial" w:cs="Arial" w:eastAsia="Arial" w:hAnsi="Arial"/>
                <w:sz w:val="18"/>
                <w:szCs w:val="18"/>
                <w:color w:val="auto"/>
              </w:rPr>
              <w:t>Federal Plaza</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Rockville</w:t>
            </w:r>
          </w:p>
        </w:tc>
        <w:tc>
          <w:tcPr>
            <w:tcW w:w="34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150-1477</w:t>
            </w:r>
          </w:p>
        </w:tc>
        <w:tc>
          <w:tcPr>
            <w:tcW w:w="7880" w:type="dxa"/>
            <w:vAlign w:val="bottom"/>
            <w:gridSpan w:val="2"/>
          </w:tcPr>
          <w:p>
            <w:pPr>
              <w:spacing w:after="0"/>
              <w:rPr>
                <w:sz w:val="20"/>
                <w:szCs w:val="20"/>
                <w:color w:val="auto"/>
              </w:rPr>
            </w:pPr>
            <w:r>
              <w:rPr>
                <w:rFonts w:ascii="Arial" w:cs="Arial" w:eastAsia="Arial" w:hAnsi="Arial"/>
                <w:sz w:val="18"/>
                <w:szCs w:val="18"/>
                <w:color w:val="auto"/>
              </w:rPr>
              <w:t>Mercer Mall - H&amp;H BBQ</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Lawrenceville</w:t>
            </w:r>
          </w:p>
        </w:tc>
        <w:tc>
          <w:tcPr>
            <w:tcW w:w="340" w:type="dxa"/>
            <w:vAlign w:val="bottom"/>
          </w:tcPr>
          <w:p>
            <w:pPr>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151-1478</w:t>
            </w:r>
          </w:p>
        </w:tc>
        <w:tc>
          <w:tcPr>
            <w:tcW w:w="7880" w:type="dxa"/>
            <w:vAlign w:val="bottom"/>
            <w:gridSpan w:val="2"/>
          </w:tcPr>
          <w:p>
            <w:pPr>
              <w:spacing w:after="0"/>
              <w:rPr>
                <w:sz w:val="20"/>
                <w:szCs w:val="20"/>
                <w:color w:val="auto"/>
              </w:rPr>
            </w:pPr>
            <w:r>
              <w:rPr>
                <w:rFonts w:ascii="Arial" w:cs="Arial" w:eastAsia="Arial" w:hAnsi="Arial"/>
                <w:sz w:val="18"/>
                <w:szCs w:val="18"/>
                <w:color w:val="auto"/>
              </w:rPr>
              <w:t>FR Mercer Mall, LLC (H&amp;H BBQ)</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Lawrenceville</w:t>
            </w:r>
          </w:p>
        </w:tc>
        <w:tc>
          <w:tcPr>
            <w:tcW w:w="340" w:type="dxa"/>
            <w:vAlign w:val="bottom"/>
          </w:tcPr>
          <w:p>
            <w:pPr>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160-1800</w:t>
            </w:r>
          </w:p>
        </w:tc>
        <w:tc>
          <w:tcPr>
            <w:tcW w:w="7880" w:type="dxa"/>
            <w:vAlign w:val="bottom"/>
            <w:gridSpan w:val="2"/>
          </w:tcPr>
          <w:p>
            <w:pPr>
              <w:spacing w:after="0"/>
              <w:rPr>
                <w:sz w:val="20"/>
                <w:szCs w:val="20"/>
                <w:color w:val="auto"/>
              </w:rPr>
            </w:pPr>
            <w:r>
              <w:rPr>
                <w:rFonts w:ascii="Arial" w:cs="Arial" w:eastAsia="Arial" w:hAnsi="Arial"/>
                <w:sz w:val="18"/>
                <w:szCs w:val="18"/>
                <w:color w:val="auto"/>
              </w:rPr>
              <w:t>Westgate Mall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San Jose</w:t>
            </w:r>
          </w:p>
        </w:tc>
        <w:tc>
          <w:tcPr>
            <w:tcW w:w="340" w:type="dxa"/>
            <w:vAlign w:val="bottom"/>
          </w:tcPr>
          <w:p>
            <w:pPr>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170-1730</w:t>
            </w:r>
          </w:p>
        </w:tc>
        <w:tc>
          <w:tcPr>
            <w:tcW w:w="7880" w:type="dxa"/>
            <w:vAlign w:val="bottom"/>
            <w:gridSpan w:val="2"/>
          </w:tcPr>
          <w:p>
            <w:pPr>
              <w:spacing w:after="0"/>
              <w:rPr>
                <w:sz w:val="20"/>
                <w:szCs w:val="20"/>
                <w:color w:val="auto"/>
              </w:rPr>
            </w:pPr>
            <w:r>
              <w:rPr>
                <w:rFonts w:ascii="Arial" w:cs="Arial" w:eastAsia="Arial" w:hAnsi="Arial"/>
                <w:sz w:val="18"/>
                <w:szCs w:val="18"/>
                <w:color w:val="auto"/>
              </w:rPr>
              <w:t>Assembly Sq Dev (Foley, Sturtevant, Amerigas Land)</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Somerville</w:t>
            </w:r>
          </w:p>
        </w:tc>
        <w:tc>
          <w:tcPr>
            <w:tcW w:w="340" w:type="dxa"/>
            <w:vAlign w:val="bottom"/>
          </w:tcPr>
          <w:p>
            <w:pPr>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180-1008</w:t>
            </w:r>
          </w:p>
        </w:tc>
        <w:tc>
          <w:tcPr>
            <w:tcW w:w="7880" w:type="dxa"/>
            <w:vAlign w:val="bottom"/>
            <w:gridSpan w:val="2"/>
          </w:tcPr>
          <w:p>
            <w:pPr>
              <w:spacing w:after="0"/>
              <w:rPr>
                <w:sz w:val="20"/>
                <w:szCs w:val="20"/>
                <w:color w:val="auto"/>
              </w:rPr>
            </w:pPr>
            <w:r>
              <w:rPr>
                <w:rFonts w:ascii="Arial" w:cs="Arial" w:eastAsia="Arial" w:hAnsi="Arial"/>
                <w:sz w:val="18"/>
                <w:szCs w:val="18"/>
                <w:color w:val="auto"/>
              </w:rPr>
              <w:t>Assembly Square</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Somerville</w:t>
            </w:r>
          </w:p>
        </w:tc>
        <w:tc>
          <w:tcPr>
            <w:tcW w:w="340" w:type="dxa"/>
            <w:vAlign w:val="bottom"/>
          </w:tcPr>
          <w:p>
            <w:pPr>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194-1940</w:t>
            </w:r>
          </w:p>
        </w:tc>
        <w:tc>
          <w:tcPr>
            <w:tcW w:w="7880" w:type="dxa"/>
            <w:vAlign w:val="bottom"/>
            <w:gridSpan w:val="2"/>
          </w:tcPr>
          <w:p>
            <w:pPr>
              <w:spacing w:after="0"/>
              <w:rPr>
                <w:sz w:val="20"/>
                <w:szCs w:val="20"/>
                <w:color w:val="auto"/>
              </w:rPr>
            </w:pPr>
            <w:r>
              <w:rPr>
                <w:rFonts w:ascii="Arial" w:cs="Arial" w:eastAsia="Arial" w:hAnsi="Arial"/>
                <w:sz w:val="18"/>
                <w:szCs w:val="18"/>
                <w:color w:val="auto"/>
              </w:rPr>
              <w:t>Del Mar Village</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Boca Raton</w:t>
            </w:r>
          </w:p>
        </w:tc>
        <w:tc>
          <w:tcPr>
            <w:tcW w:w="340" w:type="dxa"/>
            <w:vAlign w:val="bottom"/>
          </w:tcPr>
          <w:p>
            <w:pPr>
              <w:spacing w:after="0"/>
              <w:rPr>
                <w:sz w:val="20"/>
                <w:szCs w:val="20"/>
                <w:color w:val="auto"/>
              </w:rPr>
            </w:pPr>
            <w:r>
              <w:rPr>
                <w:rFonts w:ascii="Arial" w:cs="Arial" w:eastAsia="Arial" w:hAnsi="Arial"/>
                <w:sz w:val="18"/>
                <w:szCs w:val="18"/>
                <w:color w:val="auto"/>
              </w:rPr>
              <w:t>FL</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195-1950</w:t>
            </w:r>
          </w:p>
        </w:tc>
        <w:tc>
          <w:tcPr>
            <w:tcW w:w="7880" w:type="dxa"/>
            <w:vAlign w:val="bottom"/>
            <w:gridSpan w:val="2"/>
          </w:tcPr>
          <w:p>
            <w:pPr>
              <w:spacing w:after="0"/>
              <w:rPr>
                <w:sz w:val="20"/>
                <w:szCs w:val="20"/>
                <w:color w:val="auto"/>
              </w:rPr>
            </w:pPr>
            <w:r>
              <w:rPr>
                <w:rFonts w:ascii="Arial" w:cs="Arial" w:eastAsia="Arial" w:hAnsi="Arial"/>
                <w:sz w:val="18"/>
                <w:szCs w:val="18"/>
                <w:color w:val="auto"/>
              </w:rPr>
              <w:t>7015 Beracasa Way (Office)</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Boca Raton</w:t>
            </w:r>
          </w:p>
        </w:tc>
        <w:tc>
          <w:tcPr>
            <w:tcW w:w="340" w:type="dxa"/>
            <w:vAlign w:val="bottom"/>
          </w:tcPr>
          <w:p>
            <w:pPr>
              <w:spacing w:after="0"/>
              <w:rPr>
                <w:sz w:val="20"/>
                <w:szCs w:val="20"/>
                <w:color w:val="auto"/>
              </w:rPr>
            </w:pPr>
            <w:r>
              <w:rPr>
                <w:rFonts w:ascii="Arial" w:cs="Arial" w:eastAsia="Arial" w:hAnsi="Arial"/>
                <w:sz w:val="18"/>
                <w:szCs w:val="18"/>
                <w:color w:val="auto"/>
              </w:rPr>
              <w:t>FL</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195-1953</w:t>
            </w:r>
          </w:p>
        </w:tc>
        <w:tc>
          <w:tcPr>
            <w:tcW w:w="7880" w:type="dxa"/>
            <w:vAlign w:val="bottom"/>
            <w:gridSpan w:val="2"/>
          </w:tcPr>
          <w:p>
            <w:pPr>
              <w:spacing w:after="0"/>
              <w:rPr>
                <w:sz w:val="20"/>
                <w:szCs w:val="20"/>
                <w:color w:val="auto"/>
              </w:rPr>
            </w:pPr>
            <w:r>
              <w:rPr>
                <w:rFonts w:ascii="Arial" w:cs="Arial" w:eastAsia="Arial" w:hAnsi="Arial"/>
                <w:sz w:val="18"/>
                <w:szCs w:val="18"/>
                <w:color w:val="auto"/>
              </w:rPr>
              <w:t>7045 Beracasa Way (Blockbuster)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Boca Raton</w:t>
            </w:r>
          </w:p>
        </w:tc>
        <w:tc>
          <w:tcPr>
            <w:tcW w:w="340" w:type="dxa"/>
            <w:vAlign w:val="bottom"/>
          </w:tcPr>
          <w:p>
            <w:pPr>
              <w:spacing w:after="0"/>
              <w:rPr>
                <w:sz w:val="20"/>
                <w:szCs w:val="20"/>
                <w:color w:val="auto"/>
              </w:rPr>
            </w:pPr>
            <w:r>
              <w:rPr>
                <w:rFonts w:ascii="Arial" w:cs="Arial" w:eastAsia="Arial" w:hAnsi="Arial"/>
                <w:sz w:val="18"/>
                <w:szCs w:val="18"/>
                <w:color w:val="auto"/>
              </w:rPr>
              <w:t>FL</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197-1970</w:t>
            </w:r>
          </w:p>
        </w:tc>
        <w:tc>
          <w:tcPr>
            <w:tcW w:w="7880" w:type="dxa"/>
            <w:vAlign w:val="bottom"/>
            <w:gridSpan w:val="2"/>
          </w:tcPr>
          <w:p>
            <w:pPr>
              <w:spacing w:after="0"/>
              <w:rPr>
                <w:sz w:val="20"/>
                <w:szCs w:val="20"/>
                <w:color w:val="auto"/>
              </w:rPr>
            </w:pPr>
            <w:r>
              <w:rPr>
                <w:rFonts w:ascii="Arial" w:cs="Arial" w:eastAsia="Arial" w:hAnsi="Arial"/>
                <w:sz w:val="18"/>
                <w:szCs w:val="18"/>
                <w:color w:val="auto"/>
              </w:rPr>
              <w:t>Huntington Square</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East Northport</w:t>
            </w:r>
          </w:p>
        </w:tc>
        <w:tc>
          <w:tcPr>
            <w:tcW w:w="340" w:type="dxa"/>
            <w:vAlign w:val="bottom"/>
          </w:tcPr>
          <w:p>
            <w:pPr>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198-1980</w:t>
            </w:r>
          </w:p>
        </w:tc>
        <w:tc>
          <w:tcPr>
            <w:tcW w:w="7880" w:type="dxa"/>
            <w:vAlign w:val="bottom"/>
            <w:gridSpan w:val="2"/>
          </w:tcPr>
          <w:p>
            <w:pPr>
              <w:spacing w:after="0"/>
              <w:rPr>
                <w:sz w:val="20"/>
                <w:szCs w:val="20"/>
                <w:color w:val="auto"/>
              </w:rPr>
            </w:pPr>
            <w:r>
              <w:rPr>
                <w:rFonts w:ascii="Arial" w:cs="Arial" w:eastAsia="Arial" w:hAnsi="Arial"/>
                <w:sz w:val="18"/>
                <w:szCs w:val="18"/>
                <w:color w:val="auto"/>
              </w:rPr>
              <w:t>Tower Shops</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Davie</w:t>
            </w:r>
          </w:p>
        </w:tc>
        <w:tc>
          <w:tcPr>
            <w:tcW w:w="340" w:type="dxa"/>
            <w:vAlign w:val="bottom"/>
          </w:tcPr>
          <w:p>
            <w:pPr>
              <w:spacing w:after="0"/>
              <w:rPr>
                <w:sz w:val="20"/>
                <w:szCs w:val="20"/>
                <w:color w:val="auto"/>
              </w:rPr>
            </w:pPr>
            <w:r>
              <w:rPr>
                <w:rFonts w:ascii="Arial" w:cs="Arial" w:eastAsia="Arial" w:hAnsi="Arial"/>
                <w:sz w:val="18"/>
                <w:szCs w:val="18"/>
                <w:color w:val="auto"/>
              </w:rPr>
              <w:t>FL</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209-2090</w:t>
            </w:r>
          </w:p>
        </w:tc>
        <w:tc>
          <w:tcPr>
            <w:tcW w:w="7880" w:type="dxa"/>
            <w:vAlign w:val="bottom"/>
            <w:gridSpan w:val="2"/>
          </w:tcPr>
          <w:p>
            <w:pPr>
              <w:spacing w:after="0"/>
              <w:rPr>
                <w:sz w:val="20"/>
                <w:szCs w:val="20"/>
                <w:color w:val="auto"/>
              </w:rPr>
            </w:pPr>
            <w:r>
              <w:rPr>
                <w:rFonts w:ascii="Arial" w:cs="Arial" w:eastAsia="Arial" w:hAnsi="Arial"/>
                <w:sz w:val="18"/>
                <w:szCs w:val="18"/>
                <w:color w:val="auto"/>
              </w:rPr>
              <w:t>Chelsea Commons III</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Chelsea</w:t>
            </w:r>
          </w:p>
        </w:tc>
        <w:tc>
          <w:tcPr>
            <w:tcW w:w="340" w:type="dxa"/>
            <w:vAlign w:val="bottom"/>
          </w:tcPr>
          <w:p>
            <w:pPr>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210-2100</w:t>
            </w:r>
          </w:p>
        </w:tc>
        <w:tc>
          <w:tcPr>
            <w:tcW w:w="7880" w:type="dxa"/>
            <w:vAlign w:val="bottom"/>
            <w:gridSpan w:val="2"/>
          </w:tcPr>
          <w:p>
            <w:pPr>
              <w:spacing w:after="0"/>
              <w:rPr>
                <w:sz w:val="20"/>
                <w:szCs w:val="20"/>
                <w:color w:val="auto"/>
              </w:rPr>
            </w:pPr>
            <w:r>
              <w:rPr>
                <w:rFonts w:ascii="Arial" w:cs="Arial" w:eastAsia="Arial" w:hAnsi="Arial"/>
                <w:sz w:val="18"/>
                <w:szCs w:val="18"/>
                <w:color w:val="auto"/>
              </w:rPr>
              <w:t>Linden Square</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Wellesley</w:t>
            </w:r>
          </w:p>
        </w:tc>
        <w:tc>
          <w:tcPr>
            <w:tcW w:w="340" w:type="dxa"/>
            <w:vAlign w:val="bottom"/>
          </w:tcPr>
          <w:p>
            <w:pPr>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w w:val="84"/>
              </w:rPr>
              <w:t>211-2111</w:t>
            </w:r>
          </w:p>
        </w:tc>
        <w:tc>
          <w:tcPr>
            <w:tcW w:w="5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Chelsea - 1020 Revere Beach Parkway</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Chelsea</w:t>
            </w:r>
          </w:p>
        </w:tc>
        <w:tc>
          <w:tcPr>
            <w:tcW w:w="340" w:type="dxa"/>
            <w:vAlign w:val="bottom"/>
          </w:tcPr>
          <w:p>
            <w:pPr>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213-2130</w:t>
            </w:r>
          </w:p>
        </w:tc>
        <w:tc>
          <w:tcPr>
            <w:tcW w:w="7880" w:type="dxa"/>
            <w:vAlign w:val="bottom"/>
            <w:gridSpan w:val="2"/>
          </w:tcPr>
          <w:p>
            <w:pPr>
              <w:spacing w:after="0"/>
              <w:rPr>
                <w:sz w:val="20"/>
                <w:szCs w:val="20"/>
                <w:color w:val="auto"/>
              </w:rPr>
            </w:pPr>
            <w:r>
              <w:rPr>
                <w:rFonts w:ascii="Arial" w:cs="Arial" w:eastAsia="Arial" w:hAnsi="Arial"/>
                <w:sz w:val="18"/>
                <w:szCs w:val="18"/>
                <w:color w:val="auto"/>
              </w:rPr>
              <w:t>North Dartmouth</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North Dartmouth</w:t>
            </w:r>
          </w:p>
        </w:tc>
        <w:tc>
          <w:tcPr>
            <w:tcW w:w="340" w:type="dxa"/>
            <w:vAlign w:val="bottom"/>
          </w:tcPr>
          <w:p>
            <w:pPr>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220-2200</w:t>
            </w:r>
          </w:p>
        </w:tc>
        <w:tc>
          <w:tcPr>
            <w:tcW w:w="7880" w:type="dxa"/>
            <w:vAlign w:val="bottom"/>
            <w:gridSpan w:val="2"/>
          </w:tcPr>
          <w:p>
            <w:pPr>
              <w:spacing w:after="0"/>
              <w:rPr>
                <w:sz w:val="20"/>
                <w:szCs w:val="20"/>
                <w:color w:val="auto"/>
              </w:rPr>
            </w:pPr>
            <w:r>
              <w:rPr>
                <w:rFonts w:ascii="Arial" w:cs="Arial" w:eastAsia="Arial" w:hAnsi="Arial"/>
                <w:sz w:val="18"/>
                <w:szCs w:val="18"/>
                <w:color w:val="auto"/>
              </w:rPr>
              <w:t>White Marsh Ground Leases</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White Marsh</w:t>
            </w:r>
          </w:p>
        </w:tc>
        <w:tc>
          <w:tcPr>
            <w:tcW w:w="34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222-2220</w:t>
            </w:r>
          </w:p>
        </w:tc>
        <w:tc>
          <w:tcPr>
            <w:tcW w:w="7880" w:type="dxa"/>
            <w:vAlign w:val="bottom"/>
            <w:gridSpan w:val="2"/>
          </w:tcPr>
          <w:p>
            <w:pPr>
              <w:spacing w:after="0"/>
              <w:rPr>
                <w:sz w:val="20"/>
                <w:szCs w:val="20"/>
                <w:color w:val="auto"/>
              </w:rPr>
            </w:pPr>
            <w:r>
              <w:rPr>
                <w:rFonts w:ascii="Arial" w:cs="Arial" w:eastAsia="Arial" w:hAnsi="Arial"/>
                <w:sz w:val="18"/>
                <w:szCs w:val="18"/>
                <w:color w:val="auto"/>
              </w:rPr>
              <w:t>Byron Station (White Marsh Other)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White Marsh</w:t>
            </w:r>
          </w:p>
        </w:tc>
        <w:tc>
          <w:tcPr>
            <w:tcW w:w="34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223-2230</w:t>
            </w:r>
          </w:p>
        </w:tc>
        <w:tc>
          <w:tcPr>
            <w:tcW w:w="7880" w:type="dxa"/>
            <w:vAlign w:val="bottom"/>
            <w:gridSpan w:val="2"/>
          </w:tcPr>
          <w:p>
            <w:pPr>
              <w:spacing w:after="0"/>
              <w:rPr>
                <w:sz w:val="20"/>
                <w:szCs w:val="20"/>
                <w:color w:val="auto"/>
              </w:rPr>
            </w:pPr>
            <w:r>
              <w:rPr>
                <w:rFonts w:ascii="Arial" w:cs="Arial" w:eastAsia="Arial" w:hAnsi="Arial"/>
                <w:sz w:val="18"/>
                <w:szCs w:val="18"/>
                <w:color w:val="auto"/>
              </w:rPr>
              <w:t>Fairfield Inn (Hotel Ground Lease)</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White Marsh</w:t>
            </w:r>
          </w:p>
        </w:tc>
        <w:tc>
          <w:tcPr>
            <w:tcW w:w="34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224-2240</w:t>
            </w:r>
          </w:p>
        </w:tc>
        <w:tc>
          <w:tcPr>
            <w:tcW w:w="7880" w:type="dxa"/>
            <w:vAlign w:val="bottom"/>
            <w:gridSpan w:val="2"/>
          </w:tcPr>
          <w:p>
            <w:pPr>
              <w:spacing w:after="0"/>
              <w:rPr>
                <w:sz w:val="20"/>
                <w:szCs w:val="20"/>
                <w:color w:val="auto"/>
              </w:rPr>
            </w:pPr>
            <w:r>
              <w:rPr>
                <w:rFonts w:ascii="Arial" w:cs="Arial" w:eastAsia="Arial" w:hAnsi="Arial"/>
                <w:sz w:val="18"/>
                <w:szCs w:val="18"/>
                <w:color w:val="auto"/>
              </w:rPr>
              <w:t>Shoppes at Nottingham Sq II</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White Marsh</w:t>
            </w:r>
          </w:p>
        </w:tc>
        <w:tc>
          <w:tcPr>
            <w:tcW w:w="34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228-2280</w:t>
            </w:r>
          </w:p>
        </w:tc>
        <w:tc>
          <w:tcPr>
            <w:tcW w:w="7880" w:type="dxa"/>
            <w:vAlign w:val="bottom"/>
            <w:gridSpan w:val="2"/>
          </w:tcPr>
          <w:p>
            <w:pPr>
              <w:spacing w:after="0"/>
              <w:rPr>
                <w:sz w:val="20"/>
                <w:szCs w:val="20"/>
                <w:color w:val="auto"/>
              </w:rPr>
            </w:pPr>
            <w:r>
              <w:rPr>
                <w:rFonts w:ascii="Arial" w:cs="Arial" w:eastAsia="Arial" w:hAnsi="Arial"/>
                <w:sz w:val="18"/>
                <w:szCs w:val="18"/>
                <w:color w:val="auto"/>
              </w:rPr>
              <w:t>Shoppes at Nottingham Sq I</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White Marsh</w:t>
            </w:r>
          </w:p>
        </w:tc>
        <w:tc>
          <w:tcPr>
            <w:tcW w:w="34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229-2290</w:t>
            </w:r>
          </w:p>
        </w:tc>
        <w:tc>
          <w:tcPr>
            <w:tcW w:w="7880" w:type="dxa"/>
            <w:vAlign w:val="bottom"/>
            <w:gridSpan w:val="2"/>
          </w:tcPr>
          <w:p>
            <w:pPr>
              <w:spacing w:after="0"/>
              <w:rPr>
                <w:sz w:val="20"/>
                <w:szCs w:val="20"/>
                <w:color w:val="auto"/>
              </w:rPr>
            </w:pPr>
            <w:r>
              <w:rPr>
                <w:rFonts w:ascii="Arial" w:cs="Arial" w:eastAsia="Arial" w:hAnsi="Arial"/>
                <w:sz w:val="18"/>
                <w:szCs w:val="18"/>
                <w:color w:val="auto"/>
              </w:rPr>
              <w:t>RPBT Ground Leases - Nottingham</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White Marsh</w:t>
            </w:r>
          </w:p>
        </w:tc>
        <w:tc>
          <w:tcPr>
            <w:tcW w:w="34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229-2291</w:t>
            </w:r>
          </w:p>
        </w:tc>
        <w:tc>
          <w:tcPr>
            <w:tcW w:w="7880" w:type="dxa"/>
            <w:vAlign w:val="bottom"/>
            <w:gridSpan w:val="2"/>
          </w:tcPr>
          <w:p>
            <w:pPr>
              <w:spacing w:after="0"/>
              <w:rPr>
                <w:sz w:val="20"/>
                <w:szCs w:val="20"/>
                <w:color w:val="auto"/>
              </w:rPr>
            </w:pPr>
            <w:r>
              <w:rPr>
                <w:rFonts w:ascii="Arial" w:cs="Arial" w:eastAsia="Arial" w:hAnsi="Arial"/>
                <w:sz w:val="18"/>
                <w:szCs w:val="18"/>
                <w:color w:val="auto"/>
              </w:rPr>
              <w:t>The Avenue - Parking</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White Marsh</w:t>
            </w:r>
          </w:p>
        </w:tc>
        <w:tc>
          <w:tcPr>
            <w:tcW w:w="34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230-2300</w:t>
            </w:r>
          </w:p>
        </w:tc>
        <w:tc>
          <w:tcPr>
            <w:tcW w:w="7880" w:type="dxa"/>
            <w:vAlign w:val="bottom"/>
            <w:gridSpan w:val="2"/>
          </w:tcPr>
          <w:p>
            <w:pPr>
              <w:spacing w:after="0"/>
              <w:rPr>
                <w:sz w:val="20"/>
                <w:szCs w:val="20"/>
                <w:color w:val="auto"/>
              </w:rPr>
            </w:pPr>
            <w:r>
              <w:rPr>
                <w:rFonts w:ascii="Arial" w:cs="Arial" w:eastAsia="Arial" w:hAnsi="Arial"/>
                <w:sz w:val="18"/>
                <w:szCs w:val="18"/>
                <w:color w:val="auto"/>
              </w:rPr>
              <w:t>Panera Bread - Nottingham</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White Marsh</w:t>
            </w:r>
          </w:p>
        </w:tc>
        <w:tc>
          <w:tcPr>
            <w:tcW w:w="34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400-1019</w:t>
            </w:r>
          </w:p>
        </w:tc>
        <w:tc>
          <w:tcPr>
            <w:tcW w:w="7880" w:type="dxa"/>
            <w:vAlign w:val="bottom"/>
            <w:gridSpan w:val="2"/>
          </w:tcPr>
          <w:p>
            <w:pPr>
              <w:spacing w:after="0"/>
              <w:rPr>
                <w:sz w:val="20"/>
                <w:szCs w:val="20"/>
                <w:color w:val="auto"/>
              </w:rPr>
            </w:pPr>
            <w:r>
              <w:rPr>
                <w:rFonts w:ascii="Arial" w:cs="Arial" w:eastAsia="Arial" w:hAnsi="Arial"/>
                <w:sz w:val="18"/>
                <w:szCs w:val="18"/>
                <w:color w:val="auto"/>
              </w:rPr>
              <w:t>Beth Ave Shops WW1-Arl East (residential)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4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400-1020</w:t>
            </w:r>
          </w:p>
        </w:tc>
        <w:tc>
          <w:tcPr>
            <w:tcW w:w="7880" w:type="dxa"/>
            <w:vAlign w:val="bottom"/>
            <w:gridSpan w:val="2"/>
          </w:tcPr>
          <w:p>
            <w:pPr>
              <w:spacing w:after="0"/>
              <w:rPr>
                <w:sz w:val="20"/>
                <w:szCs w:val="20"/>
                <w:color w:val="auto"/>
              </w:rPr>
            </w:pPr>
            <w:r>
              <w:rPr>
                <w:rFonts w:ascii="Arial" w:cs="Arial" w:eastAsia="Arial" w:hAnsi="Arial"/>
                <w:sz w:val="18"/>
                <w:szCs w:val="18"/>
                <w:color w:val="auto"/>
              </w:rPr>
              <w:t>Beth Ave Shops W W 1-Arl East (retail)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4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400-1021</w:t>
            </w:r>
          </w:p>
        </w:tc>
        <w:tc>
          <w:tcPr>
            <w:tcW w:w="7880" w:type="dxa"/>
            <w:vAlign w:val="bottom"/>
            <w:gridSpan w:val="2"/>
          </w:tcPr>
          <w:p>
            <w:pPr>
              <w:spacing w:after="0"/>
              <w:rPr>
                <w:sz w:val="20"/>
                <w:szCs w:val="20"/>
                <w:color w:val="auto"/>
              </w:rPr>
            </w:pPr>
            <w:r>
              <w:rPr>
                <w:rFonts w:ascii="Arial" w:cs="Arial" w:eastAsia="Arial" w:hAnsi="Arial"/>
                <w:sz w:val="18"/>
                <w:szCs w:val="18"/>
                <w:color w:val="auto"/>
              </w:rPr>
              <w:t>Bethesda Ave Shops W W 2</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4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16"/>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400-1022</w:t>
            </w:r>
          </w:p>
        </w:tc>
        <w:tc>
          <w:tcPr>
            <w:tcW w:w="7880" w:type="dxa"/>
            <w:vAlign w:val="bottom"/>
            <w:gridSpan w:val="2"/>
          </w:tcPr>
          <w:p>
            <w:pPr>
              <w:spacing w:after="0"/>
              <w:rPr>
                <w:sz w:val="20"/>
                <w:szCs w:val="20"/>
                <w:color w:val="auto"/>
              </w:rPr>
            </w:pPr>
            <w:r>
              <w:rPr>
                <w:rFonts w:ascii="Arial" w:cs="Arial" w:eastAsia="Arial" w:hAnsi="Arial"/>
                <w:sz w:val="18"/>
                <w:szCs w:val="18"/>
                <w:color w:val="auto"/>
              </w:rPr>
              <w:t>Bethesda Ave Offices W W 2</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4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r>
        <w:trPr>
          <w:trHeight w:val="222"/>
        </w:trPr>
        <w:tc>
          <w:tcPr>
            <w:tcW w:w="1620" w:type="dxa"/>
            <w:vAlign w:val="bottom"/>
            <w:gridSpan w:val="2"/>
          </w:tcPr>
          <w:p>
            <w:pPr>
              <w:ind w:left="440"/>
              <w:spacing w:after="0"/>
              <w:rPr>
                <w:sz w:val="20"/>
                <w:szCs w:val="20"/>
                <w:color w:val="auto"/>
              </w:rPr>
            </w:pPr>
            <w:r>
              <w:rPr>
                <w:rFonts w:ascii="Arial" w:cs="Arial" w:eastAsia="Arial" w:hAnsi="Arial"/>
                <w:sz w:val="18"/>
                <w:szCs w:val="18"/>
                <w:color w:val="auto"/>
              </w:rPr>
              <w:t>400-1023</w:t>
            </w:r>
          </w:p>
        </w:tc>
        <w:tc>
          <w:tcPr>
            <w:tcW w:w="7880" w:type="dxa"/>
            <w:vAlign w:val="bottom"/>
            <w:gridSpan w:val="2"/>
          </w:tcPr>
          <w:p>
            <w:pPr>
              <w:spacing w:after="0"/>
              <w:rPr>
                <w:sz w:val="20"/>
                <w:szCs w:val="20"/>
                <w:color w:val="auto"/>
              </w:rPr>
            </w:pPr>
            <w:r>
              <w:rPr>
                <w:rFonts w:ascii="Arial" w:cs="Arial" w:eastAsia="Arial" w:hAnsi="Arial"/>
                <w:sz w:val="18"/>
                <w:szCs w:val="18"/>
                <w:color w:val="auto"/>
              </w:rPr>
              <w:t>Bethesda Ave Shops W W 3</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40" w:type="dxa"/>
            <w:vAlign w:val="bottom"/>
          </w:tcPr>
          <w:p>
            <w:pPr>
              <w:spacing w:after="0"/>
              <w:rPr>
                <w:sz w:val="20"/>
                <w:szCs w:val="20"/>
                <w:color w:val="auto"/>
              </w:rPr>
            </w:pPr>
            <w:r>
              <w:rPr>
                <w:rFonts w:ascii="Arial" w:cs="Arial" w:eastAsia="Arial" w:hAnsi="Arial"/>
                <w:sz w:val="18"/>
                <w:szCs w:val="18"/>
                <w:color w:val="auto"/>
              </w:rPr>
              <w:t>MD</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4</w:t>
      </w:r>
    </w:p>
    <w:p>
      <w:pPr>
        <w:sectPr>
          <w:pgSz w:w="11900" w:h="16838" w:orient="portrait"/>
          <w:cols w:equalWidth="0" w:num="1">
            <w:col w:w="11420"/>
          </w:cols>
          <w:pgMar w:left="240" w:top="274"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22, 2011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62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w w:val="89"/>
              </w:rPr>
              <w:t>Property Number</w:t>
            </w:r>
          </w:p>
        </w:tc>
        <w:tc>
          <w:tcPr>
            <w:tcW w:w="7760" w:type="dxa"/>
            <w:vAlign w:val="bottom"/>
            <w:tcBorders>
              <w:bottom w:val="single" w:sz="8" w:color="auto"/>
            </w:tcBorders>
          </w:tcPr>
          <w:p>
            <w:pPr>
              <w:ind w:left="3620"/>
              <w:spacing w:after="0"/>
              <w:rPr>
                <w:sz w:val="20"/>
                <w:szCs w:val="20"/>
                <w:color w:val="auto"/>
              </w:rPr>
            </w:pPr>
            <w:r>
              <w:rPr>
                <w:rFonts w:ascii="Arial" w:cs="Arial" w:eastAsia="Arial" w:hAnsi="Arial"/>
                <w:sz w:val="14"/>
                <w:szCs w:val="14"/>
                <w:b w:val="1"/>
                <w:bCs w:val="1"/>
                <w:color w:val="auto"/>
              </w:rPr>
              <w:t>Property</w:t>
            </w:r>
          </w:p>
        </w:tc>
        <w:tc>
          <w:tcPr>
            <w:tcW w:w="120" w:type="dxa"/>
            <w:vAlign w:val="bottom"/>
          </w:tcPr>
          <w:p>
            <w:pPr>
              <w:spacing w:after="0"/>
              <w:rPr>
                <w:sz w:val="14"/>
                <w:szCs w:val="14"/>
                <w:color w:val="auto"/>
              </w:rPr>
            </w:pPr>
          </w:p>
        </w:tc>
        <w:tc>
          <w:tcPr>
            <w:tcW w:w="148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State</w:t>
            </w:r>
          </w:p>
        </w:tc>
      </w:tr>
      <w:tr>
        <w:trPr>
          <w:trHeight w:val="302"/>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400-1024</w:t>
            </w:r>
          </w:p>
        </w:tc>
        <w:tc>
          <w:tcPr>
            <w:tcW w:w="7760" w:type="dxa"/>
            <w:vAlign w:val="bottom"/>
          </w:tcPr>
          <w:p>
            <w:pPr>
              <w:spacing w:after="0"/>
              <w:rPr>
                <w:sz w:val="20"/>
                <w:szCs w:val="20"/>
                <w:color w:val="auto"/>
              </w:rPr>
            </w:pPr>
            <w:r>
              <w:rPr>
                <w:rFonts w:ascii="Arial" w:cs="Arial" w:eastAsia="Arial" w:hAnsi="Arial"/>
                <w:sz w:val="18"/>
                <w:szCs w:val="18"/>
                <w:color w:val="auto"/>
              </w:rPr>
              <w:t>Bethesda Ave Shops W W 4</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400-1025</w:t>
            </w:r>
          </w:p>
        </w:tc>
        <w:tc>
          <w:tcPr>
            <w:tcW w:w="7760" w:type="dxa"/>
            <w:vAlign w:val="bottom"/>
          </w:tcPr>
          <w:p>
            <w:pPr>
              <w:spacing w:after="0"/>
              <w:rPr>
                <w:sz w:val="20"/>
                <w:szCs w:val="20"/>
                <w:color w:val="auto"/>
              </w:rPr>
            </w:pPr>
            <w:r>
              <w:rPr>
                <w:rFonts w:ascii="Arial" w:cs="Arial" w:eastAsia="Arial" w:hAnsi="Arial"/>
                <w:sz w:val="18"/>
                <w:szCs w:val="18"/>
                <w:color w:val="auto"/>
              </w:rPr>
              <w:t>Bethesda Ave Offices W W 4</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400-1026</w:t>
            </w:r>
          </w:p>
        </w:tc>
        <w:tc>
          <w:tcPr>
            <w:tcW w:w="7760" w:type="dxa"/>
            <w:vAlign w:val="bottom"/>
          </w:tcPr>
          <w:p>
            <w:pPr>
              <w:spacing w:after="0"/>
              <w:rPr>
                <w:sz w:val="20"/>
                <w:szCs w:val="20"/>
                <w:color w:val="auto"/>
              </w:rPr>
            </w:pPr>
            <w:r>
              <w:rPr>
                <w:rFonts w:ascii="Arial" w:cs="Arial" w:eastAsia="Arial" w:hAnsi="Arial"/>
                <w:sz w:val="18"/>
                <w:szCs w:val="18"/>
                <w:color w:val="auto"/>
              </w:rPr>
              <w:t>Bethesda Ave Shops W W 5</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400-1027</w:t>
            </w:r>
          </w:p>
        </w:tc>
        <w:tc>
          <w:tcPr>
            <w:tcW w:w="7760" w:type="dxa"/>
            <w:vAlign w:val="bottom"/>
          </w:tcPr>
          <w:p>
            <w:pPr>
              <w:spacing w:after="0"/>
              <w:rPr>
                <w:sz w:val="20"/>
                <w:szCs w:val="20"/>
                <w:color w:val="auto"/>
              </w:rPr>
            </w:pPr>
            <w:r>
              <w:rPr>
                <w:rFonts w:ascii="Arial" w:cs="Arial" w:eastAsia="Arial" w:hAnsi="Arial"/>
                <w:sz w:val="18"/>
                <w:szCs w:val="18"/>
                <w:color w:val="auto"/>
              </w:rPr>
              <w:t>Bethesda Ave Offices W W 5</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400-1028</w:t>
            </w:r>
          </w:p>
        </w:tc>
        <w:tc>
          <w:tcPr>
            <w:tcW w:w="7760" w:type="dxa"/>
            <w:vAlign w:val="bottom"/>
          </w:tcPr>
          <w:p>
            <w:pPr>
              <w:spacing w:after="0"/>
              <w:rPr>
                <w:sz w:val="20"/>
                <w:szCs w:val="20"/>
                <w:color w:val="auto"/>
              </w:rPr>
            </w:pPr>
            <w:r>
              <w:rPr>
                <w:rFonts w:ascii="Arial" w:cs="Arial" w:eastAsia="Arial" w:hAnsi="Arial"/>
                <w:sz w:val="18"/>
                <w:szCs w:val="18"/>
                <w:color w:val="auto"/>
              </w:rPr>
              <w:t>Bethesda Ave Shops II</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400-1029</w:t>
            </w:r>
          </w:p>
        </w:tc>
        <w:tc>
          <w:tcPr>
            <w:tcW w:w="7760" w:type="dxa"/>
            <w:vAlign w:val="bottom"/>
          </w:tcPr>
          <w:p>
            <w:pPr>
              <w:spacing w:after="0"/>
              <w:rPr>
                <w:sz w:val="20"/>
                <w:szCs w:val="20"/>
                <w:color w:val="auto"/>
              </w:rPr>
            </w:pPr>
            <w:r>
              <w:rPr>
                <w:rFonts w:ascii="Arial" w:cs="Arial" w:eastAsia="Arial" w:hAnsi="Arial"/>
                <w:sz w:val="18"/>
                <w:szCs w:val="18"/>
                <w:color w:val="auto"/>
              </w:rPr>
              <w:t>Bethesda Ave Shops III</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400-1030</w:t>
            </w:r>
          </w:p>
        </w:tc>
        <w:tc>
          <w:tcPr>
            <w:tcW w:w="7760" w:type="dxa"/>
            <w:vAlign w:val="bottom"/>
          </w:tcPr>
          <w:p>
            <w:pPr>
              <w:spacing w:after="0"/>
              <w:rPr>
                <w:sz w:val="20"/>
                <w:szCs w:val="20"/>
                <w:color w:val="auto"/>
              </w:rPr>
            </w:pPr>
            <w:r>
              <w:rPr>
                <w:rFonts w:ascii="Arial" w:cs="Arial" w:eastAsia="Arial" w:hAnsi="Arial"/>
                <w:sz w:val="18"/>
                <w:szCs w:val="18"/>
                <w:color w:val="auto"/>
              </w:rPr>
              <w:t>Bethesda Ave Shops Ravengard</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400-1031</w:t>
            </w:r>
          </w:p>
        </w:tc>
        <w:tc>
          <w:tcPr>
            <w:tcW w:w="7760" w:type="dxa"/>
            <w:vAlign w:val="bottom"/>
          </w:tcPr>
          <w:p>
            <w:pPr>
              <w:spacing w:after="0"/>
              <w:rPr>
                <w:sz w:val="20"/>
                <w:szCs w:val="20"/>
                <w:color w:val="auto"/>
              </w:rPr>
            </w:pPr>
            <w:r>
              <w:rPr>
                <w:rFonts w:ascii="Arial" w:cs="Arial" w:eastAsia="Arial" w:hAnsi="Arial"/>
                <w:sz w:val="18"/>
                <w:szCs w:val="18"/>
                <w:color w:val="auto"/>
              </w:rPr>
              <w:t>Bethesda Ave Shops Parking Lot</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400-1032</w:t>
            </w:r>
          </w:p>
        </w:tc>
        <w:tc>
          <w:tcPr>
            <w:tcW w:w="7760" w:type="dxa"/>
            <w:vAlign w:val="bottom"/>
          </w:tcPr>
          <w:p>
            <w:pPr>
              <w:spacing w:after="0"/>
              <w:rPr>
                <w:sz w:val="20"/>
                <w:szCs w:val="20"/>
                <w:color w:val="auto"/>
              </w:rPr>
            </w:pPr>
            <w:r>
              <w:rPr>
                <w:rFonts w:ascii="Arial" w:cs="Arial" w:eastAsia="Arial" w:hAnsi="Arial"/>
                <w:sz w:val="18"/>
                <w:szCs w:val="18"/>
                <w:color w:val="auto"/>
              </w:rPr>
              <w:t>4900 Hampden Lane</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400-1033</w:t>
            </w:r>
          </w:p>
        </w:tc>
        <w:tc>
          <w:tcPr>
            <w:tcW w:w="7760" w:type="dxa"/>
            <w:vAlign w:val="bottom"/>
          </w:tcPr>
          <w:p>
            <w:pPr>
              <w:spacing w:after="0"/>
              <w:rPr>
                <w:sz w:val="20"/>
                <w:szCs w:val="20"/>
                <w:color w:val="auto"/>
              </w:rPr>
            </w:pPr>
            <w:r>
              <w:rPr>
                <w:rFonts w:ascii="Arial" w:cs="Arial" w:eastAsia="Arial" w:hAnsi="Arial"/>
                <w:sz w:val="18"/>
                <w:szCs w:val="18"/>
                <w:color w:val="auto"/>
              </w:rPr>
              <w:t>Bethesda Ave Office Ravengard</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400-3031</w:t>
            </w:r>
          </w:p>
        </w:tc>
        <w:tc>
          <w:tcPr>
            <w:tcW w:w="7760" w:type="dxa"/>
            <w:vAlign w:val="bottom"/>
          </w:tcPr>
          <w:p>
            <w:pPr>
              <w:spacing w:after="0"/>
              <w:rPr>
                <w:sz w:val="20"/>
                <w:szCs w:val="20"/>
                <w:color w:val="auto"/>
              </w:rPr>
            </w:pPr>
            <w:r>
              <w:rPr>
                <w:rFonts w:ascii="Arial" w:cs="Arial" w:eastAsia="Arial" w:hAnsi="Arial"/>
                <w:sz w:val="18"/>
                <w:szCs w:val="18"/>
                <w:color w:val="auto"/>
              </w:rPr>
              <w:t>Elm St - Retail (Bethesda)</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400-3032</w:t>
            </w:r>
          </w:p>
        </w:tc>
        <w:tc>
          <w:tcPr>
            <w:tcW w:w="7760" w:type="dxa"/>
            <w:vAlign w:val="bottom"/>
          </w:tcPr>
          <w:p>
            <w:pPr>
              <w:spacing w:after="0"/>
              <w:rPr>
                <w:sz w:val="20"/>
                <w:szCs w:val="20"/>
                <w:color w:val="auto"/>
              </w:rPr>
            </w:pPr>
            <w:r>
              <w:rPr>
                <w:rFonts w:ascii="Arial" w:cs="Arial" w:eastAsia="Arial" w:hAnsi="Arial"/>
                <w:sz w:val="18"/>
                <w:szCs w:val="18"/>
                <w:color w:val="auto"/>
              </w:rPr>
              <w:t>Kilbane/Jaffe Parcels</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400-3033</w:t>
            </w:r>
          </w:p>
        </w:tc>
        <w:tc>
          <w:tcPr>
            <w:tcW w:w="7760" w:type="dxa"/>
            <w:vAlign w:val="bottom"/>
          </w:tcPr>
          <w:p>
            <w:pPr>
              <w:spacing w:after="0"/>
              <w:rPr>
                <w:sz w:val="20"/>
                <w:szCs w:val="20"/>
                <w:color w:val="auto"/>
              </w:rPr>
            </w:pPr>
            <w:r>
              <w:rPr>
                <w:rFonts w:ascii="Arial" w:cs="Arial" w:eastAsia="Arial" w:hAnsi="Arial"/>
                <w:sz w:val="18"/>
                <w:szCs w:val="18"/>
                <w:color w:val="auto"/>
              </w:rPr>
              <w:t>Elm Street - Office (Bethesda)</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400-3034</w:t>
            </w:r>
          </w:p>
        </w:tc>
        <w:tc>
          <w:tcPr>
            <w:tcW w:w="7760" w:type="dxa"/>
            <w:vAlign w:val="bottom"/>
          </w:tcPr>
          <w:p>
            <w:pPr>
              <w:spacing w:after="0"/>
              <w:rPr>
                <w:sz w:val="20"/>
                <w:szCs w:val="20"/>
                <w:color w:val="auto"/>
              </w:rPr>
            </w:pPr>
            <w:r>
              <w:rPr>
                <w:rFonts w:ascii="Arial" w:cs="Arial" w:eastAsia="Arial" w:hAnsi="Arial"/>
                <w:sz w:val="18"/>
                <w:szCs w:val="18"/>
                <w:color w:val="auto"/>
              </w:rPr>
              <w:t>Woodmont East - Retail</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400-3035</w:t>
            </w:r>
          </w:p>
        </w:tc>
        <w:tc>
          <w:tcPr>
            <w:tcW w:w="7760" w:type="dxa"/>
            <w:vAlign w:val="bottom"/>
          </w:tcPr>
          <w:p>
            <w:pPr>
              <w:spacing w:after="0"/>
              <w:rPr>
                <w:sz w:val="20"/>
                <w:szCs w:val="20"/>
                <w:color w:val="auto"/>
              </w:rPr>
            </w:pPr>
            <w:r>
              <w:rPr>
                <w:rFonts w:ascii="Arial" w:cs="Arial" w:eastAsia="Arial" w:hAnsi="Arial"/>
                <w:sz w:val="18"/>
                <w:szCs w:val="18"/>
                <w:color w:val="auto"/>
              </w:rPr>
              <w:t>Woodmont East - Offices</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Bethesda</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400-1910</w:t>
            </w:r>
          </w:p>
        </w:tc>
        <w:tc>
          <w:tcPr>
            <w:tcW w:w="7760" w:type="dxa"/>
            <w:vAlign w:val="bottom"/>
          </w:tcPr>
          <w:p>
            <w:pPr>
              <w:spacing w:after="0"/>
              <w:rPr>
                <w:sz w:val="20"/>
                <w:szCs w:val="20"/>
                <w:color w:val="auto"/>
              </w:rPr>
            </w:pPr>
            <w:r>
              <w:rPr>
                <w:rFonts w:ascii="Arial" w:cs="Arial" w:eastAsia="Arial" w:hAnsi="Arial"/>
                <w:sz w:val="18"/>
                <w:szCs w:val="18"/>
                <w:color w:val="auto"/>
              </w:rPr>
              <w:t>Rockville Town Square</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Rockville</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400-3101</w:t>
            </w:r>
          </w:p>
        </w:tc>
        <w:tc>
          <w:tcPr>
            <w:tcW w:w="7760" w:type="dxa"/>
            <w:vAlign w:val="bottom"/>
          </w:tcPr>
          <w:p>
            <w:pPr>
              <w:spacing w:after="0"/>
              <w:rPr>
                <w:sz w:val="20"/>
                <w:szCs w:val="20"/>
                <w:color w:val="auto"/>
              </w:rPr>
            </w:pPr>
            <w:r>
              <w:rPr>
                <w:rFonts w:ascii="Arial" w:cs="Arial" w:eastAsia="Arial" w:hAnsi="Arial"/>
                <w:sz w:val="18"/>
                <w:szCs w:val="18"/>
                <w:color w:val="auto"/>
              </w:rPr>
              <w:t>205 Greenwich Ave (Saks)</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Greenwich</w:t>
            </w:r>
          </w:p>
        </w:tc>
        <w:tc>
          <w:tcPr>
            <w:tcW w:w="340" w:type="dxa"/>
            <w:vAlign w:val="bottom"/>
          </w:tcPr>
          <w:p>
            <w:pPr>
              <w:spacing w:after="0"/>
              <w:rPr>
                <w:sz w:val="20"/>
                <w:szCs w:val="20"/>
                <w:color w:val="auto"/>
              </w:rPr>
            </w:pPr>
            <w:r>
              <w:rPr>
                <w:rFonts w:ascii="Arial" w:cs="Arial" w:eastAsia="Arial" w:hAnsi="Arial"/>
                <w:sz w:val="18"/>
                <w:szCs w:val="18"/>
                <w:color w:val="auto"/>
              </w:rPr>
              <w:t>CT</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400-3400</w:t>
            </w:r>
          </w:p>
        </w:tc>
        <w:tc>
          <w:tcPr>
            <w:tcW w:w="7760" w:type="dxa"/>
            <w:vAlign w:val="bottom"/>
          </w:tcPr>
          <w:p>
            <w:pPr>
              <w:spacing w:after="0"/>
              <w:rPr>
                <w:sz w:val="20"/>
                <w:szCs w:val="20"/>
                <w:color w:val="auto"/>
              </w:rPr>
            </w:pPr>
            <w:r>
              <w:rPr>
                <w:rFonts w:ascii="Arial" w:cs="Arial" w:eastAsia="Arial" w:hAnsi="Arial"/>
                <w:sz w:val="18"/>
                <w:szCs w:val="18"/>
                <w:color w:val="auto"/>
              </w:rPr>
              <w:t>Fresh Meadows (Kohls Center)</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Queens</w:t>
            </w:r>
          </w:p>
        </w:tc>
        <w:tc>
          <w:tcPr>
            <w:tcW w:w="340" w:type="dxa"/>
            <w:vAlign w:val="bottom"/>
          </w:tcPr>
          <w:p>
            <w:pPr>
              <w:spacing w:after="0"/>
              <w:rPr>
                <w:sz w:val="20"/>
                <w:szCs w:val="20"/>
                <w:color w:val="auto"/>
              </w:rPr>
            </w:pPr>
            <w:r>
              <w:rPr>
                <w:rFonts w:ascii="Arial" w:cs="Arial" w:eastAsia="Arial" w:hAnsi="Arial"/>
                <w:sz w:val="18"/>
                <w:szCs w:val="18"/>
                <w:color w:val="auto"/>
              </w:rPr>
              <w:t>NY</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400-3401</w:t>
            </w:r>
          </w:p>
        </w:tc>
        <w:tc>
          <w:tcPr>
            <w:tcW w:w="7760" w:type="dxa"/>
            <w:vAlign w:val="bottom"/>
          </w:tcPr>
          <w:p>
            <w:pPr>
              <w:spacing w:after="0"/>
              <w:rPr>
                <w:sz w:val="20"/>
                <w:szCs w:val="20"/>
                <w:color w:val="auto"/>
              </w:rPr>
            </w:pPr>
            <w:r>
              <w:rPr>
                <w:rFonts w:ascii="Arial" w:cs="Arial" w:eastAsia="Arial" w:hAnsi="Arial"/>
                <w:sz w:val="18"/>
                <w:szCs w:val="18"/>
                <w:color w:val="auto"/>
              </w:rPr>
              <w:t>Fresh Meadows (Filene’s Ctr)</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Queens</w:t>
            </w:r>
          </w:p>
        </w:tc>
        <w:tc>
          <w:tcPr>
            <w:tcW w:w="340" w:type="dxa"/>
            <w:vAlign w:val="bottom"/>
          </w:tcPr>
          <w:p>
            <w:pPr>
              <w:spacing w:after="0"/>
              <w:rPr>
                <w:sz w:val="20"/>
                <w:szCs w:val="20"/>
                <w:color w:val="auto"/>
              </w:rPr>
            </w:pPr>
            <w:r>
              <w:rPr>
                <w:rFonts w:ascii="Arial" w:cs="Arial" w:eastAsia="Arial" w:hAnsi="Arial"/>
                <w:sz w:val="18"/>
                <w:szCs w:val="18"/>
                <w:color w:val="auto"/>
              </w:rPr>
              <w:t>NY</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400-3402</w:t>
            </w:r>
          </w:p>
        </w:tc>
        <w:tc>
          <w:tcPr>
            <w:tcW w:w="7760" w:type="dxa"/>
            <w:vAlign w:val="bottom"/>
          </w:tcPr>
          <w:p>
            <w:pPr>
              <w:spacing w:after="0"/>
              <w:rPr>
                <w:sz w:val="20"/>
                <w:szCs w:val="20"/>
                <w:color w:val="auto"/>
              </w:rPr>
            </w:pPr>
            <w:r>
              <w:rPr>
                <w:rFonts w:ascii="Arial" w:cs="Arial" w:eastAsia="Arial" w:hAnsi="Arial"/>
                <w:sz w:val="18"/>
                <w:szCs w:val="18"/>
                <w:color w:val="auto"/>
              </w:rPr>
              <w:t>Fresh Meadows (73rd Ave Strip)</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Queens</w:t>
            </w:r>
          </w:p>
        </w:tc>
        <w:tc>
          <w:tcPr>
            <w:tcW w:w="340" w:type="dxa"/>
            <w:vAlign w:val="bottom"/>
          </w:tcPr>
          <w:p>
            <w:pPr>
              <w:spacing w:after="0"/>
              <w:rPr>
                <w:sz w:val="20"/>
                <w:szCs w:val="20"/>
                <w:color w:val="auto"/>
              </w:rPr>
            </w:pPr>
            <w:r>
              <w:rPr>
                <w:rFonts w:ascii="Arial" w:cs="Arial" w:eastAsia="Arial" w:hAnsi="Arial"/>
                <w:sz w:val="18"/>
                <w:szCs w:val="18"/>
                <w:color w:val="auto"/>
              </w:rPr>
              <w:t>NY</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400-3403</w:t>
            </w:r>
          </w:p>
        </w:tc>
        <w:tc>
          <w:tcPr>
            <w:tcW w:w="7760" w:type="dxa"/>
            <w:vAlign w:val="bottom"/>
          </w:tcPr>
          <w:p>
            <w:pPr>
              <w:spacing w:after="0"/>
              <w:rPr>
                <w:sz w:val="20"/>
                <w:szCs w:val="20"/>
                <w:color w:val="auto"/>
              </w:rPr>
            </w:pPr>
            <w:r>
              <w:rPr>
                <w:rFonts w:ascii="Arial" w:cs="Arial" w:eastAsia="Arial" w:hAnsi="Arial"/>
                <w:sz w:val="18"/>
                <w:szCs w:val="18"/>
                <w:color w:val="auto"/>
              </w:rPr>
              <w:t>Fresh Meadows (69th Ave Strip)</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Queens</w:t>
            </w:r>
          </w:p>
        </w:tc>
        <w:tc>
          <w:tcPr>
            <w:tcW w:w="340" w:type="dxa"/>
            <w:vAlign w:val="bottom"/>
          </w:tcPr>
          <w:p>
            <w:pPr>
              <w:spacing w:after="0"/>
              <w:rPr>
                <w:sz w:val="20"/>
                <w:szCs w:val="20"/>
                <w:color w:val="auto"/>
              </w:rPr>
            </w:pPr>
            <w:r>
              <w:rPr>
                <w:rFonts w:ascii="Arial" w:cs="Arial" w:eastAsia="Arial" w:hAnsi="Arial"/>
                <w:sz w:val="18"/>
                <w:szCs w:val="18"/>
                <w:color w:val="auto"/>
              </w:rPr>
              <w:t>NY</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400-3500</w:t>
            </w:r>
          </w:p>
        </w:tc>
        <w:tc>
          <w:tcPr>
            <w:tcW w:w="7760" w:type="dxa"/>
            <w:vAlign w:val="bottom"/>
          </w:tcPr>
          <w:p>
            <w:pPr>
              <w:spacing w:after="0"/>
              <w:rPr>
                <w:sz w:val="20"/>
                <w:szCs w:val="20"/>
                <w:color w:val="auto"/>
              </w:rPr>
            </w:pPr>
            <w:r>
              <w:rPr>
                <w:rFonts w:ascii="Arial" w:cs="Arial" w:eastAsia="Arial" w:hAnsi="Arial"/>
                <w:sz w:val="18"/>
                <w:szCs w:val="18"/>
                <w:color w:val="auto"/>
              </w:rPr>
              <w:t>150 Post Street (SF)</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 Francisco</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400-3525</w:t>
            </w:r>
          </w:p>
        </w:tc>
        <w:tc>
          <w:tcPr>
            <w:tcW w:w="7760" w:type="dxa"/>
            <w:vAlign w:val="bottom"/>
          </w:tcPr>
          <w:p>
            <w:pPr>
              <w:spacing w:after="0"/>
              <w:rPr>
                <w:sz w:val="20"/>
                <w:szCs w:val="20"/>
                <w:color w:val="auto"/>
              </w:rPr>
            </w:pPr>
            <w:r>
              <w:rPr>
                <w:rFonts w:ascii="Arial" w:cs="Arial" w:eastAsia="Arial" w:hAnsi="Arial"/>
                <w:sz w:val="18"/>
                <w:szCs w:val="18"/>
                <w:color w:val="auto"/>
              </w:rPr>
              <w:t>1344 3rd Street (Santa Monica)</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Santa Monica</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400-3600</w:t>
            </w:r>
          </w:p>
        </w:tc>
        <w:tc>
          <w:tcPr>
            <w:tcW w:w="7760" w:type="dxa"/>
            <w:vAlign w:val="bottom"/>
          </w:tcPr>
          <w:p>
            <w:pPr>
              <w:spacing w:after="0"/>
              <w:rPr>
                <w:sz w:val="20"/>
                <w:szCs w:val="20"/>
                <w:color w:val="auto"/>
              </w:rPr>
            </w:pPr>
            <w:r>
              <w:rPr>
                <w:rFonts w:ascii="Arial" w:cs="Arial" w:eastAsia="Arial" w:hAnsi="Arial"/>
                <w:sz w:val="18"/>
                <w:szCs w:val="18"/>
                <w:color w:val="auto"/>
              </w:rPr>
              <w:t>Sam’s Park &amp; Shop</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Washington, D.C.</w:t>
            </w:r>
          </w:p>
        </w:tc>
        <w:tc>
          <w:tcPr>
            <w:tcW w:w="340" w:type="dxa"/>
            <w:vAlign w:val="bottom"/>
          </w:tcPr>
          <w:p>
            <w:pPr>
              <w:spacing w:after="0"/>
              <w:rPr>
                <w:sz w:val="20"/>
                <w:szCs w:val="20"/>
                <w:color w:val="auto"/>
              </w:rPr>
            </w:pPr>
            <w:r>
              <w:rPr>
                <w:rFonts w:ascii="Arial" w:cs="Arial" w:eastAsia="Arial" w:hAnsi="Arial"/>
                <w:sz w:val="18"/>
                <w:szCs w:val="18"/>
                <w:color w:val="auto"/>
              </w:rPr>
              <w:t>DC</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400-3601</w:t>
            </w:r>
          </w:p>
        </w:tc>
        <w:tc>
          <w:tcPr>
            <w:tcW w:w="7760" w:type="dxa"/>
            <w:vAlign w:val="bottom"/>
          </w:tcPr>
          <w:p>
            <w:pPr>
              <w:spacing w:after="0"/>
              <w:rPr>
                <w:sz w:val="20"/>
                <w:szCs w:val="20"/>
                <w:color w:val="auto"/>
              </w:rPr>
            </w:pPr>
            <w:r>
              <w:rPr>
                <w:rFonts w:ascii="Arial" w:cs="Arial" w:eastAsia="Arial" w:hAnsi="Arial"/>
                <w:sz w:val="18"/>
                <w:szCs w:val="18"/>
                <w:color w:val="auto"/>
              </w:rPr>
              <w:t>Village at Shirlington-Retail</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Arlington</w:t>
            </w: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400-3602</w:t>
            </w:r>
          </w:p>
        </w:tc>
        <w:tc>
          <w:tcPr>
            <w:tcW w:w="7760" w:type="dxa"/>
            <w:vAlign w:val="bottom"/>
          </w:tcPr>
          <w:p>
            <w:pPr>
              <w:spacing w:after="0"/>
              <w:rPr>
                <w:sz w:val="20"/>
                <w:szCs w:val="20"/>
                <w:color w:val="auto"/>
              </w:rPr>
            </w:pPr>
            <w:r>
              <w:rPr>
                <w:rFonts w:ascii="Arial" w:cs="Arial" w:eastAsia="Arial" w:hAnsi="Arial"/>
                <w:sz w:val="18"/>
                <w:szCs w:val="18"/>
                <w:color w:val="auto"/>
              </w:rPr>
              <w:t>Village at Shirlington-Office</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Arlington</w:t>
            </w: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400-3604</w:t>
            </w:r>
          </w:p>
        </w:tc>
        <w:tc>
          <w:tcPr>
            <w:tcW w:w="7760" w:type="dxa"/>
            <w:vAlign w:val="bottom"/>
          </w:tcPr>
          <w:p>
            <w:pPr>
              <w:spacing w:after="0"/>
              <w:rPr>
                <w:sz w:val="20"/>
                <w:szCs w:val="20"/>
                <w:color w:val="auto"/>
              </w:rPr>
            </w:pPr>
            <w:r>
              <w:rPr>
                <w:rFonts w:ascii="Arial" w:cs="Arial" w:eastAsia="Arial" w:hAnsi="Arial"/>
                <w:sz w:val="18"/>
                <w:szCs w:val="18"/>
                <w:color w:val="auto"/>
              </w:rPr>
              <w:t>Friendship Center</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Washington, D.C.</w:t>
            </w:r>
          </w:p>
        </w:tc>
        <w:tc>
          <w:tcPr>
            <w:tcW w:w="340" w:type="dxa"/>
            <w:vAlign w:val="bottom"/>
          </w:tcPr>
          <w:p>
            <w:pPr>
              <w:spacing w:after="0"/>
              <w:rPr>
                <w:sz w:val="20"/>
                <w:szCs w:val="20"/>
                <w:color w:val="auto"/>
              </w:rPr>
            </w:pPr>
            <w:r>
              <w:rPr>
                <w:rFonts w:ascii="Arial" w:cs="Arial" w:eastAsia="Arial" w:hAnsi="Arial"/>
                <w:sz w:val="18"/>
                <w:szCs w:val="18"/>
                <w:color w:val="auto"/>
              </w:rPr>
              <w:t>DC</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420-4300</w:t>
            </w:r>
          </w:p>
        </w:tc>
        <w:tc>
          <w:tcPr>
            <w:tcW w:w="7760" w:type="dxa"/>
            <w:vAlign w:val="bottom"/>
          </w:tcPr>
          <w:p>
            <w:pPr>
              <w:spacing w:after="0"/>
              <w:rPr>
                <w:sz w:val="20"/>
                <w:szCs w:val="20"/>
                <w:color w:val="auto"/>
              </w:rPr>
            </w:pPr>
            <w:r>
              <w:rPr>
                <w:rFonts w:ascii="Arial" w:cs="Arial" w:eastAsia="Arial" w:hAnsi="Arial"/>
                <w:sz w:val="18"/>
                <w:szCs w:val="18"/>
                <w:color w:val="auto"/>
              </w:rPr>
              <w:t>14 N.Fair Oaks Ave (Pasadena)</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Pasadena</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420-4500</w:t>
            </w:r>
          </w:p>
        </w:tc>
        <w:tc>
          <w:tcPr>
            <w:tcW w:w="7760" w:type="dxa"/>
            <w:vAlign w:val="bottom"/>
          </w:tcPr>
          <w:p>
            <w:pPr>
              <w:spacing w:after="0"/>
              <w:rPr>
                <w:sz w:val="20"/>
                <w:szCs w:val="20"/>
                <w:color w:val="auto"/>
              </w:rPr>
            </w:pPr>
            <w:r>
              <w:rPr>
                <w:rFonts w:ascii="Arial" w:cs="Arial" w:eastAsia="Arial" w:hAnsi="Arial"/>
                <w:sz w:val="18"/>
                <w:szCs w:val="18"/>
                <w:color w:val="auto"/>
              </w:rPr>
              <w:t>643-653 5th Ave. (S D)</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 Diego</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420-4502</w:t>
            </w:r>
          </w:p>
        </w:tc>
        <w:tc>
          <w:tcPr>
            <w:tcW w:w="7760" w:type="dxa"/>
            <w:vAlign w:val="bottom"/>
          </w:tcPr>
          <w:p>
            <w:pPr>
              <w:spacing w:after="0"/>
              <w:rPr>
                <w:sz w:val="20"/>
                <w:szCs w:val="20"/>
                <w:color w:val="auto"/>
              </w:rPr>
            </w:pPr>
            <w:r>
              <w:rPr>
                <w:rFonts w:ascii="Arial" w:cs="Arial" w:eastAsia="Arial" w:hAnsi="Arial"/>
                <w:sz w:val="18"/>
                <w:szCs w:val="18"/>
                <w:color w:val="auto"/>
              </w:rPr>
              <w:t>665 5th Ave. (S D)</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 Diego</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420-4503</w:t>
            </w:r>
          </w:p>
        </w:tc>
        <w:tc>
          <w:tcPr>
            <w:tcW w:w="7760" w:type="dxa"/>
            <w:vAlign w:val="bottom"/>
          </w:tcPr>
          <w:p>
            <w:pPr>
              <w:spacing w:after="0"/>
              <w:rPr>
                <w:sz w:val="20"/>
                <w:szCs w:val="20"/>
                <w:color w:val="auto"/>
              </w:rPr>
            </w:pPr>
            <w:r>
              <w:rPr>
                <w:rFonts w:ascii="Arial" w:cs="Arial" w:eastAsia="Arial" w:hAnsi="Arial"/>
                <w:sz w:val="18"/>
                <w:szCs w:val="18"/>
                <w:color w:val="auto"/>
              </w:rPr>
              <w:t>825-831 5th Ave. (S D)</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 Diego</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420-4700</w:t>
            </w:r>
          </w:p>
        </w:tc>
        <w:tc>
          <w:tcPr>
            <w:tcW w:w="7760" w:type="dxa"/>
            <w:vAlign w:val="bottom"/>
          </w:tcPr>
          <w:p>
            <w:pPr>
              <w:spacing w:after="0"/>
              <w:rPr>
                <w:sz w:val="20"/>
                <w:szCs w:val="20"/>
                <w:color w:val="auto"/>
              </w:rPr>
            </w:pPr>
            <w:r>
              <w:rPr>
                <w:rFonts w:ascii="Arial" w:cs="Arial" w:eastAsia="Arial" w:hAnsi="Arial"/>
                <w:sz w:val="18"/>
                <w:szCs w:val="18"/>
                <w:color w:val="auto"/>
              </w:rPr>
              <w:t>301 Arizona/1251-1253 3rd St.</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Santa Monica</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420-4702</w:t>
            </w:r>
          </w:p>
        </w:tc>
        <w:tc>
          <w:tcPr>
            <w:tcW w:w="7760" w:type="dxa"/>
            <w:vAlign w:val="bottom"/>
          </w:tcPr>
          <w:p>
            <w:pPr>
              <w:spacing w:after="0"/>
              <w:rPr>
                <w:sz w:val="20"/>
                <w:szCs w:val="20"/>
                <w:color w:val="auto"/>
              </w:rPr>
            </w:pPr>
            <w:r>
              <w:rPr>
                <w:rFonts w:ascii="Arial" w:cs="Arial" w:eastAsia="Arial" w:hAnsi="Arial"/>
                <w:sz w:val="18"/>
                <w:szCs w:val="18"/>
                <w:color w:val="auto"/>
              </w:rPr>
              <w:t>1225 3rd St. (Santa Monica)</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Santa Monica</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420-4704</w:t>
            </w:r>
          </w:p>
        </w:tc>
        <w:tc>
          <w:tcPr>
            <w:tcW w:w="7760" w:type="dxa"/>
            <w:vAlign w:val="bottom"/>
          </w:tcPr>
          <w:p>
            <w:pPr>
              <w:spacing w:after="0"/>
              <w:rPr>
                <w:sz w:val="20"/>
                <w:szCs w:val="20"/>
                <w:color w:val="auto"/>
              </w:rPr>
            </w:pPr>
            <w:r>
              <w:rPr>
                <w:rFonts w:ascii="Arial" w:cs="Arial" w:eastAsia="Arial" w:hAnsi="Arial"/>
                <w:sz w:val="18"/>
                <w:szCs w:val="18"/>
                <w:color w:val="auto"/>
              </w:rPr>
              <w:t>1337 3rd St. (Santa Monica)</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Santa Monica</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420-4705</w:t>
            </w:r>
          </w:p>
        </w:tc>
        <w:tc>
          <w:tcPr>
            <w:tcW w:w="7760" w:type="dxa"/>
            <w:vAlign w:val="bottom"/>
          </w:tcPr>
          <w:p>
            <w:pPr>
              <w:spacing w:after="0"/>
              <w:rPr>
                <w:sz w:val="20"/>
                <w:szCs w:val="20"/>
                <w:color w:val="auto"/>
              </w:rPr>
            </w:pPr>
            <w:r>
              <w:rPr>
                <w:rFonts w:ascii="Arial" w:cs="Arial" w:eastAsia="Arial" w:hAnsi="Arial"/>
                <w:sz w:val="18"/>
                <w:szCs w:val="18"/>
                <w:color w:val="auto"/>
              </w:rPr>
              <w:t>1343-1349 3rd St (Santa Monica)</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Santa Monica</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421-4701</w:t>
            </w:r>
          </w:p>
        </w:tc>
        <w:tc>
          <w:tcPr>
            <w:tcW w:w="7760" w:type="dxa"/>
            <w:vAlign w:val="bottom"/>
          </w:tcPr>
          <w:p>
            <w:pPr>
              <w:spacing w:after="0"/>
              <w:rPr>
                <w:sz w:val="20"/>
                <w:szCs w:val="20"/>
                <w:color w:val="auto"/>
              </w:rPr>
            </w:pPr>
            <w:r>
              <w:rPr>
                <w:rFonts w:ascii="Arial" w:cs="Arial" w:eastAsia="Arial" w:hAnsi="Arial"/>
                <w:sz w:val="18"/>
                <w:szCs w:val="18"/>
                <w:color w:val="auto"/>
              </w:rPr>
              <w:t>1202 3rd St. (Santa Monica)</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Santa Monica</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422-4706</w:t>
            </w:r>
          </w:p>
        </w:tc>
        <w:tc>
          <w:tcPr>
            <w:tcW w:w="7760" w:type="dxa"/>
            <w:vAlign w:val="bottom"/>
          </w:tcPr>
          <w:p>
            <w:pPr>
              <w:spacing w:after="0"/>
              <w:rPr>
                <w:sz w:val="20"/>
                <w:szCs w:val="20"/>
                <w:color w:val="auto"/>
              </w:rPr>
            </w:pPr>
            <w:r>
              <w:rPr>
                <w:rFonts w:ascii="Arial" w:cs="Arial" w:eastAsia="Arial" w:hAnsi="Arial"/>
                <w:sz w:val="18"/>
                <w:szCs w:val="18"/>
                <w:color w:val="auto"/>
              </w:rPr>
              <w:t>1222 3rd St. (Santa Monica)</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Santa Monica</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423-4200</w:t>
            </w:r>
          </w:p>
        </w:tc>
        <w:tc>
          <w:tcPr>
            <w:tcW w:w="7760" w:type="dxa"/>
            <w:vAlign w:val="bottom"/>
          </w:tcPr>
          <w:p>
            <w:pPr>
              <w:spacing w:after="0"/>
              <w:rPr>
                <w:sz w:val="20"/>
                <w:szCs w:val="20"/>
                <w:color w:val="auto"/>
              </w:rPr>
            </w:pPr>
            <w:r>
              <w:rPr>
                <w:rFonts w:ascii="Arial" w:cs="Arial" w:eastAsia="Arial" w:hAnsi="Arial"/>
                <w:sz w:val="18"/>
                <w:szCs w:val="18"/>
                <w:color w:val="auto"/>
              </w:rPr>
              <w:t>1221-1227 Hermosa Ave (Hermosa)</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Hermosa Beach</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423-4707</w:t>
            </w:r>
          </w:p>
        </w:tc>
        <w:tc>
          <w:tcPr>
            <w:tcW w:w="7760" w:type="dxa"/>
            <w:vAlign w:val="bottom"/>
          </w:tcPr>
          <w:p>
            <w:pPr>
              <w:spacing w:after="0"/>
              <w:rPr>
                <w:sz w:val="20"/>
                <w:szCs w:val="20"/>
                <w:color w:val="auto"/>
              </w:rPr>
            </w:pPr>
            <w:r>
              <w:rPr>
                <w:rFonts w:ascii="Arial" w:cs="Arial" w:eastAsia="Arial" w:hAnsi="Arial"/>
                <w:sz w:val="18"/>
                <w:szCs w:val="18"/>
                <w:color w:val="auto"/>
              </w:rPr>
              <w:t>1232-1240 3rd St (Santa Monica)</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Santa Monica</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424-4301</w:t>
            </w:r>
          </w:p>
        </w:tc>
        <w:tc>
          <w:tcPr>
            <w:tcW w:w="7760" w:type="dxa"/>
            <w:vAlign w:val="bottom"/>
          </w:tcPr>
          <w:p>
            <w:pPr>
              <w:spacing w:after="0"/>
              <w:rPr>
                <w:sz w:val="20"/>
                <w:szCs w:val="20"/>
                <w:color w:val="auto"/>
              </w:rPr>
            </w:pPr>
            <w:r>
              <w:rPr>
                <w:rFonts w:ascii="Arial" w:cs="Arial" w:eastAsia="Arial" w:hAnsi="Arial"/>
                <w:sz w:val="18"/>
                <w:szCs w:val="18"/>
                <w:color w:val="auto"/>
              </w:rPr>
              <w:t>140-168 W Colorado (Tanner Mkt)</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Pasadena</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428-4708</w:t>
            </w:r>
          </w:p>
        </w:tc>
        <w:tc>
          <w:tcPr>
            <w:tcW w:w="7760" w:type="dxa"/>
            <w:vAlign w:val="bottom"/>
          </w:tcPr>
          <w:p>
            <w:pPr>
              <w:spacing w:after="0"/>
              <w:rPr>
                <w:sz w:val="20"/>
                <w:szCs w:val="20"/>
                <w:color w:val="auto"/>
              </w:rPr>
            </w:pPr>
            <w:r>
              <w:rPr>
                <w:rFonts w:ascii="Arial" w:cs="Arial" w:eastAsia="Arial" w:hAnsi="Arial"/>
                <w:sz w:val="18"/>
                <w:szCs w:val="18"/>
                <w:color w:val="auto"/>
              </w:rPr>
              <w:t>214 Wilshire Blvd (SM)</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Santa Monica</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440-5002</w:t>
            </w:r>
          </w:p>
        </w:tc>
        <w:tc>
          <w:tcPr>
            <w:tcW w:w="7760" w:type="dxa"/>
            <w:vAlign w:val="bottom"/>
          </w:tcPr>
          <w:p>
            <w:pPr>
              <w:spacing w:after="0"/>
              <w:rPr>
                <w:sz w:val="20"/>
                <w:szCs w:val="20"/>
                <w:color w:val="auto"/>
              </w:rPr>
            </w:pPr>
            <w:r>
              <w:rPr>
                <w:rFonts w:ascii="Arial" w:cs="Arial" w:eastAsia="Arial" w:hAnsi="Arial"/>
                <w:sz w:val="18"/>
                <w:szCs w:val="18"/>
                <w:color w:val="auto"/>
              </w:rPr>
              <w:t>108-22 Queens Blvd (Midway Th)</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Forest Hills</w:t>
            </w:r>
          </w:p>
        </w:tc>
        <w:tc>
          <w:tcPr>
            <w:tcW w:w="340" w:type="dxa"/>
            <w:vAlign w:val="bottom"/>
          </w:tcPr>
          <w:p>
            <w:pPr>
              <w:spacing w:after="0"/>
              <w:rPr>
                <w:sz w:val="20"/>
                <w:szCs w:val="20"/>
                <w:color w:val="auto"/>
              </w:rPr>
            </w:pPr>
            <w:r>
              <w:rPr>
                <w:rFonts w:ascii="Arial" w:cs="Arial" w:eastAsia="Arial" w:hAnsi="Arial"/>
                <w:sz w:val="18"/>
                <w:szCs w:val="18"/>
                <w:color w:val="auto"/>
              </w:rPr>
              <w:t>NY</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450-5500</w:t>
            </w:r>
          </w:p>
        </w:tc>
        <w:tc>
          <w:tcPr>
            <w:tcW w:w="7760" w:type="dxa"/>
            <w:vAlign w:val="bottom"/>
          </w:tcPr>
          <w:p>
            <w:pPr>
              <w:spacing w:after="0"/>
              <w:rPr>
                <w:sz w:val="20"/>
                <w:szCs w:val="20"/>
                <w:color w:val="auto"/>
              </w:rPr>
            </w:pPr>
            <w:r>
              <w:rPr>
                <w:rFonts w:ascii="Arial" w:cs="Arial" w:eastAsia="Arial" w:hAnsi="Arial"/>
                <w:sz w:val="18"/>
                <w:szCs w:val="18"/>
                <w:color w:val="auto"/>
              </w:rPr>
              <w:t>Old Town Center (Los Gatos)</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Los Gatos</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451-5601</w:t>
            </w:r>
          </w:p>
        </w:tc>
        <w:tc>
          <w:tcPr>
            <w:tcW w:w="7760" w:type="dxa"/>
            <w:vAlign w:val="bottom"/>
          </w:tcPr>
          <w:p>
            <w:pPr>
              <w:spacing w:after="0"/>
              <w:rPr>
                <w:sz w:val="20"/>
                <w:szCs w:val="20"/>
                <w:color w:val="auto"/>
              </w:rPr>
            </w:pPr>
            <w:r>
              <w:rPr>
                <w:rFonts w:ascii="Arial" w:cs="Arial" w:eastAsia="Arial" w:hAnsi="Arial"/>
                <w:sz w:val="18"/>
                <w:szCs w:val="18"/>
                <w:color w:val="auto"/>
              </w:rPr>
              <w:t>301-303 E Houston St (Vogue)</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 Antonio</w:t>
            </w:r>
          </w:p>
        </w:tc>
        <w:tc>
          <w:tcPr>
            <w:tcW w:w="34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451-5602</w:t>
            </w:r>
          </w:p>
        </w:tc>
        <w:tc>
          <w:tcPr>
            <w:tcW w:w="7760" w:type="dxa"/>
            <w:vAlign w:val="bottom"/>
          </w:tcPr>
          <w:p>
            <w:pPr>
              <w:spacing w:after="0"/>
              <w:rPr>
                <w:sz w:val="20"/>
                <w:szCs w:val="20"/>
                <w:color w:val="auto"/>
              </w:rPr>
            </w:pPr>
            <w:r>
              <w:rPr>
                <w:rFonts w:ascii="Arial" w:cs="Arial" w:eastAsia="Arial" w:hAnsi="Arial"/>
                <w:sz w:val="18"/>
                <w:szCs w:val="18"/>
                <w:color w:val="auto"/>
              </w:rPr>
              <w:t>225-233 E Houston St (Schaum)</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 Antonio</w:t>
            </w:r>
          </w:p>
        </w:tc>
        <w:tc>
          <w:tcPr>
            <w:tcW w:w="34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451-5603</w:t>
            </w:r>
          </w:p>
        </w:tc>
        <w:tc>
          <w:tcPr>
            <w:tcW w:w="7760" w:type="dxa"/>
            <w:vAlign w:val="bottom"/>
          </w:tcPr>
          <w:p>
            <w:pPr>
              <w:spacing w:after="0"/>
              <w:rPr>
                <w:sz w:val="20"/>
                <w:szCs w:val="20"/>
                <w:color w:val="auto"/>
              </w:rPr>
            </w:pPr>
            <w:r>
              <w:rPr>
                <w:rFonts w:ascii="Arial" w:cs="Arial" w:eastAsia="Arial" w:hAnsi="Arial"/>
                <w:sz w:val="18"/>
                <w:szCs w:val="18"/>
                <w:color w:val="auto"/>
              </w:rPr>
              <w:t>St Mary’s &amp; E Houston (W Hotel)</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 Antonio</w:t>
            </w:r>
          </w:p>
        </w:tc>
        <w:tc>
          <w:tcPr>
            <w:tcW w:w="34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451-5606</w:t>
            </w:r>
          </w:p>
        </w:tc>
        <w:tc>
          <w:tcPr>
            <w:tcW w:w="7760" w:type="dxa"/>
            <w:vAlign w:val="bottom"/>
          </w:tcPr>
          <w:p>
            <w:pPr>
              <w:spacing w:after="0"/>
              <w:rPr>
                <w:sz w:val="20"/>
                <w:szCs w:val="20"/>
                <w:color w:val="auto"/>
              </w:rPr>
            </w:pPr>
            <w:r>
              <w:rPr>
                <w:rFonts w:ascii="Arial" w:cs="Arial" w:eastAsia="Arial" w:hAnsi="Arial"/>
                <w:sz w:val="18"/>
                <w:szCs w:val="18"/>
                <w:color w:val="auto"/>
              </w:rPr>
              <w:t>111 Jefferson St (Pkg Lot)</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 Antonio</w:t>
            </w:r>
          </w:p>
        </w:tc>
        <w:tc>
          <w:tcPr>
            <w:tcW w:w="34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451-5607</w:t>
            </w:r>
          </w:p>
        </w:tc>
        <w:tc>
          <w:tcPr>
            <w:tcW w:w="7760" w:type="dxa"/>
            <w:vAlign w:val="bottom"/>
          </w:tcPr>
          <w:p>
            <w:pPr>
              <w:spacing w:after="0"/>
              <w:rPr>
                <w:sz w:val="20"/>
                <w:szCs w:val="20"/>
                <w:color w:val="auto"/>
              </w:rPr>
            </w:pPr>
            <w:r>
              <w:rPr>
                <w:rFonts w:ascii="Arial" w:cs="Arial" w:eastAsia="Arial" w:hAnsi="Arial"/>
                <w:sz w:val="18"/>
                <w:szCs w:val="18"/>
                <w:color w:val="auto"/>
              </w:rPr>
              <w:t>300-302 E Houston St (Walgreen)</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 Antonio</w:t>
            </w:r>
          </w:p>
        </w:tc>
        <w:tc>
          <w:tcPr>
            <w:tcW w:w="34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451-5608</w:t>
            </w:r>
          </w:p>
        </w:tc>
        <w:tc>
          <w:tcPr>
            <w:tcW w:w="7760" w:type="dxa"/>
            <w:vAlign w:val="bottom"/>
          </w:tcPr>
          <w:p>
            <w:pPr>
              <w:spacing w:after="0"/>
              <w:rPr>
                <w:sz w:val="20"/>
                <w:szCs w:val="20"/>
                <w:color w:val="auto"/>
              </w:rPr>
            </w:pPr>
            <w:r>
              <w:rPr>
                <w:rFonts w:ascii="Arial" w:cs="Arial" w:eastAsia="Arial" w:hAnsi="Arial"/>
                <w:sz w:val="18"/>
                <w:szCs w:val="18"/>
                <w:color w:val="auto"/>
              </w:rPr>
              <w:t>221-223 E Houston St (Court Bl)</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 Antonio</w:t>
            </w:r>
          </w:p>
        </w:tc>
        <w:tc>
          <w:tcPr>
            <w:tcW w:w="34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451-5609</w:t>
            </w:r>
          </w:p>
        </w:tc>
        <w:tc>
          <w:tcPr>
            <w:tcW w:w="7760" w:type="dxa"/>
            <w:vAlign w:val="bottom"/>
          </w:tcPr>
          <w:p>
            <w:pPr>
              <w:spacing w:after="0"/>
              <w:rPr>
                <w:sz w:val="20"/>
                <w:szCs w:val="20"/>
                <w:color w:val="auto"/>
              </w:rPr>
            </w:pPr>
            <w:r>
              <w:rPr>
                <w:rFonts w:ascii="Arial" w:cs="Arial" w:eastAsia="Arial" w:hAnsi="Arial"/>
                <w:sz w:val="18"/>
                <w:szCs w:val="18"/>
                <w:color w:val="auto"/>
              </w:rPr>
              <w:t>219 E Houston St (Carl)</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 Antonio</w:t>
            </w:r>
          </w:p>
        </w:tc>
        <w:tc>
          <w:tcPr>
            <w:tcW w:w="340" w:type="dxa"/>
            <w:vAlign w:val="bottom"/>
          </w:tcPr>
          <w:p>
            <w:pPr>
              <w:spacing w:after="0"/>
              <w:rPr>
                <w:sz w:val="20"/>
                <w:szCs w:val="20"/>
                <w:color w:val="auto"/>
              </w:rPr>
            </w:pPr>
            <w:r>
              <w:rPr>
                <w:rFonts w:ascii="Arial" w:cs="Arial" w:eastAsia="Arial" w:hAnsi="Arial"/>
                <w:sz w:val="18"/>
                <w:szCs w:val="18"/>
                <w:color w:val="auto"/>
              </w:rPr>
              <w:t>TX</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451-5610</w:t>
            </w:r>
          </w:p>
        </w:tc>
        <w:tc>
          <w:tcPr>
            <w:tcW w:w="7760" w:type="dxa"/>
            <w:vAlign w:val="bottom"/>
          </w:tcPr>
          <w:p>
            <w:pPr>
              <w:spacing w:after="0"/>
              <w:rPr>
                <w:sz w:val="20"/>
                <w:szCs w:val="20"/>
                <w:color w:val="auto"/>
              </w:rPr>
            </w:pPr>
            <w:r>
              <w:rPr>
                <w:rFonts w:ascii="Arial" w:cs="Arial" w:eastAsia="Arial" w:hAnsi="Arial"/>
                <w:sz w:val="18"/>
                <w:szCs w:val="18"/>
                <w:color w:val="auto"/>
              </w:rPr>
              <w:t>311-315 E Houston St (Kress)</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 Antonio</w:t>
            </w:r>
          </w:p>
        </w:tc>
        <w:tc>
          <w:tcPr>
            <w:tcW w:w="340" w:type="dxa"/>
            <w:vAlign w:val="bottom"/>
          </w:tcPr>
          <w:p>
            <w:pPr>
              <w:spacing w:after="0"/>
              <w:rPr>
                <w:sz w:val="20"/>
                <w:szCs w:val="20"/>
                <w:color w:val="auto"/>
              </w:rPr>
            </w:pPr>
            <w:r>
              <w:rPr>
                <w:rFonts w:ascii="Arial" w:cs="Arial" w:eastAsia="Arial" w:hAnsi="Arial"/>
                <w:sz w:val="18"/>
                <w:szCs w:val="18"/>
                <w:color w:val="auto"/>
              </w:rPr>
              <w:t>TX</w:t>
            </w:r>
          </w:p>
        </w:tc>
      </w:tr>
      <w:tr>
        <w:trPr>
          <w:trHeight w:val="222"/>
        </w:trPr>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451-5611</w:t>
            </w:r>
          </w:p>
        </w:tc>
        <w:tc>
          <w:tcPr>
            <w:tcW w:w="7760" w:type="dxa"/>
            <w:vAlign w:val="bottom"/>
          </w:tcPr>
          <w:p>
            <w:pPr>
              <w:spacing w:after="0"/>
              <w:rPr>
                <w:sz w:val="20"/>
                <w:szCs w:val="20"/>
                <w:color w:val="auto"/>
              </w:rPr>
            </w:pPr>
            <w:r>
              <w:rPr>
                <w:rFonts w:ascii="Arial" w:cs="Arial" w:eastAsia="Arial" w:hAnsi="Arial"/>
                <w:sz w:val="18"/>
                <w:szCs w:val="18"/>
                <w:color w:val="auto"/>
              </w:rPr>
              <w:t>306-308 E Houston St (Stuart)</w:t>
            </w:r>
          </w:p>
        </w:tc>
        <w:tc>
          <w:tcPr>
            <w:tcW w:w="1700" w:type="dxa"/>
            <w:vAlign w:val="bottom"/>
            <w:gridSpan w:val="3"/>
          </w:tcPr>
          <w:p>
            <w:pPr>
              <w:ind w:left="120"/>
              <w:spacing w:after="0"/>
              <w:rPr>
                <w:sz w:val="20"/>
                <w:szCs w:val="20"/>
                <w:color w:val="auto"/>
              </w:rPr>
            </w:pPr>
            <w:r>
              <w:rPr>
                <w:rFonts w:ascii="Arial" w:cs="Arial" w:eastAsia="Arial" w:hAnsi="Arial"/>
                <w:sz w:val="18"/>
                <w:szCs w:val="18"/>
                <w:color w:val="auto"/>
              </w:rPr>
              <w:t>San Antonio</w:t>
            </w:r>
          </w:p>
        </w:tc>
        <w:tc>
          <w:tcPr>
            <w:tcW w:w="340" w:type="dxa"/>
            <w:vAlign w:val="bottom"/>
          </w:tcPr>
          <w:p>
            <w:pPr>
              <w:spacing w:after="0"/>
              <w:rPr>
                <w:sz w:val="20"/>
                <w:szCs w:val="20"/>
                <w:color w:val="auto"/>
              </w:rPr>
            </w:pPr>
            <w:r>
              <w:rPr>
                <w:rFonts w:ascii="Arial" w:cs="Arial" w:eastAsia="Arial" w:hAnsi="Arial"/>
                <w:sz w:val="18"/>
                <w:szCs w:val="18"/>
                <w:color w:val="auto"/>
              </w:rPr>
              <w:t>TX</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4</w:t>
      </w:r>
    </w:p>
    <w:p>
      <w:pPr>
        <w:sectPr>
          <w:pgSz w:w="11900" w:h="16838" w:orient="portrait"/>
          <w:cols w:equalWidth="0" w:num="1">
            <w:col w:w="11420"/>
          </w:cols>
          <w:pgMar w:left="240" w:top="274"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6.1(f)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22, 2011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62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w w:val="89"/>
              </w:rPr>
              <w:t>Property Number</w:t>
            </w:r>
          </w:p>
        </w:tc>
        <w:tc>
          <w:tcPr>
            <w:tcW w:w="1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8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Property</w:t>
            </w:r>
          </w:p>
        </w:tc>
        <w:tc>
          <w:tcPr>
            <w:tcW w:w="120" w:type="dxa"/>
            <w:vAlign w:val="bottom"/>
          </w:tcPr>
          <w:p>
            <w:pPr>
              <w:spacing w:after="0"/>
              <w:rPr>
                <w:sz w:val="14"/>
                <w:szCs w:val="14"/>
                <w:color w:val="auto"/>
              </w:rPr>
            </w:pP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State</w:t>
            </w:r>
          </w:p>
        </w:tc>
      </w:tr>
      <w:tr>
        <w:trPr>
          <w:trHeight w:val="302"/>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500-1010</w:t>
            </w:r>
          </w:p>
        </w:tc>
        <w:tc>
          <w:tcPr>
            <w:tcW w:w="7880" w:type="dxa"/>
            <w:vAlign w:val="bottom"/>
            <w:gridSpan w:val="3"/>
          </w:tcPr>
          <w:p>
            <w:pPr>
              <w:spacing w:after="0"/>
              <w:rPr>
                <w:sz w:val="20"/>
                <w:szCs w:val="20"/>
                <w:color w:val="auto"/>
              </w:rPr>
            </w:pPr>
            <w:r>
              <w:rPr>
                <w:rFonts w:ascii="Arial" w:cs="Arial" w:eastAsia="Arial" w:hAnsi="Arial"/>
                <w:sz w:val="18"/>
                <w:szCs w:val="18"/>
                <w:color w:val="auto"/>
              </w:rPr>
              <w:t>Bala Cynwyd Shopping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Bala Cynwyd</w:t>
            </w:r>
          </w:p>
        </w:tc>
        <w:tc>
          <w:tcPr>
            <w:tcW w:w="34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500-1050</w:t>
            </w:r>
          </w:p>
        </w:tc>
        <w:tc>
          <w:tcPr>
            <w:tcW w:w="7880" w:type="dxa"/>
            <w:vAlign w:val="bottom"/>
            <w:gridSpan w:val="3"/>
          </w:tcPr>
          <w:p>
            <w:pPr>
              <w:spacing w:after="0"/>
              <w:rPr>
                <w:sz w:val="20"/>
                <w:szCs w:val="20"/>
                <w:color w:val="auto"/>
              </w:rPr>
            </w:pPr>
            <w:r>
              <w:rPr>
                <w:rFonts w:ascii="Arial" w:cs="Arial" w:eastAsia="Arial" w:hAnsi="Arial"/>
                <w:sz w:val="18"/>
                <w:szCs w:val="18"/>
                <w:color w:val="auto"/>
              </w:rPr>
              <w:t>Bristol Plaza</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Bristol</w:t>
            </w:r>
          </w:p>
        </w:tc>
        <w:tc>
          <w:tcPr>
            <w:tcW w:w="340" w:type="dxa"/>
            <w:vAlign w:val="bottom"/>
          </w:tcPr>
          <w:p>
            <w:pPr>
              <w:spacing w:after="0"/>
              <w:rPr>
                <w:sz w:val="20"/>
                <w:szCs w:val="20"/>
                <w:color w:val="auto"/>
              </w:rPr>
            </w:pPr>
            <w:r>
              <w:rPr>
                <w:rFonts w:ascii="Arial" w:cs="Arial" w:eastAsia="Arial" w:hAnsi="Arial"/>
                <w:sz w:val="18"/>
                <w:szCs w:val="18"/>
                <w:color w:val="auto"/>
              </w:rPr>
              <w:t>CT</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500-1090</w:t>
            </w:r>
          </w:p>
        </w:tc>
        <w:tc>
          <w:tcPr>
            <w:tcW w:w="7880" w:type="dxa"/>
            <w:vAlign w:val="bottom"/>
            <w:gridSpan w:val="3"/>
          </w:tcPr>
          <w:p>
            <w:pPr>
              <w:spacing w:after="0"/>
              <w:rPr>
                <w:sz w:val="20"/>
                <w:szCs w:val="20"/>
                <w:color w:val="auto"/>
              </w:rPr>
            </w:pPr>
            <w:r>
              <w:rPr>
                <w:rFonts w:ascii="Arial" w:cs="Arial" w:eastAsia="Arial" w:hAnsi="Arial"/>
                <w:sz w:val="18"/>
                <w:szCs w:val="18"/>
                <w:color w:val="auto"/>
              </w:rPr>
              <w:t>Crossroads Shopping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Highland Park</w:t>
            </w:r>
          </w:p>
        </w:tc>
        <w:tc>
          <w:tcPr>
            <w:tcW w:w="340" w:type="dxa"/>
            <w:vAlign w:val="bottom"/>
          </w:tcPr>
          <w:p>
            <w:pPr>
              <w:spacing w:after="0"/>
              <w:rPr>
                <w:sz w:val="20"/>
                <w:szCs w:val="20"/>
                <w:color w:val="auto"/>
              </w:rPr>
            </w:pPr>
            <w:r>
              <w:rPr>
                <w:rFonts w:ascii="Arial" w:cs="Arial" w:eastAsia="Arial" w:hAnsi="Arial"/>
                <w:sz w:val="18"/>
                <w:szCs w:val="18"/>
                <w:color w:val="auto"/>
              </w:rPr>
              <w:t>IL</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500-1097</w:t>
            </w:r>
          </w:p>
        </w:tc>
        <w:tc>
          <w:tcPr>
            <w:tcW w:w="7880" w:type="dxa"/>
            <w:vAlign w:val="bottom"/>
            <w:gridSpan w:val="3"/>
          </w:tcPr>
          <w:p>
            <w:pPr>
              <w:spacing w:after="0"/>
              <w:rPr>
                <w:sz w:val="20"/>
                <w:szCs w:val="20"/>
                <w:color w:val="auto"/>
              </w:rPr>
            </w:pPr>
            <w:r>
              <w:rPr>
                <w:rFonts w:ascii="Arial" w:cs="Arial" w:eastAsia="Arial" w:hAnsi="Arial"/>
                <w:sz w:val="18"/>
                <w:szCs w:val="18"/>
                <w:color w:val="auto"/>
              </w:rPr>
              <w:t>Crow Canyon Crest</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San Ramon</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500-1125</w:t>
            </w:r>
          </w:p>
        </w:tc>
        <w:tc>
          <w:tcPr>
            <w:tcW w:w="7880" w:type="dxa"/>
            <w:vAlign w:val="bottom"/>
            <w:gridSpan w:val="3"/>
          </w:tcPr>
          <w:p>
            <w:pPr>
              <w:spacing w:after="0"/>
              <w:rPr>
                <w:sz w:val="20"/>
                <w:szCs w:val="20"/>
                <w:color w:val="auto"/>
              </w:rPr>
            </w:pPr>
            <w:r>
              <w:rPr>
                <w:rFonts w:ascii="Arial" w:cs="Arial" w:eastAsia="Arial" w:hAnsi="Arial"/>
                <w:sz w:val="18"/>
                <w:szCs w:val="18"/>
                <w:color w:val="auto"/>
              </w:rPr>
              <w:t>Dedham Plaza</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Dedham</w:t>
            </w:r>
          </w:p>
        </w:tc>
        <w:tc>
          <w:tcPr>
            <w:tcW w:w="340" w:type="dxa"/>
            <w:vAlign w:val="bottom"/>
          </w:tcPr>
          <w:p>
            <w:pPr>
              <w:spacing w:after="0"/>
              <w:rPr>
                <w:sz w:val="20"/>
                <w:szCs w:val="20"/>
                <w:color w:val="auto"/>
              </w:rPr>
            </w:pPr>
            <w:r>
              <w:rPr>
                <w:rFonts w:ascii="Arial" w:cs="Arial" w:eastAsia="Arial" w:hAnsi="Arial"/>
                <w:sz w:val="18"/>
                <w:szCs w:val="18"/>
                <w:color w:val="auto"/>
              </w:rPr>
              <w:t>MA</w:t>
            </w:r>
          </w:p>
        </w:tc>
      </w:tr>
      <w:tr>
        <w:trPr>
          <w:trHeight w:val="216"/>
        </w:trPr>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500-1160</w:t>
            </w:r>
          </w:p>
        </w:tc>
        <w:tc>
          <w:tcPr>
            <w:tcW w:w="7880" w:type="dxa"/>
            <w:vAlign w:val="bottom"/>
            <w:gridSpan w:val="3"/>
          </w:tcPr>
          <w:p>
            <w:pPr>
              <w:spacing w:after="0"/>
              <w:rPr>
                <w:sz w:val="20"/>
                <w:szCs w:val="20"/>
                <w:color w:val="auto"/>
              </w:rPr>
            </w:pPr>
            <w:r>
              <w:rPr>
                <w:rFonts w:ascii="Arial" w:cs="Arial" w:eastAsia="Arial" w:hAnsi="Arial"/>
                <w:sz w:val="18"/>
                <w:szCs w:val="18"/>
                <w:color w:val="auto"/>
              </w:rPr>
              <w:t>Eastgate Shopping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Chapel Hill</w:t>
            </w:r>
          </w:p>
        </w:tc>
        <w:tc>
          <w:tcPr>
            <w:tcW w:w="340" w:type="dxa"/>
            <w:vAlign w:val="bottom"/>
          </w:tcPr>
          <w:p>
            <w:pPr>
              <w:spacing w:after="0"/>
              <w:rPr>
                <w:sz w:val="20"/>
                <w:szCs w:val="20"/>
                <w:color w:val="auto"/>
              </w:rPr>
            </w:pPr>
            <w:r>
              <w:rPr>
                <w:rFonts w:ascii="Arial" w:cs="Arial" w:eastAsia="Arial" w:hAnsi="Arial"/>
                <w:sz w:val="18"/>
                <w:szCs w:val="18"/>
                <w:color w:val="auto"/>
              </w:rPr>
              <w:t>NC</w:t>
            </w:r>
          </w:p>
        </w:tc>
      </w:tr>
      <w:tr>
        <w:trPr>
          <w:trHeight w:val="216"/>
        </w:trPr>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500-1180</w:t>
            </w:r>
          </w:p>
        </w:tc>
        <w:tc>
          <w:tcPr>
            <w:tcW w:w="7880" w:type="dxa"/>
            <w:vAlign w:val="bottom"/>
            <w:gridSpan w:val="3"/>
          </w:tcPr>
          <w:p>
            <w:pPr>
              <w:spacing w:after="0"/>
              <w:rPr>
                <w:sz w:val="20"/>
                <w:szCs w:val="20"/>
                <w:color w:val="auto"/>
              </w:rPr>
            </w:pPr>
            <w:r>
              <w:rPr>
                <w:rFonts w:ascii="Arial" w:cs="Arial" w:eastAsia="Arial" w:hAnsi="Arial"/>
                <w:sz w:val="18"/>
                <w:szCs w:val="18"/>
                <w:color w:val="auto"/>
              </w:rPr>
              <w:t>Ellisburg Circle Shopping Ctr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Cherry Hill</w:t>
            </w:r>
          </w:p>
        </w:tc>
        <w:tc>
          <w:tcPr>
            <w:tcW w:w="340" w:type="dxa"/>
            <w:vAlign w:val="bottom"/>
          </w:tcPr>
          <w:p>
            <w:pPr>
              <w:spacing w:after="0"/>
              <w:rPr>
                <w:sz w:val="20"/>
                <w:szCs w:val="20"/>
                <w:color w:val="auto"/>
              </w:rPr>
            </w:pPr>
            <w:r>
              <w:rPr>
                <w:rFonts w:ascii="Arial" w:cs="Arial" w:eastAsia="Arial" w:hAnsi="Arial"/>
                <w:sz w:val="18"/>
                <w:szCs w:val="18"/>
                <w:color w:val="auto"/>
              </w:rPr>
              <w:t>NJ</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500-1200</w:t>
            </w:r>
          </w:p>
        </w:tc>
        <w:tc>
          <w:tcPr>
            <w:tcW w:w="7880" w:type="dxa"/>
            <w:vAlign w:val="bottom"/>
            <w:gridSpan w:val="3"/>
          </w:tcPr>
          <w:p>
            <w:pPr>
              <w:spacing w:after="0"/>
              <w:rPr>
                <w:sz w:val="20"/>
                <w:szCs w:val="20"/>
                <w:color w:val="auto"/>
              </w:rPr>
            </w:pPr>
            <w:r>
              <w:rPr>
                <w:rFonts w:ascii="Arial" w:cs="Arial" w:eastAsia="Arial" w:hAnsi="Arial"/>
                <w:sz w:val="18"/>
                <w:szCs w:val="18"/>
                <w:color w:val="auto"/>
              </w:rPr>
              <w:t>Falls Plaza Shopping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Falls Church</w:t>
            </w: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500-1201</w:t>
            </w:r>
          </w:p>
        </w:tc>
        <w:tc>
          <w:tcPr>
            <w:tcW w:w="7880" w:type="dxa"/>
            <w:vAlign w:val="bottom"/>
            <w:gridSpan w:val="3"/>
          </w:tcPr>
          <w:p>
            <w:pPr>
              <w:spacing w:after="0"/>
              <w:rPr>
                <w:sz w:val="20"/>
                <w:szCs w:val="20"/>
                <w:color w:val="auto"/>
              </w:rPr>
            </w:pPr>
            <w:r>
              <w:rPr>
                <w:rFonts w:ascii="Arial" w:cs="Arial" w:eastAsia="Arial" w:hAnsi="Arial"/>
                <w:sz w:val="18"/>
                <w:szCs w:val="18"/>
                <w:color w:val="auto"/>
              </w:rPr>
              <w:t>Feasterville Shopping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Feasterville</w:t>
            </w:r>
          </w:p>
        </w:tc>
        <w:tc>
          <w:tcPr>
            <w:tcW w:w="34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500-1202</w:t>
            </w:r>
          </w:p>
        </w:tc>
        <w:tc>
          <w:tcPr>
            <w:tcW w:w="7880" w:type="dxa"/>
            <w:vAlign w:val="bottom"/>
            <w:gridSpan w:val="3"/>
          </w:tcPr>
          <w:p>
            <w:pPr>
              <w:spacing w:after="0"/>
              <w:rPr>
                <w:sz w:val="20"/>
                <w:szCs w:val="20"/>
                <w:color w:val="auto"/>
              </w:rPr>
            </w:pPr>
            <w:r>
              <w:rPr>
                <w:rFonts w:ascii="Arial" w:cs="Arial" w:eastAsia="Arial" w:hAnsi="Arial"/>
                <w:sz w:val="18"/>
                <w:szCs w:val="18"/>
                <w:color w:val="auto"/>
              </w:rPr>
              <w:t>Flourtown Shopping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Flourtown</w:t>
            </w:r>
          </w:p>
        </w:tc>
        <w:tc>
          <w:tcPr>
            <w:tcW w:w="34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500-1217</w:t>
            </w:r>
          </w:p>
        </w:tc>
        <w:tc>
          <w:tcPr>
            <w:tcW w:w="7880" w:type="dxa"/>
            <w:vAlign w:val="bottom"/>
            <w:gridSpan w:val="3"/>
          </w:tcPr>
          <w:p>
            <w:pPr>
              <w:spacing w:after="0"/>
              <w:rPr>
                <w:sz w:val="20"/>
                <w:szCs w:val="20"/>
                <w:color w:val="auto"/>
              </w:rPr>
            </w:pPr>
            <w:r>
              <w:rPr>
                <w:rFonts w:ascii="Arial" w:cs="Arial" w:eastAsia="Arial" w:hAnsi="Arial"/>
                <w:sz w:val="18"/>
                <w:szCs w:val="18"/>
                <w:color w:val="auto"/>
              </w:rPr>
              <w:t>Finley Square Shopping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Downers Grove</w:t>
            </w:r>
          </w:p>
        </w:tc>
        <w:tc>
          <w:tcPr>
            <w:tcW w:w="340" w:type="dxa"/>
            <w:vAlign w:val="bottom"/>
          </w:tcPr>
          <w:p>
            <w:pPr>
              <w:spacing w:after="0"/>
              <w:rPr>
                <w:sz w:val="20"/>
                <w:szCs w:val="20"/>
                <w:color w:val="auto"/>
              </w:rPr>
            </w:pPr>
            <w:r>
              <w:rPr>
                <w:rFonts w:ascii="Arial" w:cs="Arial" w:eastAsia="Arial" w:hAnsi="Arial"/>
                <w:sz w:val="18"/>
                <w:szCs w:val="18"/>
                <w:color w:val="auto"/>
              </w:rPr>
              <w:t>IL</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500-1220</w:t>
            </w:r>
          </w:p>
        </w:tc>
        <w:tc>
          <w:tcPr>
            <w:tcW w:w="7880" w:type="dxa"/>
            <w:vAlign w:val="bottom"/>
            <w:gridSpan w:val="3"/>
          </w:tcPr>
          <w:p>
            <w:pPr>
              <w:spacing w:after="0"/>
              <w:rPr>
                <w:sz w:val="20"/>
                <w:szCs w:val="20"/>
                <w:color w:val="auto"/>
              </w:rPr>
            </w:pPr>
            <w:r>
              <w:rPr>
                <w:rFonts w:ascii="Arial" w:cs="Arial" w:eastAsia="Arial" w:hAnsi="Arial"/>
                <w:sz w:val="18"/>
                <w:szCs w:val="18"/>
                <w:color w:val="auto"/>
              </w:rPr>
              <w:t>Gratiot Plaza</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Rosevile</w:t>
            </w:r>
          </w:p>
        </w:tc>
        <w:tc>
          <w:tcPr>
            <w:tcW w:w="340" w:type="dxa"/>
            <w:vAlign w:val="bottom"/>
          </w:tcPr>
          <w:p>
            <w:pPr>
              <w:spacing w:after="0"/>
              <w:rPr>
                <w:sz w:val="20"/>
                <w:szCs w:val="20"/>
                <w:color w:val="auto"/>
              </w:rPr>
            </w:pPr>
            <w:r>
              <w:rPr>
                <w:rFonts w:ascii="Arial" w:cs="Arial" w:eastAsia="Arial" w:hAnsi="Arial"/>
                <w:sz w:val="18"/>
                <w:szCs w:val="18"/>
                <w:color w:val="auto"/>
              </w:rPr>
              <w:t>MI</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500-1235</w:t>
            </w:r>
          </w:p>
        </w:tc>
        <w:tc>
          <w:tcPr>
            <w:tcW w:w="7880" w:type="dxa"/>
            <w:vAlign w:val="bottom"/>
            <w:gridSpan w:val="3"/>
          </w:tcPr>
          <w:p>
            <w:pPr>
              <w:spacing w:after="0"/>
              <w:rPr>
                <w:sz w:val="20"/>
                <w:szCs w:val="20"/>
                <w:color w:val="auto"/>
              </w:rPr>
            </w:pPr>
            <w:r>
              <w:rPr>
                <w:rFonts w:ascii="Arial" w:cs="Arial" w:eastAsia="Arial" w:hAnsi="Arial"/>
                <w:sz w:val="18"/>
                <w:szCs w:val="18"/>
                <w:color w:val="auto"/>
              </w:rPr>
              <w:t>Gaithersburg Square Shopping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Gaithersburg</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500-1236</w:t>
            </w:r>
          </w:p>
        </w:tc>
        <w:tc>
          <w:tcPr>
            <w:tcW w:w="7880" w:type="dxa"/>
            <w:vAlign w:val="bottom"/>
            <w:gridSpan w:val="3"/>
          </w:tcPr>
          <w:p>
            <w:pPr>
              <w:spacing w:after="0"/>
              <w:rPr>
                <w:sz w:val="20"/>
                <w:szCs w:val="20"/>
                <w:color w:val="auto"/>
              </w:rPr>
            </w:pPr>
            <w:r>
              <w:rPr>
                <w:rFonts w:ascii="Arial" w:cs="Arial" w:eastAsia="Arial" w:hAnsi="Arial"/>
                <w:sz w:val="18"/>
                <w:szCs w:val="18"/>
                <w:color w:val="auto"/>
              </w:rPr>
              <w:t>Gaithersburg Square Office Bld</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Gaithersburg</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500-1245</w:t>
            </w:r>
          </w:p>
        </w:tc>
        <w:tc>
          <w:tcPr>
            <w:tcW w:w="7880" w:type="dxa"/>
            <w:vAlign w:val="bottom"/>
            <w:gridSpan w:val="3"/>
          </w:tcPr>
          <w:p>
            <w:pPr>
              <w:spacing w:after="0"/>
              <w:rPr>
                <w:sz w:val="20"/>
                <w:szCs w:val="20"/>
                <w:color w:val="auto"/>
              </w:rPr>
            </w:pPr>
            <w:r>
              <w:rPr>
                <w:rFonts w:ascii="Arial" w:cs="Arial" w:eastAsia="Arial" w:hAnsi="Arial"/>
                <w:sz w:val="18"/>
                <w:szCs w:val="18"/>
                <w:color w:val="auto"/>
              </w:rPr>
              <w:t>Garden Market Shopping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Western Springs</w:t>
            </w:r>
          </w:p>
        </w:tc>
        <w:tc>
          <w:tcPr>
            <w:tcW w:w="340" w:type="dxa"/>
            <w:vAlign w:val="bottom"/>
          </w:tcPr>
          <w:p>
            <w:pPr>
              <w:spacing w:after="0"/>
              <w:rPr>
                <w:sz w:val="20"/>
                <w:szCs w:val="20"/>
                <w:color w:val="auto"/>
              </w:rPr>
            </w:pPr>
            <w:r>
              <w:rPr>
                <w:rFonts w:ascii="Arial" w:cs="Arial" w:eastAsia="Arial" w:hAnsi="Arial"/>
                <w:sz w:val="18"/>
                <w:szCs w:val="18"/>
                <w:color w:val="auto"/>
              </w:rPr>
              <w:t>IL</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500-1326</w:t>
            </w:r>
          </w:p>
        </w:tc>
        <w:tc>
          <w:tcPr>
            <w:tcW w:w="7880" w:type="dxa"/>
            <w:vAlign w:val="bottom"/>
            <w:gridSpan w:val="3"/>
          </w:tcPr>
          <w:p>
            <w:pPr>
              <w:spacing w:after="0"/>
              <w:rPr>
                <w:sz w:val="20"/>
                <w:szCs w:val="20"/>
                <w:color w:val="auto"/>
              </w:rPr>
            </w:pPr>
            <w:r>
              <w:rPr>
                <w:rFonts w:ascii="Arial" w:cs="Arial" w:eastAsia="Arial" w:hAnsi="Arial"/>
                <w:sz w:val="18"/>
                <w:szCs w:val="18"/>
                <w:color w:val="auto"/>
              </w:rPr>
              <w:t>Huntington Shopping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Huntington</w:t>
            </w:r>
          </w:p>
        </w:tc>
        <w:tc>
          <w:tcPr>
            <w:tcW w:w="340" w:type="dxa"/>
            <w:vAlign w:val="bottom"/>
          </w:tcPr>
          <w:p>
            <w:pPr>
              <w:spacing w:after="0"/>
              <w:rPr>
                <w:sz w:val="20"/>
                <w:szCs w:val="20"/>
                <w:color w:val="auto"/>
              </w:rPr>
            </w:pPr>
            <w:r>
              <w:rPr>
                <w:rFonts w:ascii="Arial" w:cs="Arial" w:eastAsia="Arial" w:hAnsi="Arial"/>
                <w:sz w:val="18"/>
                <w:szCs w:val="18"/>
                <w:color w:val="auto"/>
              </w:rPr>
              <w:t>NY</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500-1440</w:t>
            </w:r>
          </w:p>
        </w:tc>
        <w:tc>
          <w:tcPr>
            <w:tcW w:w="7880" w:type="dxa"/>
            <w:vAlign w:val="bottom"/>
            <w:gridSpan w:val="3"/>
          </w:tcPr>
          <w:p>
            <w:pPr>
              <w:spacing w:after="0"/>
              <w:rPr>
                <w:sz w:val="20"/>
                <w:szCs w:val="20"/>
                <w:color w:val="auto"/>
              </w:rPr>
            </w:pPr>
            <w:r>
              <w:rPr>
                <w:rFonts w:ascii="Arial" w:cs="Arial" w:eastAsia="Arial" w:hAnsi="Arial"/>
                <w:sz w:val="18"/>
                <w:szCs w:val="18"/>
                <w:color w:val="auto"/>
              </w:rPr>
              <w:t>Lancaster Shopping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Lancaster</w:t>
            </w:r>
          </w:p>
        </w:tc>
        <w:tc>
          <w:tcPr>
            <w:tcW w:w="34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500-1441</w:t>
            </w:r>
          </w:p>
        </w:tc>
        <w:tc>
          <w:tcPr>
            <w:tcW w:w="7880" w:type="dxa"/>
            <w:vAlign w:val="bottom"/>
            <w:gridSpan w:val="3"/>
          </w:tcPr>
          <w:p>
            <w:pPr>
              <w:spacing w:after="0"/>
              <w:rPr>
                <w:sz w:val="20"/>
                <w:szCs w:val="20"/>
                <w:color w:val="auto"/>
              </w:rPr>
            </w:pPr>
            <w:r>
              <w:rPr>
                <w:rFonts w:ascii="Arial" w:cs="Arial" w:eastAsia="Arial" w:hAnsi="Arial"/>
                <w:sz w:val="18"/>
                <w:szCs w:val="18"/>
                <w:color w:val="auto"/>
              </w:rPr>
              <w:t>Langhorne Square S C</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Levitttown</w:t>
            </w:r>
          </w:p>
        </w:tc>
        <w:tc>
          <w:tcPr>
            <w:tcW w:w="34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500-1443</w:t>
            </w:r>
          </w:p>
        </w:tc>
        <w:tc>
          <w:tcPr>
            <w:tcW w:w="7880" w:type="dxa"/>
            <w:vAlign w:val="bottom"/>
            <w:gridSpan w:val="3"/>
          </w:tcPr>
          <w:p>
            <w:pPr>
              <w:spacing w:after="0"/>
              <w:rPr>
                <w:sz w:val="20"/>
                <w:szCs w:val="20"/>
                <w:color w:val="auto"/>
              </w:rPr>
            </w:pPr>
            <w:r>
              <w:rPr>
                <w:rFonts w:ascii="Arial" w:cs="Arial" w:eastAsia="Arial" w:hAnsi="Arial"/>
                <w:sz w:val="18"/>
                <w:szCs w:val="18"/>
                <w:color w:val="auto"/>
              </w:rPr>
              <w:t>Laurel Shopping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Laurel</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500-1475</w:t>
            </w:r>
          </w:p>
        </w:tc>
        <w:tc>
          <w:tcPr>
            <w:tcW w:w="7880" w:type="dxa"/>
            <w:vAlign w:val="bottom"/>
            <w:gridSpan w:val="3"/>
          </w:tcPr>
          <w:p>
            <w:pPr>
              <w:spacing w:after="0"/>
              <w:rPr>
                <w:sz w:val="20"/>
                <w:szCs w:val="20"/>
                <w:color w:val="auto"/>
              </w:rPr>
            </w:pPr>
            <w:r>
              <w:rPr>
                <w:rFonts w:ascii="Arial" w:cs="Arial" w:eastAsia="Arial" w:hAnsi="Arial"/>
                <w:sz w:val="18"/>
                <w:szCs w:val="18"/>
                <w:color w:val="auto"/>
              </w:rPr>
              <w:t>Mercer Mall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Lawrenceville</w:t>
            </w:r>
          </w:p>
        </w:tc>
        <w:tc>
          <w:tcPr>
            <w:tcW w:w="340" w:type="dxa"/>
            <w:vAlign w:val="bottom"/>
          </w:tcPr>
          <w:p>
            <w:pPr>
              <w:spacing w:after="0"/>
              <w:rPr>
                <w:sz w:val="20"/>
                <w:szCs w:val="20"/>
                <w:color w:val="auto"/>
              </w:rPr>
            </w:pPr>
            <w:r>
              <w:rPr>
                <w:rFonts w:ascii="Arial" w:cs="Arial" w:eastAsia="Arial" w:hAnsi="Arial"/>
                <w:sz w:val="18"/>
                <w:szCs w:val="18"/>
                <w:color w:val="auto"/>
              </w:rPr>
              <w:t>NJ</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500-1476</w:t>
            </w:r>
          </w:p>
        </w:tc>
        <w:tc>
          <w:tcPr>
            <w:tcW w:w="7880" w:type="dxa"/>
            <w:vAlign w:val="bottom"/>
            <w:gridSpan w:val="3"/>
          </w:tcPr>
          <w:p>
            <w:pPr>
              <w:spacing w:after="0"/>
              <w:rPr>
                <w:sz w:val="20"/>
                <w:szCs w:val="20"/>
                <w:color w:val="auto"/>
              </w:rPr>
            </w:pPr>
            <w:r>
              <w:rPr>
                <w:rFonts w:ascii="Arial" w:cs="Arial" w:eastAsia="Arial" w:hAnsi="Arial"/>
                <w:sz w:val="18"/>
                <w:szCs w:val="18"/>
                <w:color w:val="auto"/>
              </w:rPr>
              <w:t>Mercer Mall-Loupinski/Moore</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Lawrenceville</w:t>
            </w:r>
          </w:p>
        </w:tc>
        <w:tc>
          <w:tcPr>
            <w:tcW w:w="340" w:type="dxa"/>
            <w:vAlign w:val="bottom"/>
          </w:tcPr>
          <w:p>
            <w:pPr>
              <w:spacing w:after="0"/>
              <w:rPr>
                <w:sz w:val="20"/>
                <w:szCs w:val="20"/>
                <w:color w:val="auto"/>
              </w:rPr>
            </w:pPr>
            <w:r>
              <w:rPr>
                <w:rFonts w:ascii="Arial" w:cs="Arial" w:eastAsia="Arial" w:hAnsi="Arial"/>
                <w:sz w:val="18"/>
                <w:szCs w:val="18"/>
                <w:color w:val="auto"/>
              </w:rPr>
              <w:t>NJ</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500-1480</w:t>
            </w:r>
          </w:p>
        </w:tc>
        <w:tc>
          <w:tcPr>
            <w:tcW w:w="7880" w:type="dxa"/>
            <w:vAlign w:val="bottom"/>
            <w:gridSpan w:val="3"/>
          </w:tcPr>
          <w:p>
            <w:pPr>
              <w:spacing w:after="0"/>
              <w:rPr>
                <w:sz w:val="20"/>
                <w:szCs w:val="20"/>
                <w:color w:val="auto"/>
              </w:rPr>
            </w:pPr>
            <w:r>
              <w:rPr>
                <w:rFonts w:ascii="Arial" w:cs="Arial" w:eastAsia="Arial" w:hAnsi="Arial"/>
                <w:sz w:val="18"/>
                <w:szCs w:val="18"/>
                <w:color w:val="auto"/>
              </w:rPr>
              <w:t>Mid-Pike Plaza</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Rockville</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500-1500</w:t>
            </w:r>
          </w:p>
        </w:tc>
        <w:tc>
          <w:tcPr>
            <w:tcW w:w="7880" w:type="dxa"/>
            <w:vAlign w:val="bottom"/>
            <w:gridSpan w:val="3"/>
          </w:tcPr>
          <w:p>
            <w:pPr>
              <w:spacing w:after="0"/>
              <w:rPr>
                <w:sz w:val="20"/>
                <w:szCs w:val="20"/>
                <w:color w:val="auto"/>
              </w:rPr>
            </w:pPr>
            <w:r>
              <w:rPr>
                <w:rFonts w:ascii="Arial" w:cs="Arial" w:eastAsia="Arial" w:hAnsi="Arial"/>
                <w:sz w:val="18"/>
                <w:szCs w:val="18"/>
                <w:color w:val="auto"/>
              </w:rPr>
              <w:t>Town Center of New Britain</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New Britain</w:t>
            </w:r>
          </w:p>
        </w:tc>
        <w:tc>
          <w:tcPr>
            <w:tcW w:w="34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500-1520</w:t>
            </w:r>
          </w:p>
        </w:tc>
        <w:tc>
          <w:tcPr>
            <w:tcW w:w="7880" w:type="dxa"/>
            <w:vAlign w:val="bottom"/>
            <w:gridSpan w:val="3"/>
          </w:tcPr>
          <w:p>
            <w:pPr>
              <w:spacing w:after="0"/>
              <w:rPr>
                <w:sz w:val="20"/>
                <w:szCs w:val="20"/>
                <w:color w:val="auto"/>
              </w:rPr>
            </w:pPr>
            <w:r>
              <w:rPr>
                <w:rFonts w:ascii="Arial" w:cs="Arial" w:eastAsia="Arial" w:hAnsi="Arial"/>
                <w:sz w:val="18"/>
                <w:szCs w:val="18"/>
                <w:color w:val="auto"/>
              </w:rPr>
              <w:t>Northeast Shopping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Philadelphia</w:t>
            </w:r>
          </w:p>
        </w:tc>
        <w:tc>
          <w:tcPr>
            <w:tcW w:w="340" w:type="dxa"/>
            <w:vAlign w:val="bottom"/>
          </w:tcPr>
          <w:p>
            <w:pPr>
              <w:spacing w:after="0"/>
              <w:rPr>
                <w:sz w:val="20"/>
                <w:szCs w:val="20"/>
                <w:color w:val="auto"/>
              </w:rPr>
            </w:pPr>
            <w:r>
              <w:rPr>
                <w:rFonts w:ascii="Arial" w:cs="Arial" w:eastAsia="Arial" w:hAnsi="Arial"/>
                <w:sz w:val="18"/>
                <w:szCs w:val="18"/>
                <w:color w:val="auto"/>
              </w:rPr>
              <w:t>PA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500-1525</w:t>
            </w:r>
          </w:p>
        </w:tc>
        <w:tc>
          <w:tcPr>
            <w:tcW w:w="7880" w:type="dxa"/>
            <w:vAlign w:val="bottom"/>
            <w:gridSpan w:val="3"/>
          </w:tcPr>
          <w:p>
            <w:pPr>
              <w:spacing w:after="0"/>
              <w:rPr>
                <w:sz w:val="20"/>
                <w:szCs w:val="20"/>
                <w:color w:val="auto"/>
              </w:rPr>
            </w:pPr>
            <w:r>
              <w:rPr>
                <w:rFonts w:ascii="Arial" w:cs="Arial" w:eastAsia="Arial" w:hAnsi="Arial"/>
                <w:sz w:val="18"/>
                <w:szCs w:val="18"/>
                <w:color w:val="auto"/>
              </w:rPr>
              <w:t>North Lake Commons</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Lake Zurich</w:t>
            </w:r>
          </w:p>
        </w:tc>
        <w:tc>
          <w:tcPr>
            <w:tcW w:w="340" w:type="dxa"/>
            <w:vAlign w:val="bottom"/>
          </w:tcPr>
          <w:p>
            <w:pPr>
              <w:spacing w:after="0"/>
              <w:rPr>
                <w:sz w:val="20"/>
                <w:szCs w:val="20"/>
                <w:color w:val="auto"/>
              </w:rPr>
            </w:pPr>
            <w:r>
              <w:rPr>
                <w:rFonts w:ascii="Arial" w:cs="Arial" w:eastAsia="Arial" w:hAnsi="Arial"/>
                <w:sz w:val="18"/>
                <w:szCs w:val="18"/>
                <w:color w:val="auto"/>
              </w:rPr>
              <w:t>IL</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500-1560</w:t>
            </w:r>
          </w:p>
        </w:tc>
        <w:tc>
          <w:tcPr>
            <w:tcW w:w="7880" w:type="dxa"/>
            <w:vAlign w:val="bottom"/>
            <w:gridSpan w:val="3"/>
          </w:tcPr>
          <w:p>
            <w:pPr>
              <w:spacing w:after="0"/>
              <w:rPr>
                <w:sz w:val="20"/>
                <w:szCs w:val="20"/>
                <w:color w:val="auto"/>
              </w:rPr>
            </w:pPr>
            <w:r>
              <w:rPr>
                <w:rFonts w:ascii="Arial" w:cs="Arial" w:eastAsia="Arial" w:hAnsi="Arial"/>
                <w:sz w:val="18"/>
                <w:szCs w:val="18"/>
                <w:color w:val="auto"/>
              </w:rPr>
              <w:t>Old Keene Mill Shopping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Springfield</w:t>
            </w: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500-1580</w:t>
            </w:r>
          </w:p>
        </w:tc>
        <w:tc>
          <w:tcPr>
            <w:tcW w:w="7880" w:type="dxa"/>
            <w:vAlign w:val="bottom"/>
            <w:gridSpan w:val="3"/>
          </w:tcPr>
          <w:p>
            <w:pPr>
              <w:spacing w:after="0"/>
              <w:rPr>
                <w:sz w:val="20"/>
                <w:szCs w:val="20"/>
                <w:color w:val="auto"/>
              </w:rPr>
            </w:pPr>
            <w:r>
              <w:rPr>
                <w:rFonts w:ascii="Arial" w:cs="Arial" w:eastAsia="Arial" w:hAnsi="Arial"/>
                <w:sz w:val="18"/>
                <w:szCs w:val="18"/>
                <w:color w:val="auto"/>
              </w:rPr>
              <w:t>Pan Am Shopping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Fairfax</w:t>
            </w: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500-1610</w:t>
            </w:r>
          </w:p>
        </w:tc>
        <w:tc>
          <w:tcPr>
            <w:tcW w:w="7880" w:type="dxa"/>
            <w:vAlign w:val="bottom"/>
            <w:gridSpan w:val="3"/>
          </w:tcPr>
          <w:p>
            <w:pPr>
              <w:spacing w:after="0"/>
              <w:rPr>
                <w:sz w:val="20"/>
                <w:szCs w:val="20"/>
                <w:color w:val="auto"/>
              </w:rPr>
            </w:pPr>
            <w:r>
              <w:rPr>
                <w:rFonts w:ascii="Arial" w:cs="Arial" w:eastAsia="Arial" w:hAnsi="Arial"/>
                <w:sz w:val="18"/>
                <w:szCs w:val="18"/>
                <w:color w:val="auto"/>
              </w:rPr>
              <w:t>Queen Anne Plaza</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Norwell</w:t>
            </w:r>
          </w:p>
        </w:tc>
        <w:tc>
          <w:tcPr>
            <w:tcW w:w="340" w:type="dxa"/>
            <w:vAlign w:val="bottom"/>
          </w:tcPr>
          <w:p>
            <w:pPr>
              <w:spacing w:after="0"/>
              <w:rPr>
                <w:sz w:val="20"/>
                <w:szCs w:val="20"/>
                <w:color w:val="auto"/>
              </w:rPr>
            </w:pPr>
            <w:r>
              <w:rPr>
                <w:rFonts w:ascii="Arial" w:cs="Arial" w:eastAsia="Arial" w:hAnsi="Arial"/>
                <w:sz w:val="18"/>
                <w:szCs w:val="18"/>
                <w:color w:val="auto"/>
              </w:rPr>
              <w:t>MA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500-1625</w:t>
            </w:r>
          </w:p>
        </w:tc>
        <w:tc>
          <w:tcPr>
            <w:tcW w:w="7880" w:type="dxa"/>
            <w:vAlign w:val="bottom"/>
            <w:gridSpan w:val="3"/>
          </w:tcPr>
          <w:p>
            <w:pPr>
              <w:spacing w:after="0"/>
              <w:rPr>
                <w:sz w:val="20"/>
                <w:szCs w:val="20"/>
                <w:color w:val="auto"/>
              </w:rPr>
            </w:pPr>
            <w:r>
              <w:rPr>
                <w:rFonts w:ascii="Arial" w:cs="Arial" w:eastAsia="Arial" w:hAnsi="Arial"/>
                <w:sz w:val="18"/>
                <w:szCs w:val="18"/>
                <w:color w:val="auto"/>
              </w:rPr>
              <w:t>Quince Orchard Shopping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Gaithersburg</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500-1626</w:t>
            </w:r>
          </w:p>
        </w:tc>
        <w:tc>
          <w:tcPr>
            <w:tcW w:w="7880" w:type="dxa"/>
            <w:vAlign w:val="bottom"/>
            <w:gridSpan w:val="3"/>
          </w:tcPr>
          <w:p>
            <w:pPr>
              <w:spacing w:after="0"/>
              <w:rPr>
                <w:sz w:val="20"/>
                <w:szCs w:val="20"/>
                <w:color w:val="auto"/>
              </w:rPr>
            </w:pPr>
            <w:r>
              <w:rPr>
                <w:rFonts w:ascii="Arial" w:cs="Arial" w:eastAsia="Arial" w:hAnsi="Arial"/>
                <w:sz w:val="18"/>
                <w:szCs w:val="18"/>
                <w:color w:val="auto"/>
              </w:rPr>
              <w:t>Quince Orchard Office Building</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Gaithersburg</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500-1627</w:t>
            </w:r>
          </w:p>
        </w:tc>
        <w:tc>
          <w:tcPr>
            <w:tcW w:w="7880" w:type="dxa"/>
            <w:vAlign w:val="bottom"/>
            <w:gridSpan w:val="3"/>
          </w:tcPr>
          <w:p>
            <w:pPr>
              <w:spacing w:after="0"/>
              <w:rPr>
                <w:sz w:val="20"/>
                <w:szCs w:val="20"/>
                <w:color w:val="auto"/>
              </w:rPr>
            </w:pPr>
            <w:r>
              <w:rPr>
                <w:rFonts w:ascii="Arial" w:cs="Arial" w:eastAsia="Arial" w:hAnsi="Arial"/>
                <w:sz w:val="18"/>
                <w:szCs w:val="18"/>
                <w:color w:val="auto"/>
              </w:rPr>
              <w:t>7770 Richmond Highway</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Alexandria</w:t>
            </w: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500-1700</w:t>
            </w:r>
          </w:p>
        </w:tc>
        <w:tc>
          <w:tcPr>
            <w:tcW w:w="7880" w:type="dxa"/>
            <w:vAlign w:val="bottom"/>
            <w:gridSpan w:val="3"/>
          </w:tcPr>
          <w:p>
            <w:pPr>
              <w:spacing w:after="0"/>
              <w:rPr>
                <w:sz w:val="20"/>
                <w:szCs w:val="20"/>
                <w:color w:val="auto"/>
              </w:rPr>
            </w:pPr>
            <w:r>
              <w:rPr>
                <w:rFonts w:ascii="Arial" w:cs="Arial" w:eastAsia="Arial" w:hAnsi="Arial"/>
                <w:sz w:val="18"/>
                <w:szCs w:val="18"/>
                <w:color w:val="auto"/>
              </w:rPr>
              <w:t>Saugus Plaza</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Saugus</w:t>
            </w:r>
          </w:p>
        </w:tc>
        <w:tc>
          <w:tcPr>
            <w:tcW w:w="340" w:type="dxa"/>
            <w:vAlign w:val="bottom"/>
          </w:tcPr>
          <w:p>
            <w:pPr>
              <w:spacing w:after="0"/>
              <w:rPr>
                <w:sz w:val="20"/>
                <w:szCs w:val="20"/>
                <w:color w:val="auto"/>
              </w:rPr>
            </w:pPr>
            <w:r>
              <w:rPr>
                <w:rFonts w:ascii="Arial" w:cs="Arial" w:eastAsia="Arial" w:hAnsi="Arial"/>
                <w:sz w:val="18"/>
                <w:szCs w:val="18"/>
                <w:color w:val="auto"/>
              </w:rPr>
              <w:t>MA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500-1750</w:t>
            </w:r>
          </w:p>
        </w:tc>
        <w:tc>
          <w:tcPr>
            <w:tcW w:w="7880" w:type="dxa"/>
            <w:vAlign w:val="bottom"/>
            <w:gridSpan w:val="3"/>
          </w:tcPr>
          <w:p>
            <w:pPr>
              <w:spacing w:after="0"/>
              <w:rPr>
                <w:sz w:val="20"/>
                <w:szCs w:val="20"/>
                <w:color w:val="auto"/>
              </w:rPr>
            </w:pPr>
            <w:r>
              <w:rPr>
                <w:rFonts w:ascii="Arial" w:cs="Arial" w:eastAsia="Arial" w:hAnsi="Arial"/>
                <w:sz w:val="18"/>
                <w:szCs w:val="18"/>
                <w:color w:val="auto"/>
              </w:rPr>
              <w:t>Tower Shopping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Springfield</w:t>
            </w: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500-1761</w:t>
            </w:r>
          </w:p>
        </w:tc>
        <w:tc>
          <w:tcPr>
            <w:tcW w:w="7880" w:type="dxa"/>
            <w:vAlign w:val="bottom"/>
            <w:gridSpan w:val="3"/>
          </w:tcPr>
          <w:p>
            <w:pPr>
              <w:spacing w:after="0"/>
              <w:rPr>
                <w:sz w:val="20"/>
                <w:szCs w:val="20"/>
                <w:color w:val="auto"/>
              </w:rPr>
            </w:pPr>
            <w:r>
              <w:rPr>
                <w:rFonts w:ascii="Arial" w:cs="Arial" w:eastAsia="Arial" w:hAnsi="Arial"/>
                <w:sz w:val="18"/>
                <w:szCs w:val="18"/>
                <w:color w:val="auto"/>
              </w:rPr>
              <w:t>Troy Shopping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Parsippany-Troy</w:t>
            </w:r>
          </w:p>
        </w:tc>
        <w:tc>
          <w:tcPr>
            <w:tcW w:w="340" w:type="dxa"/>
            <w:vAlign w:val="bottom"/>
          </w:tcPr>
          <w:p>
            <w:pPr>
              <w:spacing w:after="0"/>
              <w:rPr>
                <w:sz w:val="20"/>
                <w:szCs w:val="20"/>
                <w:color w:val="auto"/>
              </w:rPr>
            </w:pPr>
            <w:r>
              <w:rPr>
                <w:rFonts w:ascii="Arial" w:cs="Arial" w:eastAsia="Arial" w:hAnsi="Arial"/>
                <w:sz w:val="18"/>
                <w:szCs w:val="18"/>
                <w:color w:val="auto"/>
              </w:rPr>
              <w:t>NJ</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500-1763</w:t>
            </w:r>
          </w:p>
        </w:tc>
        <w:tc>
          <w:tcPr>
            <w:tcW w:w="7880" w:type="dxa"/>
            <w:vAlign w:val="bottom"/>
            <w:gridSpan w:val="3"/>
          </w:tcPr>
          <w:p>
            <w:pPr>
              <w:spacing w:after="0"/>
              <w:rPr>
                <w:sz w:val="20"/>
                <w:szCs w:val="20"/>
                <w:color w:val="auto"/>
              </w:rPr>
            </w:pPr>
            <w:r>
              <w:rPr>
                <w:rFonts w:ascii="Arial" w:cs="Arial" w:eastAsia="Arial" w:hAnsi="Arial"/>
                <w:sz w:val="18"/>
                <w:szCs w:val="18"/>
                <w:color w:val="auto"/>
              </w:rPr>
              <w:t>Tysons Station Shopping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Falls Church</w:t>
            </w: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500-1880</w:t>
            </w:r>
          </w:p>
        </w:tc>
        <w:tc>
          <w:tcPr>
            <w:tcW w:w="7880" w:type="dxa"/>
            <w:vAlign w:val="bottom"/>
            <w:gridSpan w:val="3"/>
          </w:tcPr>
          <w:p>
            <w:pPr>
              <w:spacing w:after="0"/>
              <w:rPr>
                <w:sz w:val="20"/>
                <w:szCs w:val="20"/>
                <w:color w:val="auto"/>
              </w:rPr>
            </w:pPr>
            <w:r>
              <w:rPr>
                <w:rFonts w:ascii="Arial" w:cs="Arial" w:eastAsia="Arial" w:hAnsi="Arial"/>
                <w:sz w:val="18"/>
                <w:szCs w:val="18"/>
                <w:color w:val="auto"/>
              </w:rPr>
              <w:t>Falls Plaza - East</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Falls Church</w:t>
            </w: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500-1883</w:t>
            </w:r>
          </w:p>
        </w:tc>
        <w:tc>
          <w:tcPr>
            <w:tcW w:w="7880" w:type="dxa"/>
            <w:vAlign w:val="bottom"/>
            <w:gridSpan w:val="3"/>
          </w:tcPr>
          <w:p>
            <w:pPr>
              <w:spacing w:after="0"/>
              <w:rPr>
                <w:sz w:val="20"/>
                <w:szCs w:val="20"/>
                <w:color w:val="auto"/>
              </w:rPr>
            </w:pPr>
            <w:r>
              <w:rPr>
                <w:rFonts w:ascii="Arial" w:cs="Arial" w:eastAsia="Arial" w:hAnsi="Arial"/>
                <w:sz w:val="18"/>
                <w:szCs w:val="18"/>
                <w:color w:val="auto"/>
              </w:rPr>
              <w:t>The Shops at Willow Lawn</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Richmond</w:t>
            </w: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22"/>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500-1889</w:t>
            </w:r>
          </w:p>
        </w:tc>
        <w:tc>
          <w:tcPr>
            <w:tcW w:w="7880" w:type="dxa"/>
            <w:vAlign w:val="bottom"/>
            <w:gridSpan w:val="3"/>
          </w:tcPr>
          <w:p>
            <w:pPr>
              <w:spacing w:after="0"/>
              <w:rPr>
                <w:sz w:val="20"/>
                <w:szCs w:val="20"/>
                <w:color w:val="auto"/>
              </w:rPr>
            </w:pPr>
            <w:r>
              <w:rPr>
                <w:rFonts w:ascii="Arial" w:cs="Arial" w:eastAsia="Arial" w:hAnsi="Arial"/>
                <w:sz w:val="18"/>
                <w:szCs w:val="18"/>
                <w:color w:val="auto"/>
              </w:rPr>
              <w:t>Willow Grove Shopping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Willow Grove</w:t>
            </w:r>
          </w:p>
        </w:tc>
        <w:tc>
          <w:tcPr>
            <w:tcW w:w="340" w:type="dxa"/>
            <w:vAlign w:val="bottom"/>
          </w:tcPr>
          <w:p>
            <w:pPr>
              <w:spacing w:after="0"/>
              <w:rPr>
                <w:sz w:val="20"/>
                <w:szCs w:val="20"/>
                <w:color w:val="auto"/>
              </w:rPr>
            </w:pPr>
            <w:r>
              <w:rPr>
                <w:rFonts w:ascii="Arial" w:cs="Arial" w:eastAsia="Arial" w:hAnsi="Arial"/>
                <w:sz w:val="18"/>
                <w:szCs w:val="18"/>
                <w:color w:val="auto"/>
              </w:rPr>
              <w:t>PA</w:t>
            </w:r>
          </w:p>
        </w:tc>
      </w:tr>
      <w:tr>
        <w:trPr>
          <w:trHeight w:val="286"/>
        </w:trPr>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Controlled Properties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28"/>
        </w:trPr>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110-1605</w:t>
            </w: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Pike 7</w:t>
            </w:r>
          </w:p>
        </w:tc>
        <w:tc>
          <w:tcPr>
            <w:tcW w:w="6260" w:type="dxa"/>
            <w:vAlign w:val="bottom"/>
            <w:gridSpan w:val="2"/>
          </w:tcPr>
          <w:p>
            <w:pPr>
              <w:spacing w:after="0"/>
              <w:rPr>
                <w:sz w:val="19"/>
                <w:szCs w:val="19"/>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Vienna</w:t>
            </w: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490-1085</w:t>
            </w:r>
          </w:p>
        </w:tc>
        <w:tc>
          <w:tcPr>
            <w:tcW w:w="7880" w:type="dxa"/>
            <w:vAlign w:val="bottom"/>
            <w:gridSpan w:val="3"/>
          </w:tcPr>
          <w:p>
            <w:pPr>
              <w:spacing w:after="0"/>
              <w:rPr>
                <w:sz w:val="20"/>
                <w:szCs w:val="20"/>
                <w:color w:val="auto"/>
              </w:rPr>
            </w:pPr>
            <w:r>
              <w:rPr>
                <w:rFonts w:ascii="Arial" w:cs="Arial" w:eastAsia="Arial" w:hAnsi="Arial"/>
                <w:sz w:val="18"/>
                <w:szCs w:val="18"/>
                <w:color w:val="auto"/>
              </w:rPr>
              <w:t>Courthouse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Rockville</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490-1400</w:t>
            </w:r>
          </w:p>
        </w:tc>
        <w:tc>
          <w:tcPr>
            <w:tcW w:w="7880" w:type="dxa"/>
            <w:vAlign w:val="bottom"/>
            <w:gridSpan w:val="3"/>
          </w:tcPr>
          <w:p>
            <w:pPr>
              <w:spacing w:after="0"/>
              <w:rPr>
                <w:sz w:val="20"/>
                <w:szCs w:val="20"/>
                <w:color w:val="auto"/>
              </w:rPr>
            </w:pPr>
            <w:r>
              <w:rPr>
                <w:rFonts w:ascii="Arial" w:cs="Arial" w:eastAsia="Arial" w:hAnsi="Arial"/>
                <w:sz w:val="18"/>
                <w:szCs w:val="18"/>
                <w:color w:val="auto"/>
              </w:rPr>
              <w:t>Kings Court</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Los Gatos</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22"/>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490-1720</w:t>
            </w:r>
          </w:p>
        </w:tc>
        <w:tc>
          <w:tcPr>
            <w:tcW w:w="7880" w:type="dxa"/>
            <w:vAlign w:val="bottom"/>
            <w:gridSpan w:val="3"/>
          </w:tcPr>
          <w:p>
            <w:pPr>
              <w:spacing w:after="0"/>
              <w:rPr>
                <w:sz w:val="20"/>
                <w:szCs w:val="20"/>
                <w:color w:val="auto"/>
              </w:rPr>
            </w:pPr>
            <w:r>
              <w:rPr>
                <w:rFonts w:ascii="Arial" w:cs="Arial" w:eastAsia="Arial" w:hAnsi="Arial"/>
                <w:sz w:val="18"/>
                <w:szCs w:val="18"/>
                <w:color w:val="auto"/>
              </w:rPr>
              <w:t>South Valley Shopping Center</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Alexandria</w:t>
            </w:r>
          </w:p>
        </w:tc>
        <w:tc>
          <w:tcPr>
            <w:tcW w:w="340" w:type="dxa"/>
            <w:vAlign w:val="bottom"/>
          </w:tcPr>
          <w:p>
            <w:pPr>
              <w:spacing w:after="0"/>
              <w:rPr>
                <w:sz w:val="20"/>
                <w:szCs w:val="20"/>
                <w:color w:val="auto"/>
              </w:rPr>
            </w:pPr>
            <w:r>
              <w:rPr>
                <w:rFonts w:ascii="Arial" w:cs="Arial" w:eastAsia="Arial" w:hAnsi="Arial"/>
                <w:sz w:val="18"/>
                <w:szCs w:val="18"/>
                <w:color w:val="auto"/>
              </w:rPr>
              <w:t>VA</w:t>
            </w:r>
          </w:p>
        </w:tc>
      </w:tr>
      <w:tr>
        <w:trPr>
          <w:trHeight w:val="286"/>
        </w:trPr>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Non-Controlled Properties</w:t>
            </w:r>
          </w:p>
        </w:tc>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28"/>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030-1080</w:t>
            </w:r>
          </w:p>
        </w:tc>
        <w:tc>
          <w:tcPr>
            <w:tcW w:w="7880" w:type="dxa"/>
            <w:vAlign w:val="bottom"/>
            <w:gridSpan w:val="3"/>
          </w:tcPr>
          <w:p>
            <w:pPr>
              <w:spacing w:after="0"/>
              <w:rPr>
                <w:sz w:val="20"/>
                <w:szCs w:val="20"/>
                <w:color w:val="auto"/>
              </w:rPr>
            </w:pPr>
            <w:r>
              <w:rPr>
                <w:rFonts w:ascii="Arial" w:cs="Arial" w:eastAsia="Arial" w:hAnsi="Arial"/>
                <w:sz w:val="18"/>
                <w:szCs w:val="18"/>
                <w:color w:val="auto"/>
              </w:rPr>
              <w:t>Congressional Plaza</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Rockville</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030-1081</w:t>
            </w:r>
          </w:p>
        </w:tc>
        <w:tc>
          <w:tcPr>
            <w:tcW w:w="7880" w:type="dxa"/>
            <w:vAlign w:val="bottom"/>
            <w:gridSpan w:val="3"/>
          </w:tcPr>
          <w:p>
            <w:pPr>
              <w:spacing w:after="0"/>
              <w:rPr>
                <w:sz w:val="20"/>
                <w:szCs w:val="20"/>
                <w:color w:val="auto"/>
              </w:rPr>
            </w:pPr>
            <w:r>
              <w:rPr>
                <w:rFonts w:ascii="Arial" w:cs="Arial" w:eastAsia="Arial" w:hAnsi="Arial"/>
                <w:sz w:val="18"/>
                <w:szCs w:val="18"/>
                <w:color w:val="auto"/>
              </w:rPr>
              <w:t>Congressional Plaza Apartments</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Rockville</w:t>
            </w:r>
          </w:p>
        </w:tc>
        <w:tc>
          <w:tcPr>
            <w:tcW w:w="340" w:type="dxa"/>
            <w:vAlign w:val="bottom"/>
          </w:tcPr>
          <w:p>
            <w:pPr>
              <w:spacing w:after="0"/>
              <w:rPr>
                <w:sz w:val="20"/>
                <w:szCs w:val="20"/>
                <w:color w:val="auto"/>
              </w:rPr>
            </w:pPr>
            <w:r>
              <w:rPr>
                <w:rFonts w:ascii="Arial" w:cs="Arial" w:eastAsia="Arial" w:hAnsi="Arial"/>
                <w:sz w:val="18"/>
                <w:szCs w:val="18"/>
                <w:color w:val="auto"/>
              </w:rPr>
              <w:t>MD</w:t>
            </w:r>
          </w:p>
        </w:tc>
      </w:tr>
      <w:tr>
        <w:trPr>
          <w:trHeight w:val="216"/>
        </w:trPr>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090-1190</w:t>
            </w:r>
          </w:p>
        </w:tc>
        <w:tc>
          <w:tcPr>
            <w:tcW w:w="7880" w:type="dxa"/>
            <w:vAlign w:val="bottom"/>
            <w:gridSpan w:val="3"/>
          </w:tcPr>
          <w:p>
            <w:pPr>
              <w:spacing w:after="0"/>
              <w:rPr>
                <w:sz w:val="20"/>
                <w:szCs w:val="20"/>
                <w:color w:val="auto"/>
              </w:rPr>
            </w:pPr>
            <w:r>
              <w:rPr>
                <w:rFonts w:ascii="Arial" w:cs="Arial" w:eastAsia="Arial" w:hAnsi="Arial"/>
                <w:sz w:val="18"/>
                <w:szCs w:val="18"/>
                <w:color w:val="auto"/>
              </w:rPr>
              <w:t>Escondido Promenade</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Escondido</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16"/>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425-4225</w:t>
            </w:r>
          </w:p>
        </w:tc>
        <w:tc>
          <w:tcPr>
            <w:tcW w:w="7880" w:type="dxa"/>
            <w:vAlign w:val="bottom"/>
            <w:gridSpan w:val="3"/>
          </w:tcPr>
          <w:p>
            <w:pPr>
              <w:spacing w:after="0"/>
              <w:rPr>
                <w:sz w:val="20"/>
                <w:szCs w:val="20"/>
                <w:color w:val="auto"/>
              </w:rPr>
            </w:pPr>
            <w:r>
              <w:rPr>
                <w:rFonts w:ascii="Arial" w:cs="Arial" w:eastAsia="Arial" w:hAnsi="Arial"/>
                <w:sz w:val="18"/>
                <w:szCs w:val="18"/>
                <w:color w:val="auto"/>
              </w:rPr>
              <w:t>Galaxy Bldg (Hollywood)</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Hollywood</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r>
        <w:trPr>
          <w:trHeight w:val="222"/>
        </w:trPr>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425-4226</w:t>
            </w:r>
          </w:p>
        </w:tc>
        <w:tc>
          <w:tcPr>
            <w:tcW w:w="7880" w:type="dxa"/>
            <w:vAlign w:val="bottom"/>
            <w:gridSpan w:val="3"/>
          </w:tcPr>
          <w:p>
            <w:pPr>
              <w:spacing w:after="0"/>
              <w:rPr>
                <w:sz w:val="20"/>
                <w:szCs w:val="20"/>
                <w:color w:val="auto"/>
              </w:rPr>
            </w:pPr>
            <w:r>
              <w:rPr>
                <w:rFonts w:ascii="Arial" w:cs="Arial" w:eastAsia="Arial" w:hAnsi="Arial"/>
                <w:sz w:val="18"/>
                <w:szCs w:val="18"/>
                <w:color w:val="auto"/>
              </w:rPr>
              <w:t>7001 Hollywood Blvd (Peterson)</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Hollywood</w:t>
            </w:r>
          </w:p>
        </w:tc>
        <w:tc>
          <w:tcPr>
            <w:tcW w:w="340" w:type="dxa"/>
            <w:vAlign w:val="bottom"/>
          </w:tcPr>
          <w:p>
            <w:pPr>
              <w:spacing w:after="0"/>
              <w:rPr>
                <w:sz w:val="20"/>
                <w:szCs w:val="20"/>
                <w:color w:val="auto"/>
              </w:rPr>
            </w:pPr>
            <w:r>
              <w:rPr>
                <w:rFonts w:ascii="Arial" w:cs="Arial" w:eastAsia="Arial" w:hAnsi="Arial"/>
                <w:sz w:val="18"/>
                <w:szCs w:val="18"/>
                <w:color w:val="auto"/>
              </w:rPr>
              <w:t>CA</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4</w:t>
      </w:r>
    </w:p>
    <w:p>
      <w:pPr>
        <w:sectPr>
          <w:pgSz w:w="11900" w:h="16838" w:orient="portrait"/>
          <w:cols w:equalWidth="0" w:num="1">
            <w:col w:w="11420"/>
          </w:cols>
          <w:pgMar w:left="240" w:top="274"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22, 2011</w:t>
      </w:r>
    </w:p>
    <w:p>
      <w:pPr>
        <w:spacing w:after="0" w:line="147" w:lineRule="exact"/>
        <w:rPr>
          <w:sz w:val="20"/>
          <w:szCs w:val="20"/>
          <w:color w:val="auto"/>
        </w:rPr>
      </w:pPr>
    </w:p>
    <w:p>
      <w:pPr>
        <w:spacing w:after="0"/>
        <w:tabs>
          <w:tab w:leader="none" w:pos="5380" w:val="left"/>
          <w:tab w:leader="none" w:pos="10260" w:val="left"/>
          <w:tab w:leader="none" w:pos="11080" w:val="left"/>
        </w:tabs>
        <w:rPr>
          <w:sz w:val="20"/>
          <w:szCs w:val="20"/>
          <w:color w:val="auto"/>
        </w:rPr>
      </w:pPr>
      <w:r>
        <w:rPr>
          <w:rFonts w:ascii="Arial" w:cs="Arial" w:eastAsia="Arial" w:hAnsi="Arial"/>
          <w:sz w:val="14"/>
          <w:szCs w:val="14"/>
          <w:b w:val="1"/>
          <w:bCs w:val="1"/>
          <w:color w:val="auto"/>
        </w:rPr>
        <w:t>Property Number</w:t>
      </w:r>
      <w:r>
        <w:rPr>
          <w:sz w:val="20"/>
          <w:szCs w:val="20"/>
          <w:color w:val="auto"/>
        </w:rPr>
        <w:tab/>
      </w:r>
      <w:r>
        <w:rPr>
          <w:rFonts w:ascii="Arial" w:cs="Arial" w:eastAsia="Arial" w:hAnsi="Arial"/>
          <w:sz w:val="14"/>
          <w:szCs w:val="14"/>
          <w:b w:val="1"/>
          <w:bCs w:val="1"/>
          <w:color w:val="auto"/>
        </w:rPr>
        <w:t>Property</w:t>
      </w:r>
      <w:r>
        <w:rPr>
          <w:sz w:val="20"/>
          <w:szCs w:val="20"/>
          <w:color w:val="auto"/>
        </w:rPr>
        <w:tab/>
      </w:r>
      <w:r>
        <w:rPr>
          <w:rFonts w:ascii="Arial" w:cs="Arial" w:eastAsia="Arial" w:hAnsi="Arial"/>
          <w:sz w:val="14"/>
          <w:szCs w:val="14"/>
          <w:b w:val="1"/>
          <w:bCs w:val="1"/>
          <w:color w:val="auto"/>
        </w:rPr>
        <w:t>City</w:t>
      </w:r>
      <w:r>
        <w:rPr>
          <w:sz w:val="20"/>
          <w:szCs w:val="20"/>
          <w:color w:val="auto"/>
        </w:rPr>
        <w:tab/>
      </w:r>
      <w:r>
        <w:rPr>
          <w:rFonts w:ascii="Arial" w:cs="Arial" w:eastAsia="Arial" w:hAnsi="Arial"/>
          <w:sz w:val="12"/>
          <w:szCs w:val="12"/>
          <w:b w:val="1"/>
          <w:bCs w:val="1"/>
          <w:u w:val="single" w:color="auto"/>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96341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63410" cy="1714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2 - Permitted Liens in Existence as of Date of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properties are currently subject to liens:</w:t>
      </w:r>
    </w:p>
    <w:p>
      <w:pPr>
        <w:spacing w:after="0" w:line="108"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Encumbered Properties</w:t>
            </w:r>
          </w:p>
        </w:tc>
        <w:tc>
          <w:tcPr>
            <w:tcW w:w="40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28"/>
        </w:trPr>
        <w:tc>
          <w:tcPr>
            <w:tcW w:w="1180" w:type="dxa"/>
            <w:vAlign w:val="bottom"/>
          </w:tcPr>
          <w:p>
            <w:pPr>
              <w:spacing w:after="0"/>
              <w:rPr>
                <w:sz w:val="20"/>
                <w:szCs w:val="20"/>
                <w:color w:val="auto"/>
              </w:rPr>
            </w:pPr>
            <w:r>
              <w:rPr>
                <w:rFonts w:ascii="Arial" w:cs="Arial" w:eastAsia="Arial" w:hAnsi="Arial"/>
                <w:sz w:val="18"/>
                <w:szCs w:val="18"/>
                <w:color w:val="auto"/>
              </w:rPr>
              <w:t>120-1450</w:t>
            </w:r>
          </w:p>
        </w:tc>
        <w:tc>
          <w:tcPr>
            <w:tcW w:w="5780" w:type="dxa"/>
            <w:vAlign w:val="bottom"/>
            <w:gridSpan w:val="2"/>
          </w:tcPr>
          <w:p>
            <w:pPr>
              <w:spacing w:after="0"/>
              <w:rPr>
                <w:sz w:val="20"/>
                <w:szCs w:val="20"/>
                <w:color w:val="auto"/>
              </w:rPr>
            </w:pPr>
            <w:r>
              <w:rPr>
                <w:rFonts w:ascii="Arial" w:cs="Arial" w:eastAsia="Arial" w:hAnsi="Arial"/>
                <w:sz w:val="18"/>
                <w:szCs w:val="18"/>
                <w:color w:val="auto"/>
              </w:rPr>
              <w:t>Leesburg Plaza</w:t>
            </w:r>
          </w:p>
        </w:tc>
        <w:tc>
          <w:tcPr>
            <w:tcW w:w="3580" w:type="dxa"/>
            <w:vAlign w:val="bottom"/>
          </w:tcPr>
          <w:p>
            <w:pPr>
              <w:ind w:left="2440"/>
              <w:spacing w:after="0"/>
              <w:rPr>
                <w:sz w:val="20"/>
                <w:szCs w:val="20"/>
                <w:color w:val="auto"/>
              </w:rPr>
            </w:pPr>
            <w:r>
              <w:rPr>
                <w:rFonts w:ascii="Arial" w:cs="Arial" w:eastAsia="Arial" w:hAnsi="Arial"/>
                <w:sz w:val="18"/>
                <w:szCs w:val="18"/>
                <w:color w:val="auto"/>
              </w:rPr>
              <w:t>Leesburg</w:t>
            </w:r>
          </w:p>
        </w:tc>
        <w:tc>
          <w:tcPr>
            <w:tcW w:w="380" w:type="dxa"/>
            <w:vAlign w:val="bottom"/>
          </w:tcPr>
          <w:p>
            <w:pPr>
              <w:ind w:left="100"/>
              <w:spacing w:after="0"/>
              <w:rPr>
                <w:sz w:val="20"/>
                <w:szCs w:val="20"/>
                <w:color w:val="auto"/>
              </w:rPr>
            </w:pPr>
            <w:r>
              <w:rPr>
                <w:rFonts w:ascii="Arial" w:cs="Arial" w:eastAsia="Arial" w:hAnsi="Arial"/>
                <w:sz w:val="18"/>
                <w:szCs w:val="18"/>
                <w:color w:val="auto"/>
              </w:rPr>
              <w:t>VA</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196-1960</w:t>
            </w:r>
          </w:p>
        </w:tc>
        <w:tc>
          <w:tcPr>
            <w:tcW w:w="5780" w:type="dxa"/>
            <w:vAlign w:val="bottom"/>
            <w:gridSpan w:val="2"/>
          </w:tcPr>
          <w:p>
            <w:pPr>
              <w:spacing w:after="0"/>
              <w:rPr>
                <w:sz w:val="20"/>
                <w:szCs w:val="20"/>
                <w:color w:val="auto"/>
              </w:rPr>
            </w:pPr>
            <w:r>
              <w:rPr>
                <w:rFonts w:ascii="Arial" w:cs="Arial" w:eastAsia="Arial" w:hAnsi="Arial"/>
                <w:sz w:val="18"/>
                <w:szCs w:val="18"/>
                <w:color w:val="auto"/>
              </w:rPr>
              <w:t>Courtyard Shops @ Wellington</w:t>
            </w:r>
          </w:p>
        </w:tc>
        <w:tc>
          <w:tcPr>
            <w:tcW w:w="3580" w:type="dxa"/>
            <w:vAlign w:val="bottom"/>
          </w:tcPr>
          <w:p>
            <w:pPr>
              <w:ind w:left="2440"/>
              <w:spacing w:after="0"/>
              <w:rPr>
                <w:sz w:val="20"/>
                <w:szCs w:val="20"/>
                <w:color w:val="auto"/>
              </w:rPr>
            </w:pPr>
            <w:r>
              <w:rPr>
                <w:rFonts w:ascii="Arial" w:cs="Arial" w:eastAsia="Arial" w:hAnsi="Arial"/>
                <w:sz w:val="18"/>
                <w:szCs w:val="18"/>
                <w:color w:val="auto"/>
              </w:rPr>
              <w:t>Wellington</w:t>
            </w:r>
          </w:p>
        </w:tc>
        <w:tc>
          <w:tcPr>
            <w:tcW w:w="380" w:type="dxa"/>
            <w:vAlign w:val="bottom"/>
          </w:tcPr>
          <w:p>
            <w:pPr>
              <w:ind w:left="100"/>
              <w:spacing w:after="0"/>
              <w:rPr>
                <w:sz w:val="20"/>
                <w:szCs w:val="20"/>
                <w:color w:val="auto"/>
              </w:rPr>
            </w:pPr>
            <w:r>
              <w:rPr>
                <w:rFonts w:ascii="Arial" w:cs="Arial" w:eastAsia="Arial" w:hAnsi="Arial"/>
                <w:sz w:val="18"/>
                <w:szCs w:val="18"/>
                <w:color w:val="auto"/>
              </w:rPr>
              <w:t>FL</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260-2060</w:t>
            </w:r>
          </w:p>
        </w:tc>
        <w:tc>
          <w:tcPr>
            <w:tcW w:w="5780" w:type="dxa"/>
            <w:vAlign w:val="bottom"/>
            <w:gridSpan w:val="2"/>
          </w:tcPr>
          <w:p>
            <w:pPr>
              <w:spacing w:after="0"/>
              <w:rPr>
                <w:sz w:val="20"/>
                <w:szCs w:val="20"/>
                <w:color w:val="auto"/>
              </w:rPr>
            </w:pPr>
            <w:r>
              <w:rPr>
                <w:rFonts w:ascii="Arial" w:cs="Arial" w:eastAsia="Arial" w:hAnsi="Arial"/>
                <w:sz w:val="18"/>
                <w:szCs w:val="18"/>
                <w:color w:val="auto"/>
              </w:rPr>
              <w:t>Rollingwood Apartments</w:t>
            </w:r>
          </w:p>
        </w:tc>
        <w:tc>
          <w:tcPr>
            <w:tcW w:w="3580" w:type="dxa"/>
            <w:vAlign w:val="bottom"/>
          </w:tcPr>
          <w:p>
            <w:pPr>
              <w:ind w:left="2440"/>
              <w:spacing w:after="0"/>
              <w:rPr>
                <w:sz w:val="20"/>
                <w:szCs w:val="20"/>
                <w:color w:val="auto"/>
              </w:rPr>
            </w:pPr>
            <w:r>
              <w:rPr>
                <w:rFonts w:ascii="Arial" w:cs="Arial" w:eastAsia="Arial" w:hAnsi="Arial"/>
                <w:sz w:val="18"/>
                <w:szCs w:val="18"/>
                <w:color w:val="auto"/>
              </w:rPr>
              <w:t>Silver Spring</w:t>
            </w:r>
          </w:p>
        </w:tc>
        <w:tc>
          <w:tcPr>
            <w:tcW w:w="380" w:type="dxa"/>
            <w:vAlign w:val="bottom"/>
          </w:tcPr>
          <w:p>
            <w:pPr>
              <w:ind w:left="100"/>
              <w:spacing w:after="0"/>
              <w:rPr>
                <w:sz w:val="20"/>
                <w:szCs w:val="20"/>
                <w:color w:val="auto"/>
              </w:rPr>
            </w:pPr>
            <w:r>
              <w:rPr>
                <w:rFonts w:ascii="Arial" w:cs="Arial" w:eastAsia="Arial" w:hAnsi="Arial"/>
                <w:sz w:val="18"/>
                <w:szCs w:val="18"/>
                <w:color w:val="auto"/>
                <w:w w:val="92"/>
              </w:rPr>
              <w:t>MD</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227-2270</w:t>
            </w:r>
          </w:p>
        </w:tc>
        <w:tc>
          <w:tcPr>
            <w:tcW w:w="5780" w:type="dxa"/>
            <w:vAlign w:val="bottom"/>
            <w:gridSpan w:val="2"/>
          </w:tcPr>
          <w:p>
            <w:pPr>
              <w:spacing w:after="0"/>
              <w:rPr>
                <w:sz w:val="20"/>
                <w:szCs w:val="20"/>
                <w:color w:val="auto"/>
              </w:rPr>
            </w:pPr>
            <w:r>
              <w:rPr>
                <w:rFonts w:ascii="Arial" w:cs="Arial" w:eastAsia="Arial" w:hAnsi="Arial"/>
                <w:sz w:val="18"/>
                <w:szCs w:val="18"/>
                <w:color w:val="auto"/>
              </w:rPr>
              <w:t>White Marsh Plaza</w:t>
            </w:r>
          </w:p>
        </w:tc>
        <w:tc>
          <w:tcPr>
            <w:tcW w:w="3580" w:type="dxa"/>
            <w:vAlign w:val="bottom"/>
          </w:tcPr>
          <w:p>
            <w:pPr>
              <w:ind w:left="2440"/>
              <w:spacing w:after="0"/>
              <w:rPr>
                <w:sz w:val="20"/>
                <w:szCs w:val="20"/>
                <w:color w:val="auto"/>
              </w:rPr>
            </w:pPr>
            <w:r>
              <w:rPr>
                <w:rFonts w:ascii="Arial" w:cs="Arial" w:eastAsia="Arial" w:hAnsi="Arial"/>
                <w:sz w:val="18"/>
                <w:szCs w:val="18"/>
                <w:color w:val="auto"/>
              </w:rPr>
              <w:t>White Marsh</w:t>
            </w:r>
          </w:p>
        </w:tc>
        <w:tc>
          <w:tcPr>
            <w:tcW w:w="380" w:type="dxa"/>
            <w:vAlign w:val="bottom"/>
          </w:tcPr>
          <w:p>
            <w:pPr>
              <w:ind w:left="100"/>
              <w:spacing w:after="0"/>
              <w:rPr>
                <w:sz w:val="20"/>
                <w:szCs w:val="20"/>
                <w:color w:val="auto"/>
              </w:rPr>
            </w:pPr>
            <w:r>
              <w:rPr>
                <w:rFonts w:ascii="Arial" w:cs="Arial" w:eastAsia="Arial" w:hAnsi="Arial"/>
                <w:sz w:val="18"/>
                <w:szCs w:val="18"/>
                <w:color w:val="auto"/>
                <w:w w:val="92"/>
              </w:rPr>
              <w:t>MD</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233-2202</w:t>
            </w:r>
          </w:p>
        </w:tc>
        <w:tc>
          <w:tcPr>
            <w:tcW w:w="5780" w:type="dxa"/>
            <w:vAlign w:val="bottom"/>
            <w:gridSpan w:val="2"/>
          </w:tcPr>
          <w:p>
            <w:pPr>
              <w:spacing w:after="0"/>
              <w:rPr>
                <w:sz w:val="20"/>
                <w:szCs w:val="20"/>
                <w:color w:val="auto"/>
              </w:rPr>
            </w:pPr>
            <w:r>
              <w:rPr>
                <w:rFonts w:ascii="Arial" w:cs="Arial" w:eastAsia="Arial" w:hAnsi="Arial"/>
                <w:sz w:val="18"/>
                <w:szCs w:val="18"/>
                <w:color w:val="auto"/>
              </w:rPr>
              <w:t>The AVENUE at White Marsh</w:t>
            </w:r>
          </w:p>
        </w:tc>
        <w:tc>
          <w:tcPr>
            <w:tcW w:w="3580" w:type="dxa"/>
            <w:vAlign w:val="bottom"/>
          </w:tcPr>
          <w:p>
            <w:pPr>
              <w:ind w:left="2440"/>
              <w:spacing w:after="0"/>
              <w:rPr>
                <w:sz w:val="20"/>
                <w:szCs w:val="20"/>
                <w:color w:val="auto"/>
              </w:rPr>
            </w:pPr>
            <w:r>
              <w:rPr>
                <w:rFonts w:ascii="Arial" w:cs="Arial" w:eastAsia="Arial" w:hAnsi="Arial"/>
                <w:sz w:val="18"/>
                <w:szCs w:val="18"/>
                <w:color w:val="auto"/>
              </w:rPr>
              <w:t>White Marsh</w:t>
            </w:r>
          </w:p>
        </w:tc>
        <w:tc>
          <w:tcPr>
            <w:tcW w:w="380" w:type="dxa"/>
            <w:vAlign w:val="bottom"/>
          </w:tcPr>
          <w:p>
            <w:pPr>
              <w:ind w:left="100"/>
              <w:spacing w:after="0"/>
              <w:rPr>
                <w:sz w:val="20"/>
                <w:szCs w:val="20"/>
                <w:color w:val="auto"/>
              </w:rPr>
            </w:pPr>
            <w:r>
              <w:rPr>
                <w:rFonts w:ascii="Arial" w:cs="Arial" w:eastAsia="Arial" w:hAnsi="Arial"/>
                <w:sz w:val="18"/>
                <w:szCs w:val="18"/>
                <w:color w:val="auto"/>
                <w:w w:val="92"/>
              </w:rPr>
              <w:t>MD</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400-3603</w:t>
            </w:r>
          </w:p>
        </w:tc>
        <w:tc>
          <w:tcPr>
            <w:tcW w:w="5780" w:type="dxa"/>
            <w:vAlign w:val="bottom"/>
            <w:gridSpan w:val="2"/>
          </w:tcPr>
          <w:p>
            <w:pPr>
              <w:spacing w:after="0"/>
              <w:rPr>
                <w:sz w:val="20"/>
                <w:szCs w:val="20"/>
                <w:color w:val="auto"/>
              </w:rPr>
            </w:pPr>
            <w:r>
              <w:rPr>
                <w:rFonts w:ascii="Arial" w:cs="Arial" w:eastAsia="Arial" w:hAnsi="Arial"/>
                <w:sz w:val="18"/>
                <w:szCs w:val="18"/>
                <w:color w:val="auto"/>
              </w:rPr>
              <w:t>Pentagon Row</w:t>
            </w:r>
          </w:p>
        </w:tc>
        <w:tc>
          <w:tcPr>
            <w:tcW w:w="3580" w:type="dxa"/>
            <w:vAlign w:val="bottom"/>
          </w:tcPr>
          <w:p>
            <w:pPr>
              <w:ind w:left="2440"/>
              <w:spacing w:after="0"/>
              <w:rPr>
                <w:sz w:val="20"/>
                <w:szCs w:val="20"/>
                <w:color w:val="auto"/>
              </w:rPr>
            </w:pPr>
            <w:r>
              <w:rPr>
                <w:rFonts w:ascii="Arial" w:cs="Arial" w:eastAsia="Arial" w:hAnsi="Arial"/>
                <w:sz w:val="18"/>
                <w:szCs w:val="18"/>
                <w:color w:val="auto"/>
              </w:rPr>
              <w:t>Arlington</w:t>
            </w:r>
          </w:p>
        </w:tc>
        <w:tc>
          <w:tcPr>
            <w:tcW w:w="380" w:type="dxa"/>
            <w:vAlign w:val="bottom"/>
          </w:tcPr>
          <w:p>
            <w:pPr>
              <w:ind w:left="100"/>
              <w:spacing w:after="0"/>
              <w:rPr>
                <w:sz w:val="20"/>
                <w:szCs w:val="20"/>
                <w:color w:val="auto"/>
              </w:rPr>
            </w:pPr>
            <w:r>
              <w:rPr>
                <w:rFonts w:ascii="Arial" w:cs="Arial" w:eastAsia="Arial" w:hAnsi="Arial"/>
                <w:sz w:val="18"/>
                <w:szCs w:val="18"/>
                <w:color w:val="auto"/>
              </w:rPr>
              <w:t>VA</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490-1490</w:t>
            </w:r>
          </w:p>
        </w:tc>
        <w:tc>
          <w:tcPr>
            <w:tcW w:w="5780" w:type="dxa"/>
            <w:vAlign w:val="bottom"/>
            <w:gridSpan w:val="2"/>
          </w:tcPr>
          <w:p>
            <w:pPr>
              <w:spacing w:after="0"/>
              <w:rPr>
                <w:sz w:val="20"/>
                <w:szCs w:val="20"/>
                <w:color w:val="auto"/>
              </w:rPr>
            </w:pPr>
            <w:r>
              <w:rPr>
                <w:rFonts w:ascii="Arial" w:cs="Arial" w:eastAsia="Arial" w:hAnsi="Arial"/>
                <w:sz w:val="18"/>
                <w:szCs w:val="18"/>
                <w:color w:val="auto"/>
              </w:rPr>
              <w:t>Mount Vernon Shopping Center</w:t>
            </w:r>
          </w:p>
        </w:tc>
        <w:tc>
          <w:tcPr>
            <w:tcW w:w="3580" w:type="dxa"/>
            <w:vAlign w:val="bottom"/>
          </w:tcPr>
          <w:p>
            <w:pPr>
              <w:ind w:left="2440"/>
              <w:spacing w:after="0"/>
              <w:rPr>
                <w:sz w:val="20"/>
                <w:szCs w:val="20"/>
                <w:color w:val="auto"/>
              </w:rPr>
            </w:pPr>
            <w:r>
              <w:rPr>
                <w:rFonts w:ascii="Arial" w:cs="Arial" w:eastAsia="Arial" w:hAnsi="Arial"/>
                <w:sz w:val="18"/>
                <w:szCs w:val="18"/>
                <w:color w:val="auto"/>
              </w:rPr>
              <w:t>Alexandria</w:t>
            </w:r>
          </w:p>
        </w:tc>
        <w:tc>
          <w:tcPr>
            <w:tcW w:w="380" w:type="dxa"/>
            <w:vAlign w:val="bottom"/>
          </w:tcPr>
          <w:p>
            <w:pPr>
              <w:ind w:left="100"/>
              <w:spacing w:after="0"/>
              <w:rPr>
                <w:sz w:val="20"/>
                <w:szCs w:val="20"/>
                <w:color w:val="auto"/>
              </w:rPr>
            </w:pPr>
            <w:r>
              <w:rPr>
                <w:rFonts w:ascii="Arial" w:cs="Arial" w:eastAsia="Arial" w:hAnsi="Arial"/>
                <w:sz w:val="18"/>
                <w:szCs w:val="18"/>
                <w:color w:val="auto"/>
              </w:rPr>
              <w:t>VA</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500-1047</w:t>
            </w:r>
          </w:p>
        </w:tc>
        <w:tc>
          <w:tcPr>
            <w:tcW w:w="5780" w:type="dxa"/>
            <w:vAlign w:val="bottom"/>
            <w:gridSpan w:val="2"/>
          </w:tcPr>
          <w:p>
            <w:pPr>
              <w:spacing w:after="0"/>
              <w:rPr>
                <w:sz w:val="20"/>
                <w:szCs w:val="20"/>
                <w:color w:val="auto"/>
              </w:rPr>
            </w:pPr>
            <w:r>
              <w:rPr>
                <w:rFonts w:ascii="Arial" w:cs="Arial" w:eastAsia="Arial" w:hAnsi="Arial"/>
                <w:sz w:val="18"/>
                <w:szCs w:val="18"/>
                <w:color w:val="auto"/>
              </w:rPr>
              <w:t>Brick Plaza</w:t>
            </w:r>
          </w:p>
        </w:tc>
        <w:tc>
          <w:tcPr>
            <w:tcW w:w="3580" w:type="dxa"/>
            <w:vAlign w:val="bottom"/>
          </w:tcPr>
          <w:p>
            <w:pPr>
              <w:ind w:left="2440"/>
              <w:spacing w:after="0"/>
              <w:rPr>
                <w:sz w:val="20"/>
                <w:szCs w:val="20"/>
                <w:color w:val="auto"/>
              </w:rPr>
            </w:pPr>
            <w:r>
              <w:rPr>
                <w:rFonts w:ascii="Arial" w:cs="Arial" w:eastAsia="Arial" w:hAnsi="Arial"/>
                <w:sz w:val="18"/>
                <w:szCs w:val="18"/>
                <w:color w:val="auto"/>
              </w:rPr>
              <w:t>Brick</w:t>
            </w:r>
          </w:p>
        </w:tc>
        <w:tc>
          <w:tcPr>
            <w:tcW w:w="380" w:type="dxa"/>
            <w:vAlign w:val="bottom"/>
          </w:tcPr>
          <w:p>
            <w:pPr>
              <w:ind w:left="100"/>
              <w:spacing w:after="0"/>
              <w:rPr>
                <w:sz w:val="20"/>
                <w:szCs w:val="20"/>
                <w:color w:val="auto"/>
              </w:rPr>
            </w:pPr>
            <w:r>
              <w:rPr>
                <w:rFonts w:ascii="Arial" w:cs="Arial" w:eastAsia="Arial" w:hAnsi="Arial"/>
                <w:sz w:val="18"/>
                <w:szCs w:val="18"/>
                <w:color w:val="auto"/>
              </w:rPr>
              <w:t>NJ</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500-1313</w:t>
            </w:r>
          </w:p>
        </w:tc>
        <w:tc>
          <w:tcPr>
            <w:tcW w:w="5780" w:type="dxa"/>
            <w:vAlign w:val="bottom"/>
            <w:gridSpan w:val="2"/>
          </w:tcPr>
          <w:p>
            <w:pPr>
              <w:spacing w:after="0"/>
              <w:rPr>
                <w:sz w:val="20"/>
                <w:szCs w:val="20"/>
                <w:color w:val="auto"/>
              </w:rPr>
            </w:pPr>
            <w:r>
              <w:rPr>
                <w:rFonts w:ascii="Arial" w:cs="Arial" w:eastAsia="Arial" w:hAnsi="Arial"/>
                <w:sz w:val="18"/>
                <w:szCs w:val="18"/>
                <w:color w:val="auto"/>
              </w:rPr>
              <w:t>Hauppauge Shopping Center</w:t>
            </w:r>
          </w:p>
        </w:tc>
        <w:tc>
          <w:tcPr>
            <w:tcW w:w="3580" w:type="dxa"/>
            <w:vAlign w:val="bottom"/>
          </w:tcPr>
          <w:p>
            <w:pPr>
              <w:ind w:left="2440"/>
              <w:spacing w:after="0"/>
              <w:rPr>
                <w:sz w:val="20"/>
                <w:szCs w:val="20"/>
                <w:color w:val="auto"/>
              </w:rPr>
            </w:pPr>
            <w:r>
              <w:rPr>
                <w:rFonts w:ascii="Arial" w:cs="Arial" w:eastAsia="Arial" w:hAnsi="Arial"/>
                <w:sz w:val="18"/>
                <w:szCs w:val="18"/>
                <w:color w:val="auto"/>
              </w:rPr>
              <w:t>Hauppauge</w:t>
            </w:r>
          </w:p>
        </w:tc>
        <w:tc>
          <w:tcPr>
            <w:tcW w:w="380" w:type="dxa"/>
            <w:vAlign w:val="bottom"/>
          </w:tcPr>
          <w:p>
            <w:pPr>
              <w:ind w:left="100"/>
              <w:spacing w:after="0"/>
              <w:rPr>
                <w:sz w:val="20"/>
                <w:szCs w:val="20"/>
                <w:color w:val="auto"/>
              </w:rPr>
            </w:pPr>
            <w:r>
              <w:rPr>
                <w:rFonts w:ascii="Arial" w:cs="Arial" w:eastAsia="Arial" w:hAnsi="Arial"/>
                <w:sz w:val="18"/>
                <w:szCs w:val="18"/>
                <w:color w:val="auto"/>
              </w:rPr>
              <w:t>NY</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500-1315</w:t>
            </w:r>
          </w:p>
        </w:tc>
        <w:tc>
          <w:tcPr>
            <w:tcW w:w="5780" w:type="dxa"/>
            <w:vAlign w:val="bottom"/>
            <w:gridSpan w:val="2"/>
          </w:tcPr>
          <w:p>
            <w:pPr>
              <w:spacing w:after="0"/>
              <w:rPr>
                <w:sz w:val="20"/>
                <w:szCs w:val="20"/>
                <w:color w:val="auto"/>
              </w:rPr>
            </w:pPr>
            <w:r>
              <w:rPr>
                <w:rFonts w:ascii="Arial" w:cs="Arial" w:eastAsia="Arial" w:hAnsi="Arial"/>
                <w:sz w:val="18"/>
                <w:szCs w:val="18"/>
                <w:color w:val="auto"/>
              </w:rPr>
              <w:t>Idylwood Plaza</w:t>
            </w:r>
          </w:p>
        </w:tc>
        <w:tc>
          <w:tcPr>
            <w:tcW w:w="3580" w:type="dxa"/>
            <w:vAlign w:val="bottom"/>
          </w:tcPr>
          <w:p>
            <w:pPr>
              <w:ind w:left="2440"/>
              <w:spacing w:after="0"/>
              <w:rPr>
                <w:sz w:val="20"/>
                <w:szCs w:val="20"/>
                <w:color w:val="auto"/>
              </w:rPr>
            </w:pPr>
            <w:r>
              <w:rPr>
                <w:rFonts w:ascii="Arial" w:cs="Arial" w:eastAsia="Arial" w:hAnsi="Arial"/>
                <w:sz w:val="18"/>
                <w:szCs w:val="18"/>
                <w:color w:val="auto"/>
              </w:rPr>
              <w:t>Falls Church</w:t>
            </w:r>
          </w:p>
        </w:tc>
        <w:tc>
          <w:tcPr>
            <w:tcW w:w="380" w:type="dxa"/>
            <w:vAlign w:val="bottom"/>
          </w:tcPr>
          <w:p>
            <w:pPr>
              <w:ind w:left="100"/>
              <w:spacing w:after="0"/>
              <w:rPr>
                <w:sz w:val="20"/>
                <w:szCs w:val="20"/>
                <w:color w:val="auto"/>
              </w:rPr>
            </w:pPr>
            <w:r>
              <w:rPr>
                <w:rFonts w:ascii="Arial" w:cs="Arial" w:eastAsia="Arial" w:hAnsi="Arial"/>
                <w:sz w:val="18"/>
                <w:szCs w:val="18"/>
                <w:color w:val="auto"/>
              </w:rPr>
              <w:t>VA</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500-1442</w:t>
            </w:r>
          </w:p>
        </w:tc>
        <w:tc>
          <w:tcPr>
            <w:tcW w:w="5780" w:type="dxa"/>
            <w:vAlign w:val="bottom"/>
            <w:gridSpan w:val="2"/>
          </w:tcPr>
          <w:p>
            <w:pPr>
              <w:spacing w:after="0"/>
              <w:rPr>
                <w:sz w:val="20"/>
                <w:szCs w:val="20"/>
                <w:color w:val="auto"/>
              </w:rPr>
            </w:pPr>
            <w:r>
              <w:rPr>
                <w:rFonts w:ascii="Arial" w:cs="Arial" w:eastAsia="Arial" w:hAnsi="Arial"/>
                <w:sz w:val="18"/>
                <w:szCs w:val="18"/>
                <w:color w:val="auto"/>
              </w:rPr>
              <w:t>Lawrence Park Shopping Center</w:t>
            </w:r>
          </w:p>
        </w:tc>
        <w:tc>
          <w:tcPr>
            <w:tcW w:w="3580" w:type="dxa"/>
            <w:vAlign w:val="bottom"/>
          </w:tcPr>
          <w:p>
            <w:pPr>
              <w:ind w:left="2440"/>
              <w:spacing w:after="0"/>
              <w:rPr>
                <w:sz w:val="20"/>
                <w:szCs w:val="20"/>
                <w:color w:val="auto"/>
              </w:rPr>
            </w:pPr>
            <w:r>
              <w:rPr>
                <w:rFonts w:ascii="Arial" w:cs="Arial" w:eastAsia="Arial" w:hAnsi="Arial"/>
                <w:sz w:val="18"/>
                <w:szCs w:val="18"/>
                <w:color w:val="auto"/>
              </w:rPr>
              <w:t>Broomall</w:t>
            </w:r>
          </w:p>
        </w:tc>
        <w:tc>
          <w:tcPr>
            <w:tcW w:w="380" w:type="dxa"/>
            <w:vAlign w:val="bottom"/>
          </w:tcPr>
          <w:p>
            <w:pPr>
              <w:ind w:left="100"/>
              <w:spacing w:after="0"/>
              <w:rPr>
                <w:sz w:val="20"/>
                <w:szCs w:val="20"/>
                <w:color w:val="auto"/>
              </w:rPr>
            </w:pPr>
            <w:r>
              <w:rPr>
                <w:rFonts w:ascii="Arial" w:cs="Arial" w:eastAsia="Arial" w:hAnsi="Arial"/>
                <w:sz w:val="18"/>
                <w:szCs w:val="18"/>
                <w:color w:val="auto"/>
              </w:rPr>
              <w:t>PA</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500-1444</w:t>
            </w:r>
          </w:p>
        </w:tc>
        <w:tc>
          <w:tcPr>
            <w:tcW w:w="5780" w:type="dxa"/>
            <w:vAlign w:val="bottom"/>
            <w:gridSpan w:val="2"/>
          </w:tcPr>
          <w:p>
            <w:pPr>
              <w:spacing w:after="0"/>
              <w:rPr>
                <w:sz w:val="20"/>
                <w:szCs w:val="20"/>
                <w:color w:val="auto"/>
              </w:rPr>
            </w:pPr>
            <w:r>
              <w:rPr>
                <w:rFonts w:ascii="Arial" w:cs="Arial" w:eastAsia="Arial" w:hAnsi="Arial"/>
                <w:sz w:val="18"/>
                <w:szCs w:val="18"/>
                <w:color w:val="auto"/>
              </w:rPr>
              <w:t>Loehmann’s-Link Office Bld</w:t>
            </w:r>
          </w:p>
        </w:tc>
        <w:tc>
          <w:tcPr>
            <w:tcW w:w="3580" w:type="dxa"/>
            <w:vAlign w:val="bottom"/>
          </w:tcPr>
          <w:p>
            <w:pPr>
              <w:ind w:left="2440"/>
              <w:spacing w:after="0"/>
              <w:rPr>
                <w:sz w:val="20"/>
                <w:szCs w:val="20"/>
                <w:color w:val="auto"/>
              </w:rPr>
            </w:pPr>
            <w:r>
              <w:rPr>
                <w:rFonts w:ascii="Arial" w:cs="Arial" w:eastAsia="Arial" w:hAnsi="Arial"/>
                <w:sz w:val="18"/>
                <w:szCs w:val="18"/>
                <w:color w:val="auto"/>
              </w:rPr>
              <w:t>Fairfax</w:t>
            </w:r>
          </w:p>
        </w:tc>
        <w:tc>
          <w:tcPr>
            <w:tcW w:w="380" w:type="dxa"/>
            <w:vAlign w:val="bottom"/>
          </w:tcPr>
          <w:p>
            <w:pPr>
              <w:ind w:left="100"/>
              <w:spacing w:after="0"/>
              <w:rPr>
                <w:sz w:val="20"/>
                <w:szCs w:val="20"/>
                <w:color w:val="auto"/>
              </w:rPr>
            </w:pPr>
            <w:r>
              <w:rPr>
                <w:rFonts w:ascii="Arial" w:cs="Arial" w:eastAsia="Arial" w:hAnsi="Arial"/>
                <w:sz w:val="18"/>
                <w:szCs w:val="18"/>
                <w:color w:val="auto"/>
              </w:rPr>
              <w:t>VA</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500-1445</w:t>
            </w:r>
          </w:p>
        </w:tc>
        <w:tc>
          <w:tcPr>
            <w:tcW w:w="5780" w:type="dxa"/>
            <w:vAlign w:val="bottom"/>
            <w:gridSpan w:val="2"/>
          </w:tcPr>
          <w:p>
            <w:pPr>
              <w:spacing w:after="0"/>
              <w:rPr>
                <w:sz w:val="20"/>
                <w:szCs w:val="20"/>
                <w:color w:val="auto"/>
              </w:rPr>
            </w:pPr>
            <w:r>
              <w:rPr>
                <w:rFonts w:ascii="Arial" w:cs="Arial" w:eastAsia="Arial" w:hAnsi="Arial"/>
                <w:sz w:val="18"/>
                <w:szCs w:val="18"/>
                <w:color w:val="auto"/>
              </w:rPr>
              <w:t>Loehmann’s Link Shopping Ctr</w:t>
            </w:r>
          </w:p>
        </w:tc>
        <w:tc>
          <w:tcPr>
            <w:tcW w:w="3580" w:type="dxa"/>
            <w:vAlign w:val="bottom"/>
          </w:tcPr>
          <w:p>
            <w:pPr>
              <w:ind w:left="2440"/>
              <w:spacing w:after="0"/>
              <w:rPr>
                <w:sz w:val="20"/>
                <w:szCs w:val="20"/>
                <w:color w:val="auto"/>
              </w:rPr>
            </w:pPr>
            <w:r>
              <w:rPr>
                <w:rFonts w:ascii="Arial" w:cs="Arial" w:eastAsia="Arial" w:hAnsi="Arial"/>
                <w:sz w:val="18"/>
                <w:szCs w:val="18"/>
                <w:color w:val="auto"/>
              </w:rPr>
              <w:t>Fairfax</w:t>
            </w:r>
          </w:p>
        </w:tc>
        <w:tc>
          <w:tcPr>
            <w:tcW w:w="380" w:type="dxa"/>
            <w:vAlign w:val="bottom"/>
          </w:tcPr>
          <w:p>
            <w:pPr>
              <w:ind w:left="100"/>
              <w:spacing w:after="0"/>
              <w:rPr>
                <w:sz w:val="20"/>
                <w:szCs w:val="20"/>
                <w:color w:val="auto"/>
              </w:rPr>
            </w:pPr>
            <w:r>
              <w:rPr>
                <w:rFonts w:ascii="Arial" w:cs="Arial" w:eastAsia="Arial" w:hAnsi="Arial"/>
                <w:sz w:val="18"/>
                <w:szCs w:val="18"/>
                <w:color w:val="auto"/>
              </w:rPr>
              <w:t>VA</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500-1446</w:t>
            </w:r>
          </w:p>
        </w:tc>
        <w:tc>
          <w:tcPr>
            <w:tcW w:w="5780" w:type="dxa"/>
            <w:vAlign w:val="bottom"/>
            <w:gridSpan w:val="2"/>
          </w:tcPr>
          <w:p>
            <w:pPr>
              <w:spacing w:after="0"/>
              <w:rPr>
                <w:sz w:val="20"/>
                <w:szCs w:val="20"/>
                <w:color w:val="auto"/>
              </w:rPr>
            </w:pPr>
            <w:r>
              <w:rPr>
                <w:rFonts w:ascii="Arial" w:cs="Arial" w:eastAsia="Arial" w:hAnsi="Arial"/>
                <w:sz w:val="18"/>
                <w:szCs w:val="18"/>
                <w:color w:val="auto"/>
              </w:rPr>
              <w:t>Loehmann’s Redstone Office Bld</w:t>
            </w:r>
          </w:p>
        </w:tc>
        <w:tc>
          <w:tcPr>
            <w:tcW w:w="3580" w:type="dxa"/>
            <w:vAlign w:val="bottom"/>
          </w:tcPr>
          <w:p>
            <w:pPr>
              <w:ind w:left="2440"/>
              <w:spacing w:after="0"/>
              <w:rPr>
                <w:sz w:val="20"/>
                <w:szCs w:val="20"/>
                <w:color w:val="auto"/>
              </w:rPr>
            </w:pPr>
            <w:r>
              <w:rPr>
                <w:rFonts w:ascii="Arial" w:cs="Arial" w:eastAsia="Arial" w:hAnsi="Arial"/>
                <w:sz w:val="18"/>
                <w:szCs w:val="18"/>
                <w:color w:val="auto"/>
              </w:rPr>
              <w:t>Fairfax</w:t>
            </w:r>
          </w:p>
        </w:tc>
        <w:tc>
          <w:tcPr>
            <w:tcW w:w="380" w:type="dxa"/>
            <w:vAlign w:val="bottom"/>
          </w:tcPr>
          <w:p>
            <w:pPr>
              <w:ind w:left="100"/>
              <w:spacing w:after="0"/>
              <w:rPr>
                <w:sz w:val="20"/>
                <w:szCs w:val="20"/>
                <w:color w:val="auto"/>
              </w:rPr>
            </w:pPr>
            <w:r>
              <w:rPr>
                <w:rFonts w:ascii="Arial" w:cs="Arial" w:eastAsia="Arial" w:hAnsi="Arial"/>
                <w:sz w:val="18"/>
                <w:szCs w:val="18"/>
                <w:color w:val="auto"/>
              </w:rPr>
              <w:t>VA</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500-1447</w:t>
            </w:r>
          </w:p>
        </w:tc>
        <w:tc>
          <w:tcPr>
            <w:tcW w:w="5780" w:type="dxa"/>
            <w:vAlign w:val="bottom"/>
            <w:gridSpan w:val="2"/>
          </w:tcPr>
          <w:p>
            <w:pPr>
              <w:spacing w:after="0"/>
              <w:rPr>
                <w:sz w:val="20"/>
                <w:szCs w:val="20"/>
                <w:color w:val="auto"/>
              </w:rPr>
            </w:pPr>
            <w:r>
              <w:rPr>
                <w:rFonts w:ascii="Arial" w:cs="Arial" w:eastAsia="Arial" w:hAnsi="Arial"/>
                <w:sz w:val="18"/>
                <w:szCs w:val="18"/>
                <w:color w:val="auto"/>
              </w:rPr>
              <w:t>Loehmann’s Redstone Shop Ctr</w:t>
            </w:r>
          </w:p>
        </w:tc>
        <w:tc>
          <w:tcPr>
            <w:tcW w:w="3580" w:type="dxa"/>
            <w:vAlign w:val="bottom"/>
          </w:tcPr>
          <w:p>
            <w:pPr>
              <w:ind w:left="2440"/>
              <w:spacing w:after="0"/>
              <w:rPr>
                <w:sz w:val="20"/>
                <w:szCs w:val="20"/>
                <w:color w:val="auto"/>
              </w:rPr>
            </w:pPr>
            <w:r>
              <w:rPr>
                <w:rFonts w:ascii="Arial" w:cs="Arial" w:eastAsia="Arial" w:hAnsi="Arial"/>
                <w:sz w:val="18"/>
                <w:szCs w:val="18"/>
                <w:color w:val="auto"/>
              </w:rPr>
              <w:t>Fairfax</w:t>
            </w:r>
          </w:p>
        </w:tc>
        <w:tc>
          <w:tcPr>
            <w:tcW w:w="380" w:type="dxa"/>
            <w:vAlign w:val="bottom"/>
          </w:tcPr>
          <w:p>
            <w:pPr>
              <w:ind w:left="100"/>
              <w:spacing w:after="0"/>
              <w:rPr>
                <w:sz w:val="20"/>
                <w:szCs w:val="20"/>
                <w:color w:val="auto"/>
              </w:rPr>
            </w:pPr>
            <w:r>
              <w:rPr>
                <w:rFonts w:ascii="Arial" w:cs="Arial" w:eastAsia="Arial" w:hAnsi="Arial"/>
                <w:sz w:val="18"/>
                <w:szCs w:val="18"/>
                <w:color w:val="auto"/>
              </w:rPr>
              <w:t>VA</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500-1470</w:t>
            </w:r>
          </w:p>
        </w:tc>
        <w:tc>
          <w:tcPr>
            <w:tcW w:w="5780" w:type="dxa"/>
            <w:vAlign w:val="bottom"/>
            <w:gridSpan w:val="2"/>
          </w:tcPr>
          <w:p>
            <w:pPr>
              <w:spacing w:after="0"/>
              <w:rPr>
                <w:sz w:val="20"/>
                <w:szCs w:val="20"/>
                <w:color w:val="auto"/>
              </w:rPr>
            </w:pPr>
            <w:r>
              <w:rPr>
                <w:rFonts w:ascii="Arial" w:cs="Arial" w:eastAsia="Arial" w:hAnsi="Arial"/>
                <w:sz w:val="18"/>
                <w:szCs w:val="18"/>
                <w:color w:val="auto"/>
              </w:rPr>
              <w:t>Melville Mall</w:t>
            </w:r>
          </w:p>
        </w:tc>
        <w:tc>
          <w:tcPr>
            <w:tcW w:w="3580" w:type="dxa"/>
            <w:vAlign w:val="bottom"/>
          </w:tcPr>
          <w:p>
            <w:pPr>
              <w:ind w:left="2440"/>
              <w:spacing w:after="0"/>
              <w:rPr>
                <w:sz w:val="20"/>
                <w:szCs w:val="20"/>
                <w:color w:val="auto"/>
              </w:rPr>
            </w:pPr>
            <w:r>
              <w:rPr>
                <w:rFonts w:ascii="Arial" w:cs="Arial" w:eastAsia="Arial" w:hAnsi="Arial"/>
                <w:sz w:val="18"/>
                <w:szCs w:val="18"/>
                <w:color w:val="auto"/>
              </w:rPr>
              <w:t>Huntington</w:t>
            </w:r>
          </w:p>
        </w:tc>
        <w:tc>
          <w:tcPr>
            <w:tcW w:w="380" w:type="dxa"/>
            <w:vAlign w:val="bottom"/>
          </w:tcPr>
          <w:p>
            <w:pPr>
              <w:ind w:left="100"/>
              <w:spacing w:after="0"/>
              <w:rPr>
                <w:sz w:val="20"/>
                <w:szCs w:val="20"/>
                <w:color w:val="auto"/>
              </w:rPr>
            </w:pPr>
            <w:r>
              <w:rPr>
                <w:rFonts w:ascii="Arial" w:cs="Arial" w:eastAsia="Arial" w:hAnsi="Arial"/>
                <w:sz w:val="18"/>
                <w:szCs w:val="18"/>
                <w:color w:val="auto"/>
              </w:rPr>
              <w:t>NY</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500-1881</w:t>
            </w:r>
          </w:p>
        </w:tc>
        <w:tc>
          <w:tcPr>
            <w:tcW w:w="5780" w:type="dxa"/>
            <w:vAlign w:val="bottom"/>
            <w:gridSpan w:val="2"/>
          </w:tcPr>
          <w:p>
            <w:pPr>
              <w:spacing w:after="0"/>
              <w:rPr>
                <w:sz w:val="20"/>
                <w:szCs w:val="20"/>
                <w:color w:val="auto"/>
              </w:rPr>
            </w:pPr>
            <w:r>
              <w:rPr>
                <w:rFonts w:ascii="Arial" w:cs="Arial" w:eastAsia="Arial" w:hAnsi="Arial"/>
                <w:sz w:val="18"/>
                <w:szCs w:val="18"/>
                <w:color w:val="auto"/>
              </w:rPr>
              <w:t>Wildwood Shopping Center</w:t>
            </w:r>
          </w:p>
        </w:tc>
        <w:tc>
          <w:tcPr>
            <w:tcW w:w="3580" w:type="dxa"/>
            <w:vAlign w:val="bottom"/>
          </w:tcPr>
          <w:p>
            <w:pPr>
              <w:ind w:left="2440"/>
              <w:spacing w:after="0"/>
              <w:rPr>
                <w:sz w:val="20"/>
                <w:szCs w:val="20"/>
                <w:color w:val="auto"/>
              </w:rPr>
            </w:pPr>
            <w:r>
              <w:rPr>
                <w:rFonts w:ascii="Arial" w:cs="Arial" w:eastAsia="Arial" w:hAnsi="Arial"/>
                <w:sz w:val="18"/>
                <w:szCs w:val="18"/>
                <w:color w:val="auto"/>
              </w:rPr>
              <w:t>Bethesda</w:t>
            </w:r>
          </w:p>
        </w:tc>
        <w:tc>
          <w:tcPr>
            <w:tcW w:w="380" w:type="dxa"/>
            <w:vAlign w:val="bottom"/>
          </w:tcPr>
          <w:p>
            <w:pPr>
              <w:ind w:left="100"/>
              <w:spacing w:after="0"/>
              <w:rPr>
                <w:sz w:val="20"/>
                <w:szCs w:val="20"/>
                <w:color w:val="auto"/>
              </w:rPr>
            </w:pPr>
            <w:r>
              <w:rPr>
                <w:rFonts w:ascii="Arial" w:cs="Arial" w:eastAsia="Arial" w:hAnsi="Arial"/>
                <w:sz w:val="18"/>
                <w:szCs w:val="18"/>
                <w:color w:val="auto"/>
                <w:w w:val="92"/>
              </w:rPr>
              <w:t>MD</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500-1900</w:t>
            </w:r>
          </w:p>
        </w:tc>
        <w:tc>
          <w:tcPr>
            <w:tcW w:w="5780" w:type="dxa"/>
            <w:vAlign w:val="bottom"/>
            <w:gridSpan w:val="2"/>
          </w:tcPr>
          <w:p>
            <w:pPr>
              <w:spacing w:after="0"/>
              <w:rPr>
                <w:sz w:val="20"/>
                <w:szCs w:val="20"/>
                <w:color w:val="auto"/>
              </w:rPr>
            </w:pPr>
            <w:r>
              <w:rPr>
                <w:rFonts w:ascii="Arial" w:cs="Arial" w:eastAsia="Arial" w:hAnsi="Arial"/>
                <w:sz w:val="18"/>
                <w:szCs w:val="18"/>
                <w:color w:val="auto"/>
              </w:rPr>
              <w:t>Wynnewood Shopping Center</w:t>
            </w:r>
          </w:p>
        </w:tc>
        <w:tc>
          <w:tcPr>
            <w:tcW w:w="3580" w:type="dxa"/>
            <w:vAlign w:val="bottom"/>
          </w:tcPr>
          <w:p>
            <w:pPr>
              <w:ind w:left="2440"/>
              <w:spacing w:after="0"/>
              <w:rPr>
                <w:sz w:val="20"/>
                <w:szCs w:val="20"/>
                <w:color w:val="auto"/>
              </w:rPr>
            </w:pPr>
            <w:r>
              <w:rPr>
                <w:rFonts w:ascii="Arial" w:cs="Arial" w:eastAsia="Arial" w:hAnsi="Arial"/>
                <w:sz w:val="18"/>
                <w:szCs w:val="18"/>
                <w:color w:val="auto"/>
              </w:rPr>
              <w:t>Wynnewood</w:t>
            </w:r>
          </w:p>
        </w:tc>
        <w:tc>
          <w:tcPr>
            <w:tcW w:w="380" w:type="dxa"/>
            <w:vAlign w:val="bottom"/>
          </w:tcPr>
          <w:p>
            <w:pPr>
              <w:ind w:left="100"/>
              <w:spacing w:after="0"/>
              <w:rPr>
                <w:sz w:val="20"/>
                <w:szCs w:val="20"/>
                <w:color w:val="auto"/>
              </w:rPr>
            </w:pPr>
            <w:r>
              <w:rPr>
                <w:rFonts w:ascii="Arial" w:cs="Arial" w:eastAsia="Arial" w:hAnsi="Arial"/>
                <w:sz w:val="18"/>
                <w:szCs w:val="18"/>
                <w:color w:val="auto"/>
              </w:rPr>
              <w:t>PA</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500-2070</w:t>
            </w:r>
          </w:p>
        </w:tc>
        <w:tc>
          <w:tcPr>
            <w:tcW w:w="5780" w:type="dxa"/>
            <w:vAlign w:val="bottom"/>
            <w:gridSpan w:val="2"/>
          </w:tcPr>
          <w:p>
            <w:pPr>
              <w:spacing w:after="0"/>
              <w:rPr>
                <w:sz w:val="20"/>
                <w:szCs w:val="20"/>
                <w:color w:val="auto"/>
              </w:rPr>
            </w:pPr>
            <w:r>
              <w:rPr>
                <w:rFonts w:ascii="Arial" w:cs="Arial" w:eastAsia="Arial" w:hAnsi="Arial"/>
                <w:sz w:val="18"/>
                <w:szCs w:val="18"/>
                <w:color w:val="auto"/>
              </w:rPr>
              <w:t>Barracks Road</w:t>
            </w:r>
          </w:p>
        </w:tc>
        <w:tc>
          <w:tcPr>
            <w:tcW w:w="3580" w:type="dxa"/>
            <w:vAlign w:val="bottom"/>
          </w:tcPr>
          <w:p>
            <w:pPr>
              <w:ind w:left="2440"/>
              <w:spacing w:after="0"/>
              <w:rPr>
                <w:sz w:val="20"/>
                <w:szCs w:val="20"/>
                <w:color w:val="auto"/>
              </w:rPr>
            </w:pPr>
            <w:r>
              <w:rPr>
                <w:rFonts w:ascii="Arial" w:cs="Arial" w:eastAsia="Arial" w:hAnsi="Arial"/>
                <w:sz w:val="18"/>
                <w:szCs w:val="18"/>
                <w:color w:val="auto"/>
                <w:w w:val="99"/>
              </w:rPr>
              <w:t>Charlottesville</w:t>
            </w:r>
          </w:p>
        </w:tc>
        <w:tc>
          <w:tcPr>
            <w:tcW w:w="380" w:type="dxa"/>
            <w:vAlign w:val="bottom"/>
          </w:tcPr>
          <w:p>
            <w:pPr>
              <w:ind w:left="100"/>
              <w:spacing w:after="0"/>
              <w:rPr>
                <w:sz w:val="20"/>
                <w:szCs w:val="20"/>
                <w:color w:val="auto"/>
              </w:rPr>
            </w:pPr>
            <w:r>
              <w:rPr>
                <w:rFonts w:ascii="Arial" w:cs="Arial" w:eastAsia="Arial" w:hAnsi="Arial"/>
                <w:sz w:val="18"/>
                <w:szCs w:val="18"/>
                <w:color w:val="auto"/>
              </w:rPr>
              <w:t>VA</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191-1096</w:t>
            </w:r>
          </w:p>
        </w:tc>
        <w:tc>
          <w:tcPr>
            <w:tcW w:w="5780" w:type="dxa"/>
            <w:vAlign w:val="bottom"/>
            <w:gridSpan w:val="2"/>
          </w:tcPr>
          <w:p>
            <w:pPr>
              <w:spacing w:after="0"/>
              <w:rPr>
                <w:sz w:val="20"/>
                <w:szCs w:val="20"/>
                <w:color w:val="auto"/>
              </w:rPr>
            </w:pPr>
            <w:r>
              <w:rPr>
                <w:rFonts w:ascii="Arial" w:cs="Arial" w:eastAsia="Arial" w:hAnsi="Arial"/>
                <w:sz w:val="18"/>
                <w:szCs w:val="18"/>
                <w:color w:val="auto"/>
              </w:rPr>
              <w:t>Crow Canyon</w:t>
            </w:r>
          </w:p>
        </w:tc>
        <w:tc>
          <w:tcPr>
            <w:tcW w:w="3580" w:type="dxa"/>
            <w:vAlign w:val="bottom"/>
          </w:tcPr>
          <w:p>
            <w:pPr>
              <w:ind w:left="2440"/>
              <w:spacing w:after="0"/>
              <w:rPr>
                <w:sz w:val="20"/>
                <w:szCs w:val="20"/>
                <w:color w:val="auto"/>
              </w:rPr>
            </w:pPr>
            <w:r>
              <w:rPr>
                <w:rFonts w:ascii="Arial" w:cs="Arial" w:eastAsia="Arial" w:hAnsi="Arial"/>
                <w:sz w:val="18"/>
                <w:szCs w:val="18"/>
                <w:color w:val="auto"/>
              </w:rPr>
              <w:t>San Ramon</w:t>
            </w:r>
          </w:p>
        </w:tc>
        <w:tc>
          <w:tcPr>
            <w:tcW w:w="380" w:type="dxa"/>
            <w:vAlign w:val="bottom"/>
          </w:tcPr>
          <w:p>
            <w:pPr>
              <w:ind w:left="100"/>
              <w:spacing w:after="0"/>
              <w:rPr>
                <w:sz w:val="20"/>
                <w:szCs w:val="20"/>
                <w:color w:val="auto"/>
              </w:rPr>
            </w:pPr>
            <w:r>
              <w:rPr>
                <w:rFonts w:ascii="Arial" w:cs="Arial" w:eastAsia="Arial" w:hAnsi="Arial"/>
                <w:sz w:val="18"/>
                <w:szCs w:val="18"/>
                <w:color w:val="auto"/>
              </w:rPr>
              <w:t>CA</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211-2110</w:t>
            </w:r>
          </w:p>
        </w:tc>
        <w:tc>
          <w:tcPr>
            <w:tcW w:w="5780" w:type="dxa"/>
            <w:vAlign w:val="bottom"/>
            <w:gridSpan w:val="2"/>
          </w:tcPr>
          <w:p>
            <w:pPr>
              <w:spacing w:after="0"/>
              <w:rPr>
                <w:sz w:val="20"/>
                <w:szCs w:val="20"/>
                <w:color w:val="auto"/>
              </w:rPr>
            </w:pPr>
            <w:r>
              <w:rPr>
                <w:rFonts w:ascii="Arial" w:cs="Arial" w:eastAsia="Arial" w:hAnsi="Arial"/>
                <w:sz w:val="18"/>
                <w:szCs w:val="18"/>
                <w:color w:val="auto"/>
              </w:rPr>
              <w:t>Chelsea Commons (Condominium Unit 1 only)</w:t>
            </w:r>
          </w:p>
        </w:tc>
        <w:tc>
          <w:tcPr>
            <w:tcW w:w="3580" w:type="dxa"/>
            <w:vAlign w:val="bottom"/>
          </w:tcPr>
          <w:p>
            <w:pPr>
              <w:ind w:left="2440"/>
              <w:spacing w:after="0"/>
              <w:rPr>
                <w:sz w:val="20"/>
                <w:szCs w:val="20"/>
                <w:color w:val="auto"/>
              </w:rPr>
            </w:pPr>
            <w:r>
              <w:rPr>
                <w:rFonts w:ascii="Arial" w:cs="Arial" w:eastAsia="Arial" w:hAnsi="Arial"/>
                <w:sz w:val="18"/>
                <w:szCs w:val="18"/>
                <w:color w:val="auto"/>
              </w:rPr>
              <w:t>Chelsea</w:t>
            </w:r>
          </w:p>
        </w:tc>
        <w:tc>
          <w:tcPr>
            <w:tcW w:w="380" w:type="dxa"/>
            <w:vAlign w:val="bottom"/>
          </w:tcPr>
          <w:p>
            <w:pPr>
              <w:ind w:left="100"/>
              <w:spacing w:after="0"/>
              <w:rPr>
                <w:sz w:val="20"/>
                <w:szCs w:val="20"/>
                <w:color w:val="auto"/>
              </w:rPr>
            </w:pPr>
            <w:r>
              <w:rPr>
                <w:rFonts w:ascii="Arial" w:cs="Arial" w:eastAsia="Arial" w:hAnsi="Arial"/>
                <w:sz w:val="18"/>
                <w:szCs w:val="18"/>
                <w:color w:val="auto"/>
                <w:w w:val="96"/>
              </w:rPr>
              <w:t>MA</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192-1722</w:t>
            </w:r>
          </w:p>
        </w:tc>
        <w:tc>
          <w:tcPr>
            <w:tcW w:w="5780" w:type="dxa"/>
            <w:vAlign w:val="bottom"/>
            <w:gridSpan w:val="2"/>
          </w:tcPr>
          <w:p>
            <w:pPr>
              <w:spacing w:after="0"/>
              <w:rPr>
                <w:sz w:val="20"/>
                <w:szCs w:val="20"/>
                <w:color w:val="auto"/>
              </w:rPr>
            </w:pPr>
            <w:r>
              <w:rPr>
                <w:rFonts w:ascii="Arial" w:cs="Arial" w:eastAsia="Arial" w:hAnsi="Arial"/>
                <w:sz w:val="18"/>
                <w:szCs w:val="18"/>
                <w:color w:val="auto"/>
              </w:rPr>
              <w:t>Shoppers’ World</w:t>
            </w:r>
          </w:p>
        </w:tc>
        <w:tc>
          <w:tcPr>
            <w:tcW w:w="3580" w:type="dxa"/>
            <w:vAlign w:val="bottom"/>
          </w:tcPr>
          <w:p>
            <w:pPr>
              <w:ind w:left="2440"/>
              <w:spacing w:after="0"/>
              <w:rPr>
                <w:sz w:val="20"/>
                <w:szCs w:val="20"/>
                <w:color w:val="auto"/>
              </w:rPr>
            </w:pPr>
            <w:r>
              <w:rPr>
                <w:rFonts w:ascii="Arial" w:cs="Arial" w:eastAsia="Arial" w:hAnsi="Arial"/>
                <w:sz w:val="18"/>
                <w:szCs w:val="18"/>
                <w:color w:val="auto"/>
                <w:w w:val="99"/>
              </w:rPr>
              <w:t>Charlottesville</w:t>
            </w:r>
          </w:p>
        </w:tc>
        <w:tc>
          <w:tcPr>
            <w:tcW w:w="380" w:type="dxa"/>
            <w:vAlign w:val="bottom"/>
          </w:tcPr>
          <w:p>
            <w:pPr>
              <w:ind w:left="100"/>
              <w:spacing w:after="0"/>
              <w:rPr>
                <w:sz w:val="20"/>
                <w:szCs w:val="20"/>
                <w:color w:val="auto"/>
              </w:rPr>
            </w:pPr>
            <w:r>
              <w:rPr>
                <w:rFonts w:ascii="Arial" w:cs="Arial" w:eastAsia="Arial" w:hAnsi="Arial"/>
                <w:sz w:val="18"/>
                <w:szCs w:val="18"/>
                <w:color w:val="auto"/>
              </w:rPr>
              <w:t>VA</w:t>
            </w:r>
          </w:p>
        </w:tc>
      </w:tr>
    </w:tbl>
    <w:p>
      <w:pPr>
        <w:spacing w:after="0" w:line="79"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1180" w:type="dxa"/>
            <w:vAlign w:val="bottom"/>
          </w:tcPr>
          <w:p>
            <w:pPr>
              <w:spacing w:after="0"/>
              <w:rPr>
                <w:sz w:val="18"/>
                <w:szCs w:val="18"/>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Unconsolidated JV Properties</w:t>
            </w:r>
          </w:p>
        </w:tc>
        <w:tc>
          <w:tcPr>
            <w:tcW w:w="29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28"/>
        </w:trPr>
        <w:tc>
          <w:tcPr>
            <w:tcW w:w="1180" w:type="dxa"/>
            <w:vAlign w:val="bottom"/>
          </w:tcPr>
          <w:p>
            <w:pPr>
              <w:jc w:val="right"/>
              <w:ind w:right="412"/>
              <w:spacing w:after="0"/>
              <w:rPr>
                <w:sz w:val="20"/>
                <w:szCs w:val="20"/>
                <w:color w:val="auto"/>
              </w:rPr>
            </w:pPr>
            <w:r>
              <w:rPr>
                <w:rFonts w:ascii="Arial" w:cs="Arial" w:eastAsia="Arial" w:hAnsi="Arial"/>
                <w:sz w:val="18"/>
                <w:szCs w:val="18"/>
                <w:color w:val="auto"/>
                <w:w w:val="86"/>
              </w:rPr>
              <w:t>801-8010</w:t>
            </w:r>
          </w:p>
        </w:tc>
        <w:tc>
          <w:tcPr>
            <w:tcW w:w="5220" w:type="dxa"/>
            <w:vAlign w:val="bottom"/>
            <w:gridSpan w:val="2"/>
          </w:tcPr>
          <w:p>
            <w:pPr>
              <w:spacing w:after="0"/>
              <w:rPr>
                <w:sz w:val="20"/>
                <w:szCs w:val="20"/>
                <w:color w:val="auto"/>
              </w:rPr>
            </w:pPr>
            <w:r>
              <w:rPr>
                <w:rFonts w:ascii="Arial" w:cs="Arial" w:eastAsia="Arial" w:hAnsi="Arial"/>
                <w:sz w:val="18"/>
                <w:szCs w:val="18"/>
                <w:color w:val="auto"/>
              </w:rPr>
              <w:t>Plaza del Mercado</w:t>
            </w:r>
          </w:p>
        </w:tc>
        <w:tc>
          <w:tcPr>
            <w:tcW w:w="4140" w:type="dxa"/>
            <w:vAlign w:val="bottom"/>
          </w:tcPr>
          <w:p>
            <w:pPr>
              <w:ind w:left="3000"/>
              <w:spacing w:after="0"/>
              <w:rPr>
                <w:sz w:val="20"/>
                <w:szCs w:val="20"/>
                <w:color w:val="auto"/>
              </w:rPr>
            </w:pPr>
            <w:r>
              <w:rPr>
                <w:rFonts w:ascii="Arial" w:cs="Arial" w:eastAsia="Arial" w:hAnsi="Arial"/>
                <w:sz w:val="18"/>
                <w:szCs w:val="18"/>
                <w:color w:val="auto"/>
              </w:rPr>
              <w:t>Silver Spring</w:t>
            </w:r>
          </w:p>
        </w:tc>
        <w:tc>
          <w:tcPr>
            <w:tcW w:w="380" w:type="dxa"/>
            <w:vAlign w:val="bottom"/>
          </w:tcPr>
          <w:p>
            <w:pPr>
              <w:ind w:left="100"/>
              <w:spacing w:after="0"/>
              <w:rPr>
                <w:sz w:val="20"/>
                <w:szCs w:val="20"/>
                <w:color w:val="auto"/>
              </w:rPr>
            </w:pPr>
            <w:r>
              <w:rPr>
                <w:rFonts w:ascii="Arial" w:cs="Arial" w:eastAsia="Arial" w:hAnsi="Arial"/>
                <w:sz w:val="18"/>
                <w:szCs w:val="18"/>
                <w:color w:val="auto"/>
                <w:w w:val="92"/>
              </w:rPr>
              <w:t>MD</w:t>
            </w:r>
          </w:p>
        </w:tc>
      </w:tr>
      <w:tr>
        <w:trPr>
          <w:trHeight w:val="216"/>
        </w:trPr>
        <w:tc>
          <w:tcPr>
            <w:tcW w:w="1180" w:type="dxa"/>
            <w:vAlign w:val="bottom"/>
          </w:tcPr>
          <w:p>
            <w:pPr>
              <w:jc w:val="right"/>
              <w:ind w:right="412"/>
              <w:spacing w:after="0"/>
              <w:rPr>
                <w:sz w:val="20"/>
                <w:szCs w:val="20"/>
                <w:color w:val="auto"/>
              </w:rPr>
            </w:pPr>
            <w:r>
              <w:rPr>
                <w:rFonts w:ascii="Arial" w:cs="Arial" w:eastAsia="Arial" w:hAnsi="Arial"/>
                <w:sz w:val="18"/>
                <w:szCs w:val="18"/>
                <w:color w:val="auto"/>
                <w:w w:val="86"/>
              </w:rPr>
              <w:t>802-8020</w:t>
            </w:r>
          </w:p>
        </w:tc>
        <w:tc>
          <w:tcPr>
            <w:tcW w:w="5220" w:type="dxa"/>
            <w:vAlign w:val="bottom"/>
            <w:gridSpan w:val="2"/>
          </w:tcPr>
          <w:p>
            <w:pPr>
              <w:spacing w:after="0"/>
              <w:rPr>
                <w:sz w:val="20"/>
                <w:szCs w:val="20"/>
                <w:color w:val="auto"/>
              </w:rPr>
            </w:pPr>
            <w:r>
              <w:rPr>
                <w:rFonts w:ascii="Arial" w:cs="Arial" w:eastAsia="Arial" w:hAnsi="Arial"/>
                <w:sz w:val="18"/>
                <w:szCs w:val="18"/>
                <w:color w:val="auto"/>
              </w:rPr>
              <w:t>Campus Plaza</w:t>
            </w:r>
          </w:p>
        </w:tc>
        <w:tc>
          <w:tcPr>
            <w:tcW w:w="4140" w:type="dxa"/>
            <w:vAlign w:val="bottom"/>
          </w:tcPr>
          <w:p>
            <w:pPr>
              <w:ind w:left="3000"/>
              <w:spacing w:after="0"/>
              <w:rPr>
                <w:sz w:val="20"/>
                <w:szCs w:val="20"/>
                <w:color w:val="auto"/>
              </w:rPr>
            </w:pPr>
            <w:r>
              <w:rPr>
                <w:rFonts w:ascii="Arial" w:cs="Arial" w:eastAsia="Arial" w:hAnsi="Arial"/>
                <w:sz w:val="18"/>
                <w:szCs w:val="18"/>
                <w:color w:val="auto"/>
              </w:rPr>
              <w:t>Bridgewater</w:t>
            </w:r>
          </w:p>
        </w:tc>
        <w:tc>
          <w:tcPr>
            <w:tcW w:w="380" w:type="dxa"/>
            <w:vAlign w:val="bottom"/>
          </w:tcPr>
          <w:p>
            <w:pPr>
              <w:ind w:left="100"/>
              <w:spacing w:after="0"/>
              <w:rPr>
                <w:sz w:val="20"/>
                <w:szCs w:val="20"/>
                <w:color w:val="auto"/>
              </w:rPr>
            </w:pPr>
            <w:r>
              <w:rPr>
                <w:rFonts w:ascii="Arial" w:cs="Arial" w:eastAsia="Arial" w:hAnsi="Arial"/>
                <w:sz w:val="18"/>
                <w:szCs w:val="18"/>
                <w:color w:val="auto"/>
                <w:w w:val="96"/>
              </w:rPr>
              <w:t>MA</w:t>
            </w:r>
          </w:p>
        </w:tc>
      </w:tr>
      <w:tr>
        <w:trPr>
          <w:trHeight w:val="216"/>
        </w:trPr>
        <w:tc>
          <w:tcPr>
            <w:tcW w:w="1180" w:type="dxa"/>
            <w:vAlign w:val="bottom"/>
          </w:tcPr>
          <w:p>
            <w:pPr>
              <w:jc w:val="right"/>
              <w:ind w:right="412"/>
              <w:spacing w:after="0"/>
              <w:rPr>
                <w:sz w:val="20"/>
                <w:szCs w:val="20"/>
                <w:color w:val="auto"/>
              </w:rPr>
            </w:pPr>
            <w:r>
              <w:rPr>
                <w:rFonts w:ascii="Arial" w:cs="Arial" w:eastAsia="Arial" w:hAnsi="Arial"/>
                <w:sz w:val="18"/>
                <w:szCs w:val="18"/>
                <w:color w:val="auto"/>
                <w:w w:val="86"/>
              </w:rPr>
              <w:t>803-8030</w:t>
            </w:r>
          </w:p>
        </w:tc>
        <w:tc>
          <w:tcPr>
            <w:tcW w:w="5220" w:type="dxa"/>
            <w:vAlign w:val="bottom"/>
            <w:gridSpan w:val="2"/>
          </w:tcPr>
          <w:p>
            <w:pPr>
              <w:spacing w:after="0"/>
              <w:rPr>
                <w:sz w:val="20"/>
                <w:szCs w:val="20"/>
                <w:color w:val="auto"/>
              </w:rPr>
            </w:pPr>
            <w:r>
              <w:rPr>
                <w:rFonts w:ascii="Arial" w:cs="Arial" w:eastAsia="Arial" w:hAnsi="Arial"/>
                <w:sz w:val="18"/>
                <w:szCs w:val="18"/>
                <w:color w:val="auto"/>
              </w:rPr>
              <w:t>Pleasant Shops</w:t>
            </w:r>
          </w:p>
        </w:tc>
        <w:tc>
          <w:tcPr>
            <w:tcW w:w="4140" w:type="dxa"/>
            <w:vAlign w:val="bottom"/>
          </w:tcPr>
          <w:p>
            <w:pPr>
              <w:ind w:left="3000"/>
              <w:spacing w:after="0"/>
              <w:rPr>
                <w:sz w:val="20"/>
                <w:szCs w:val="20"/>
                <w:color w:val="auto"/>
              </w:rPr>
            </w:pPr>
            <w:r>
              <w:rPr>
                <w:rFonts w:ascii="Arial" w:cs="Arial" w:eastAsia="Arial" w:hAnsi="Arial"/>
                <w:sz w:val="18"/>
                <w:szCs w:val="18"/>
                <w:color w:val="auto"/>
              </w:rPr>
              <w:t>Weymouth</w:t>
            </w:r>
          </w:p>
        </w:tc>
        <w:tc>
          <w:tcPr>
            <w:tcW w:w="380" w:type="dxa"/>
            <w:vAlign w:val="bottom"/>
          </w:tcPr>
          <w:p>
            <w:pPr>
              <w:ind w:left="100"/>
              <w:spacing w:after="0"/>
              <w:rPr>
                <w:sz w:val="20"/>
                <w:szCs w:val="20"/>
                <w:color w:val="auto"/>
              </w:rPr>
            </w:pPr>
            <w:r>
              <w:rPr>
                <w:rFonts w:ascii="Arial" w:cs="Arial" w:eastAsia="Arial" w:hAnsi="Arial"/>
                <w:sz w:val="18"/>
                <w:szCs w:val="18"/>
                <w:color w:val="auto"/>
                <w:w w:val="96"/>
              </w:rPr>
              <w:t>MA</w:t>
            </w:r>
          </w:p>
        </w:tc>
      </w:tr>
      <w:tr>
        <w:trPr>
          <w:trHeight w:val="216"/>
        </w:trPr>
        <w:tc>
          <w:tcPr>
            <w:tcW w:w="1180" w:type="dxa"/>
            <w:vAlign w:val="bottom"/>
          </w:tcPr>
          <w:p>
            <w:pPr>
              <w:jc w:val="right"/>
              <w:ind w:right="412"/>
              <w:spacing w:after="0"/>
              <w:rPr>
                <w:sz w:val="20"/>
                <w:szCs w:val="20"/>
                <w:color w:val="auto"/>
              </w:rPr>
            </w:pPr>
            <w:r>
              <w:rPr>
                <w:rFonts w:ascii="Arial" w:cs="Arial" w:eastAsia="Arial" w:hAnsi="Arial"/>
                <w:sz w:val="18"/>
                <w:szCs w:val="18"/>
                <w:color w:val="auto"/>
                <w:w w:val="86"/>
              </w:rPr>
              <w:t>804-8040</w:t>
            </w:r>
          </w:p>
        </w:tc>
        <w:tc>
          <w:tcPr>
            <w:tcW w:w="5220" w:type="dxa"/>
            <w:vAlign w:val="bottom"/>
            <w:gridSpan w:val="2"/>
          </w:tcPr>
          <w:p>
            <w:pPr>
              <w:spacing w:after="0"/>
              <w:rPr>
                <w:sz w:val="20"/>
                <w:szCs w:val="20"/>
                <w:color w:val="auto"/>
              </w:rPr>
            </w:pPr>
            <w:r>
              <w:rPr>
                <w:rFonts w:ascii="Arial" w:cs="Arial" w:eastAsia="Arial" w:hAnsi="Arial"/>
                <w:sz w:val="18"/>
                <w:szCs w:val="18"/>
                <w:color w:val="auto"/>
              </w:rPr>
              <w:t>Atlantic Plaza</w:t>
            </w:r>
          </w:p>
        </w:tc>
        <w:tc>
          <w:tcPr>
            <w:tcW w:w="4140" w:type="dxa"/>
            <w:vAlign w:val="bottom"/>
          </w:tcPr>
          <w:p>
            <w:pPr>
              <w:ind w:left="3000"/>
              <w:spacing w:after="0"/>
              <w:rPr>
                <w:sz w:val="20"/>
                <w:szCs w:val="20"/>
                <w:color w:val="auto"/>
              </w:rPr>
            </w:pPr>
            <w:r>
              <w:rPr>
                <w:rFonts w:ascii="Arial" w:cs="Arial" w:eastAsia="Arial" w:hAnsi="Arial"/>
                <w:sz w:val="18"/>
                <w:szCs w:val="18"/>
                <w:color w:val="auto"/>
                <w:w w:val="96"/>
              </w:rPr>
              <w:t>North Reading</w:t>
            </w:r>
          </w:p>
        </w:tc>
        <w:tc>
          <w:tcPr>
            <w:tcW w:w="380" w:type="dxa"/>
            <w:vAlign w:val="bottom"/>
          </w:tcPr>
          <w:p>
            <w:pPr>
              <w:ind w:left="100"/>
              <w:spacing w:after="0"/>
              <w:rPr>
                <w:sz w:val="20"/>
                <w:szCs w:val="20"/>
                <w:color w:val="auto"/>
              </w:rPr>
            </w:pPr>
            <w:r>
              <w:rPr>
                <w:rFonts w:ascii="Arial" w:cs="Arial" w:eastAsia="Arial" w:hAnsi="Arial"/>
                <w:sz w:val="18"/>
                <w:szCs w:val="18"/>
                <w:color w:val="auto"/>
                <w:w w:val="96"/>
              </w:rPr>
              <w:t>MA</w:t>
            </w:r>
          </w:p>
        </w:tc>
      </w:tr>
      <w:tr>
        <w:trPr>
          <w:trHeight w:val="216"/>
        </w:trPr>
        <w:tc>
          <w:tcPr>
            <w:tcW w:w="1180" w:type="dxa"/>
            <w:vAlign w:val="bottom"/>
          </w:tcPr>
          <w:p>
            <w:pPr>
              <w:jc w:val="right"/>
              <w:ind w:right="412"/>
              <w:spacing w:after="0"/>
              <w:rPr>
                <w:sz w:val="20"/>
                <w:szCs w:val="20"/>
                <w:color w:val="auto"/>
              </w:rPr>
            </w:pPr>
            <w:r>
              <w:rPr>
                <w:rFonts w:ascii="Arial" w:cs="Arial" w:eastAsia="Arial" w:hAnsi="Arial"/>
                <w:sz w:val="18"/>
                <w:szCs w:val="18"/>
                <w:color w:val="auto"/>
                <w:w w:val="86"/>
              </w:rPr>
              <w:t>805-8050</w:t>
            </w:r>
          </w:p>
        </w:tc>
        <w:tc>
          <w:tcPr>
            <w:tcW w:w="5220" w:type="dxa"/>
            <w:vAlign w:val="bottom"/>
            <w:gridSpan w:val="2"/>
          </w:tcPr>
          <w:p>
            <w:pPr>
              <w:spacing w:after="0"/>
              <w:rPr>
                <w:sz w:val="20"/>
                <w:szCs w:val="20"/>
                <w:color w:val="auto"/>
              </w:rPr>
            </w:pPr>
            <w:r>
              <w:rPr>
                <w:rFonts w:ascii="Arial" w:cs="Arial" w:eastAsia="Arial" w:hAnsi="Arial"/>
                <w:sz w:val="18"/>
                <w:szCs w:val="18"/>
                <w:color w:val="auto"/>
              </w:rPr>
              <w:t>Greenlawn Plaza</w:t>
            </w:r>
          </w:p>
        </w:tc>
        <w:tc>
          <w:tcPr>
            <w:tcW w:w="4140" w:type="dxa"/>
            <w:vAlign w:val="bottom"/>
          </w:tcPr>
          <w:p>
            <w:pPr>
              <w:ind w:left="3000"/>
              <w:spacing w:after="0"/>
              <w:rPr>
                <w:sz w:val="20"/>
                <w:szCs w:val="20"/>
                <w:color w:val="auto"/>
              </w:rPr>
            </w:pPr>
            <w:r>
              <w:rPr>
                <w:rFonts w:ascii="Arial" w:cs="Arial" w:eastAsia="Arial" w:hAnsi="Arial"/>
                <w:sz w:val="18"/>
                <w:szCs w:val="18"/>
                <w:color w:val="auto"/>
              </w:rPr>
              <w:t>Huntington</w:t>
            </w:r>
          </w:p>
        </w:tc>
        <w:tc>
          <w:tcPr>
            <w:tcW w:w="380" w:type="dxa"/>
            <w:vAlign w:val="bottom"/>
          </w:tcPr>
          <w:p>
            <w:pPr>
              <w:ind w:left="100"/>
              <w:spacing w:after="0"/>
              <w:rPr>
                <w:sz w:val="20"/>
                <w:szCs w:val="20"/>
                <w:color w:val="auto"/>
              </w:rPr>
            </w:pPr>
            <w:r>
              <w:rPr>
                <w:rFonts w:ascii="Arial" w:cs="Arial" w:eastAsia="Arial" w:hAnsi="Arial"/>
                <w:sz w:val="18"/>
                <w:szCs w:val="18"/>
                <w:color w:val="auto"/>
              </w:rPr>
              <w:t>NY</w:t>
            </w:r>
          </w:p>
        </w:tc>
      </w:tr>
      <w:tr>
        <w:trPr>
          <w:trHeight w:val="216"/>
        </w:trPr>
        <w:tc>
          <w:tcPr>
            <w:tcW w:w="1180" w:type="dxa"/>
            <w:vAlign w:val="bottom"/>
          </w:tcPr>
          <w:p>
            <w:pPr>
              <w:jc w:val="right"/>
              <w:ind w:right="412"/>
              <w:spacing w:after="0"/>
              <w:rPr>
                <w:sz w:val="20"/>
                <w:szCs w:val="20"/>
                <w:color w:val="auto"/>
              </w:rPr>
            </w:pPr>
            <w:r>
              <w:rPr>
                <w:rFonts w:ascii="Arial" w:cs="Arial" w:eastAsia="Arial" w:hAnsi="Arial"/>
                <w:sz w:val="18"/>
                <w:szCs w:val="18"/>
                <w:color w:val="auto"/>
                <w:w w:val="86"/>
              </w:rPr>
              <w:t>806-8060</w:t>
            </w:r>
          </w:p>
        </w:tc>
        <w:tc>
          <w:tcPr>
            <w:tcW w:w="5220" w:type="dxa"/>
            <w:vAlign w:val="bottom"/>
            <w:gridSpan w:val="2"/>
          </w:tcPr>
          <w:p>
            <w:pPr>
              <w:spacing w:after="0"/>
              <w:rPr>
                <w:sz w:val="20"/>
                <w:szCs w:val="20"/>
                <w:color w:val="auto"/>
              </w:rPr>
            </w:pPr>
            <w:r>
              <w:rPr>
                <w:rFonts w:ascii="Arial" w:cs="Arial" w:eastAsia="Arial" w:hAnsi="Arial"/>
                <w:sz w:val="18"/>
                <w:szCs w:val="18"/>
                <w:color w:val="auto"/>
              </w:rPr>
              <w:t>Barcroft Plaza</w:t>
            </w:r>
          </w:p>
        </w:tc>
        <w:tc>
          <w:tcPr>
            <w:tcW w:w="4140" w:type="dxa"/>
            <w:vAlign w:val="bottom"/>
          </w:tcPr>
          <w:p>
            <w:pPr>
              <w:ind w:left="3000"/>
              <w:spacing w:after="0"/>
              <w:rPr>
                <w:sz w:val="20"/>
                <w:szCs w:val="20"/>
                <w:color w:val="auto"/>
              </w:rPr>
            </w:pPr>
            <w:r>
              <w:rPr>
                <w:rFonts w:ascii="Arial" w:cs="Arial" w:eastAsia="Arial" w:hAnsi="Arial"/>
                <w:sz w:val="18"/>
                <w:szCs w:val="18"/>
                <w:color w:val="auto"/>
              </w:rPr>
              <w:t>Falls Church</w:t>
            </w:r>
          </w:p>
        </w:tc>
        <w:tc>
          <w:tcPr>
            <w:tcW w:w="380" w:type="dxa"/>
            <w:vAlign w:val="bottom"/>
          </w:tcPr>
          <w:p>
            <w:pPr>
              <w:ind w:left="100"/>
              <w:spacing w:after="0"/>
              <w:rPr>
                <w:sz w:val="20"/>
                <w:szCs w:val="20"/>
                <w:color w:val="auto"/>
              </w:rPr>
            </w:pPr>
            <w:r>
              <w:rPr>
                <w:rFonts w:ascii="Arial" w:cs="Arial" w:eastAsia="Arial" w:hAnsi="Arial"/>
                <w:sz w:val="18"/>
                <w:szCs w:val="18"/>
                <w:color w:val="auto"/>
              </w:rPr>
              <w:t>VA</w:t>
            </w:r>
          </w:p>
        </w:tc>
      </w:tr>
      <w:tr>
        <w:trPr>
          <w:trHeight w:val="216"/>
        </w:trPr>
        <w:tc>
          <w:tcPr>
            <w:tcW w:w="1180" w:type="dxa"/>
            <w:vAlign w:val="bottom"/>
          </w:tcPr>
          <w:p>
            <w:pPr>
              <w:jc w:val="right"/>
              <w:ind w:right="412"/>
              <w:spacing w:after="0"/>
              <w:rPr>
                <w:sz w:val="20"/>
                <w:szCs w:val="20"/>
                <w:color w:val="auto"/>
              </w:rPr>
            </w:pPr>
            <w:r>
              <w:rPr>
                <w:rFonts w:ascii="Arial" w:cs="Arial" w:eastAsia="Arial" w:hAnsi="Arial"/>
                <w:sz w:val="18"/>
                <w:szCs w:val="18"/>
                <w:color w:val="auto"/>
                <w:w w:val="86"/>
              </w:rPr>
              <w:t>806-8061</w:t>
            </w:r>
          </w:p>
        </w:tc>
        <w:tc>
          <w:tcPr>
            <w:tcW w:w="5220" w:type="dxa"/>
            <w:vAlign w:val="bottom"/>
            <w:gridSpan w:val="2"/>
          </w:tcPr>
          <w:p>
            <w:pPr>
              <w:spacing w:after="0"/>
              <w:rPr>
                <w:sz w:val="20"/>
                <w:szCs w:val="20"/>
                <w:color w:val="auto"/>
              </w:rPr>
            </w:pPr>
            <w:r>
              <w:rPr>
                <w:rFonts w:ascii="Arial" w:cs="Arial" w:eastAsia="Arial" w:hAnsi="Arial"/>
                <w:sz w:val="18"/>
                <w:szCs w:val="18"/>
                <w:color w:val="auto"/>
              </w:rPr>
              <w:t>Lake Barcroft</w:t>
            </w:r>
          </w:p>
        </w:tc>
        <w:tc>
          <w:tcPr>
            <w:tcW w:w="4140" w:type="dxa"/>
            <w:vAlign w:val="bottom"/>
          </w:tcPr>
          <w:p>
            <w:pPr>
              <w:ind w:left="3000"/>
              <w:spacing w:after="0"/>
              <w:rPr>
                <w:sz w:val="20"/>
                <w:szCs w:val="20"/>
                <w:color w:val="auto"/>
              </w:rPr>
            </w:pPr>
            <w:r>
              <w:rPr>
                <w:rFonts w:ascii="Arial" w:cs="Arial" w:eastAsia="Arial" w:hAnsi="Arial"/>
                <w:sz w:val="18"/>
                <w:szCs w:val="18"/>
                <w:color w:val="auto"/>
              </w:rPr>
              <w:t>Falls Church</w:t>
            </w:r>
          </w:p>
        </w:tc>
        <w:tc>
          <w:tcPr>
            <w:tcW w:w="380" w:type="dxa"/>
            <w:vAlign w:val="bottom"/>
          </w:tcPr>
          <w:p>
            <w:pPr>
              <w:ind w:left="100"/>
              <w:spacing w:after="0"/>
              <w:rPr>
                <w:sz w:val="20"/>
                <w:szCs w:val="20"/>
                <w:color w:val="auto"/>
              </w:rPr>
            </w:pPr>
            <w:r>
              <w:rPr>
                <w:rFonts w:ascii="Arial" w:cs="Arial" w:eastAsia="Arial" w:hAnsi="Arial"/>
                <w:sz w:val="18"/>
                <w:szCs w:val="18"/>
                <w:color w:val="auto"/>
              </w:rPr>
              <w:t>VA</w:t>
            </w:r>
          </w:p>
        </w:tc>
      </w:tr>
      <w:tr>
        <w:trPr>
          <w:trHeight w:val="216"/>
        </w:trPr>
        <w:tc>
          <w:tcPr>
            <w:tcW w:w="1180" w:type="dxa"/>
            <w:vAlign w:val="bottom"/>
          </w:tcPr>
          <w:p>
            <w:pPr>
              <w:jc w:val="right"/>
              <w:ind w:right="412"/>
              <w:spacing w:after="0"/>
              <w:rPr>
                <w:sz w:val="20"/>
                <w:szCs w:val="20"/>
                <w:color w:val="auto"/>
              </w:rPr>
            </w:pPr>
            <w:r>
              <w:rPr>
                <w:rFonts w:ascii="Arial" w:cs="Arial" w:eastAsia="Arial" w:hAnsi="Arial"/>
                <w:sz w:val="18"/>
                <w:szCs w:val="18"/>
                <w:color w:val="auto"/>
                <w:w w:val="86"/>
              </w:rPr>
              <w:t>807-8070</w:t>
            </w:r>
          </w:p>
        </w:tc>
        <w:tc>
          <w:tcPr>
            <w:tcW w:w="5220" w:type="dxa"/>
            <w:vAlign w:val="bottom"/>
            <w:gridSpan w:val="2"/>
          </w:tcPr>
          <w:p>
            <w:pPr>
              <w:spacing w:after="0"/>
              <w:rPr>
                <w:sz w:val="20"/>
                <w:szCs w:val="20"/>
                <w:color w:val="auto"/>
              </w:rPr>
            </w:pPr>
            <w:r>
              <w:rPr>
                <w:rFonts w:ascii="Arial" w:cs="Arial" w:eastAsia="Arial" w:hAnsi="Arial"/>
                <w:sz w:val="18"/>
                <w:szCs w:val="18"/>
                <w:color w:val="auto"/>
              </w:rPr>
              <w:t>Free State</w:t>
            </w:r>
          </w:p>
        </w:tc>
        <w:tc>
          <w:tcPr>
            <w:tcW w:w="4140" w:type="dxa"/>
            <w:vAlign w:val="bottom"/>
          </w:tcPr>
          <w:p>
            <w:pPr>
              <w:ind w:left="3000"/>
              <w:spacing w:after="0"/>
              <w:rPr>
                <w:sz w:val="20"/>
                <w:szCs w:val="20"/>
                <w:color w:val="auto"/>
              </w:rPr>
            </w:pPr>
            <w:r>
              <w:rPr>
                <w:rFonts w:ascii="Arial" w:cs="Arial" w:eastAsia="Arial" w:hAnsi="Arial"/>
                <w:sz w:val="18"/>
                <w:szCs w:val="18"/>
                <w:color w:val="auto"/>
              </w:rPr>
              <w:t>Bowie</w:t>
            </w:r>
          </w:p>
        </w:tc>
        <w:tc>
          <w:tcPr>
            <w:tcW w:w="380" w:type="dxa"/>
            <w:vAlign w:val="bottom"/>
          </w:tcPr>
          <w:p>
            <w:pPr>
              <w:ind w:left="100"/>
              <w:spacing w:after="0"/>
              <w:rPr>
                <w:sz w:val="20"/>
                <w:szCs w:val="20"/>
                <w:color w:val="auto"/>
              </w:rPr>
            </w:pPr>
            <w:r>
              <w:rPr>
                <w:rFonts w:ascii="Arial" w:cs="Arial" w:eastAsia="Arial" w:hAnsi="Arial"/>
                <w:sz w:val="18"/>
                <w:szCs w:val="18"/>
                <w:color w:val="auto"/>
                <w:w w:val="92"/>
              </w:rPr>
              <w:t>MD</w:t>
            </w:r>
          </w:p>
        </w:tc>
      </w:tr>
      <w:tr>
        <w:trPr>
          <w:trHeight w:val="222"/>
        </w:trPr>
        <w:tc>
          <w:tcPr>
            <w:tcW w:w="1180" w:type="dxa"/>
            <w:vAlign w:val="bottom"/>
          </w:tcPr>
          <w:p>
            <w:pPr>
              <w:jc w:val="right"/>
              <w:ind w:right="412"/>
              <w:spacing w:after="0"/>
              <w:rPr>
                <w:sz w:val="20"/>
                <w:szCs w:val="20"/>
                <w:color w:val="auto"/>
              </w:rPr>
            </w:pPr>
            <w:r>
              <w:rPr>
                <w:rFonts w:ascii="Arial" w:cs="Arial" w:eastAsia="Arial" w:hAnsi="Arial"/>
                <w:sz w:val="18"/>
                <w:szCs w:val="18"/>
                <w:color w:val="auto"/>
                <w:w w:val="86"/>
              </w:rPr>
              <w:t>821-8210</w:t>
            </w:r>
          </w:p>
        </w:tc>
        <w:tc>
          <w:tcPr>
            <w:tcW w:w="5220" w:type="dxa"/>
            <w:vAlign w:val="bottom"/>
            <w:gridSpan w:val="2"/>
          </w:tcPr>
          <w:p>
            <w:pPr>
              <w:spacing w:after="0"/>
              <w:rPr>
                <w:sz w:val="20"/>
                <w:szCs w:val="20"/>
                <w:color w:val="auto"/>
              </w:rPr>
            </w:pPr>
            <w:r>
              <w:rPr>
                <w:rFonts w:ascii="Arial" w:cs="Arial" w:eastAsia="Arial" w:hAnsi="Arial"/>
                <w:sz w:val="18"/>
                <w:szCs w:val="18"/>
                <w:color w:val="auto"/>
              </w:rPr>
              <w:t>Newbury Street</w:t>
            </w:r>
          </w:p>
        </w:tc>
        <w:tc>
          <w:tcPr>
            <w:tcW w:w="4140" w:type="dxa"/>
            <w:vAlign w:val="bottom"/>
          </w:tcPr>
          <w:p>
            <w:pPr>
              <w:ind w:left="3000"/>
              <w:spacing w:after="0"/>
              <w:rPr>
                <w:sz w:val="20"/>
                <w:szCs w:val="20"/>
                <w:color w:val="auto"/>
              </w:rPr>
            </w:pPr>
            <w:r>
              <w:rPr>
                <w:rFonts w:ascii="Arial" w:cs="Arial" w:eastAsia="Arial" w:hAnsi="Arial"/>
                <w:sz w:val="18"/>
                <w:szCs w:val="18"/>
                <w:color w:val="auto"/>
              </w:rPr>
              <w:t>Boston</w:t>
            </w:r>
          </w:p>
        </w:tc>
        <w:tc>
          <w:tcPr>
            <w:tcW w:w="380" w:type="dxa"/>
            <w:vAlign w:val="bottom"/>
          </w:tcPr>
          <w:p>
            <w:pPr>
              <w:ind w:left="100"/>
              <w:spacing w:after="0"/>
              <w:rPr>
                <w:sz w:val="20"/>
                <w:szCs w:val="20"/>
                <w:color w:val="auto"/>
              </w:rPr>
            </w:pPr>
            <w:r>
              <w:rPr>
                <w:rFonts w:ascii="Arial" w:cs="Arial" w:eastAsia="Arial" w:hAnsi="Arial"/>
                <w:sz w:val="18"/>
                <w:szCs w:val="18"/>
                <w:color w:val="auto"/>
                <w:w w:val="96"/>
              </w:rPr>
              <w:t>MA</w:t>
            </w:r>
          </w:p>
        </w:tc>
      </w:tr>
    </w:tbl>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 of 4</w:t>
      </w:r>
    </w:p>
    <w:p>
      <w:pPr>
        <w:sectPr>
          <w:pgSz w:w="11900" w:h="16838" w:orient="portrait"/>
          <w:cols w:equalWidth="0" w:num="1">
            <w:col w:w="11400"/>
          </w:cols>
          <w:pgMar w:left="240" w:top="274" w:right="2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Capital Lease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6.1(g)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Stated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Stated</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interest rate as of</w:t>
            </w:r>
          </w:p>
        </w:tc>
        <w:tc>
          <w:tcPr>
            <w:tcW w:w="140" w:type="dxa"/>
            <w:vAlign w:val="bottom"/>
          </w:tcPr>
          <w:p>
            <w:pPr>
              <w:spacing w:after="0"/>
              <w:rPr>
                <w:sz w:val="12"/>
                <w:szCs w:val="12"/>
                <w:color w:val="auto"/>
              </w:rPr>
            </w:pPr>
          </w:p>
        </w:tc>
        <w:tc>
          <w:tcPr>
            <w:tcW w:w="12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Balance as of</w:t>
            </w:r>
          </w:p>
        </w:tc>
        <w:tc>
          <w:tcPr>
            <w:tcW w:w="36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CounterParty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maturity date</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March 31, 2011</w:t>
            </w:r>
          </w:p>
        </w:tc>
        <w:tc>
          <w:tcPr>
            <w:tcW w:w="1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March 31, 2011</w:t>
            </w:r>
          </w:p>
        </w:tc>
        <w:tc>
          <w:tcPr>
            <w:tcW w:w="3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00" w:type="dxa"/>
            <w:vAlign w:val="bottom"/>
          </w:tcPr>
          <w:p>
            <w:pPr>
              <w:spacing w:after="0"/>
              <w:rPr>
                <w:sz w:val="12"/>
                <w:szCs w:val="12"/>
                <w:color w:val="auto"/>
              </w:rPr>
            </w:pPr>
          </w:p>
        </w:tc>
        <w:tc>
          <w:tcPr>
            <w:tcW w:w="36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6"/>
              </w:rPr>
              <w:t>Mortgages Payable (a)</w:t>
            </w:r>
          </w:p>
        </w:tc>
        <w:tc>
          <w:tcPr>
            <w:tcW w:w="2320" w:type="dxa"/>
            <w:vAlign w:val="bottom"/>
            <w:tcBorders>
              <w:bottom w:val="single" w:sz="8" w:color="CCEEFF"/>
            </w:tcBorders>
            <w:gridSpan w:val="3"/>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6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Federal Plaza (b)</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06/01/11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31,728</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color w:val="auto"/>
              </w:rPr>
              <w:t>Tysons Station (b)</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09/01/11</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5,665</w:t>
            </w:r>
          </w:p>
        </w:tc>
        <w:tc>
          <w:tcPr>
            <w:tcW w:w="360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Courtyard Shops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07/01/12</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7,230</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Prudential Ins. Co. of America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color w:val="auto"/>
              </w:rPr>
              <w:t>Bethesda Row</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01/01/13</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19,994</w:t>
            </w:r>
          </w:p>
        </w:tc>
        <w:tc>
          <w:tcPr>
            <w:tcW w:w="3600" w:type="dxa"/>
            <w:vAlign w:val="bottom"/>
          </w:tcPr>
          <w:p>
            <w:pPr>
              <w:spacing w:after="0"/>
              <w:rPr>
                <w:sz w:val="20"/>
                <w:szCs w:val="20"/>
                <w:color w:val="auto"/>
              </w:rPr>
            </w:pPr>
            <w:r>
              <w:rPr>
                <w:rFonts w:ascii="Arial" w:cs="Arial" w:eastAsia="Arial" w:hAnsi="Arial"/>
                <w:sz w:val="18"/>
                <w:szCs w:val="18"/>
                <w:color w:val="auto"/>
              </w:rPr>
              <w:t>ING USA Annuity and Life Ins.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Bethesda Row</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02/01/13</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4,127</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Genworth Life and Annuity Ins.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color w:val="auto"/>
              </w:rPr>
              <w:t>White Marsh Plaza (c)</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04/01/13</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9,508</w:t>
            </w:r>
          </w:p>
        </w:tc>
        <w:tc>
          <w:tcPr>
            <w:tcW w:w="3600" w:type="dxa"/>
            <w:vAlign w:val="bottom"/>
          </w:tcPr>
          <w:p>
            <w:pPr>
              <w:spacing w:after="0"/>
              <w:rPr>
                <w:sz w:val="20"/>
                <w:szCs w:val="20"/>
                <w:color w:val="auto"/>
              </w:rPr>
            </w:pPr>
            <w:r>
              <w:rPr>
                <w:rFonts w:ascii="Arial" w:cs="Arial" w:eastAsia="Arial" w:hAnsi="Arial"/>
                <w:sz w:val="18"/>
                <w:szCs w:val="18"/>
                <w:color w:val="auto"/>
              </w:rPr>
              <w:t>Nationwide Life Ins.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Crow Canyon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08/11/13</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20,283</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Credit Suisse First Boston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color w:val="auto"/>
              </w:rPr>
              <w:t>Idylwood Plaza</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06/05/14</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16,479</w:t>
            </w:r>
          </w:p>
        </w:tc>
        <w:tc>
          <w:tcPr>
            <w:tcW w:w="3600" w:type="dxa"/>
            <w:vAlign w:val="bottom"/>
          </w:tcPr>
          <w:p>
            <w:pPr>
              <w:spacing w:after="0"/>
              <w:rPr>
                <w:sz w:val="20"/>
                <w:szCs w:val="20"/>
                <w:color w:val="auto"/>
              </w:rPr>
            </w:pPr>
            <w:r>
              <w:rPr>
                <w:rFonts w:ascii="Arial" w:cs="Arial" w:eastAsia="Arial" w:hAnsi="Arial"/>
                <w:sz w:val="18"/>
                <w:szCs w:val="18"/>
                <w:color w:val="auto"/>
              </w:rPr>
              <w:t>Prudential Ins. Co. of America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Leesburg Plaza</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06/05/14</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28,673</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Prudential Ins. Co. of America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color w:val="auto"/>
              </w:rPr>
              <w:t>Loehmann’s Plaza</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06/05/14</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37,077</w:t>
            </w:r>
          </w:p>
        </w:tc>
        <w:tc>
          <w:tcPr>
            <w:tcW w:w="3600" w:type="dxa"/>
            <w:vAlign w:val="bottom"/>
          </w:tcPr>
          <w:p>
            <w:pPr>
              <w:spacing w:after="0"/>
              <w:rPr>
                <w:sz w:val="20"/>
                <w:szCs w:val="20"/>
                <w:color w:val="auto"/>
              </w:rPr>
            </w:pPr>
            <w:r>
              <w:rPr>
                <w:rFonts w:ascii="Arial" w:cs="Arial" w:eastAsia="Arial" w:hAnsi="Arial"/>
                <w:sz w:val="18"/>
                <w:szCs w:val="18"/>
                <w:color w:val="auto"/>
              </w:rPr>
              <w:t>Prudential Ins. Co. of America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Pentagon Row</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06/05/14</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53,227</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Prudential Ins. Co. of America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color w:val="auto"/>
              </w:rPr>
              <w:t>Melville Mall (d)</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09/01/14</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22,889</w:t>
            </w:r>
          </w:p>
        </w:tc>
        <w:tc>
          <w:tcPr>
            <w:tcW w:w="3600" w:type="dxa"/>
            <w:vAlign w:val="bottom"/>
          </w:tcPr>
          <w:p>
            <w:pPr>
              <w:spacing w:after="0"/>
              <w:rPr>
                <w:sz w:val="20"/>
                <w:szCs w:val="20"/>
                <w:color w:val="auto"/>
              </w:rPr>
            </w:pPr>
            <w:r>
              <w:rPr>
                <w:rFonts w:ascii="Arial" w:cs="Arial" w:eastAsia="Arial" w:hAnsi="Arial"/>
                <w:sz w:val="18"/>
                <w:szCs w:val="18"/>
                <w:color w:val="auto"/>
              </w:rPr>
              <w:t>TransAmerica Life Ins.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THE AVENUE at White Marsh</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01/01/15</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57,509</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Teachers Insurance and Annuity Assoc.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color w:val="auto"/>
              </w:rPr>
              <w:t>Barracks Road</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11/01/15</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39,642</w:t>
            </w:r>
          </w:p>
        </w:tc>
        <w:tc>
          <w:tcPr>
            <w:tcW w:w="3600" w:type="dxa"/>
            <w:vAlign w:val="bottom"/>
          </w:tcPr>
          <w:p>
            <w:pPr>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Hauppauge</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11/01/15</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14,944</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color w:val="auto"/>
              </w:rPr>
              <w:t>Lawrence Park</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11/01/15</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28,099</w:t>
            </w:r>
          </w:p>
        </w:tc>
        <w:tc>
          <w:tcPr>
            <w:tcW w:w="3600" w:type="dxa"/>
            <w:vAlign w:val="bottom"/>
          </w:tcPr>
          <w:p>
            <w:pPr>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Wildwood</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11/01/15</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24,698</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color w:val="auto"/>
              </w:rPr>
              <w:t>Wynnewood</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11/01/15</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28,636</w:t>
            </w:r>
          </w:p>
        </w:tc>
        <w:tc>
          <w:tcPr>
            <w:tcW w:w="3600" w:type="dxa"/>
            <w:vAlign w:val="bottom"/>
          </w:tcPr>
          <w:p>
            <w:pPr>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Brick Plaza</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11/01/15</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29,265</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MetLife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color w:val="auto"/>
              </w:rPr>
              <w:t>Rollingwood Apartments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05/01/19</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23,482</w:t>
            </w:r>
          </w:p>
        </w:tc>
        <w:tc>
          <w:tcPr>
            <w:tcW w:w="3600" w:type="dxa"/>
            <w:vAlign w:val="bottom"/>
          </w:tcPr>
          <w:p>
            <w:pPr>
              <w:spacing w:after="0"/>
              <w:rPr>
                <w:sz w:val="20"/>
                <w:szCs w:val="20"/>
                <w:color w:val="auto"/>
              </w:rPr>
            </w:pPr>
            <w:r>
              <w:rPr>
                <w:rFonts w:ascii="Arial" w:cs="Arial" w:eastAsia="Arial" w:hAnsi="Arial"/>
                <w:sz w:val="18"/>
                <w:szCs w:val="18"/>
                <w:color w:val="auto"/>
              </w:rPr>
              <w:t>FannieMae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Shoppers’ World</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01/31/21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5,556</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Genworth Life Ins. Co. of 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color w:val="auto"/>
              </w:rPr>
              <w:t>Mount Vernon (e)</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04/15/28</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10,843</w:t>
            </w:r>
          </w:p>
        </w:tc>
        <w:tc>
          <w:tcPr>
            <w:tcW w:w="3600" w:type="dxa"/>
            <w:vAlign w:val="bottom"/>
          </w:tcPr>
          <w:p>
            <w:pPr>
              <w:spacing w:after="0"/>
              <w:rPr>
                <w:sz w:val="20"/>
                <w:szCs w:val="20"/>
                <w:color w:val="auto"/>
              </w:rPr>
            </w:pPr>
            <w:r>
              <w:rPr>
                <w:rFonts w:ascii="Arial" w:cs="Arial" w:eastAsia="Arial" w:hAnsi="Arial"/>
                <w:sz w:val="18"/>
                <w:szCs w:val="18"/>
                <w:color w:val="auto"/>
              </w:rPr>
              <w:t>Thrivent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Chelsea</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01/15/31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3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Wells Fargo Bank Northwest, 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527,307</w:t>
            </w: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Notes payable</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Various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through</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Various (f)</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11,417</w:t>
            </w:r>
          </w:p>
        </w:tc>
        <w:tc>
          <w:tcPr>
            <w:tcW w:w="3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Revolving credit facility (g)</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07/27/11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LIBOR + 0.425%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192,000</w:t>
            </w:r>
          </w:p>
        </w:tc>
        <w:tc>
          <w:tcPr>
            <w:tcW w:w="3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color w:val="auto"/>
              </w:rPr>
              <w:t>Escondido (Municipal bonds) (h)</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10/01/16</w:t>
            </w: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0.42%</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3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212,817</w:t>
            </w:r>
          </w:p>
        </w:tc>
        <w:tc>
          <w:tcPr>
            <w:tcW w:w="3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020" w:type="dxa"/>
            <w:vAlign w:val="bottom"/>
            <w:gridSpan w:val="7"/>
          </w:tcPr>
          <w:p>
            <w:pPr>
              <w:spacing w:after="0"/>
              <w:rPr>
                <w:sz w:val="20"/>
                <w:szCs w:val="20"/>
                <w:color w:val="auto"/>
              </w:rPr>
            </w:pPr>
            <w:r>
              <w:rPr>
                <w:rFonts w:ascii="Arial" w:cs="Arial" w:eastAsia="Arial" w:hAnsi="Arial"/>
                <w:sz w:val="18"/>
                <w:szCs w:val="18"/>
                <w:color w:val="auto"/>
              </w:rPr>
              <w:t>Senior notes and debentures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color w:val="auto"/>
              </w:rPr>
              <w:t>6.00% notes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07/15/12</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175,000</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5.40% notes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12/01/13</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135,000</w:t>
            </w:r>
          </w:p>
        </w:tc>
        <w:tc>
          <w:tcPr>
            <w:tcW w:w="3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color w:val="auto"/>
              </w:rPr>
              <w:t>5.95% notes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08/15/14</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150,000</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5.65% notes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06/01/16</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125,000</w:t>
            </w:r>
          </w:p>
        </w:tc>
        <w:tc>
          <w:tcPr>
            <w:tcW w:w="3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color w:val="auto"/>
              </w:rPr>
              <w:t>6.20% notes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01/15/17</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200,000</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5.90% notes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04/01/20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150,000</w:t>
            </w:r>
          </w:p>
        </w:tc>
        <w:tc>
          <w:tcPr>
            <w:tcW w:w="3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color w:val="auto"/>
              </w:rPr>
              <w:t>7.48% debentures</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08/15/26</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29,200</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6.82% medium term notes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08/01/27</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1,004,200</w:t>
            </w: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Letter of Credit</w:t>
            </w: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i w:val="1"/>
                <w:iCs w:val="1"/>
                <w:color w:val="auto"/>
              </w:rPr>
              <w:t>Beneficiary</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City of Highland Park, Illinois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Wachovia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color w:val="auto"/>
              </w:rPr>
              <w:t>City of Highland Park, Illinois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115</w:t>
            </w:r>
          </w:p>
        </w:tc>
        <w:tc>
          <w:tcPr>
            <w:tcW w:w="3600" w:type="dxa"/>
            <w:vAlign w:val="bottom"/>
          </w:tcPr>
          <w:p>
            <w:pPr>
              <w:spacing w:after="0"/>
              <w:rPr>
                <w:sz w:val="20"/>
                <w:szCs w:val="20"/>
                <w:color w:val="auto"/>
              </w:rPr>
            </w:pPr>
            <w:r>
              <w:rPr>
                <w:rFonts w:ascii="Arial" w:cs="Arial" w:eastAsia="Arial" w:hAnsi="Arial"/>
                <w:sz w:val="18"/>
                <w:szCs w:val="18"/>
                <w:color w:val="auto"/>
              </w:rPr>
              <w:t>Wachovia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City of Sommerville, Massachusetts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2,728</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Wachovia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color w:val="auto"/>
              </w:rPr>
              <w:t>City of Escondido Promenade Project</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9,740</w:t>
            </w:r>
          </w:p>
        </w:tc>
        <w:tc>
          <w:tcPr>
            <w:tcW w:w="3600" w:type="dxa"/>
            <w:vAlign w:val="bottom"/>
          </w:tcPr>
          <w:p>
            <w:pPr>
              <w:spacing w:after="0"/>
              <w:rPr>
                <w:sz w:val="20"/>
                <w:szCs w:val="20"/>
                <w:color w:val="auto"/>
              </w:rPr>
            </w:pPr>
            <w:r>
              <w:rPr>
                <w:rFonts w:ascii="Arial" w:cs="Arial" w:eastAsia="Arial" w:hAnsi="Arial"/>
                <w:sz w:val="18"/>
                <w:szCs w:val="18"/>
                <w:color w:val="auto"/>
              </w:rPr>
              <w:t>Wachovia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Commonwealth of Massachusetts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3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Wachovia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14,035</w:t>
            </w: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2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87"/>
              </w:rPr>
              <w:t>Capital lease obligations</w:t>
            </w:r>
          </w:p>
        </w:tc>
        <w:tc>
          <w:tcPr>
            <w:tcW w:w="228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6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color w:val="auto"/>
              </w:rPr>
              <w:t>Lancaster</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4/1/2077</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4,907</w:t>
            </w:r>
          </w:p>
        </w:tc>
        <w:tc>
          <w:tcPr>
            <w:tcW w:w="3600" w:type="dxa"/>
            <w:vAlign w:val="bottom"/>
          </w:tcPr>
          <w:p>
            <w:pPr>
              <w:spacing w:after="0"/>
              <w:rPr>
                <w:sz w:val="20"/>
                <w:szCs w:val="20"/>
                <w:color w:val="auto"/>
              </w:rPr>
            </w:pPr>
            <w:r>
              <w:rPr>
                <w:rFonts w:ascii="Arial" w:cs="Arial" w:eastAsia="Arial" w:hAnsi="Arial"/>
                <w:sz w:val="18"/>
                <w:szCs w:val="18"/>
                <w:color w:val="auto"/>
              </w:rPr>
              <w:t>Manheim Associates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Mercer Mall</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9/30/2028</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48,356</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Mercer Mall Property Group, LP</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6"/>
          </w:tcPr>
          <w:p>
            <w:pPr>
              <w:ind w:left="420"/>
              <w:spacing w:after="0"/>
              <w:rPr>
                <w:sz w:val="20"/>
                <w:szCs w:val="20"/>
                <w:color w:val="auto"/>
              </w:rPr>
            </w:pPr>
            <w:r>
              <w:rPr>
                <w:rFonts w:ascii="Arial" w:cs="Arial" w:eastAsia="Arial" w:hAnsi="Arial"/>
                <w:sz w:val="18"/>
                <w:szCs w:val="18"/>
                <w:color w:val="auto"/>
              </w:rPr>
              <w:t>Village at Shirlington</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8/1/2106</w:t>
            </w: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6.500%</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6,336</w:t>
            </w:r>
          </w:p>
        </w:tc>
        <w:tc>
          <w:tcPr>
            <w:tcW w:w="3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United Dominion Realty,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59,599</w:t>
            </w:r>
          </w:p>
        </w:tc>
        <w:tc>
          <w:tcPr>
            <w:tcW w:w="3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140" w:hanging="452"/>
        <w:spacing w:after="0" w:line="281" w:lineRule="auto"/>
        <w:tabs>
          <w:tab w:leader="none" w:pos="4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Mortgage loans do not include our 30% share ($17.3 million) of the $57.5 million debt of the partnership with a discretionary fund created and advised by ING Clarion Partners. It also excludes the $8.8 million mortgage loan on our Newbury Street Partnership for which we are the lender.</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 repaid these mortgage loans on April 29, 2011 and June 1, 2011,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interest rate of 6.04% represents the weighted average interest rate for two mortgage loans secured by this property. The loan balance represents an</w:t>
      </w:r>
    </w:p>
    <w:p>
      <w:pPr>
        <w:sectPr>
          <w:pgSz w:w="11900" w:h="16838" w:orient="portrait"/>
          <w:cols w:equalWidth="0" w:num="1">
            <w:col w:w="11420"/>
          </w:cols>
          <w:pgMar w:left="240" w:top="274" w:right="239" w:bottom="0" w:gutter="0" w:footer="0" w:header="0"/>
        </w:sectPr>
      </w:pPr>
    </w:p>
    <w:bookmarkStart w:id="157" w:name="page158"/>
    <w:bookmarkEnd w:id="157"/>
    <w:p>
      <w:pPr>
        <w:ind w:left="460"/>
        <w:spacing w:after="0"/>
        <w:rPr>
          <w:sz w:val="20"/>
          <w:szCs w:val="20"/>
          <w:color w:val="auto"/>
        </w:rPr>
      </w:pPr>
      <w:r>
        <w:rPr>
          <w:rFonts w:ascii="Arial" w:cs="Arial" w:eastAsia="Arial" w:hAnsi="Arial"/>
          <w:sz w:val="18"/>
          <w:szCs w:val="18"/>
          <w:color w:val="auto"/>
        </w:rPr>
        <w:t>interest-only loan of $4.4 million at a stated rate of 6.18% and the remaining balance at a stated rate of 5.96%.</w:t>
      </w:r>
    </w:p>
    <w:p>
      <w:pPr>
        <w:spacing w:after="0" w:line="15" w:lineRule="exact"/>
        <w:rPr>
          <w:sz w:val="20"/>
          <w:szCs w:val="20"/>
          <w:color w:val="auto"/>
        </w:rPr>
      </w:pPr>
    </w:p>
    <w:p>
      <w:pPr>
        <w:ind w:left="460" w:right="140" w:hanging="452"/>
        <w:spacing w:after="0" w:line="250"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8"/>
          <w:szCs w:val="18"/>
          <w:color w:val="auto"/>
        </w:rPr>
      </w:pPr>
    </w:p>
    <w:p>
      <w:pPr>
        <w:ind w:left="460" w:right="540" w:hanging="452"/>
        <w:spacing w:after="0" w:line="250"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anytime thereafter.</w:t>
      </w:r>
    </w:p>
    <w:p>
      <w:pPr>
        <w:ind w:left="460" w:right="100" w:hanging="452"/>
        <w:spacing w:after="0" w:line="250"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interest rate of 3.53% represents the weighted average interest rate for three unsecured fixed rate notes payable. These notes mature between April 1, 2012 and January 31, 2013.</w:t>
      </w:r>
    </w:p>
    <w:p>
      <w:pPr>
        <w:ind w:left="460" w:hanging="452"/>
        <w:spacing w:after="0" w:line="250"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for the three months ended March 31, 2011 was $222.0 million, and the weighted average effective interest rate on borrowings under our revolving credit facility, before amortization of debt fees, was 0.71%.</w:t>
      </w:r>
    </w:p>
    <w:p>
      <w:pPr>
        <w:ind w:left="460" w:right="60" w:hanging="452"/>
        <w:spacing w:after="0" w:line="261"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Obligations:</w:t>
      </w:r>
    </w:p>
    <w:p>
      <w:pPr>
        <w:spacing w:after="0" w:line="90" w:lineRule="exact"/>
        <w:rPr>
          <w:sz w:val="20"/>
          <w:szCs w:val="20"/>
          <w:color w:val="auto"/>
        </w:rPr>
      </w:pPr>
    </w:p>
    <w:p>
      <w:pPr>
        <w:ind w:right="220" w:firstLine="8"/>
        <w:spacing w:after="0" w:line="259" w:lineRule="auto"/>
        <w:tabs>
          <w:tab w:leader="none" w:pos="17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Redevelopment Bonds - in connection with current redevelopment projects, local governmental authorities typically require deposting a bond to secure performance on work on public infrastructure. If we fail to perform the work or perform faulty work, we may be obligated to pay on these bonds. The amount outstanding under these bonds as of May 20, 2011 is $1,056,058.</w:t>
      </w:r>
    </w:p>
    <w:p>
      <w:pPr>
        <w:sectPr>
          <w:pgSz w:w="11900" w:h="16838" w:orient="portrait"/>
          <w:cols w:equalWidth="0" w:num="1">
            <w:col w:w="11320"/>
          </w:cols>
          <w:pgMar w:left="240" w:top="131" w:right="339" w:bottom="1440" w:gutter="0" w:footer="0" w:header="0"/>
        </w:sectPr>
      </w:pPr>
    </w:p>
    <w:bookmarkStart w:id="158" w:name="page159"/>
    <w:bookmarkEnd w:id="158"/>
    <w:p>
      <w:pPr>
        <w:jc w:val="center"/>
        <w:ind w:right="-12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6.1(i)</w:t>
      </w:r>
    </w:p>
    <w:p>
      <w:pPr>
        <w:spacing w:after="0" w:line="194"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u w:val="single" w:color="auto"/>
          <w:color w:val="auto"/>
        </w:rPr>
        <w:t>LITIGATION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274" w:right="1440"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6.1(z)</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Unencumbered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22,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Retail/Office/</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00" w:type="dxa"/>
            <w:vAlign w:val="bottom"/>
            <w:gridSpan w:val="2"/>
            <w:vMerge w:val="continue"/>
          </w:tcPr>
          <w:p>
            <w:pPr>
              <w:spacing w:after="0"/>
              <w:rPr>
                <w:sz w:val="11"/>
                <w:szCs w:val="11"/>
                <w:color w:val="auto"/>
              </w:rPr>
            </w:pPr>
          </w:p>
        </w:tc>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Multifamily/</w:t>
            </w: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98"/>
              </w:rPr>
              <w:t>Number</w:t>
            </w:r>
          </w:p>
        </w:tc>
        <w:tc>
          <w:tcPr>
            <w:tcW w:w="460" w:type="dxa"/>
            <w:vAlign w:val="bottom"/>
          </w:tcPr>
          <w:p>
            <w:pPr>
              <w:spacing w:after="0"/>
              <w:rPr>
                <w:sz w:val="14"/>
                <w:szCs w:val="14"/>
                <w:color w:val="auto"/>
              </w:rPr>
            </w:pPr>
          </w:p>
        </w:tc>
        <w:tc>
          <w:tcPr>
            <w:tcW w:w="2960" w:type="dxa"/>
            <w:vAlign w:val="bottom"/>
          </w:tcPr>
          <w:p>
            <w:pPr>
              <w:ind w:left="1220"/>
              <w:spacing w:after="0" w:line="141" w:lineRule="exact"/>
              <w:rPr>
                <w:sz w:val="20"/>
                <w:szCs w:val="20"/>
                <w:color w:val="auto"/>
              </w:rPr>
            </w:pPr>
            <w:r>
              <w:rPr>
                <w:rFonts w:ascii="Arial" w:cs="Arial" w:eastAsia="Arial" w:hAnsi="Arial"/>
                <w:sz w:val="14"/>
                <w:szCs w:val="14"/>
                <w:b w:val="1"/>
                <w:bCs w:val="1"/>
                <w:color w:val="auto"/>
              </w:rPr>
              <w:t>Property</w:t>
            </w:r>
          </w:p>
        </w:tc>
        <w:tc>
          <w:tcPr>
            <w:tcW w:w="200" w:type="dxa"/>
            <w:vAlign w:val="bottom"/>
          </w:tcPr>
          <w:p>
            <w:pPr>
              <w:spacing w:after="0"/>
              <w:rPr>
                <w:sz w:val="14"/>
                <w:szCs w:val="14"/>
                <w:color w:val="auto"/>
              </w:rPr>
            </w:pPr>
          </w:p>
        </w:tc>
        <w:tc>
          <w:tcPr>
            <w:tcW w:w="1480" w:type="dxa"/>
            <w:vAlign w:val="bottom"/>
            <w:gridSpan w:val="2"/>
          </w:tcPr>
          <w:p>
            <w:pPr>
              <w:ind w:left="460"/>
              <w:spacing w:after="0" w:line="141" w:lineRule="exact"/>
              <w:rPr>
                <w:sz w:val="20"/>
                <w:szCs w:val="20"/>
                <w:color w:val="auto"/>
              </w:rPr>
            </w:pPr>
            <w:r>
              <w:rPr>
                <w:rFonts w:ascii="Arial" w:cs="Arial" w:eastAsia="Arial" w:hAnsi="Arial"/>
                <w:sz w:val="14"/>
                <w:szCs w:val="14"/>
                <w:b w:val="1"/>
                <w:bCs w:val="1"/>
                <w:color w:val="auto"/>
              </w:rPr>
              <w:t>City</w:t>
            </w:r>
          </w:p>
        </w:tc>
        <w:tc>
          <w:tcPr>
            <w:tcW w:w="680" w:type="dxa"/>
            <w:vAlign w:val="bottom"/>
            <w:gridSpan w:val="2"/>
          </w:tcPr>
          <w:p>
            <w:pPr>
              <w:ind w:left="80"/>
              <w:spacing w:after="0" w:line="141" w:lineRule="exact"/>
              <w:rPr>
                <w:sz w:val="20"/>
                <w:szCs w:val="20"/>
                <w:color w:val="auto"/>
              </w:rPr>
            </w:pPr>
            <w:r>
              <w:rPr>
                <w:rFonts w:ascii="Arial" w:cs="Arial" w:eastAsia="Arial" w:hAnsi="Arial"/>
                <w:sz w:val="14"/>
                <w:szCs w:val="14"/>
                <w:b w:val="1"/>
                <w:bCs w:val="1"/>
                <w:color w:val="auto"/>
              </w:rPr>
              <w:t>ST</w:t>
            </w:r>
          </w:p>
        </w:tc>
        <w:tc>
          <w:tcPr>
            <w:tcW w:w="1240" w:type="dxa"/>
            <w:vAlign w:val="bottom"/>
          </w:tcPr>
          <w:p>
            <w:pPr>
              <w:ind w:left="200"/>
              <w:spacing w:after="0" w:line="141" w:lineRule="exact"/>
              <w:rPr>
                <w:sz w:val="20"/>
                <w:szCs w:val="20"/>
                <w:color w:val="auto"/>
              </w:rPr>
            </w:pPr>
            <w:r>
              <w:rPr>
                <w:rFonts w:ascii="Arial" w:cs="Arial" w:eastAsia="Arial" w:hAnsi="Arial"/>
                <w:sz w:val="14"/>
                <w:szCs w:val="14"/>
                <w:b w:val="1"/>
                <w:bCs w:val="1"/>
                <w:color w:val="auto"/>
              </w:rPr>
              <w:t>Property Type</w:t>
            </w:r>
          </w:p>
        </w:tc>
        <w:tc>
          <w:tcPr>
            <w:tcW w:w="340" w:type="dxa"/>
            <w:vAlign w:val="bottom"/>
          </w:tcPr>
          <w:p>
            <w:pPr>
              <w:spacing w:after="0"/>
              <w:rPr>
                <w:sz w:val="14"/>
                <w:szCs w:val="14"/>
                <w:color w:val="auto"/>
              </w:rPr>
            </w:pPr>
          </w:p>
        </w:tc>
        <w:tc>
          <w:tcPr>
            <w:tcW w:w="146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88"/>
              </w:rPr>
              <w:t>Development [1]</w:t>
            </w:r>
          </w:p>
        </w:tc>
        <w:tc>
          <w:tcPr>
            <w:tcW w:w="2060" w:type="dxa"/>
            <w:vAlign w:val="bottom"/>
          </w:tcPr>
          <w:p>
            <w:pPr>
              <w:ind w:left="200"/>
              <w:spacing w:after="0" w:line="141" w:lineRule="exact"/>
              <w:rPr>
                <w:sz w:val="20"/>
                <w:szCs w:val="20"/>
                <w:color w:val="auto"/>
              </w:rPr>
            </w:pPr>
            <w:r>
              <w:rPr>
                <w:rFonts w:ascii="Arial" w:cs="Arial" w:eastAsia="Arial" w:hAnsi="Arial"/>
                <w:sz w:val="14"/>
                <w:szCs w:val="14"/>
                <w:b w:val="1"/>
                <w:bCs w:val="1"/>
                <w:color w:val="auto"/>
                <w:w w:val="96"/>
              </w:rPr>
              <w:t>Eligible Property Exceptions</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000" w:type="dxa"/>
            <w:vAlign w:val="bottom"/>
            <w:gridSpan w:val="2"/>
          </w:tcPr>
          <w:p>
            <w:pPr>
              <w:spacing w:after="0"/>
              <w:rPr>
                <w:sz w:val="20"/>
                <w:szCs w:val="20"/>
                <w:color w:val="auto"/>
              </w:rPr>
            </w:pPr>
            <w:r>
              <w:rPr>
                <w:rFonts w:ascii="Arial" w:cs="Arial" w:eastAsia="Arial" w:hAnsi="Arial"/>
                <w:sz w:val="18"/>
                <w:szCs w:val="18"/>
                <w:color w:val="auto"/>
              </w:rPr>
              <w:t>010-1002</w:t>
            </w:r>
          </w:p>
        </w:tc>
        <w:tc>
          <w:tcPr>
            <w:tcW w:w="2960" w:type="dxa"/>
            <w:vAlign w:val="bottom"/>
          </w:tcPr>
          <w:p>
            <w:pPr>
              <w:spacing w:after="0"/>
              <w:rPr>
                <w:sz w:val="20"/>
                <w:szCs w:val="20"/>
                <w:color w:val="auto"/>
              </w:rPr>
            </w:pPr>
            <w:r>
              <w:rPr>
                <w:rFonts w:ascii="Arial" w:cs="Arial" w:eastAsia="Arial" w:hAnsi="Arial"/>
                <w:sz w:val="18"/>
                <w:szCs w:val="18"/>
                <w:color w:val="auto"/>
              </w:rPr>
              <w:t>Andorra Shopping Center</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Philadelphia</w:t>
            </w:r>
          </w:p>
        </w:tc>
        <w:tc>
          <w:tcPr>
            <w:tcW w:w="680" w:type="dxa"/>
            <w:vAlign w:val="bottom"/>
            <w:gridSpan w:val="2"/>
          </w:tcPr>
          <w:p>
            <w:pPr>
              <w:spacing w:after="0"/>
              <w:rPr>
                <w:sz w:val="20"/>
                <w:szCs w:val="20"/>
                <w:color w:val="auto"/>
              </w:rPr>
            </w:pPr>
            <w:r>
              <w:rPr>
                <w:rFonts w:ascii="Arial" w:cs="Arial" w:eastAsia="Arial" w:hAnsi="Arial"/>
                <w:sz w:val="18"/>
                <w:szCs w:val="18"/>
                <w:color w:val="auto"/>
              </w:rPr>
              <w:t>PA</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030-1080</w:t>
            </w:r>
          </w:p>
        </w:tc>
        <w:tc>
          <w:tcPr>
            <w:tcW w:w="2960" w:type="dxa"/>
            <w:vAlign w:val="bottom"/>
          </w:tcPr>
          <w:p>
            <w:pPr>
              <w:spacing w:after="0"/>
              <w:rPr>
                <w:sz w:val="20"/>
                <w:szCs w:val="20"/>
                <w:color w:val="auto"/>
              </w:rPr>
            </w:pPr>
            <w:r>
              <w:rPr>
                <w:rFonts w:ascii="Arial" w:cs="Arial" w:eastAsia="Arial" w:hAnsi="Arial"/>
                <w:sz w:val="18"/>
                <w:szCs w:val="18"/>
                <w:color w:val="auto"/>
              </w:rPr>
              <w:t>Congressional Plaza</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Rockville</w:t>
            </w:r>
          </w:p>
        </w:tc>
        <w:tc>
          <w:tcPr>
            <w:tcW w:w="680" w:type="dxa"/>
            <w:vAlign w:val="bottom"/>
            <w:gridSpan w:val="2"/>
          </w:tcPr>
          <w:p>
            <w:pPr>
              <w:spacing w:after="0"/>
              <w:rPr>
                <w:sz w:val="20"/>
                <w:szCs w:val="20"/>
                <w:color w:val="auto"/>
              </w:rPr>
            </w:pPr>
            <w:r>
              <w:rPr>
                <w:rFonts w:ascii="Arial" w:cs="Arial" w:eastAsia="Arial" w:hAnsi="Arial"/>
                <w:sz w:val="18"/>
                <w:szCs w:val="18"/>
                <w:color w:val="auto"/>
              </w:rPr>
              <w:t>MD</w:t>
            </w:r>
          </w:p>
        </w:tc>
        <w:tc>
          <w:tcPr>
            <w:tcW w:w="1240" w:type="dxa"/>
            <w:vAlign w:val="bottom"/>
          </w:tcPr>
          <w:p>
            <w:pPr>
              <w:spacing w:after="0"/>
              <w:rPr>
                <w:sz w:val="20"/>
                <w:szCs w:val="20"/>
                <w:color w:val="auto"/>
              </w:rPr>
            </w:pPr>
            <w:r>
              <w:rPr>
                <w:rFonts w:ascii="Arial" w:cs="Arial" w:eastAsia="Arial" w:hAnsi="Arial"/>
                <w:sz w:val="18"/>
                <w:szCs w:val="18"/>
                <w:color w:val="auto"/>
              </w:rPr>
              <w:t>Non-Controlled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030-1081</w:t>
            </w:r>
          </w:p>
        </w:tc>
        <w:tc>
          <w:tcPr>
            <w:tcW w:w="2960" w:type="dxa"/>
            <w:vAlign w:val="bottom"/>
          </w:tcPr>
          <w:p>
            <w:pPr>
              <w:spacing w:after="0"/>
              <w:rPr>
                <w:sz w:val="20"/>
                <w:szCs w:val="20"/>
                <w:color w:val="auto"/>
              </w:rPr>
            </w:pPr>
            <w:r>
              <w:rPr>
                <w:rFonts w:ascii="Arial" w:cs="Arial" w:eastAsia="Arial" w:hAnsi="Arial"/>
                <w:sz w:val="18"/>
                <w:szCs w:val="18"/>
                <w:color w:val="auto"/>
              </w:rPr>
              <w:t>Congressional Plaza Apartments</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Rockville</w:t>
            </w:r>
          </w:p>
        </w:tc>
        <w:tc>
          <w:tcPr>
            <w:tcW w:w="680" w:type="dxa"/>
            <w:vAlign w:val="bottom"/>
            <w:gridSpan w:val="2"/>
          </w:tcPr>
          <w:p>
            <w:pPr>
              <w:spacing w:after="0"/>
              <w:rPr>
                <w:sz w:val="20"/>
                <w:szCs w:val="20"/>
                <w:color w:val="auto"/>
              </w:rPr>
            </w:pPr>
            <w:r>
              <w:rPr>
                <w:rFonts w:ascii="Arial" w:cs="Arial" w:eastAsia="Arial" w:hAnsi="Arial"/>
                <w:sz w:val="18"/>
                <w:szCs w:val="18"/>
                <w:color w:val="auto"/>
              </w:rPr>
              <w:t>MD</w:t>
            </w:r>
          </w:p>
        </w:tc>
        <w:tc>
          <w:tcPr>
            <w:tcW w:w="1240" w:type="dxa"/>
            <w:vAlign w:val="bottom"/>
          </w:tcPr>
          <w:p>
            <w:pPr>
              <w:spacing w:after="0"/>
              <w:rPr>
                <w:sz w:val="20"/>
                <w:szCs w:val="20"/>
                <w:color w:val="auto"/>
              </w:rPr>
            </w:pPr>
            <w:r>
              <w:rPr>
                <w:rFonts w:ascii="Arial" w:cs="Arial" w:eastAsia="Arial" w:hAnsi="Arial"/>
                <w:sz w:val="18"/>
                <w:szCs w:val="18"/>
                <w:color w:val="auto"/>
              </w:rPr>
              <w:t>Non-Controlled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Multifamily</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040-1240</w:t>
            </w:r>
          </w:p>
        </w:tc>
        <w:tc>
          <w:tcPr>
            <w:tcW w:w="2960" w:type="dxa"/>
            <w:vAlign w:val="bottom"/>
          </w:tcPr>
          <w:p>
            <w:pPr>
              <w:spacing w:after="0"/>
              <w:rPr>
                <w:sz w:val="20"/>
                <w:szCs w:val="20"/>
                <w:color w:val="auto"/>
              </w:rPr>
            </w:pPr>
            <w:r>
              <w:rPr>
                <w:rFonts w:ascii="Arial" w:cs="Arial" w:eastAsia="Arial" w:hAnsi="Arial"/>
                <w:sz w:val="18"/>
                <w:szCs w:val="18"/>
                <w:color w:val="auto"/>
              </w:rPr>
              <w:t>Governor Plaza</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Glen Burnie</w:t>
            </w:r>
          </w:p>
        </w:tc>
        <w:tc>
          <w:tcPr>
            <w:tcW w:w="680" w:type="dxa"/>
            <w:vAlign w:val="bottom"/>
            <w:gridSpan w:val="2"/>
          </w:tcPr>
          <w:p>
            <w:pPr>
              <w:spacing w:after="0"/>
              <w:rPr>
                <w:sz w:val="20"/>
                <w:szCs w:val="20"/>
                <w:color w:val="auto"/>
              </w:rPr>
            </w:pPr>
            <w:r>
              <w:rPr>
                <w:rFonts w:ascii="Arial" w:cs="Arial" w:eastAsia="Arial" w:hAnsi="Arial"/>
                <w:sz w:val="18"/>
                <w:szCs w:val="18"/>
                <w:color w:val="auto"/>
              </w:rPr>
              <w:t>MD</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080-1600</w:t>
            </w:r>
          </w:p>
        </w:tc>
        <w:tc>
          <w:tcPr>
            <w:tcW w:w="2960" w:type="dxa"/>
            <w:vAlign w:val="bottom"/>
          </w:tcPr>
          <w:p>
            <w:pPr>
              <w:spacing w:after="0"/>
              <w:rPr>
                <w:sz w:val="20"/>
                <w:szCs w:val="20"/>
                <w:color w:val="auto"/>
              </w:rPr>
            </w:pPr>
            <w:r>
              <w:rPr>
                <w:rFonts w:ascii="Arial" w:cs="Arial" w:eastAsia="Arial" w:hAnsi="Arial"/>
                <w:sz w:val="18"/>
                <w:szCs w:val="18"/>
                <w:color w:val="auto"/>
              </w:rPr>
              <w:t>Perring Plaza</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Baltimore</w:t>
            </w:r>
          </w:p>
        </w:tc>
        <w:tc>
          <w:tcPr>
            <w:tcW w:w="680" w:type="dxa"/>
            <w:vAlign w:val="bottom"/>
            <w:gridSpan w:val="2"/>
          </w:tcPr>
          <w:p>
            <w:pPr>
              <w:spacing w:after="0"/>
              <w:rPr>
                <w:sz w:val="20"/>
                <w:szCs w:val="20"/>
                <w:color w:val="auto"/>
              </w:rPr>
            </w:pPr>
            <w:r>
              <w:rPr>
                <w:rFonts w:ascii="Arial" w:cs="Arial" w:eastAsia="Arial" w:hAnsi="Arial"/>
                <w:sz w:val="18"/>
                <w:szCs w:val="18"/>
                <w:color w:val="auto"/>
              </w:rPr>
              <w:t>MD</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090-1190</w:t>
            </w:r>
          </w:p>
        </w:tc>
        <w:tc>
          <w:tcPr>
            <w:tcW w:w="2960" w:type="dxa"/>
            <w:vAlign w:val="bottom"/>
          </w:tcPr>
          <w:p>
            <w:pPr>
              <w:spacing w:after="0"/>
              <w:rPr>
                <w:sz w:val="20"/>
                <w:szCs w:val="20"/>
                <w:color w:val="auto"/>
              </w:rPr>
            </w:pPr>
            <w:r>
              <w:rPr>
                <w:rFonts w:ascii="Arial" w:cs="Arial" w:eastAsia="Arial" w:hAnsi="Arial"/>
                <w:sz w:val="18"/>
                <w:szCs w:val="18"/>
                <w:color w:val="auto"/>
              </w:rPr>
              <w:t>Escondido Promenade</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Escondido</w:t>
            </w:r>
          </w:p>
        </w:tc>
        <w:tc>
          <w:tcPr>
            <w:tcW w:w="680" w:type="dxa"/>
            <w:vAlign w:val="bottom"/>
            <w:gridSpan w:val="2"/>
          </w:tcPr>
          <w:p>
            <w:pPr>
              <w:spacing w:after="0"/>
              <w:rPr>
                <w:sz w:val="20"/>
                <w:szCs w:val="20"/>
                <w:color w:val="auto"/>
              </w:rPr>
            </w:pPr>
            <w:r>
              <w:rPr>
                <w:rFonts w:ascii="Arial" w:cs="Arial" w:eastAsia="Arial" w:hAnsi="Arial"/>
                <w:sz w:val="18"/>
                <w:szCs w:val="18"/>
                <w:color w:val="auto"/>
              </w:rPr>
              <w:t>CA</w:t>
            </w:r>
          </w:p>
        </w:tc>
        <w:tc>
          <w:tcPr>
            <w:tcW w:w="1240" w:type="dxa"/>
            <w:vAlign w:val="bottom"/>
          </w:tcPr>
          <w:p>
            <w:pPr>
              <w:spacing w:after="0"/>
              <w:rPr>
                <w:sz w:val="20"/>
                <w:szCs w:val="20"/>
                <w:color w:val="auto"/>
              </w:rPr>
            </w:pPr>
            <w:r>
              <w:rPr>
                <w:rFonts w:ascii="Arial" w:cs="Arial" w:eastAsia="Arial" w:hAnsi="Arial"/>
                <w:sz w:val="18"/>
                <w:szCs w:val="18"/>
                <w:color w:val="auto"/>
              </w:rPr>
              <w:t>Non-Controlled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100-1630</w:t>
            </w:r>
          </w:p>
        </w:tc>
        <w:tc>
          <w:tcPr>
            <w:tcW w:w="2960" w:type="dxa"/>
            <w:vAlign w:val="bottom"/>
          </w:tcPr>
          <w:p>
            <w:pPr>
              <w:spacing w:after="0"/>
              <w:rPr>
                <w:sz w:val="20"/>
                <w:szCs w:val="20"/>
                <w:color w:val="auto"/>
              </w:rPr>
            </w:pPr>
            <w:r>
              <w:rPr>
                <w:rFonts w:ascii="Arial" w:cs="Arial" w:eastAsia="Arial" w:hAnsi="Arial"/>
                <w:sz w:val="18"/>
                <w:szCs w:val="18"/>
                <w:color w:val="auto"/>
              </w:rPr>
              <w:t>Santana Row Bld 1-Retail [2]</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San Jose</w:t>
            </w:r>
          </w:p>
        </w:tc>
        <w:tc>
          <w:tcPr>
            <w:tcW w:w="680" w:type="dxa"/>
            <w:vAlign w:val="bottom"/>
            <w:gridSpan w:val="2"/>
          </w:tcPr>
          <w:p>
            <w:pPr>
              <w:spacing w:after="0"/>
              <w:rPr>
                <w:sz w:val="20"/>
                <w:szCs w:val="20"/>
                <w:color w:val="auto"/>
              </w:rPr>
            </w:pPr>
            <w:r>
              <w:rPr>
                <w:rFonts w:ascii="Arial" w:cs="Arial" w:eastAsia="Arial" w:hAnsi="Arial"/>
                <w:sz w:val="18"/>
                <w:szCs w:val="18"/>
                <w:color w:val="auto"/>
              </w:rPr>
              <w:t>CA</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100-1632</w:t>
            </w:r>
          </w:p>
        </w:tc>
        <w:tc>
          <w:tcPr>
            <w:tcW w:w="2960" w:type="dxa"/>
            <w:vAlign w:val="bottom"/>
          </w:tcPr>
          <w:p>
            <w:pPr>
              <w:spacing w:after="0"/>
              <w:rPr>
                <w:sz w:val="20"/>
                <w:szCs w:val="20"/>
                <w:color w:val="auto"/>
              </w:rPr>
            </w:pPr>
            <w:r>
              <w:rPr>
                <w:rFonts w:ascii="Arial" w:cs="Arial" w:eastAsia="Arial" w:hAnsi="Arial"/>
                <w:sz w:val="18"/>
                <w:szCs w:val="18"/>
                <w:color w:val="auto"/>
              </w:rPr>
              <w:t>Santana Row Bld 1B-Retail [2]</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San Jose</w:t>
            </w:r>
          </w:p>
        </w:tc>
        <w:tc>
          <w:tcPr>
            <w:tcW w:w="680" w:type="dxa"/>
            <w:vAlign w:val="bottom"/>
            <w:gridSpan w:val="2"/>
          </w:tcPr>
          <w:p>
            <w:pPr>
              <w:spacing w:after="0"/>
              <w:rPr>
                <w:sz w:val="20"/>
                <w:szCs w:val="20"/>
                <w:color w:val="auto"/>
              </w:rPr>
            </w:pPr>
            <w:r>
              <w:rPr>
                <w:rFonts w:ascii="Arial" w:cs="Arial" w:eastAsia="Arial" w:hAnsi="Arial"/>
                <w:sz w:val="18"/>
                <w:szCs w:val="18"/>
                <w:color w:val="auto"/>
              </w:rPr>
              <w:t>CA</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100-1634</w:t>
            </w:r>
          </w:p>
        </w:tc>
        <w:tc>
          <w:tcPr>
            <w:tcW w:w="2960" w:type="dxa"/>
            <w:vAlign w:val="bottom"/>
          </w:tcPr>
          <w:p>
            <w:pPr>
              <w:spacing w:after="0"/>
              <w:rPr>
                <w:sz w:val="20"/>
                <w:szCs w:val="20"/>
                <w:color w:val="auto"/>
              </w:rPr>
            </w:pPr>
            <w:r>
              <w:rPr>
                <w:rFonts w:ascii="Arial" w:cs="Arial" w:eastAsia="Arial" w:hAnsi="Arial"/>
                <w:sz w:val="18"/>
                <w:szCs w:val="18"/>
                <w:color w:val="auto"/>
              </w:rPr>
              <w:t>Santana Row Bld 1C-Retail [2]</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San Jose</w:t>
            </w:r>
          </w:p>
        </w:tc>
        <w:tc>
          <w:tcPr>
            <w:tcW w:w="680" w:type="dxa"/>
            <w:vAlign w:val="bottom"/>
            <w:gridSpan w:val="2"/>
          </w:tcPr>
          <w:p>
            <w:pPr>
              <w:spacing w:after="0"/>
              <w:rPr>
                <w:sz w:val="20"/>
                <w:szCs w:val="20"/>
                <w:color w:val="auto"/>
              </w:rPr>
            </w:pPr>
            <w:r>
              <w:rPr>
                <w:rFonts w:ascii="Arial" w:cs="Arial" w:eastAsia="Arial" w:hAnsi="Arial"/>
                <w:sz w:val="18"/>
                <w:szCs w:val="18"/>
                <w:color w:val="auto"/>
              </w:rPr>
              <w:t>CA</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100-1636</w:t>
            </w:r>
          </w:p>
        </w:tc>
        <w:tc>
          <w:tcPr>
            <w:tcW w:w="2960" w:type="dxa"/>
            <w:vAlign w:val="bottom"/>
          </w:tcPr>
          <w:p>
            <w:pPr>
              <w:spacing w:after="0"/>
              <w:rPr>
                <w:sz w:val="20"/>
                <w:szCs w:val="20"/>
                <w:color w:val="auto"/>
              </w:rPr>
            </w:pPr>
            <w:r>
              <w:rPr>
                <w:rFonts w:ascii="Arial" w:cs="Arial" w:eastAsia="Arial" w:hAnsi="Arial"/>
                <w:sz w:val="18"/>
                <w:szCs w:val="18"/>
                <w:color w:val="auto"/>
              </w:rPr>
              <w:t>Santana Row Bld 2-Retail/Off [2]</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San Jose</w:t>
            </w:r>
          </w:p>
        </w:tc>
        <w:tc>
          <w:tcPr>
            <w:tcW w:w="680" w:type="dxa"/>
            <w:vAlign w:val="bottom"/>
            <w:gridSpan w:val="2"/>
          </w:tcPr>
          <w:p>
            <w:pPr>
              <w:spacing w:after="0"/>
              <w:rPr>
                <w:sz w:val="20"/>
                <w:szCs w:val="20"/>
                <w:color w:val="auto"/>
              </w:rPr>
            </w:pPr>
            <w:r>
              <w:rPr>
                <w:rFonts w:ascii="Arial" w:cs="Arial" w:eastAsia="Arial" w:hAnsi="Arial"/>
                <w:sz w:val="18"/>
                <w:szCs w:val="18"/>
                <w:color w:val="auto"/>
              </w:rPr>
              <w:t>CA</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Office</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100-1638</w:t>
            </w:r>
          </w:p>
        </w:tc>
        <w:tc>
          <w:tcPr>
            <w:tcW w:w="2960" w:type="dxa"/>
            <w:vAlign w:val="bottom"/>
          </w:tcPr>
          <w:p>
            <w:pPr>
              <w:spacing w:after="0"/>
              <w:rPr>
                <w:sz w:val="20"/>
                <w:szCs w:val="20"/>
                <w:color w:val="auto"/>
              </w:rPr>
            </w:pPr>
            <w:r>
              <w:rPr>
                <w:rFonts w:ascii="Arial" w:cs="Arial" w:eastAsia="Arial" w:hAnsi="Arial"/>
                <w:sz w:val="18"/>
                <w:szCs w:val="18"/>
                <w:color w:val="auto"/>
              </w:rPr>
              <w:t>Santana Row Bld 3-Retail [2]</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San Jose</w:t>
            </w:r>
          </w:p>
        </w:tc>
        <w:tc>
          <w:tcPr>
            <w:tcW w:w="680" w:type="dxa"/>
            <w:vAlign w:val="bottom"/>
            <w:gridSpan w:val="2"/>
          </w:tcPr>
          <w:p>
            <w:pPr>
              <w:spacing w:after="0"/>
              <w:rPr>
                <w:sz w:val="20"/>
                <w:szCs w:val="20"/>
                <w:color w:val="auto"/>
              </w:rPr>
            </w:pPr>
            <w:r>
              <w:rPr>
                <w:rFonts w:ascii="Arial" w:cs="Arial" w:eastAsia="Arial" w:hAnsi="Arial"/>
                <w:sz w:val="18"/>
                <w:szCs w:val="18"/>
                <w:color w:val="auto"/>
              </w:rPr>
              <w:t>CA</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100-1642</w:t>
            </w:r>
          </w:p>
        </w:tc>
        <w:tc>
          <w:tcPr>
            <w:tcW w:w="2960" w:type="dxa"/>
            <w:vAlign w:val="bottom"/>
          </w:tcPr>
          <w:p>
            <w:pPr>
              <w:spacing w:after="0"/>
              <w:rPr>
                <w:sz w:val="20"/>
                <w:szCs w:val="20"/>
                <w:color w:val="auto"/>
              </w:rPr>
            </w:pPr>
            <w:r>
              <w:rPr>
                <w:rFonts w:ascii="Arial" w:cs="Arial" w:eastAsia="Arial" w:hAnsi="Arial"/>
                <w:sz w:val="18"/>
                <w:szCs w:val="18"/>
                <w:color w:val="auto"/>
              </w:rPr>
              <w:t>Santana Row Bld 4-Retail [2]</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San Jose</w:t>
            </w:r>
          </w:p>
        </w:tc>
        <w:tc>
          <w:tcPr>
            <w:tcW w:w="680" w:type="dxa"/>
            <w:vAlign w:val="bottom"/>
            <w:gridSpan w:val="2"/>
          </w:tcPr>
          <w:p>
            <w:pPr>
              <w:spacing w:after="0"/>
              <w:rPr>
                <w:sz w:val="20"/>
                <w:szCs w:val="20"/>
                <w:color w:val="auto"/>
              </w:rPr>
            </w:pPr>
            <w:r>
              <w:rPr>
                <w:rFonts w:ascii="Arial" w:cs="Arial" w:eastAsia="Arial" w:hAnsi="Arial"/>
                <w:sz w:val="18"/>
                <w:szCs w:val="18"/>
                <w:color w:val="auto"/>
              </w:rPr>
              <w:t>CA</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100-1644</w:t>
            </w:r>
          </w:p>
        </w:tc>
        <w:tc>
          <w:tcPr>
            <w:tcW w:w="2960" w:type="dxa"/>
            <w:vAlign w:val="bottom"/>
          </w:tcPr>
          <w:p>
            <w:pPr>
              <w:spacing w:after="0"/>
              <w:rPr>
                <w:sz w:val="20"/>
                <w:szCs w:val="20"/>
                <w:color w:val="auto"/>
              </w:rPr>
            </w:pPr>
            <w:r>
              <w:rPr>
                <w:rFonts w:ascii="Arial" w:cs="Arial" w:eastAsia="Arial" w:hAnsi="Arial"/>
                <w:sz w:val="18"/>
                <w:szCs w:val="18"/>
                <w:color w:val="auto"/>
              </w:rPr>
              <w:t>Santana Row Bld 5-Retail [2]</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San Jose</w:t>
            </w:r>
          </w:p>
        </w:tc>
        <w:tc>
          <w:tcPr>
            <w:tcW w:w="680" w:type="dxa"/>
            <w:vAlign w:val="bottom"/>
            <w:gridSpan w:val="2"/>
          </w:tcPr>
          <w:p>
            <w:pPr>
              <w:spacing w:after="0"/>
              <w:rPr>
                <w:sz w:val="20"/>
                <w:szCs w:val="20"/>
                <w:color w:val="auto"/>
              </w:rPr>
            </w:pPr>
            <w:r>
              <w:rPr>
                <w:rFonts w:ascii="Arial" w:cs="Arial" w:eastAsia="Arial" w:hAnsi="Arial"/>
                <w:sz w:val="18"/>
                <w:szCs w:val="18"/>
                <w:color w:val="auto"/>
              </w:rPr>
              <w:t>CA</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100-1645</w:t>
            </w:r>
          </w:p>
        </w:tc>
        <w:tc>
          <w:tcPr>
            <w:tcW w:w="2960" w:type="dxa"/>
            <w:vAlign w:val="bottom"/>
          </w:tcPr>
          <w:p>
            <w:pPr>
              <w:spacing w:after="0"/>
              <w:rPr>
                <w:sz w:val="20"/>
                <w:szCs w:val="20"/>
                <w:color w:val="auto"/>
              </w:rPr>
            </w:pPr>
            <w:r>
              <w:rPr>
                <w:rFonts w:ascii="Arial" w:cs="Arial" w:eastAsia="Arial" w:hAnsi="Arial"/>
                <w:sz w:val="18"/>
                <w:szCs w:val="18"/>
                <w:color w:val="auto"/>
              </w:rPr>
              <w:t>Santana Row Bld 5-Hotel [2]</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San Jose</w:t>
            </w:r>
          </w:p>
        </w:tc>
        <w:tc>
          <w:tcPr>
            <w:tcW w:w="680" w:type="dxa"/>
            <w:vAlign w:val="bottom"/>
            <w:gridSpan w:val="2"/>
          </w:tcPr>
          <w:p>
            <w:pPr>
              <w:spacing w:after="0"/>
              <w:rPr>
                <w:sz w:val="20"/>
                <w:szCs w:val="20"/>
                <w:color w:val="auto"/>
              </w:rPr>
            </w:pPr>
            <w:r>
              <w:rPr>
                <w:rFonts w:ascii="Arial" w:cs="Arial" w:eastAsia="Arial" w:hAnsi="Arial"/>
                <w:sz w:val="18"/>
                <w:szCs w:val="18"/>
                <w:color w:val="auto"/>
              </w:rPr>
              <w:t>CA</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100-1646</w:t>
            </w:r>
          </w:p>
        </w:tc>
        <w:tc>
          <w:tcPr>
            <w:tcW w:w="2960" w:type="dxa"/>
            <w:vAlign w:val="bottom"/>
          </w:tcPr>
          <w:p>
            <w:pPr>
              <w:spacing w:after="0"/>
              <w:rPr>
                <w:sz w:val="20"/>
                <w:szCs w:val="20"/>
                <w:color w:val="auto"/>
              </w:rPr>
            </w:pPr>
            <w:r>
              <w:rPr>
                <w:rFonts w:ascii="Arial" w:cs="Arial" w:eastAsia="Arial" w:hAnsi="Arial"/>
                <w:sz w:val="18"/>
                <w:szCs w:val="18"/>
                <w:color w:val="auto"/>
              </w:rPr>
              <w:t>Santana Row Bld 6A-Retail [2]</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San Jose</w:t>
            </w:r>
          </w:p>
        </w:tc>
        <w:tc>
          <w:tcPr>
            <w:tcW w:w="680" w:type="dxa"/>
            <w:vAlign w:val="bottom"/>
            <w:gridSpan w:val="2"/>
          </w:tcPr>
          <w:p>
            <w:pPr>
              <w:spacing w:after="0"/>
              <w:rPr>
                <w:sz w:val="20"/>
                <w:szCs w:val="20"/>
                <w:color w:val="auto"/>
              </w:rPr>
            </w:pPr>
            <w:r>
              <w:rPr>
                <w:rFonts w:ascii="Arial" w:cs="Arial" w:eastAsia="Arial" w:hAnsi="Arial"/>
                <w:sz w:val="18"/>
                <w:szCs w:val="18"/>
                <w:color w:val="auto"/>
              </w:rPr>
              <w:t>CA</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100-1650</w:t>
            </w:r>
          </w:p>
        </w:tc>
        <w:tc>
          <w:tcPr>
            <w:tcW w:w="2960" w:type="dxa"/>
            <w:vAlign w:val="bottom"/>
          </w:tcPr>
          <w:p>
            <w:pPr>
              <w:spacing w:after="0"/>
              <w:rPr>
                <w:sz w:val="20"/>
                <w:szCs w:val="20"/>
                <w:color w:val="auto"/>
              </w:rPr>
            </w:pPr>
            <w:r>
              <w:rPr>
                <w:rFonts w:ascii="Arial" w:cs="Arial" w:eastAsia="Arial" w:hAnsi="Arial"/>
                <w:sz w:val="18"/>
                <w:szCs w:val="18"/>
                <w:color w:val="auto"/>
              </w:rPr>
              <w:t>Santana Row Bld 7-Retail [2]</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San Jose</w:t>
            </w:r>
          </w:p>
        </w:tc>
        <w:tc>
          <w:tcPr>
            <w:tcW w:w="680" w:type="dxa"/>
            <w:vAlign w:val="bottom"/>
            <w:gridSpan w:val="2"/>
          </w:tcPr>
          <w:p>
            <w:pPr>
              <w:spacing w:after="0"/>
              <w:rPr>
                <w:sz w:val="20"/>
                <w:szCs w:val="20"/>
                <w:color w:val="auto"/>
              </w:rPr>
            </w:pPr>
            <w:r>
              <w:rPr>
                <w:rFonts w:ascii="Arial" w:cs="Arial" w:eastAsia="Arial" w:hAnsi="Arial"/>
                <w:sz w:val="18"/>
                <w:szCs w:val="18"/>
                <w:color w:val="auto"/>
              </w:rPr>
              <w:t>CA</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100-1652</w:t>
            </w:r>
          </w:p>
        </w:tc>
        <w:tc>
          <w:tcPr>
            <w:tcW w:w="2960" w:type="dxa"/>
            <w:vAlign w:val="bottom"/>
          </w:tcPr>
          <w:p>
            <w:pPr>
              <w:spacing w:after="0"/>
              <w:rPr>
                <w:sz w:val="20"/>
                <w:szCs w:val="20"/>
                <w:color w:val="auto"/>
              </w:rPr>
            </w:pPr>
            <w:r>
              <w:rPr>
                <w:rFonts w:ascii="Arial" w:cs="Arial" w:eastAsia="Arial" w:hAnsi="Arial"/>
                <w:sz w:val="18"/>
                <w:szCs w:val="18"/>
                <w:color w:val="auto"/>
              </w:rPr>
              <w:t>Santana Row Bld 8A-Retail [2]</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San Jose</w:t>
            </w:r>
          </w:p>
        </w:tc>
        <w:tc>
          <w:tcPr>
            <w:tcW w:w="680" w:type="dxa"/>
            <w:vAlign w:val="bottom"/>
            <w:gridSpan w:val="2"/>
          </w:tcPr>
          <w:p>
            <w:pPr>
              <w:spacing w:after="0"/>
              <w:rPr>
                <w:sz w:val="20"/>
                <w:szCs w:val="20"/>
                <w:color w:val="auto"/>
              </w:rPr>
            </w:pPr>
            <w:r>
              <w:rPr>
                <w:rFonts w:ascii="Arial" w:cs="Arial" w:eastAsia="Arial" w:hAnsi="Arial"/>
                <w:sz w:val="18"/>
                <w:szCs w:val="18"/>
                <w:color w:val="auto"/>
              </w:rPr>
              <w:t>CA</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100-1662</w:t>
            </w:r>
          </w:p>
        </w:tc>
        <w:tc>
          <w:tcPr>
            <w:tcW w:w="2960" w:type="dxa"/>
            <w:vAlign w:val="bottom"/>
          </w:tcPr>
          <w:p>
            <w:pPr>
              <w:spacing w:after="0"/>
              <w:rPr>
                <w:sz w:val="20"/>
                <w:szCs w:val="20"/>
                <w:color w:val="auto"/>
              </w:rPr>
            </w:pPr>
            <w:r>
              <w:rPr>
                <w:rFonts w:ascii="Arial" w:cs="Arial" w:eastAsia="Arial" w:hAnsi="Arial"/>
                <w:sz w:val="18"/>
                <w:szCs w:val="18"/>
                <w:color w:val="auto"/>
              </w:rPr>
              <w:t>Santana Row Bld 11A-Retail [2]</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San Jose</w:t>
            </w:r>
          </w:p>
        </w:tc>
        <w:tc>
          <w:tcPr>
            <w:tcW w:w="680" w:type="dxa"/>
            <w:vAlign w:val="bottom"/>
            <w:gridSpan w:val="2"/>
          </w:tcPr>
          <w:p>
            <w:pPr>
              <w:spacing w:after="0"/>
              <w:rPr>
                <w:sz w:val="20"/>
                <w:szCs w:val="20"/>
                <w:color w:val="auto"/>
              </w:rPr>
            </w:pPr>
            <w:r>
              <w:rPr>
                <w:rFonts w:ascii="Arial" w:cs="Arial" w:eastAsia="Arial" w:hAnsi="Arial"/>
                <w:sz w:val="18"/>
                <w:szCs w:val="18"/>
                <w:color w:val="auto"/>
              </w:rPr>
              <w:t>CA</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100-1668</w:t>
            </w:r>
          </w:p>
        </w:tc>
        <w:tc>
          <w:tcPr>
            <w:tcW w:w="2960" w:type="dxa"/>
            <w:vAlign w:val="bottom"/>
          </w:tcPr>
          <w:p>
            <w:pPr>
              <w:spacing w:after="0"/>
              <w:rPr>
                <w:sz w:val="20"/>
                <w:szCs w:val="20"/>
                <w:color w:val="auto"/>
              </w:rPr>
            </w:pPr>
            <w:r>
              <w:rPr>
                <w:rFonts w:ascii="Arial" w:cs="Arial" w:eastAsia="Arial" w:hAnsi="Arial"/>
                <w:sz w:val="18"/>
                <w:szCs w:val="18"/>
                <w:color w:val="auto"/>
              </w:rPr>
              <w:t>Santana Row Bld 13/15 Retail [2]</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San Jose</w:t>
            </w:r>
          </w:p>
        </w:tc>
        <w:tc>
          <w:tcPr>
            <w:tcW w:w="680" w:type="dxa"/>
            <w:vAlign w:val="bottom"/>
            <w:gridSpan w:val="2"/>
          </w:tcPr>
          <w:p>
            <w:pPr>
              <w:spacing w:after="0"/>
              <w:rPr>
                <w:sz w:val="20"/>
                <w:szCs w:val="20"/>
                <w:color w:val="auto"/>
              </w:rPr>
            </w:pPr>
            <w:r>
              <w:rPr>
                <w:rFonts w:ascii="Arial" w:cs="Arial" w:eastAsia="Arial" w:hAnsi="Arial"/>
                <w:sz w:val="18"/>
                <w:szCs w:val="18"/>
                <w:color w:val="auto"/>
              </w:rPr>
              <w:t>CA</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100-1674</w:t>
            </w:r>
          </w:p>
        </w:tc>
        <w:tc>
          <w:tcPr>
            <w:tcW w:w="2960" w:type="dxa"/>
            <w:vAlign w:val="bottom"/>
          </w:tcPr>
          <w:p>
            <w:pPr>
              <w:spacing w:after="0"/>
              <w:rPr>
                <w:sz w:val="20"/>
                <w:szCs w:val="20"/>
                <w:color w:val="auto"/>
              </w:rPr>
            </w:pPr>
            <w:r>
              <w:rPr>
                <w:rFonts w:ascii="Arial" w:cs="Arial" w:eastAsia="Arial" w:hAnsi="Arial"/>
                <w:sz w:val="18"/>
                <w:szCs w:val="18"/>
                <w:color w:val="auto"/>
              </w:rPr>
              <w:t>Santana Row Bld K-Retail [2]</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San Jose</w:t>
            </w:r>
          </w:p>
        </w:tc>
        <w:tc>
          <w:tcPr>
            <w:tcW w:w="680" w:type="dxa"/>
            <w:vAlign w:val="bottom"/>
            <w:gridSpan w:val="2"/>
          </w:tcPr>
          <w:p>
            <w:pPr>
              <w:spacing w:after="0"/>
              <w:rPr>
                <w:sz w:val="20"/>
                <w:szCs w:val="20"/>
                <w:color w:val="auto"/>
              </w:rPr>
            </w:pPr>
            <w:r>
              <w:rPr>
                <w:rFonts w:ascii="Arial" w:cs="Arial" w:eastAsia="Arial" w:hAnsi="Arial"/>
                <w:sz w:val="18"/>
                <w:szCs w:val="18"/>
                <w:color w:val="auto"/>
              </w:rPr>
              <w:t>CA</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100-1651</w:t>
            </w:r>
          </w:p>
        </w:tc>
        <w:tc>
          <w:tcPr>
            <w:tcW w:w="2960" w:type="dxa"/>
            <w:vAlign w:val="bottom"/>
          </w:tcPr>
          <w:p>
            <w:pPr>
              <w:spacing w:after="0"/>
              <w:rPr>
                <w:sz w:val="20"/>
                <w:szCs w:val="20"/>
                <w:color w:val="auto"/>
              </w:rPr>
            </w:pPr>
            <w:r>
              <w:rPr>
                <w:rFonts w:ascii="Arial" w:cs="Arial" w:eastAsia="Arial" w:hAnsi="Arial"/>
                <w:sz w:val="18"/>
                <w:szCs w:val="18"/>
                <w:color w:val="auto"/>
              </w:rPr>
              <w:t>Santana Row Bld 7-Residential [2]</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San Jose</w:t>
            </w:r>
          </w:p>
        </w:tc>
        <w:tc>
          <w:tcPr>
            <w:tcW w:w="680" w:type="dxa"/>
            <w:vAlign w:val="bottom"/>
            <w:gridSpan w:val="2"/>
          </w:tcPr>
          <w:p>
            <w:pPr>
              <w:spacing w:after="0"/>
              <w:rPr>
                <w:sz w:val="20"/>
                <w:szCs w:val="20"/>
                <w:color w:val="auto"/>
              </w:rPr>
            </w:pPr>
            <w:r>
              <w:rPr>
                <w:rFonts w:ascii="Arial" w:cs="Arial" w:eastAsia="Arial" w:hAnsi="Arial"/>
                <w:sz w:val="18"/>
                <w:szCs w:val="18"/>
                <w:color w:val="auto"/>
              </w:rPr>
              <w:t>CA</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Multifamily</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100-1653</w:t>
            </w:r>
          </w:p>
        </w:tc>
        <w:tc>
          <w:tcPr>
            <w:tcW w:w="2960" w:type="dxa"/>
            <w:vAlign w:val="bottom"/>
          </w:tcPr>
          <w:p>
            <w:pPr>
              <w:spacing w:after="0"/>
              <w:rPr>
                <w:sz w:val="20"/>
                <w:szCs w:val="20"/>
                <w:color w:val="auto"/>
              </w:rPr>
            </w:pPr>
            <w:r>
              <w:rPr>
                <w:rFonts w:ascii="Arial" w:cs="Arial" w:eastAsia="Arial" w:hAnsi="Arial"/>
                <w:sz w:val="18"/>
                <w:szCs w:val="18"/>
                <w:color w:val="auto"/>
              </w:rPr>
              <w:t>Santana Row Bld 8A-Residential [2]</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San Jose</w:t>
            </w:r>
          </w:p>
        </w:tc>
        <w:tc>
          <w:tcPr>
            <w:tcW w:w="680" w:type="dxa"/>
            <w:vAlign w:val="bottom"/>
            <w:gridSpan w:val="2"/>
          </w:tcPr>
          <w:p>
            <w:pPr>
              <w:spacing w:after="0"/>
              <w:rPr>
                <w:sz w:val="20"/>
                <w:szCs w:val="20"/>
                <w:color w:val="auto"/>
              </w:rPr>
            </w:pPr>
            <w:r>
              <w:rPr>
                <w:rFonts w:ascii="Arial" w:cs="Arial" w:eastAsia="Arial" w:hAnsi="Arial"/>
                <w:sz w:val="18"/>
                <w:szCs w:val="18"/>
                <w:color w:val="auto"/>
              </w:rPr>
              <w:t>CA</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Multifamily</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100-1663</w:t>
            </w:r>
          </w:p>
        </w:tc>
        <w:tc>
          <w:tcPr>
            <w:tcW w:w="2960" w:type="dxa"/>
            <w:vAlign w:val="bottom"/>
          </w:tcPr>
          <w:p>
            <w:pPr>
              <w:spacing w:after="0"/>
              <w:rPr>
                <w:sz w:val="20"/>
                <w:szCs w:val="20"/>
                <w:color w:val="auto"/>
              </w:rPr>
            </w:pPr>
            <w:r>
              <w:rPr>
                <w:rFonts w:ascii="Arial" w:cs="Arial" w:eastAsia="Arial" w:hAnsi="Arial"/>
                <w:sz w:val="18"/>
                <w:szCs w:val="18"/>
                <w:color w:val="auto"/>
              </w:rPr>
              <w:t>Santana Row Bld 11A-Res/Office [2]</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San Jose</w:t>
            </w:r>
          </w:p>
        </w:tc>
        <w:tc>
          <w:tcPr>
            <w:tcW w:w="680" w:type="dxa"/>
            <w:vAlign w:val="bottom"/>
            <w:gridSpan w:val="2"/>
          </w:tcPr>
          <w:p>
            <w:pPr>
              <w:spacing w:after="0"/>
              <w:rPr>
                <w:sz w:val="20"/>
                <w:szCs w:val="20"/>
                <w:color w:val="auto"/>
              </w:rPr>
            </w:pPr>
            <w:r>
              <w:rPr>
                <w:rFonts w:ascii="Arial" w:cs="Arial" w:eastAsia="Arial" w:hAnsi="Arial"/>
                <w:sz w:val="18"/>
                <w:szCs w:val="18"/>
                <w:color w:val="auto"/>
              </w:rPr>
              <w:t>CA</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100-1669</w:t>
            </w:r>
          </w:p>
        </w:tc>
        <w:tc>
          <w:tcPr>
            <w:tcW w:w="2960" w:type="dxa"/>
            <w:vAlign w:val="bottom"/>
          </w:tcPr>
          <w:p>
            <w:pPr>
              <w:spacing w:after="0"/>
              <w:rPr>
                <w:sz w:val="20"/>
                <w:szCs w:val="20"/>
                <w:color w:val="auto"/>
              </w:rPr>
            </w:pPr>
            <w:r>
              <w:rPr>
                <w:rFonts w:ascii="Arial" w:cs="Arial" w:eastAsia="Arial" w:hAnsi="Arial"/>
                <w:sz w:val="18"/>
                <w:szCs w:val="18"/>
                <w:color w:val="auto"/>
              </w:rPr>
              <w:t>Santana Row Bld 13/15 Res/Off [2]</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San Jose</w:t>
            </w:r>
          </w:p>
        </w:tc>
        <w:tc>
          <w:tcPr>
            <w:tcW w:w="680" w:type="dxa"/>
            <w:vAlign w:val="bottom"/>
            <w:gridSpan w:val="2"/>
          </w:tcPr>
          <w:p>
            <w:pPr>
              <w:spacing w:after="0"/>
              <w:rPr>
                <w:sz w:val="20"/>
                <w:szCs w:val="20"/>
                <w:color w:val="auto"/>
              </w:rPr>
            </w:pPr>
            <w:r>
              <w:rPr>
                <w:rFonts w:ascii="Arial" w:cs="Arial" w:eastAsia="Arial" w:hAnsi="Arial"/>
                <w:sz w:val="18"/>
                <w:szCs w:val="18"/>
                <w:color w:val="auto"/>
              </w:rPr>
              <w:t>CA</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100-1692</w:t>
            </w:r>
          </w:p>
        </w:tc>
        <w:tc>
          <w:tcPr>
            <w:tcW w:w="2960" w:type="dxa"/>
            <w:vAlign w:val="bottom"/>
          </w:tcPr>
          <w:p>
            <w:pPr>
              <w:spacing w:after="0"/>
              <w:rPr>
                <w:sz w:val="20"/>
                <w:szCs w:val="20"/>
                <w:color w:val="auto"/>
              </w:rPr>
            </w:pPr>
            <w:r>
              <w:rPr>
                <w:rFonts w:ascii="Arial" w:cs="Arial" w:eastAsia="Arial" w:hAnsi="Arial"/>
                <w:sz w:val="18"/>
                <w:szCs w:val="18"/>
                <w:color w:val="auto"/>
              </w:rPr>
              <w:t>Santana Row Bld 6B Residential [2]</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San Jose</w:t>
            </w:r>
          </w:p>
        </w:tc>
        <w:tc>
          <w:tcPr>
            <w:tcW w:w="680" w:type="dxa"/>
            <w:vAlign w:val="bottom"/>
            <w:gridSpan w:val="2"/>
          </w:tcPr>
          <w:p>
            <w:pPr>
              <w:spacing w:after="0"/>
              <w:rPr>
                <w:sz w:val="20"/>
                <w:szCs w:val="20"/>
                <w:color w:val="auto"/>
              </w:rPr>
            </w:pPr>
            <w:r>
              <w:rPr>
                <w:rFonts w:ascii="Arial" w:cs="Arial" w:eastAsia="Arial" w:hAnsi="Arial"/>
                <w:sz w:val="18"/>
                <w:szCs w:val="18"/>
                <w:color w:val="auto"/>
              </w:rPr>
              <w:t>CA</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Multifamily</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110-1605</w:t>
            </w:r>
          </w:p>
        </w:tc>
        <w:tc>
          <w:tcPr>
            <w:tcW w:w="2960" w:type="dxa"/>
            <w:vAlign w:val="bottom"/>
          </w:tcPr>
          <w:p>
            <w:pPr>
              <w:spacing w:after="0"/>
              <w:rPr>
                <w:sz w:val="20"/>
                <w:szCs w:val="20"/>
                <w:color w:val="auto"/>
              </w:rPr>
            </w:pPr>
            <w:r>
              <w:rPr>
                <w:rFonts w:ascii="Arial" w:cs="Arial" w:eastAsia="Arial" w:hAnsi="Arial"/>
                <w:sz w:val="18"/>
                <w:szCs w:val="18"/>
                <w:color w:val="auto"/>
              </w:rPr>
              <w:t>Pike 7</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Tysons Corner</w:t>
            </w:r>
          </w:p>
        </w:tc>
        <w:tc>
          <w:tcPr>
            <w:tcW w:w="680" w:type="dxa"/>
            <w:vAlign w:val="bottom"/>
            <w:gridSpan w:val="2"/>
          </w:tcPr>
          <w:p>
            <w:pPr>
              <w:spacing w:after="0"/>
              <w:rPr>
                <w:sz w:val="20"/>
                <w:szCs w:val="20"/>
                <w:color w:val="auto"/>
              </w:rPr>
            </w:pPr>
            <w:r>
              <w:rPr>
                <w:rFonts w:ascii="Arial" w:cs="Arial" w:eastAsia="Arial" w:hAnsi="Arial"/>
                <w:sz w:val="18"/>
                <w:szCs w:val="18"/>
                <w:color w:val="auto"/>
              </w:rPr>
              <w:t>VA</w:t>
            </w:r>
          </w:p>
        </w:tc>
        <w:tc>
          <w:tcPr>
            <w:tcW w:w="1240" w:type="dxa"/>
            <w:vAlign w:val="bottom"/>
          </w:tcPr>
          <w:p>
            <w:pPr>
              <w:spacing w:after="0"/>
              <w:rPr>
                <w:sz w:val="20"/>
                <w:szCs w:val="20"/>
                <w:color w:val="auto"/>
              </w:rPr>
            </w:pPr>
            <w:r>
              <w:rPr>
                <w:rFonts w:ascii="Arial" w:cs="Arial" w:eastAsia="Arial" w:hAnsi="Arial"/>
                <w:sz w:val="18"/>
                <w:szCs w:val="18"/>
                <w:color w:val="auto"/>
              </w:rPr>
              <w:t>Controlled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130-1215</w:t>
            </w:r>
          </w:p>
        </w:tc>
        <w:tc>
          <w:tcPr>
            <w:tcW w:w="2960" w:type="dxa"/>
            <w:vAlign w:val="bottom"/>
          </w:tcPr>
          <w:p>
            <w:pPr>
              <w:spacing w:after="0"/>
              <w:rPr>
                <w:sz w:val="20"/>
                <w:szCs w:val="20"/>
                <w:color w:val="auto"/>
              </w:rPr>
            </w:pPr>
            <w:r>
              <w:rPr>
                <w:rFonts w:ascii="Arial" w:cs="Arial" w:eastAsia="Arial" w:hAnsi="Arial"/>
                <w:sz w:val="18"/>
                <w:szCs w:val="18"/>
                <w:color w:val="auto"/>
              </w:rPr>
              <w:t>Federal Plaza</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Rockville</w:t>
            </w:r>
          </w:p>
        </w:tc>
        <w:tc>
          <w:tcPr>
            <w:tcW w:w="680" w:type="dxa"/>
            <w:vAlign w:val="bottom"/>
            <w:gridSpan w:val="2"/>
          </w:tcPr>
          <w:p>
            <w:pPr>
              <w:spacing w:after="0"/>
              <w:rPr>
                <w:sz w:val="20"/>
                <w:szCs w:val="20"/>
                <w:color w:val="auto"/>
              </w:rPr>
            </w:pPr>
            <w:r>
              <w:rPr>
                <w:rFonts w:ascii="Arial" w:cs="Arial" w:eastAsia="Arial" w:hAnsi="Arial"/>
                <w:sz w:val="18"/>
                <w:szCs w:val="18"/>
                <w:color w:val="auto"/>
              </w:rPr>
              <w:t>MD</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150-1477</w:t>
            </w:r>
          </w:p>
        </w:tc>
        <w:tc>
          <w:tcPr>
            <w:tcW w:w="2960" w:type="dxa"/>
            <w:vAlign w:val="bottom"/>
          </w:tcPr>
          <w:p>
            <w:pPr>
              <w:spacing w:after="0"/>
              <w:rPr>
                <w:sz w:val="20"/>
                <w:szCs w:val="20"/>
                <w:color w:val="auto"/>
              </w:rPr>
            </w:pPr>
            <w:r>
              <w:rPr>
                <w:rFonts w:ascii="Arial" w:cs="Arial" w:eastAsia="Arial" w:hAnsi="Arial"/>
                <w:sz w:val="18"/>
                <w:szCs w:val="18"/>
                <w:color w:val="auto"/>
              </w:rPr>
              <w:t>Mercer Mall - H&amp;H BBQ</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Lawrenceville</w:t>
            </w:r>
          </w:p>
        </w:tc>
        <w:tc>
          <w:tcPr>
            <w:tcW w:w="680" w:type="dxa"/>
            <w:vAlign w:val="bottom"/>
            <w:gridSpan w:val="2"/>
          </w:tcPr>
          <w:p>
            <w:pPr>
              <w:spacing w:after="0"/>
              <w:rPr>
                <w:sz w:val="20"/>
                <w:szCs w:val="20"/>
                <w:color w:val="auto"/>
              </w:rPr>
            </w:pPr>
            <w:r>
              <w:rPr>
                <w:rFonts w:ascii="Arial" w:cs="Arial" w:eastAsia="Arial" w:hAnsi="Arial"/>
                <w:sz w:val="18"/>
                <w:szCs w:val="18"/>
                <w:color w:val="auto"/>
              </w:rPr>
              <w:t>NJ</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1000" w:type="dxa"/>
            <w:vAlign w:val="bottom"/>
            <w:gridSpan w:val="2"/>
          </w:tcPr>
          <w:p>
            <w:pPr>
              <w:spacing w:after="0"/>
              <w:rPr>
                <w:sz w:val="20"/>
                <w:szCs w:val="20"/>
                <w:color w:val="auto"/>
              </w:rPr>
            </w:pPr>
            <w:r>
              <w:rPr>
                <w:rFonts w:ascii="Arial" w:cs="Arial" w:eastAsia="Arial" w:hAnsi="Arial"/>
                <w:sz w:val="18"/>
                <w:szCs w:val="18"/>
                <w:color w:val="auto"/>
              </w:rPr>
              <w:t>151-1478</w:t>
            </w:r>
          </w:p>
        </w:tc>
        <w:tc>
          <w:tcPr>
            <w:tcW w:w="2960" w:type="dxa"/>
            <w:vAlign w:val="bottom"/>
          </w:tcPr>
          <w:p>
            <w:pPr>
              <w:spacing w:after="0"/>
              <w:rPr>
                <w:sz w:val="20"/>
                <w:szCs w:val="20"/>
                <w:color w:val="auto"/>
              </w:rPr>
            </w:pPr>
            <w:r>
              <w:rPr>
                <w:rFonts w:ascii="Arial" w:cs="Arial" w:eastAsia="Arial" w:hAnsi="Arial"/>
                <w:sz w:val="18"/>
                <w:szCs w:val="18"/>
                <w:color w:val="auto"/>
              </w:rPr>
              <w:t>FR Mercer Mall, LLC (H&amp;H BBQ)</w:t>
            </w:r>
          </w:p>
        </w:tc>
        <w:tc>
          <w:tcPr>
            <w:tcW w:w="1680" w:type="dxa"/>
            <w:vAlign w:val="bottom"/>
            <w:gridSpan w:val="3"/>
          </w:tcPr>
          <w:p>
            <w:pPr>
              <w:ind w:left="200"/>
              <w:spacing w:after="0"/>
              <w:rPr>
                <w:sz w:val="20"/>
                <w:szCs w:val="20"/>
                <w:color w:val="auto"/>
              </w:rPr>
            </w:pPr>
            <w:r>
              <w:rPr>
                <w:rFonts w:ascii="Arial" w:cs="Arial" w:eastAsia="Arial" w:hAnsi="Arial"/>
                <w:sz w:val="18"/>
                <w:szCs w:val="18"/>
                <w:color w:val="auto"/>
              </w:rPr>
              <w:t>Lawrenceville</w:t>
            </w:r>
          </w:p>
        </w:tc>
        <w:tc>
          <w:tcPr>
            <w:tcW w:w="680" w:type="dxa"/>
            <w:vAlign w:val="bottom"/>
            <w:gridSpan w:val="2"/>
          </w:tcPr>
          <w:p>
            <w:pPr>
              <w:spacing w:after="0"/>
              <w:rPr>
                <w:sz w:val="20"/>
                <w:szCs w:val="20"/>
                <w:color w:val="auto"/>
              </w:rPr>
            </w:pPr>
            <w:r>
              <w:rPr>
                <w:rFonts w:ascii="Arial" w:cs="Arial" w:eastAsia="Arial" w:hAnsi="Arial"/>
                <w:sz w:val="18"/>
                <w:szCs w:val="18"/>
                <w:color w:val="auto"/>
              </w:rPr>
              <w:t>NJ</w:t>
            </w:r>
          </w:p>
        </w:tc>
        <w:tc>
          <w:tcPr>
            <w:tcW w:w="1240" w:type="dxa"/>
            <w:vAlign w:val="bottom"/>
          </w:tcPr>
          <w:p>
            <w:pPr>
              <w:spacing w:after="0"/>
              <w:rPr>
                <w:sz w:val="20"/>
                <w:szCs w:val="20"/>
                <w:color w:val="auto"/>
              </w:rPr>
            </w:pPr>
            <w:r>
              <w:rPr>
                <w:rFonts w:ascii="Arial" w:cs="Arial" w:eastAsia="Arial" w:hAnsi="Arial"/>
                <w:sz w:val="18"/>
                <w:szCs w:val="18"/>
                <w:color w:val="auto"/>
              </w:rPr>
              <w:t>Wholly Owned</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Retail</w:t>
            </w:r>
          </w:p>
        </w:tc>
        <w:tc>
          <w:tcPr>
            <w:tcW w:w="2060" w:type="dxa"/>
            <w:vAlign w:val="bottom"/>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6.1(z)</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Unencumbered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22,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w:t>
            </w:r>
          </w:p>
        </w:tc>
        <w:tc>
          <w:tcPr>
            <w:tcW w:w="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Retail/Office/</w:t>
            </w:r>
          </w:p>
        </w:tc>
        <w:tc>
          <w:tcPr>
            <w:tcW w:w="1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Multifamily/</w:t>
            </w: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00" w:type="dxa"/>
            <w:vAlign w:val="bottom"/>
          </w:tcPr>
          <w:p>
            <w:pPr>
              <w:ind w:left="1380"/>
              <w:spacing w:after="0" w:line="129" w:lineRule="exact"/>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2"/>
                <w:szCs w:val="12"/>
                <w:color w:val="auto"/>
              </w:rPr>
            </w:pPr>
          </w:p>
        </w:tc>
        <w:tc>
          <w:tcPr>
            <w:tcW w:w="1300" w:type="dxa"/>
            <w:vAlign w:val="bottom"/>
          </w:tcPr>
          <w:p>
            <w:pPr>
              <w:ind w:left="540"/>
              <w:spacing w:after="0" w:line="129" w:lineRule="exact"/>
              <w:rPr>
                <w:sz w:val="20"/>
                <w:szCs w:val="20"/>
                <w:color w:val="auto"/>
              </w:rPr>
            </w:pPr>
            <w:r>
              <w:rPr>
                <w:rFonts w:ascii="Arial" w:cs="Arial" w:eastAsia="Arial" w:hAnsi="Arial"/>
                <w:sz w:val="14"/>
                <w:szCs w:val="14"/>
                <w:b w:val="1"/>
                <w:bCs w:val="1"/>
                <w:color w:val="auto"/>
              </w:rPr>
              <w:t>City</w:t>
            </w:r>
          </w:p>
        </w:tc>
        <w:tc>
          <w:tcPr>
            <w:tcW w:w="120" w:type="dxa"/>
            <w:vAlign w:val="bottom"/>
          </w:tcPr>
          <w:p>
            <w:pPr>
              <w:spacing w:after="0"/>
              <w:rPr>
                <w:sz w:val="12"/>
                <w:szCs w:val="12"/>
                <w:color w:val="auto"/>
              </w:rPr>
            </w:pPr>
          </w:p>
        </w:tc>
        <w:tc>
          <w:tcPr>
            <w:tcW w:w="40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ST</w:t>
            </w:r>
          </w:p>
        </w:tc>
        <w:tc>
          <w:tcPr>
            <w:tcW w:w="116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Property Type</w:t>
            </w:r>
          </w:p>
        </w:tc>
        <w:tc>
          <w:tcPr>
            <w:tcW w:w="100" w:type="dxa"/>
            <w:vAlign w:val="bottom"/>
          </w:tcPr>
          <w:p>
            <w:pPr>
              <w:spacing w:after="0"/>
              <w:rPr>
                <w:sz w:val="12"/>
                <w:szCs w:val="12"/>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Development [1]</w:t>
            </w:r>
          </w:p>
        </w:tc>
        <w:tc>
          <w:tcPr>
            <w:tcW w:w="120" w:type="dxa"/>
            <w:vAlign w:val="bottom"/>
          </w:tcPr>
          <w:p>
            <w:pPr>
              <w:spacing w:after="0"/>
              <w:rPr>
                <w:sz w:val="12"/>
                <w:szCs w:val="12"/>
                <w:color w:val="auto"/>
              </w:rPr>
            </w:pPr>
          </w:p>
        </w:tc>
        <w:tc>
          <w:tcPr>
            <w:tcW w:w="2940" w:type="dxa"/>
            <w:vAlign w:val="bottom"/>
          </w:tcPr>
          <w:p>
            <w:pPr>
              <w:ind w:left="640"/>
              <w:spacing w:after="0" w:line="129" w:lineRule="exact"/>
              <w:rPr>
                <w:sz w:val="20"/>
                <w:szCs w:val="20"/>
                <w:color w:val="auto"/>
              </w:rPr>
            </w:pPr>
            <w:r>
              <w:rPr>
                <w:rFonts w:ascii="Arial" w:cs="Arial" w:eastAsia="Arial" w:hAnsi="Arial"/>
                <w:sz w:val="14"/>
                <w:szCs w:val="14"/>
                <w:b w:val="1"/>
                <w:bCs w:val="1"/>
                <w:color w:val="auto"/>
              </w:rPr>
              <w:t>Eligible Property Exceptions</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60" w:type="dxa"/>
            <w:vAlign w:val="bottom"/>
            <w:gridSpan w:val="2"/>
          </w:tcPr>
          <w:p>
            <w:pPr>
              <w:spacing w:after="0"/>
              <w:rPr>
                <w:sz w:val="20"/>
                <w:szCs w:val="20"/>
                <w:color w:val="auto"/>
              </w:rPr>
            </w:pPr>
            <w:r>
              <w:rPr>
                <w:rFonts w:ascii="Arial" w:cs="Arial" w:eastAsia="Arial" w:hAnsi="Arial"/>
                <w:sz w:val="18"/>
                <w:szCs w:val="18"/>
                <w:color w:val="auto"/>
                <w:w w:val="97"/>
              </w:rPr>
              <w:t>160-1800</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Westgate Mall</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San Jose</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CA</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170-1730</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w w:val="88"/>
              </w:rPr>
              <w:t>Assembly Sq Dev(Foley, Sturtevant, Amerigas</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Land)</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Somerville</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MA</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w w:val="96"/>
              </w:rPr>
              <w:t>Development</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180-1008</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Assembly Square</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Somerville</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MA</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194-1940</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Del Mar Village</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Boca Raton</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FL</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195-1950</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7015 Beracasa Way (Office)</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Boca Raton</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FL</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Office</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195-1953</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7045 Beracasa Way (Blockbuster)</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Boca Raton</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FL</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197-1970</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Huntington Square</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East Northport</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NY</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w w:val="93"/>
              </w:rPr>
              <w:t>Owned pursuant to a ground lease that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expires May 11, 2079.</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198-1980</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Tower Shops [3]</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Davie</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FL</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209-2090</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Chelsea Commons III</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Chelsea</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MA</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210-2100</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Linden Square</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Wellesley</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MA</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211-2111</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Chelsea - 1020 Revere Beach Parkway</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Chelsea</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MA</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213-2130</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North Dartmouth</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w w:val="96"/>
              </w:rPr>
              <w:t>North Dartmouth</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MA</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220-2200</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White Marsh Ground Leases</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222-2220</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Byron Station (White Marsh Other)</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223-2230</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Fairfield Inn (Hotel Ground Lease)</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224-2240</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Shoppes at Nottingham Sq II</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228-2280</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Shopes at Nottingham Sq I</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229-2290</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RPBT Ground Leases - Nottingham</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229-2291</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The Avenue - Parking</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230-2300</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Panera Bread - Nottingham</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White Marsh</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400-1019</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Bethesda Ave Shops W W 1-Arl East</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(residential) [4]</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Multfamily</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400-1020</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w w:val="93"/>
              </w:rPr>
              <w:t>Bethesda Ave Shops W W 1-Arl East (retail)</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400-1021</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Bethesda Ave Shops W W 2 [4]</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400-1022</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Bethesda Ave Offices W W 2 [4]</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Office</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400-1023</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Bethesda Ave Shops W W 3 [4]</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400-1024</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Bethesda Ave Shops W W 4 [4]</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w w:val="97"/>
              </w:rPr>
              <w:t>400-1025</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Bethesda Ave Offices W W 4 [4]</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Office</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w w:val="97"/>
              </w:rPr>
              <w:t>400-1026</w:t>
            </w: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Bethesda Ave Shops W W 5 [4]</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Bethesda</w:t>
            </w:r>
          </w:p>
        </w:tc>
        <w:tc>
          <w:tcPr>
            <w:tcW w:w="520" w:type="dxa"/>
            <w:vAlign w:val="bottom"/>
            <w:gridSpan w:val="3"/>
          </w:tcPr>
          <w:p>
            <w:pPr>
              <w:ind w:left="120"/>
              <w:spacing w:after="0"/>
              <w:rPr>
                <w:sz w:val="20"/>
                <w:szCs w:val="20"/>
                <w:color w:val="auto"/>
              </w:rPr>
            </w:pPr>
            <w:r>
              <w:rPr>
                <w:rFonts w:ascii="Arial" w:cs="Arial" w:eastAsia="Arial" w:hAnsi="Arial"/>
                <w:sz w:val="18"/>
                <w:szCs w:val="18"/>
                <w:color w:val="auto"/>
              </w:rPr>
              <w:t>MD</w:t>
            </w:r>
          </w:p>
        </w:tc>
        <w:tc>
          <w:tcPr>
            <w:tcW w:w="1160" w:type="dxa"/>
            <w:vAlign w:val="bottom"/>
          </w:tcPr>
          <w:p>
            <w:pPr>
              <w:spacing w:after="0"/>
              <w:rPr>
                <w:sz w:val="20"/>
                <w:szCs w:val="20"/>
                <w:color w:val="auto"/>
              </w:rPr>
            </w:pPr>
            <w:r>
              <w:rPr>
                <w:rFonts w:ascii="Arial" w:cs="Arial" w:eastAsia="Arial" w:hAnsi="Arial"/>
                <w:sz w:val="18"/>
                <w:szCs w:val="18"/>
                <w:color w:val="auto"/>
                <w:w w:val="98"/>
              </w:rPr>
              <w:t>Wholly Owned</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Retail</w:t>
            </w:r>
          </w:p>
        </w:tc>
        <w:tc>
          <w:tcPr>
            <w:tcW w:w="306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6.1(z)</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Unencumbered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22,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w:t>
            </w:r>
          </w:p>
        </w:tc>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Retail/Office/</w:t>
            </w:r>
          </w:p>
        </w:tc>
        <w:tc>
          <w:tcPr>
            <w:tcW w:w="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880" w:type="dxa"/>
            <w:vAlign w:val="bottom"/>
            <w:gridSpan w:val="2"/>
            <w:vMerge w:val="continue"/>
          </w:tcPr>
          <w:p>
            <w:pPr>
              <w:spacing w:after="0"/>
              <w:rPr>
                <w:sz w:val="11"/>
                <w:szCs w:val="11"/>
                <w:color w:val="auto"/>
              </w:rPr>
            </w:pPr>
          </w:p>
        </w:tc>
        <w:tc>
          <w:tcPr>
            <w:tcW w:w="3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Multifamily/</w:t>
            </w:r>
          </w:p>
        </w:tc>
        <w:tc>
          <w:tcPr>
            <w:tcW w:w="1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8"/>
              </w:rPr>
              <w:t>Number</w:t>
            </w:r>
          </w:p>
        </w:tc>
        <w:tc>
          <w:tcPr>
            <w:tcW w:w="340" w:type="dxa"/>
            <w:vAlign w:val="bottom"/>
          </w:tcPr>
          <w:p>
            <w:pPr>
              <w:spacing w:after="0"/>
              <w:rPr>
                <w:sz w:val="12"/>
                <w:szCs w:val="12"/>
                <w:color w:val="auto"/>
              </w:rPr>
            </w:pPr>
          </w:p>
        </w:tc>
        <w:tc>
          <w:tcPr>
            <w:tcW w:w="3400" w:type="dxa"/>
            <w:vAlign w:val="bottom"/>
          </w:tcPr>
          <w:p>
            <w:pPr>
              <w:ind w:left="1440"/>
              <w:spacing w:after="0" w:line="129" w:lineRule="exact"/>
              <w:rPr>
                <w:sz w:val="20"/>
                <w:szCs w:val="20"/>
                <w:color w:val="auto"/>
              </w:rPr>
            </w:pPr>
            <w:r>
              <w:rPr>
                <w:rFonts w:ascii="Arial" w:cs="Arial" w:eastAsia="Arial" w:hAnsi="Arial"/>
                <w:sz w:val="14"/>
                <w:szCs w:val="14"/>
                <w:b w:val="1"/>
                <w:bCs w:val="1"/>
                <w:color w:val="auto"/>
              </w:rPr>
              <w:t>Property</w:t>
            </w:r>
          </w:p>
        </w:tc>
        <w:tc>
          <w:tcPr>
            <w:tcW w:w="120" w:type="dxa"/>
            <w:vAlign w:val="bottom"/>
          </w:tcPr>
          <w:p>
            <w:pPr>
              <w:spacing w:after="0"/>
              <w:rPr>
                <w:sz w:val="12"/>
                <w:szCs w:val="12"/>
                <w:color w:val="auto"/>
              </w:rPr>
            </w:pPr>
          </w:p>
        </w:tc>
        <w:tc>
          <w:tcPr>
            <w:tcW w:w="1120" w:type="dxa"/>
            <w:vAlign w:val="bottom"/>
          </w:tcPr>
          <w:p>
            <w:pPr>
              <w:ind w:left="440"/>
              <w:spacing w:after="0" w:line="129" w:lineRule="exact"/>
              <w:rPr>
                <w:sz w:val="20"/>
                <w:szCs w:val="20"/>
                <w:color w:val="auto"/>
              </w:rPr>
            </w:pPr>
            <w:r>
              <w:rPr>
                <w:rFonts w:ascii="Arial" w:cs="Arial" w:eastAsia="Arial" w:hAnsi="Arial"/>
                <w:sz w:val="14"/>
                <w:szCs w:val="14"/>
                <w:b w:val="1"/>
                <w:bCs w:val="1"/>
                <w:color w:val="auto"/>
              </w:rPr>
              <w:t>City</w:t>
            </w:r>
          </w:p>
        </w:tc>
        <w:tc>
          <w:tcPr>
            <w:tcW w:w="100" w:type="dxa"/>
            <w:vAlign w:val="bottom"/>
          </w:tcPr>
          <w:p>
            <w:pPr>
              <w:spacing w:after="0"/>
              <w:rPr>
                <w:sz w:val="12"/>
                <w:szCs w:val="12"/>
                <w:color w:val="auto"/>
              </w:rPr>
            </w:pPr>
          </w:p>
        </w:tc>
        <w:tc>
          <w:tcPr>
            <w:tcW w:w="32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ST</w:t>
            </w:r>
          </w:p>
        </w:tc>
        <w:tc>
          <w:tcPr>
            <w:tcW w:w="100" w:type="dxa"/>
            <w:vAlign w:val="bottom"/>
          </w:tcPr>
          <w:p>
            <w:pPr>
              <w:spacing w:after="0"/>
              <w:rPr>
                <w:sz w:val="12"/>
                <w:szCs w:val="12"/>
                <w:color w:val="auto"/>
              </w:rPr>
            </w:pPr>
          </w:p>
        </w:tc>
        <w:tc>
          <w:tcPr>
            <w:tcW w:w="132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Property Type</w:t>
            </w:r>
          </w:p>
        </w:tc>
        <w:tc>
          <w:tcPr>
            <w:tcW w:w="10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Development [1]</w:t>
            </w:r>
          </w:p>
        </w:tc>
        <w:tc>
          <w:tcPr>
            <w:tcW w:w="120" w:type="dxa"/>
            <w:vAlign w:val="bottom"/>
          </w:tcPr>
          <w:p>
            <w:pPr>
              <w:spacing w:after="0"/>
              <w:rPr>
                <w:sz w:val="12"/>
                <w:szCs w:val="12"/>
                <w:color w:val="auto"/>
              </w:rPr>
            </w:pPr>
          </w:p>
        </w:tc>
        <w:tc>
          <w:tcPr>
            <w:tcW w:w="2860" w:type="dxa"/>
            <w:vAlign w:val="bottom"/>
          </w:tcPr>
          <w:p>
            <w:pPr>
              <w:ind w:left="600"/>
              <w:spacing w:after="0" w:line="129" w:lineRule="exact"/>
              <w:rPr>
                <w:sz w:val="20"/>
                <w:szCs w:val="20"/>
                <w:color w:val="auto"/>
              </w:rPr>
            </w:pPr>
            <w:r>
              <w:rPr>
                <w:rFonts w:ascii="Arial" w:cs="Arial" w:eastAsia="Arial" w:hAnsi="Arial"/>
                <w:sz w:val="14"/>
                <w:szCs w:val="14"/>
                <w:b w:val="1"/>
                <w:bCs w:val="1"/>
                <w:color w:val="auto"/>
              </w:rPr>
              <w:t>Eligible Property Exceptions</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280" w:type="dxa"/>
            <w:vAlign w:val="bottom"/>
            <w:gridSpan w:val="3"/>
          </w:tcPr>
          <w:p>
            <w:pPr>
              <w:spacing w:after="0"/>
              <w:rPr>
                <w:sz w:val="20"/>
                <w:szCs w:val="20"/>
                <w:color w:val="auto"/>
              </w:rPr>
            </w:pPr>
            <w:r>
              <w:rPr>
                <w:rFonts w:ascii="Arial" w:cs="Arial" w:eastAsia="Arial" w:hAnsi="Arial"/>
                <w:sz w:val="18"/>
                <w:szCs w:val="18"/>
                <w:color w:val="auto"/>
              </w:rPr>
              <w:t>400-1027  Bethesda Ave Offices W W 5 [4]</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Office</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400-1028  Bethesda Ave Shops II [4]</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Retail</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Leasehold for a small portion of the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property terminates 12/31/25 with</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obligation of FRIT, as tenant, to</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purchase the property on that date.</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400-1029  Bethesda Ave Shops III [4]</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Retail</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400-1030  Bethesda Ave Shops Ravengard [4]</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Retail</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400-1031  Bethesda Ave Shops Parking Lot [4]</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Retail</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400-1032  4900 Hampden Lane [4]</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Retail</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400-1033  Bethesda Ave. Office Ravengard [4]</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Office</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400-3031  Elm Street-Retail (Bethesda) [4]</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Retail</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400-3032</w:t>
            </w:r>
          </w:p>
        </w:tc>
        <w:tc>
          <w:tcPr>
            <w:tcW w:w="3400" w:type="dxa"/>
            <w:vAlign w:val="bottom"/>
          </w:tcPr>
          <w:p>
            <w:pPr>
              <w:spacing w:after="0"/>
              <w:rPr>
                <w:sz w:val="20"/>
                <w:szCs w:val="20"/>
                <w:color w:val="auto"/>
              </w:rPr>
            </w:pPr>
            <w:r>
              <w:rPr>
                <w:rFonts w:ascii="Arial" w:cs="Arial" w:eastAsia="Arial" w:hAnsi="Arial"/>
                <w:sz w:val="18"/>
                <w:szCs w:val="18"/>
                <w:color w:val="auto"/>
              </w:rPr>
              <w:t>Kilbane/Jaffe Parcels [4]</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Retail</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400-3033  Elm Street - Office (Bethesda) [4]</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Office</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400-3034</w:t>
            </w:r>
          </w:p>
        </w:tc>
        <w:tc>
          <w:tcPr>
            <w:tcW w:w="3400" w:type="dxa"/>
            <w:vAlign w:val="bottom"/>
          </w:tcPr>
          <w:p>
            <w:pPr>
              <w:spacing w:after="0"/>
              <w:rPr>
                <w:sz w:val="20"/>
                <w:szCs w:val="20"/>
                <w:color w:val="auto"/>
              </w:rPr>
            </w:pPr>
            <w:r>
              <w:rPr>
                <w:rFonts w:ascii="Arial" w:cs="Arial" w:eastAsia="Arial" w:hAnsi="Arial"/>
                <w:sz w:val="18"/>
                <w:szCs w:val="18"/>
                <w:color w:val="auto"/>
              </w:rPr>
              <w:t>Woodmont East-Retail [4]</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Retail</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400-3035</w:t>
            </w:r>
          </w:p>
        </w:tc>
        <w:tc>
          <w:tcPr>
            <w:tcW w:w="3400" w:type="dxa"/>
            <w:vAlign w:val="bottom"/>
          </w:tcPr>
          <w:p>
            <w:pPr>
              <w:spacing w:after="0"/>
              <w:rPr>
                <w:sz w:val="20"/>
                <w:szCs w:val="20"/>
                <w:color w:val="auto"/>
              </w:rPr>
            </w:pPr>
            <w:r>
              <w:rPr>
                <w:rFonts w:ascii="Arial" w:cs="Arial" w:eastAsia="Arial" w:hAnsi="Arial"/>
                <w:sz w:val="18"/>
                <w:szCs w:val="18"/>
                <w:color w:val="auto"/>
              </w:rPr>
              <w:t>Woodmont East - Offices [4]</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Bethesda</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Office</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400-1910</w:t>
            </w:r>
          </w:p>
        </w:tc>
        <w:tc>
          <w:tcPr>
            <w:tcW w:w="3400" w:type="dxa"/>
            <w:vAlign w:val="bottom"/>
          </w:tcPr>
          <w:p>
            <w:pPr>
              <w:spacing w:after="0"/>
              <w:rPr>
                <w:sz w:val="20"/>
                <w:szCs w:val="20"/>
                <w:color w:val="auto"/>
              </w:rPr>
            </w:pPr>
            <w:r>
              <w:rPr>
                <w:rFonts w:ascii="Arial" w:cs="Arial" w:eastAsia="Arial" w:hAnsi="Arial"/>
                <w:sz w:val="18"/>
                <w:szCs w:val="18"/>
                <w:color w:val="auto"/>
              </w:rPr>
              <w:t>Rockville Town Square</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Rockville</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MD</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Retail</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400-3101  205 Greenwich Ave (Saks)</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Greenwich</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CT</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Retail</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400-3400  Fresh Meadows (Kohls Center)</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Queens</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NY</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Retail</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400-3401  Fresh Meadows (Filene’s Ctr)</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Queens</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NY</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Retail</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400-3402  Fresh Meadows (73rd Ave Strip)</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Queens</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NY</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Retail</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400-3403  Fresh Meadows (69th Ave Strip)</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Queens</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NY</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Retail</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400-3500  150 Post Street (SF)</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w w:val="95"/>
              </w:rPr>
              <w:t>San Francisco</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Office</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400-3525  1344 3rd Street (Santa Monica)</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w w:val="99"/>
              </w:rPr>
              <w:t>Santa Monica</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Retail</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400-3600  Sam's Park &amp; Shop</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Washington</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DC</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Retail</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400-3601</w:t>
            </w:r>
          </w:p>
        </w:tc>
        <w:tc>
          <w:tcPr>
            <w:tcW w:w="3400" w:type="dxa"/>
            <w:vAlign w:val="bottom"/>
          </w:tcPr>
          <w:p>
            <w:pPr>
              <w:spacing w:after="0"/>
              <w:rPr>
                <w:sz w:val="20"/>
                <w:szCs w:val="20"/>
                <w:color w:val="auto"/>
              </w:rPr>
            </w:pPr>
            <w:r>
              <w:rPr>
                <w:rFonts w:ascii="Arial" w:cs="Arial" w:eastAsia="Arial" w:hAnsi="Arial"/>
                <w:sz w:val="18"/>
                <w:szCs w:val="18"/>
                <w:color w:val="auto"/>
              </w:rPr>
              <w:t>Village at Shirlington-Retail</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Arlington</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Retail</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400-3602</w:t>
            </w:r>
          </w:p>
        </w:tc>
        <w:tc>
          <w:tcPr>
            <w:tcW w:w="3400" w:type="dxa"/>
            <w:vAlign w:val="bottom"/>
          </w:tcPr>
          <w:p>
            <w:pPr>
              <w:spacing w:after="0"/>
              <w:rPr>
                <w:sz w:val="20"/>
                <w:szCs w:val="20"/>
                <w:color w:val="auto"/>
              </w:rPr>
            </w:pPr>
            <w:r>
              <w:rPr>
                <w:rFonts w:ascii="Arial" w:cs="Arial" w:eastAsia="Arial" w:hAnsi="Arial"/>
                <w:sz w:val="18"/>
                <w:szCs w:val="18"/>
                <w:color w:val="auto"/>
              </w:rPr>
              <w:t>Village at Shirlington-Office</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Arlington</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VA</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Office</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400-3604</w:t>
            </w:r>
          </w:p>
        </w:tc>
        <w:tc>
          <w:tcPr>
            <w:tcW w:w="3400" w:type="dxa"/>
            <w:vAlign w:val="bottom"/>
          </w:tcPr>
          <w:p>
            <w:pPr>
              <w:spacing w:after="0"/>
              <w:rPr>
                <w:sz w:val="20"/>
                <w:szCs w:val="20"/>
                <w:color w:val="auto"/>
              </w:rPr>
            </w:pPr>
            <w:r>
              <w:rPr>
                <w:rFonts w:ascii="Arial" w:cs="Arial" w:eastAsia="Arial" w:hAnsi="Arial"/>
                <w:sz w:val="18"/>
                <w:szCs w:val="18"/>
                <w:color w:val="auto"/>
              </w:rPr>
              <w:t>Friendship Center</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Washington</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DC</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Retail</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420-4300  14 N Fair Oaks (Pasadena)</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Pasadena</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Retail</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4280" w:type="dxa"/>
            <w:vAlign w:val="bottom"/>
            <w:gridSpan w:val="3"/>
          </w:tcPr>
          <w:p>
            <w:pPr>
              <w:spacing w:after="0"/>
              <w:rPr>
                <w:sz w:val="20"/>
                <w:szCs w:val="20"/>
                <w:color w:val="auto"/>
              </w:rPr>
            </w:pPr>
            <w:r>
              <w:rPr>
                <w:rFonts w:ascii="Arial" w:cs="Arial" w:eastAsia="Arial" w:hAnsi="Arial"/>
                <w:sz w:val="18"/>
                <w:szCs w:val="18"/>
                <w:color w:val="auto"/>
              </w:rPr>
              <w:t>420-4500  643-653 5th Ave (S D)</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San Diego</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rPr>
              <w:t>Wholly Owned</w:t>
            </w:r>
          </w:p>
        </w:tc>
        <w:tc>
          <w:tcPr>
            <w:tcW w:w="1080" w:type="dxa"/>
            <w:vAlign w:val="bottom"/>
          </w:tcPr>
          <w:p>
            <w:pPr>
              <w:spacing w:after="0"/>
              <w:rPr>
                <w:sz w:val="20"/>
                <w:szCs w:val="20"/>
                <w:color w:val="auto"/>
              </w:rPr>
            </w:pPr>
            <w:r>
              <w:rPr>
                <w:rFonts w:ascii="Arial" w:cs="Arial" w:eastAsia="Arial" w:hAnsi="Arial"/>
                <w:sz w:val="18"/>
                <w:szCs w:val="18"/>
                <w:color w:val="auto"/>
              </w:rPr>
              <w:t>Retail</w:t>
            </w:r>
          </w:p>
        </w:tc>
        <w:tc>
          <w:tcPr>
            <w:tcW w:w="2980" w:type="dxa"/>
            <w:vAlign w:val="bottom"/>
            <w:gridSpan w:val="2"/>
          </w:tcPr>
          <w:p>
            <w:pPr>
              <w:ind w:lef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6.1(z)</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Unencumbered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22,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w:t>
            </w:r>
          </w:p>
        </w:tc>
        <w:tc>
          <w:tcPr>
            <w:tcW w:w="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w w:val="98"/>
              </w:rPr>
              <w:t>Retail/Office/</w:t>
            </w:r>
          </w:p>
        </w:tc>
        <w:tc>
          <w:tcPr>
            <w:tcW w:w="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ind w:left="120"/>
              <w:spacing w:after="0" w:line="135" w:lineRule="exact"/>
              <w:rPr>
                <w:sz w:val="20"/>
                <w:szCs w:val="20"/>
                <w:color w:val="auto"/>
              </w:rPr>
            </w:pPr>
            <w:r>
              <w:rPr>
                <w:rFonts w:ascii="Arial" w:cs="Arial" w:eastAsia="Arial" w:hAnsi="Arial"/>
                <w:sz w:val="14"/>
                <w:szCs w:val="14"/>
                <w:b w:val="1"/>
                <w:bCs w:val="1"/>
                <w:color w:val="auto"/>
              </w:rPr>
              <w:t>Multifamily/</w:t>
            </w:r>
          </w:p>
        </w:tc>
        <w:tc>
          <w:tcPr>
            <w:tcW w:w="2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20" w:type="dxa"/>
            <w:vAlign w:val="bottom"/>
            <w:gridSpan w:val="2"/>
          </w:tcPr>
          <w:p>
            <w:pPr>
              <w:ind w:left="1160"/>
              <w:spacing w:after="0" w:line="129" w:lineRule="exact"/>
              <w:rPr>
                <w:sz w:val="20"/>
                <w:szCs w:val="20"/>
                <w:color w:val="auto"/>
              </w:rPr>
            </w:pPr>
            <w:r>
              <w:rPr>
                <w:rFonts w:ascii="Arial" w:cs="Arial" w:eastAsia="Arial" w:hAnsi="Arial"/>
                <w:sz w:val="14"/>
                <w:szCs w:val="14"/>
                <w:b w:val="1"/>
                <w:bCs w:val="1"/>
                <w:color w:val="auto"/>
              </w:rPr>
              <w:t>Property</w:t>
            </w:r>
          </w:p>
        </w:tc>
        <w:tc>
          <w:tcPr>
            <w:tcW w:w="1400" w:type="dxa"/>
            <w:vAlign w:val="bottom"/>
            <w:gridSpan w:val="2"/>
          </w:tcPr>
          <w:p>
            <w:pPr>
              <w:ind w:left="420"/>
              <w:spacing w:after="0" w:line="129" w:lineRule="exact"/>
              <w:rPr>
                <w:sz w:val="20"/>
                <w:szCs w:val="20"/>
                <w:color w:val="auto"/>
              </w:rPr>
            </w:pPr>
            <w:r>
              <w:rPr>
                <w:rFonts w:ascii="Arial" w:cs="Arial" w:eastAsia="Arial" w:hAnsi="Arial"/>
                <w:sz w:val="14"/>
                <w:szCs w:val="14"/>
                <w:b w:val="1"/>
                <w:bCs w:val="1"/>
                <w:color w:val="auto"/>
              </w:rPr>
              <w:t>City</w:t>
            </w:r>
          </w:p>
        </w:tc>
        <w:tc>
          <w:tcPr>
            <w:tcW w:w="5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ST</w:t>
            </w:r>
          </w:p>
        </w:tc>
        <w:tc>
          <w:tcPr>
            <w:tcW w:w="200" w:type="dxa"/>
            <w:vAlign w:val="bottom"/>
          </w:tcPr>
          <w:p>
            <w:pPr>
              <w:spacing w:after="0"/>
              <w:rPr>
                <w:sz w:val="12"/>
                <w:szCs w:val="12"/>
                <w:color w:val="auto"/>
              </w:rPr>
            </w:pPr>
          </w:p>
        </w:tc>
        <w:tc>
          <w:tcPr>
            <w:tcW w:w="140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Property Type</w:t>
            </w:r>
          </w:p>
        </w:tc>
        <w:tc>
          <w:tcPr>
            <w:tcW w:w="960" w:type="dxa"/>
            <w:vAlign w:val="bottom"/>
          </w:tcPr>
          <w:p>
            <w:pPr>
              <w:spacing w:after="0" w:line="129" w:lineRule="exact"/>
              <w:rPr>
                <w:sz w:val="20"/>
                <w:szCs w:val="20"/>
                <w:color w:val="auto"/>
              </w:rPr>
            </w:pPr>
            <w:r>
              <w:rPr>
                <w:rFonts w:ascii="Arial" w:cs="Arial" w:eastAsia="Arial" w:hAnsi="Arial"/>
                <w:sz w:val="14"/>
                <w:szCs w:val="14"/>
                <w:b w:val="1"/>
                <w:bCs w:val="1"/>
                <w:color w:val="auto"/>
                <w:w w:val="86"/>
              </w:rPr>
              <w:t>Development [1]</w:t>
            </w:r>
          </w:p>
        </w:tc>
        <w:tc>
          <w:tcPr>
            <w:tcW w:w="280" w:type="dxa"/>
            <w:vAlign w:val="bottom"/>
          </w:tcPr>
          <w:p>
            <w:pPr>
              <w:spacing w:after="0"/>
              <w:rPr>
                <w:sz w:val="12"/>
                <w:szCs w:val="12"/>
                <w:color w:val="auto"/>
              </w:rPr>
            </w:pPr>
          </w:p>
        </w:tc>
        <w:tc>
          <w:tcPr>
            <w:tcW w:w="2580" w:type="dxa"/>
            <w:vAlign w:val="bottom"/>
          </w:tcPr>
          <w:p>
            <w:pPr>
              <w:ind w:left="460"/>
              <w:spacing w:after="0" w:line="129" w:lineRule="exact"/>
              <w:rPr>
                <w:sz w:val="20"/>
                <w:szCs w:val="20"/>
                <w:color w:val="auto"/>
              </w:rPr>
            </w:pPr>
            <w:r>
              <w:rPr>
                <w:rFonts w:ascii="Arial" w:cs="Arial" w:eastAsia="Arial" w:hAnsi="Arial"/>
                <w:sz w:val="14"/>
                <w:szCs w:val="14"/>
                <w:b w:val="1"/>
                <w:bCs w:val="1"/>
                <w:color w:val="auto"/>
              </w:rPr>
              <w:t>Eligible Property Exceptions</w:t>
            </w:r>
          </w:p>
        </w:tc>
        <w:tc>
          <w:tcPr>
            <w:tcW w:w="0" w:type="dxa"/>
            <w:vAlign w:val="bottom"/>
          </w:tcPr>
          <w:p>
            <w:pPr>
              <w:spacing w:after="0"/>
              <w:rPr>
                <w:sz w:val="1"/>
                <w:szCs w:val="1"/>
                <w:color w:val="auto"/>
              </w:rPr>
            </w:pPr>
          </w:p>
        </w:tc>
      </w:tr>
      <w:tr>
        <w:trPr>
          <w:trHeight w:val="20"/>
        </w:trPr>
        <w:tc>
          <w:tcPr>
            <w:tcW w:w="960" w:type="dxa"/>
            <w:vAlign w:val="bottom"/>
            <w:gridSpan w:val="3"/>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80" w:type="dxa"/>
            <w:vAlign w:val="bottom"/>
            <w:gridSpan w:val="5"/>
          </w:tcPr>
          <w:p>
            <w:pPr>
              <w:spacing w:after="0"/>
              <w:rPr>
                <w:sz w:val="20"/>
                <w:szCs w:val="20"/>
                <w:color w:val="auto"/>
              </w:rPr>
            </w:pPr>
            <w:r>
              <w:rPr>
                <w:rFonts w:ascii="Arial" w:cs="Arial" w:eastAsia="Arial" w:hAnsi="Arial"/>
                <w:sz w:val="18"/>
                <w:szCs w:val="18"/>
                <w:color w:val="auto"/>
              </w:rPr>
              <w:t>420-4502   665 5th Ave (S D)</w:t>
            </w:r>
          </w:p>
        </w:tc>
        <w:tc>
          <w:tcPr>
            <w:tcW w:w="1400" w:type="dxa"/>
            <w:vAlign w:val="bottom"/>
            <w:gridSpan w:val="2"/>
          </w:tcPr>
          <w:p>
            <w:pPr>
              <w:spacing w:after="0"/>
              <w:rPr>
                <w:sz w:val="20"/>
                <w:szCs w:val="20"/>
                <w:color w:val="auto"/>
              </w:rPr>
            </w:pPr>
            <w:r>
              <w:rPr>
                <w:rFonts w:ascii="Arial" w:cs="Arial" w:eastAsia="Arial" w:hAnsi="Arial"/>
                <w:sz w:val="18"/>
                <w:szCs w:val="18"/>
                <w:color w:val="auto"/>
              </w:rPr>
              <w:t>San Diego</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CA</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420-4503   825-831 5th Ave (S D)</w:t>
            </w:r>
          </w:p>
        </w:tc>
        <w:tc>
          <w:tcPr>
            <w:tcW w:w="1400" w:type="dxa"/>
            <w:vAlign w:val="bottom"/>
            <w:gridSpan w:val="2"/>
          </w:tcPr>
          <w:p>
            <w:pPr>
              <w:spacing w:after="0"/>
              <w:rPr>
                <w:sz w:val="20"/>
                <w:szCs w:val="20"/>
                <w:color w:val="auto"/>
              </w:rPr>
            </w:pPr>
            <w:r>
              <w:rPr>
                <w:rFonts w:ascii="Arial" w:cs="Arial" w:eastAsia="Arial" w:hAnsi="Arial"/>
                <w:sz w:val="18"/>
                <w:szCs w:val="18"/>
                <w:color w:val="auto"/>
              </w:rPr>
              <w:t>San Diego</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CA</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420-4700   301 Arizona/1251-1253 3rd Street</w:t>
            </w:r>
          </w:p>
        </w:tc>
        <w:tc>
          <w:tcPr>
            <w:tcW w:w="1400" w:type="dxa"/>
            <w:vAlign w:val="bottom"/>
            <w:gridSpan w:val="2"/>
          </w:tcPr>
          <w:p>
            <w:pPr>
              <w:spacing w:after="0"/>
              <w:rPr>
                <w:sz w:val="20"/>
                <w:szCs w:val="20"/>
                <w:color w:val="auto"/>
              </w:rPr>
            </w:pPr>
            <w:r>
              <w:rPr>
                <w:rFonts w:ascii="Arial" w:cs="Arial" w:eastAsia="Arial" w:hAnsi="Arial"/>
                <w:sz w:val="18"/>
                <w:szCs w:val="18"/>
                <w:color w:val="auto"/>
              </w:rPr>
              <w:t>Santa Monica</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CA</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420-4702   1225 3rd Street (Santa Monica)</w:t>
            </w:r>
          </w:p>
        </w:tc>
        <w:tc>
          <w:tcPr>
            <w:tcW w:w="1400" w:type="dxa"/>
            <w:vAlign w:val="bottom"/>
            <w:gridSpan w:val="2"/>
          </w:tcPr>
          <w:p>
            <w:pPr>
              <w:spacing w:after="0"/>
              <w:rPr>
                <w:sz w:val="20"/>
                <w:szCs w:val="20"/>
                <w:color w:val="auto"/>
              </w:rPr>
            </w:pPr>
            <w:r>
              <w:rPr>
                <w:rFonts w:ascii="Arial" w:cs="Arial" w:eastAsia="Arial" w:hAnsi="Arial"/>
                <w:sz w:val="18"/>
                <w:szCs w:val="18"/>
                <w:color w:val="auto"/>
              </w:rPr>
              <w:t>Santa Monica</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CA</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420-4704   1337 3rd Street (Santa Monica)</w:t>
            </w:r>
          </w:p>
        </w:tc>
        <w:tc>
          <w:tcPr>
            <w:tcW w:w="1400" w:type="dxa"/>
            <w:vAlign w:val="bottom"/>
            <w:gridSpan w:val="2"/>
          </w:tcPr>
          <w:p>
            <w:pPr>
              <w:spacing w:after="0"/>
              <w:rPr>
                <w:sz w:val="20"/>
                <w:szCs w:val="20"/>
                <w:color w:val="auto"/>
              </w:rPr>
            </w:pPr>
            <w:r>
              <w:rPr>
                <w:rFonts w:ascii="Arial" w:cs="Arial" w:eastAsia="Arial" w:hAnsi="Arial"/>
                <w:sz w:val="18"/>
                <w:szCs w:val="18"/>
                <w:color w:val="auto"/>
              </w:rPr>
              <w:t>Santa Monica</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CA</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420-4705   1343-1349 3rd Street (Santa Monica)</w:t>
            </w:r>
          </w:p>
        </w:tc>
        <w:tc>
          <w:tcPr>
            <w:tcW w:w="1400" w:type="dxa"/>
            <w:vAlign w:val="bottom"/>
            <w:gridSpan w:val="2"/>
          </w:tcPr>
          <w:p>
            <w:pPr>
              <w:spacing w:after="0"/>
              <w:rPr>
                <w:sz w:val="20"/>
                <w:szCs w:val="20"/>
                <w:color w:val="auto"/>
              </w:rPr>
            </w:pPr>
            <w:r>
              <w:rPr>
                <w:rFonts w:ascii="Arial" w:cs="Arial" w:eastAsia="Arial" w:hAnsi="Arial"/>
                <w:sz w:val="18"/>
                <w:szCs w:val="18"/>
                <w:color w:val="auto"/>
              </w:rPr>
              <w:t>Santa Monica</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CA</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421-4701   1202 3rd Street (Santa Monica)</w:t>
            </w:r>
          </w:p>
        </w:tc>
        <w:tc>
          <w:tcPr>
            <w:tcW w:w="1400" w:type="dxa"/>
            <w:vAlign w:val="bottom"/>
            <w:gridSpan w:val="2"/>
          </w:tcPr>
          <w:p>
            <w:pPr>
              <w:spacing w:after="0"/>
              <w:rPr>
                <w:sz w:val="20"/>
                <w:szCs w:val="20"/>
                <w:color w:val="auto"/>
              </w:rPr>
            </w:pPr>
            <w:r>
              <w:rPr>
                <w:rFonts w:ascii="Arial" w:cs="Arial" w:eastAsia="Arial" w:hAnsi="Arial"/>
                <w:sz w:val="18"/>
                <w:szCs w:val="18"/>
                <w:color w:val="auto"/>
              </w:rPr>
              <w:t>Santa Monica</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CA</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422-4706   1222 3rd Street (Santa Monica)</w:t>
            </w:r>
          </w:p>
        </w:tc>
        <w:tc>
          <w:tcPr>
            <w:tcW w:w="1400" w:type="dxa"/>
            <w:vAlign w:val="bottom"/>
            <w:gridSpan w:val="2"/>
          </w:tcPr>
          <w:p>
            <w:pPr>
              <w:spacing w:after="0"/>
              <w:rPr>
                <w:sz w:val="20"/>
                <w:szCs w:val="20"/>
                <w:color w:val="auto"/>
              </w:rPr>
            </w:pPr>
            <w:r>
              <w:rPr>
                <w:rFonts w:ascii="Arial" w:cs="Arial" w:eastAsia="Arial" w:hAnsi="Arial"/>
                <w:sz w:val="18"/>
                <w:szCs w:val="18"/>
                <w:color w:val="auto"/>
              </w:rPr>
              <w:t>Santa Monica</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CA</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423-4200   1221-1227 Hermosa Ave (Hermosa)</w:t>
            </w:r>
          </w:p>
        </w:tc>
        <w:tc>
          <w:tcPr>
            <w:tcW w:w="1400" w:type="dxa"/>
            <w:vAlign w:val="bottom"/>
            <w:gridSpan w:val="2"/>
          </w:tcPr>
          <w:p>
            <w:pPr>
              <w:spacing w:after="0"/>
              <w:rPr>
                <w:sz w:val="20"/>
                <w:szCs w:val="20"/>
                <w:color w:val="auto"/>
              </w:rPr>
            </w:pPr>
            <w:r>
              <w:rPr>
                <w:rFonts w:ascii="Arial" w:cs="Arial" w:eastAsia="Arial" w:hAnsi="Arial"/>
                <w:sz w:val="18"/>
                <w:szCs w:val="18"/>
                <w:color w:val="auto"/>
              </w:rPr>
              <w:t>Hermosa Beach</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CA</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423-4707   1232-1240 3rd Street (Santa Monica)</w:t>
            </w:r>
          </w:p>
        </w:tc>
        <w:tc>
          <w:tcPr>
            <w:tcW w:w="1400" w:type="dxa"/>
            <w:vAlign w:val="bottom"/>
            <w:gridSpan w:val="2"/>
          </w:tcPr>
          <w:p>
            <w:pPr>
              <w:spacing w:after="0"/>
              <w:rPr>
                <w:sz w:val="20"/>
                <w:szCs w:val="20"/>
                <w:color w:val="auto"/>
              </w:rPr>
            </w:pPr>
            <w:r>
              <w:rPr>
                <w:rFonts w:ascii="Arial" w:cs="Arial" w:eastAsia="Arial" w:hAnsi="Arial"/>
                <w:sz w:val="18"/>
                <w:szCs w:val="18"/>
                <w:color w:val="auto"/>
              </w:rPr>
              <w:t>Santa Monica</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CA</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424-4301   140-168 W Colorado (Tanner Mkt)</w:t>
            </w:r>
          </w:p>
        </w:tc>
        <w:tc>
          <w:tcPr>
            <w:tcW w:w="1400" w:type="dxa"/>
            <w:vAlign w:val="bottom"/>
            <w:gridSpan w:val="2"/>
          </w:tcPr>
          <w:p>
            <w:pPr>
              <w:spacing w:after="0"/>
              <w:rPr>
                <w:sz w:val="20"/>
                <w:szCs w:val="20"/>
                <w:color w:val="auto"/>
              </w:rPr>
            </w:pPr>
            <w:r>
              <w:rPr>
                <w:rFonts w:ascii="Arial" w:cs="Arial" w:eastAsia="Arial" w:hAnsi="Arial"/>
                <w:sz w:val="18"/>
                <w:szCs w:val="18"/>
                <w:color w:val="auto"/>
              </w:rPr>
              <w:t>Pasadena</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CA</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w w:val="96"/>
              </w:rPr>
              <w:t>Ground lease expires 10/31/2016</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(including option) and parking</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w w:val="87"/>
              </w:rPr>
              <w:t>ground lease expires 12/15/2014 (no</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option).</w:t>
            </w:r>
          </w:p>
        </w:tc>
        <w:tc>
          <w:tcPr>
            <w:tcW w:w="0" w:type="dxa"/>
            <w:vAlign w:val="bottom"/>
          </w:tcPr>
          <w:p>
            <w:pPr>
              <w:spacing w:after="0"/>
              <w:rPr>
                <w:sz w:val="1"/>
                <w:szCs w:val="1"/>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425-4225</w:t>
            </w:r>
          </w:p>
        </w:tc>
        <w:tc>
          <w:tcPr>
            <w:tcW w:w="3260" w:type="dxa"/>
            <w:vAlign w:val="bottom"/>
            <w:gridSpan w:val="3"/>
          </w:tcPr>
          <w:p>
            <w:pPr>
              <w:ind w:left="140"/>
              <w:spacing w:after="0"/>
              <w:rPr>
                <w:sz w:val="20"/>
                <w:szCs w:val="20"/>
                <w:color w:val="auto"/>
              </w:rPr>
            </w:pPr>
            <w:r>
              <w:rPr>
                <w:rFonts w:ascii="Arial" w:cs="Arial" w:eastAsia="Arial" w:hAnsi="Arial"/>
                <w:sz w:val="18"/>
                <w:szCs w:val="18"/>
                <w:color w:val="auto"/>
              </w:rPr>
              <w:t>Galaxy Bldg - Hollywood</w:t>
            </w:r>
          </w:p>
        </w:tc>
        <w:tc>
          <w:tcPr>
            <w:tcW w:w="1400" w:type="dxa"/>
            <w:vAlign w:val="bottom"/>
            <w:gridSpan w:val="2"/>
          </w:tcPr>
          <w:p>
            <w:pPr>
              <w:spacing w:after="0"/>
              <w:rPr>
                <w:sz w:val="20"/>
                <w:szCs w:val="20"/>
                <w:color w:val="auto"/>
              </w:rPr>
            </w:pPr>
            <w:r>
              <w:rPr>
                <w:rFonts w:ascii="Arial" w:cs="Arial" w:eastAsia="Arial" w:hAnsi="Arial"/>
                <w:sz w:val="18"/>
                <w:szCs w:val="18"/>
                <w:color w:val="auto"/>
              </w:rPr>
              <w:t>Hollywood</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CA</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Non-Controlled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425-4226   7001 Hollywood Blvd (Peterson)</w:t>
            </w:r>
          </w:p>
        </w:tc>
        <w:tc>
          <w:tcPr>
            <w:tcW w:w="1400" w:type="dxa"/>
            <w:vAlign w:val="bottom"/>
            <w:gridSpan w:val="2"/>
          </w:tcPr>
          <w:p>
            <w:pPr>
              <w:spacing w:after="0"/>
              <w:rPr>
                <w:sz w:val="20"/>
                <w:szCs w:val="20"/>
                <w:color w:val="auto"/>
              </w:rPr>
            </w:pPr>
            <w:r>
              <w:rPr>
                <w:rFonts w:ascii="Arial" w:cs="Arial" w:eastAsia="Arial" w:hAnsi="Arial"/>
                <w:sz w:val="18"/>
                <w:szCs w:val="18"/>
                <w:color w:val="auto"/>
              </w:rPr>
              <w:t>Hollywood</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CA</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Non-Controlled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428-4708</w:t>
            </w:r>
          </w:p>
        </w:tc>
        <w:tc>
          <w:tcPr>
            <w:tcW w:w="3260" w:type="dxa"/>
            <w:vAlign w:val="bottom"/>
            <w:gridSpan w:val="3"/>
          </w:tcPr>
          <w:p>
            <w:pPr>
              <w:ind w:left="140"/>
              <w:spacing w:after="0"/>
              <w:rPr>
                <w:sz w:val="20"/>
                <w:szCs w:val="20"/>
                <w:color w:val="auto"/>
              </w:rPr>
            </w:pPr>
            <w:r>
              <w:rPr>
                <w:rFonts w:ascii="Arial" w:cs="Arial" w:eastAsia="Arial" w:hAnsi="Arial"/>
                <w:sz w:val="18"/>
                <w:szCs w:val="18"/>
                <w:color w:val="auto"/>
              </w:rPr>
              <w:t>214 Wilshire (SM)</w:t>
            </w:r>
          </w:p>
        </w:tc>
        <w:tc>
          <w:tcPr>
            <w:tcW w:w="1400" w:type="dxa"/>
            <w:vAlign w:val="bottom"/>
            <w:gridSpan w:val="2"/>
          </w:tcPr>
          <w:p>
            <w:pPr>
              <w:spacing w:after="0"/>
              <w:rPr>
                <w:sz w:val="20"/>
                <w:szCs w:val="20"/>
                <w:color w:val="auto"/>
              </w:rPr>
            </w:pPr>
            <w:r>
              <w:rPr>
                <w:rFonts w:ascii="Arial" w:cs="Arial" w:eastAsia="Arial" w:hAnsi="Arial"/>
                <w:sz w:val="18"/>
                <w:szCs w:val="18"/>
                <w:color w:val="auto"/>
              </w:rPr>
              <w:t>Santa Monica</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CA</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440-5002   108-22 Queens Blvd (Midway Th)</w:t>
            </w:r>
          </w:p>
        </w:tc>
        <w:tc>
          <w:tcPr>
            <w:tcW w:w="1400" w:type="dxa"/>
            <w:vAlign w:val="bottom"/>
            <w:gridSpan w:val="2"/>
          </w:tcPr>
          <w:p>
            <w:pPr>
              <w:spacing w:after="0"/>
              <w:rPr>
                <w:sz w:val="20"/>
                <w:szCs w:val="20"/>
                <w:color w:val="auto"/>
              </w:rPr>
            </w:pPr>
            <w:r>
              <w:rPr>
                <w:rFonts w:ascii="Arial" w:cs="Arial" w:eastAsia="Arial" w:hAnsi="Arial"/>
                <w:sz w:val="18"/>
                <w:szCs w:val="18"/>
                <w:color w:val="auto"/>
              </w:rPr>
              <w:t>Forest Hills</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NY</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450-5500   Old Town Center (Los Gatos)</w:t>
            </w:r>
          </w:p>
        </w:tc>
        <w:tc>
          <w:tcPr>
            <w:tcW w:w="1400" w:type="dxa"/>
            <w:vAlign w:val="bottom"/>
            <w:gridSpan w:val="2"/>
          </w:tcPr>
          <w:p>
            <w:pPr>
              <w:spacing w:after="0"/>
              <w:rPr>
                <w:sz w:val="20"/>
                <w:szCs w:val="20"/>
                <w:color w:val="auto"/>
              </w:rPr>
            </w:pPr>
            <w:r>
              <w:rPr>
                <w:rFonts w:ascii="Arial" w:cs="Arial" w:eastAsia="Arial" w:hAnsi="Arial"/>
                <w:sz w:val="18"/>
                <w:szCs w:val="18"/>
                <w:color w:val="auto"/>
              </w:rPr>
              <w:t>Los Gatos</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CA</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451-5601   301-303 E Houston St (Vogue)</w:t>
            </w:r>
          </w:p>
        </w:tc>
        <w:tc>
          <w:tcPr>
            <w:tcW w:w="1400" w:type="dxa"/>
            <w:vAlign w:val="bottom"/>
            <w:gridSpan w:val="2"/>
          </w:tcPr>
          <w:p>
            <w:pPr>
              <w:spacing w:after="0"/>
              <w:rPr>
                <w:sz w:val="20"/>
                <w:szCs w:val="20"/>
                <w:color w:val="auto"/>
              </w:rPr>
            </w:pPr>
            <w:r>
              <w:rPr>
                <w:rFonts w:ascii="Arial" w:cs="Arial" w:eastAsia="Arial" w:hAnsi="Arial"/>
                <w:sz w:val="18"/>
                <w:szCs w:val="18"/>
                <w:color w:val="auto"/>
              </w:rPr>
              <w:t>San Antonio</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TX</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451-5602   225-233 E Houston St (Schaum)</w:t>
            </w:r>
          </w:p>
        </w:tc>
        <w:tc>
          <w:tcPr>
            <w:tcW w:w="1400" w:type="dxa"/>
            <w:vAlign w:val="bottom"/>
            <w:gridSpan w:val="2"/>
          </w:tcPr>
          <w:p>
            <w:pPr>
              <w:spacing w:after="0"/>
              <w:rPr>
                <w:sz w:val="20"/>
                <w:szCs w:val="20"/>
                <w:color w:val="auto"/>
              </w:rPr>
            </w:pPr>
            <w:r>
              <w:rPr>
                <w:rFonts w:ascii="Arial" w:cs="Arial" w:eastAsia="Arial" w:hAnsi="Arial"/>
                <w:sz w:val="18"/>
                <w:szCs w:val="18"/>
                <w:color w:val="auto"/>
              </w:rPr>
              <w:t>San Antonio</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TX</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451-5603   St. Mary’s &amp; E. Houston (W Hotel)</w:t>
            </w:r>
          </w:p>
        </w:tc>
        <w:tc>
          <w:tcPr>
            <w:tcW w:w="1400" w:type="dxa"/>
            <w:vAlign w:val="bottom"/>
            <w:gridSpan w:val="2"/>
          </w:tcPr>
          <w:p>
            <w:pPr>
              <w:spacing w:after="0"/>
              <w:rPr>
                <w:sz w:val="20"/>
                <w:szCs w:val="20"/>
                <w:color w:val="auto"/>
              </w:rPr>
            </w:pPr>
            <w:r>
              <w:rPr>
                <w:rFonts w:ascii="Arial" w:cs="Arial" w:eastAsia="Arial" w:hAnsi="Arial"/>
                <w:sz w:val="18"/>
                <w:szCs w:val="18"/>
                <w:color w:val="auto"/>
              </w:rPr>
              <w:t>San Antonio</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TX</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451-5606   111 Jefferson St (Pkg Lot)</w:t>
            </w:r>
          </w:p>
        </w:tc>
        <w:tc>
          <w:tcPr>
            <w:tcW w:w="1400" w:type="dxa"/>
            <w:vAlign w:val="bottom"/>
            <w:gridSpan w:val="2"/>
          </w:tcPr>
          <w:p>
            <w:pPr>
              <w:spacing w:after="0"/>
              <w:rPr>
                <w:sz w:val="20"/>
                <w:szCs w:val="20"/>
                <w:color w:val="auto"/>
              </w:rPr>
            </w:pPr>
            <w:r>
              <w:rPr>
                <w:rFonts w:ascii="Arial" w:cs="Arial" w:eastAsia="Arial" w:hAnsi="Arial"/>
                <w:sz w:val="18"/>
                <w:szCs w:val="18"/>
                <w:color w:val="auto"/>
              </w:rPr>
              <w:t>San Antonio</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TX</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451-5607   300-302 E Houston St (Walgreen)</w:t>
            </w:r>
          </w:p>
        </w:tc>
        <w:tc>
          <w:tcPr>
            <w:tcW w:w="1400" w:type="dxa"/>
            <w:vAlign w:val="bottom"/>
            <w:gridSpan w:val="2"/>
          </w:tcPr>
          <w:p>
            <w:pPr>
              <w:spacing w:after="0"/>
              <w:rPr>
                <w:sz w:val="20"/>
                <w:szCs w:val="20"/>
                <w:color w:val="auto"/>
              </w:rPr>
            </w:pPr>
            <w:r>
              <w:rPr>
                <w:rFonts w:ascii="Arial" w:cs="Arial" w:eastAsia="Arial" w:hAnsi="Arial"/>
                <w:sz w:val="18"/>
                <w:szCs w:val="18"/>
                <w:color w:val="auto"/>
              </w:rPr>
              <w:t>San Antonio</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TX</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451-5608   221-223 E Houston St (Court Bl)</w:t>
            </w:r>
          </w:p>
        </w:tc>
        <w:tc>
          <w:tcPr>
            <w:tcW w:w="1400" w:type="dxa"/>
            <w:vAlign w:val="bottom"/>
            <w:gridSpan w:val="2"/>
          </w:tcPr>
          <w:p>
            <w:pPr>
              <w:spacing w:after="0"/>
              <w:rPr>
                <w:sz w:val="20"/>
                <w:szCs w:val="20"/>
                <w:color w:val="auto"/>
              </w:rPr>
            </w:pPr>
            <w:r>
              <w:rPr>
                <w:rFonts w:ascii="Arial" w:cs="Arial" w:eastAsia="Arial" w:hAnsi="Arial"/>
                <w:sz w:val="18"/>
                <w:szCs w:val="18"/>
                <w:color w:val="auto"/>
              </w:rPr>
              <w:t>San Antonio</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TX</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451-5609   219 E Houston St (Carl)</w:t>
            </w:r>
          </w:p>
        </w:tc>
        <w:tc>
          <w:tcPr>
            <w:tcW w:w="1400" w:type="dxa"/>
            <w:vAlign w:val="bottom"/>
            <w:gridSpan w:val="2"/>
          </w:tcPr>
          <w:p>
            <w:pPr>
              <w:spacing w:after="0"/>
              <w:rPr>
                <w:sz w:val="20"/>
                <w:szCs w:val="20"/>
                <w:color w:val="auto"/>
              </w:rPr>
            </w:pPr>
            <w:r>
              <w:rPr>
                <w:rFonts w:ascii="Arial" w:cs="Arial" w:eastAsia="Arial" w:hAnsi="Arial"/>
                <w:sz w:val="18"/>
                <w:szCs w:val="18"/>
                <w:color w:val="auto"/>
              </w:rPr>
              <w:t>San Antonio</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TX</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451-5610   311-315 E Houston St (Kress)</w:t>
            </w:r>
          </w:p>
        </w:tc>
        <w:tc>
          <w:tcPr>
            <w:tcW w:w="1400" w:type="dxa"/>
            <w:vAlign w:val="bottom"/>
            <w:gridSpan w:val="2"/>
          </w:tcPr>
          <w:p>
            <w:pPr>
              <w:spacing w:after="0"/>
              <w:rPr>
                <w:sz w:val="20"/>
                <w:szCs w:val="20"/>
                <w:color w:val="auto"/>
              </w:rPr>
            </w:pPr>
            <w:r>
              <w:rPr>
                <w:rFonts w:ascii="Arial" w:cs="Arial" w:eastAsia="Arial" w:hAnsi="Arial"/>
                <w:sz w:val="18"/>
                <w:szCs w:val="18"/>
                <w:color w:val="auto"/>
              </w:rPr>
              <w:t>San Antonio</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TX</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080" w:type="dxa"/>
            <w:vAlign w:val="bottom"/>
            <w:gridSpan w:val="5"/>
          </w:tcPr>
          <w:p>
            <w:pPr>
              <w:spacing w:after="0"/>
              <w:rPr>
                <w:sz w:val="20"/>
                <w:szCs w:val="20"/>
                <w:color w:val="auto"/>
              </w:rPr>
            </w:pPr>
            <w:r>
              <w:rPr>
                <w:rFonts w:ascii="Arial" w:cs="Arial" w:eastAsia="Arial" w:hAnsi="Arial"/>
                <w:sz w:val="18"/>
                <w:szCs w:val="18"/>
                <w:color w:val="auto"/>
              </w:rPr>
              <w:t>451-5611   306-308 E Houston St (Stuart)</w:t>
            </w:r>
          </w:p>
        </w:tc>
        <w:tc>
          <w:tcPr>
            <w:tcW w:w="1400" w:type="dxa"/>
            <w:vAlign w:val="bottom"/>
            <w:gridSpan w:val="2"/>
          </w:tcPr>
          <w:p>
            <w:pPr>
              <w:spacing w:after="0"/>
              <w:rPr>
                <w:sz w:val="20"/>
                <w:szCs w:val="20"/>
                <w:color w:val="auto"/>
              </w:rPr>
            </w:pPr>
            <w:r>
              <w:rPr>
                <w:rFonts w:ascii="Arial" w:cs="Arial" w:eastAsia="Arial" w:hAnsi="Arial"/>
                <w:sz w:val="18"/>
                <w:szCs w:val="18"/>
                <w:color w:val="auto"/>
              </w:rPr>
              <w:t>San Antonio</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TX</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820" w:type="dxa"/>
            <w:vAlign w:val="bottom"/>
            <w:gridSpan w:val="2"/>
          </w:tcPr>
          <w:p>
            <w:pPr>
              <w:spacing w:after="0"/>
              <w:rPr>
                <w:sz w:val="20"/>
                <w:szCs w:val="20"/>
                <w:color w:val="auto"/>
              </w:rPr>
            </w:pPr>
            <w:r>
              <w:rPr>
                <w:rFonts w:ascii="Arial" w:cs="Arial" w:eastAsia="Arial" w:hAnsi="Arial"/>
                <w:sz w:val="18"/>
                <w:szCs w:val="18"/>
                <w:color w:val="auto"/>
              </w:rPr>
              <w:t>490-1085</w:t>
            </w:r>
          </w:p>
        </w:tc>
        <w:tc>
          <w:tcPr>
            <w:tcW w:w="3260" w:type="dxa"/>
            <w:vAlign w:val="bottom"/>
            <w:gridSpan w:val="3"/>
          </w:tcPr>
          <w:p>
            <w:pPr>
              <w:ind w:left="140"/>
              <w:spacing w:after="0"/>
              <w:rPr>
                <w:sz w:val="20"/>
                <w:szCs w:val="20"/>
                <w:color w:val="auto"/>
              </w:rPr>
            </w:pPr>
            <w:r>
              <w:rPr>
                <w:rFonts w:ascii="Arial" w:cs="Arial" w:eastAsia="Arial" w:hAnsi="Arial"/>
                <w:sz w:val="18"/>
                <w:szCs w:val="18"/>
                <w:color w:val="auto"/>
              </w:rPr>
              <w:t>Courthouse Center</w:t>
            </w:r>
          </w:p>
        </w:tc>
        <w:tc>
          <w:tcPr>
            <w:tcW w:w="1400" w:type="dxa"/>
            <w:vAlign w:val="bottom"/>
            <w:gridSpan w:val="2"/>
          </w:tcPr>
          <w:p>
            <w:pPr>
              <w:spacing w:after="0"/>
              <w:rPr>
                <w:sz w:val="20"/>
                <w:szCs w:val="20"/>
                <w:color w:val="auto"/>
              </w:rPr>
            </w:pPr>
            <w:r>
              <w:rPr>
                <w:rFonts w:ascii="Arial" w:cs="Arial" w:eastAsia="Arial" w:hAnsi="Arial"/>
                <w:sz w:val="18"/>
                <w:szCs w:val="18"/>
                <w:color w:val="auto"/>
              </w:rPr>
              <w:t>Rockville</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MD</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Controlled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820" w:type="dxa"/>
            <w:vAlign w:val="bottom"/>
            <w:gridSpan w:val="2"/>
          </w:tcPr>
          <w:p>
            <w:pPr>
              <w:spacing w:after="0"/>
              <w:rPr>
                <w:sz w:val="20"/>
                <w:szCs w:val="20"/>
                <w:color w:val="auto"/>
              </w:rPr>
            </w:pPr>
            <w:r>
              <w:rPr>
                <w:rFonts w:ascii="Arial" w:cs="Arial" w:eastAsia="Arial" w:hAnsi="Arial"/>
                <w:sz w:val="18"/>
                <w:szCs w:val="18"/>
                <w:color w:val="auto"/>
              </w:rPr>
              <w:t>490-1400</w:t>
            </w:r>
          </w:p>
        </w:tc>
        <w:tc>
          <w:tcPr>
            <w:tcW w:w="3260" w:type="dxa"/>
            <w:vAlign w:val="bottom"/>
            <w:gridSpan w:val="3"/>
          </w:tcPr>
          <w:p>
            <w:pPr>
              <w:ind w:left="140"/>
              <w:spacing w:after="0"/>
              <w:rPr>
                <w:sz w:val="20"/>
                <w:szCs w:val="20"/>
                <w:color w:val="auto"/>
              </w:rPr>
            </w:pPr>
            <w:r>
              <w:rPr>
                <w:rFonts w:ascii="Arial" w:cs="Arial" w:eastAsia="Arial" w:hAnsi="Arial"/>
                <w:sz w:val="18"/>
                <w:szCs w:val="18"/>
                <w:color w:val="auto"/>
              </w:rPr>
              <w:t>Kings Court</w:t>
            </w:r>
          </w:p>
        </w:tc>
        <w:tc>
          <w:tcPr>
            <w:tcW w:w="1400" w:type="dxa"/>
            <w:vAlign w:val="bottom"/>
            <w:gridSpan w:val="2"/>
          </w:tcPr>
          <w:p>
            <w:pPr>
              <w:spacing w:after="0"/>
              <w:rPr>
                <w:sz w:val="20"/>
                <w:szCs w:val="20"/>
                <w:color w:val="auto"/>
              </w:rPr>
            </w:pPr>
            <w:r>
              <w:rPr>
                <w:rFonts w:ascii="Arial" w:cs="Arial" w:eastAsia="Arial" w:hAnsi="Arial"/>
                <w:sz w:val="18"/>
                <w:szCs w:val="18"/>
                <w:color w:val="auto"/>
              </w:rPr>
              <w:t>Los Gatos</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CA</w:t>
            </w: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Controlled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860" w:type="dxa"/>
            <w:vAlign w:val="bottom"/>
            <w:gridSpan w:val="2"/>
          </w:tcPr>
          <w:p>
            <w:pPr>
              <w:ind w:left="280"/>
              <w:spacing w:after="0"/>
              <w:rPr>
                <w:sz w:val="20"/>
                <w:szCs w:val="20"/>
                <w:color w:val="auto"/>
              </w:rPr>
            </w:pPr>
            <w:r>
              <w:rPr>
                <w:rFonts w:ascii="Arial" w:cs="Arial" w:eastAsia="Arial" w:hAnsi="Arial"/>
                <w:sz w:val="18"/>
                <w:szCs w:val="18"/>
                <w:color w:val="auto"/>
                <w:w w:val="86"/>
              </w:rPr>
              <w:t>Owned pursuant to ground lease that</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6.1(z)</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Unencumbered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22,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w w:val="98"/>
              </w:rPr>
              <w:t>Retail/Office/</w:t>
            </w:r>
          </w:p>
        </w:tc>
        <w:tc>
          <w:tcPr>
            <w:tcW w:w="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ind w:left="120"/>
              <w:spacing w:after="0" w:line="135" w:lineRule="exact"/>
              <w:rPr>
                <w:sz w:val="20"/>
                <w:szCs w:val="20"/>
                <w:color w:val="auto"/>
              </w:rPr>
            </w:pPr>
            <w:r>
              <w:rPr>
                <w:rFonts w:ascii="Arial" w:cs="Arial" w:eastAsia="Arial" w:hAnsi="Arial"/>
                <w:sz w:val="14"/>
                <w:szCs w:val="14"/>
                <w:b w:val="1"/>
                <w:bCs w:val="1"/>
                <w:color w:val="auto"/>
              </w:rPr>
              <w:t>Multifamily/</w:t>
            </w:r>
          </w:p>
        </w:tc>
        <w:tc>
          <w:tcPr>
            <w:tcW w:w="2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3240" w:type="dxa"/>
            <w:vAlign w:val="bottom"/>
            <w:gridSpan w:val="2"/>
          </w:tcPr>
          <w:p>
            <w:pPr>
              <w:ind w:left="1260"/>
              <w:spacing w:after="0" w:line="129" w:lineRule="exact"/>
              <w:rPr>
                <w:sz w:val="20"/>
                <w:szCs w:val="20"/>
                <w:color w:val="auto"/>
              </w:rPr>
            </w:pPr>
            <w:r>
              <w:rPr>
                <w:rFonts w:ascii="Arial" w:cs="Arial" w:eastAsia="Arial" w:hAnsi="Arial"/>
                <w:sz w:val="14"/>
                <w:szCs w:val="14"/>
                <w:b w:val="1"/>
                <w:bCs w:val="1"/>
                <w:color w:val="auto"/>
              </w:rPr>
              <w:t>Property</w:t>
            </w:r>
          </w:p>
        </w:tc>
        <w:tc>
          <w:tcPr>
            <w:tcW w:w="1160" w:type="dxa"/>
            <w:vAlign w:val="bottom"/>
          </w:tcPr>
          <w:p>
            <w:pPr>
              <w:ind w:left="460"/>
              <w:spacing w:after="0" w:line="129" w:lineRule="exact"/>
              <w:rPr>
                <w:sz w:val="20"/>
                <w:szCs w:val="20"/>
                <w:color w:val="auto"/>
              </w:rPr>
            </w:pPr>
            <w:r>
              <w:rPr>
                <w:rFonts w:ascii="Arial" w:cs="Arial" w:eastAsia="Arial" w:hAnsi="Arial"/>
                <w:sz w:val="14"/>
                <w:szCs w:val="14"/>
                <w:b w:val="1"/>
                <w:bCs w:val="1"/>
                <w:color w:val="auto"/>
              </w:rPr>
              <w:t>City</w:t>
            </w:r>
          </w:p>
        </w:tc>
        <w:tc>
          <w:tcPr>
            <w:tcW w:w="220" w:type="dxa"/>
            <w:vAlign w:val="bottom"/>
          </w:tcPr>
          <w:p>
            <w:pPr>
              <w:spacing w:after="0"/>
              <w:rPr>
                <w:sz w:val="12"/>
                <w:szCs w:val="12"/>
                <w:color w:val="auto"/>
              </w:rPr>
            </w:pPr>
          </w:p>
        </w:tc>
        <w:tc>
          <w:tcPr>
            <w:tcW w:w="50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ST</w:t>
            </w:r>
          </w:p>
        </w:tc>
        <w:tc>
          <w:tcPr>
            <w:tcW w:w="1080" w:type="dxa"/>
            <w:vAlign w:val="bottom"/>
          </w:tcPr>
          <w:p>
            <w:pPr>
              <w:ind w:left="120"/>
              <w:spacing w:after="0" w:line="129" w:lineRule="exact"/>
              <w:rPr>
                <w:sz w:val="20"/>
                <w:szCs w:val="20"/>
                <w:color w:val="auto"/>
              </w:rPr>
            </w:pPr>
            <w:r>
              <w:rPr>
                <w:rFonts w:ascii="Arial" w:cs="Arial" w:eastAsia="Arial" w:hAnsi="Arial"/>
                <w:sz w:val="14"/>
                <w:szCs w:val="14"/>
                <w:b w:val="1"/>
                <w:bCs w:val="1"/>
                <w:color w:val="auto"/>
                <w:w w:val="99"/>
              </w:rPr>
              <w:t>Property Type</w:t>
            </w:r>
          </w:p>
        </w:tc>
        <w:tc>
          <w:tcPr>
            <w:tcW w:w="220" w:type="dxa"/>
            <w:vAlign w:val="bottom"/>
          </w:tcPr>
          <w:p>
            <w:pPr>
              <w:spacing w:after="0"/>
              <w:rPr>
                <w:sz w:val="12"/>
                <w:szCs w:val="12"/>
                <w:color w:val="auto"/>
              </w:rPr>
            </w:pPr>
          </w:p>
        </w:tc>
        <w:tc>
          <w:tcPr>
            <w:tcW w:w="960" w:type="dxa"/>
            <w:vAlign w:val="bottom"/>
          </w:tcPr>
          <w:p>
            <w:pPr>
              <w:spacing w:after="0" w:line="129" w:lineRule="exact"/>
              <w:rPr>
                <w:sz w:val="20"/>
                <w:szCs w:val="20"/>
                <w:color w:val="auto"/>
              </w:rPr>
            </w:pPr>
            <w:r>
              <w:rPr>
                <w:rFonts w:ascii="Arial" w:cs="Arial" w:eastAsia="Arial" w:hAnsi="Arial"/>
                <w:sz w:val="14"/>
                <w:szCs w:val="14"/>
                <w:b w:val="1"/>
                <w:bCs w:val="1"/>
                <w:color w:val="auto"/>
                <w:w w:val="86"/>
              </w:rPr>
              <w:t>Development [1]</w:t>
            </w:r>
          </w:p>
        </w:tc>
        <w:tc>
          <w:tcPr>
            <w:tcW w:w="220" w:type="dxa"/>
            <w:vAlign w:val="bottom"/>
          </w:tcPr>
          <w:p>
            <w:pPr>
              <w:spacing w:after="0"/>
              <w:rPr>
                <w:sz w:val="12"/>
                <w:szCs w:val="12"/>
                <w:color w:val="auto"/>
              </w:rPr>
            </w:pPr>
          </w:p>
        </w:tc>
        <w:tc>
          <w:tcPr>
            <w:tcW w:w="2940" w:type="dxa"/>
            <w:vAlign w:val="bottom"/>
          </w:tcPr>
          <w:p>
            <w:pPr>
              <w:ind w:left="640"/>
              <w:spacing w:after="0" w:line="129" w:lineRule="exact"/>
              <w:rPr>
                <w:sz w:val="20"/>
                <w:szCs w:val="20"/>
                <w:color w:val="auto"/>
              </w:rPr>
            </w:pPr>
            <w:r>
              <w:rPr>
                <w:rFonts w:ascii="Arial" w:cs="Arial" w:eastAsia="Arial" w:hAnsi="Arial"/>
                <w:sz w:val="14"/>
                <w:szCs w:val="14"/>
                <w:b w:val="1"/>
                <w:bCs w:val="1"/>
                <w:color w:val="auto"/>
              </w:rPr>
              <w:t>Eligible Property Exceptions</w:t>
            </w:r>
          </w:p>
        </w:tc>
        <w:tc>
          <w:tcPr>
            <w:tcW w:w="0" w:type="dxa"/>
            <w:vAlign w:val="bottom"/>
          </w:tcPr>
          <w:p>
            <w:pPr>
              <w:spacing w:after="0"/>
              <w:rPr>
                <w:sz w:val="1"/>
                <w:szCs w:val="1"/>
                <w:color w:val="auto"/>
              </w:rPr>
            </w:pPr>
          </w:p>
        </w:tc>
      </w:tr>
      <w:tr>
        <w:trPr>
          <w:trHeight w:val="20"/>
        </w:trPr>
        <w:tc>
          <w:tcPr>
            <w:tcW w:w="5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expires 7/31/2024.</w:t>
            </w:r>
          </w:p>
        </w:tc>
        <w:tc>
          <w:tcPr>
            <w:tcW w:w="0" w:type="dxa"/>
            <w:vAlign w:val="bottom"/>
          </w:tcPr>
          <w:p>
            <w:pPr>
              <w:spacing w:after="0"/>
              <w:rPr>
                <w:sz w:val="1"/>
                <w:szCs w:val="1"/>
                <w:color w:val="auto"/>
              </w:rPr>
            </w:pPr>
          </w:p>
        </w:tc>
      </w:tr>
      <w:tr>
        <w:trPr>
          <w:trHeight w:val="216"/>
        </w:trPr>
        <w:tc>
          <w:tcPr>
            <w:tcW w:w="780" w:type="dxa"/>
            <w:vAlign w:val="bottom"/>
            <w:gridSpan w:val="2"/>
          </w:tcPr>
          <w:p>
            <w:pPr>
              <w:spacing w:after="0"/>
              <w:rPr>
                <w:sz w:val="20"/>
                <w:szCs w:val="20"/>
                <w:color w:val="auto"/>
              </w:rPr>
            </w:pPr>
            <w:r>
              <w:rPr>
                <w:rFonts w:ascii="Arial" w:cs="Arial" w:eastAsia="Arial" w:hAnsi="Arial"/>
                <w:sz w:val="18"/>
                <w:szCs w:val="18"/>
                <w:color w:val="auto"/>
                <w:w w:val="99"/>
              </w:rPr>
              <w:t>490-1720</w:t>
            </w:r>
          </w:p>
        </w:tc>
        <w:tc>
          <w:tcPr>
            <w:tcW w:w="3340" w:type="dxa"/>
            <w:vAlign w:val="bottom"/>
            <w:gridSpan w:val="3"/>
          </w:tcPr>
          <w:p>
            <w:pPr>
              <w:ind w:left="100"/>
              <w:spacing w:after="0"/>
              <w:rPr>
                <w:sz w:val="20"/>
                <w:szCs w:val="20"/>
                <w:color w:val="auto"/>
              </w:rPr>
            </w:pPr>
            <w:r>
              <w:rPr>
                <w:rFonts w:ascii="Arial" w:cs="Arial" w:eastAsia="Arial" w:hAnsi="Arial"/>
                <w:sz w:val="18"/>
                <w:szCs w:val="18"/>
                <w:color w:val="auto"/>
              </w:rPr>
              <w:t>South Valley</w:t>
            </w:r>
          </w:p>
        </w:tc>
        <w:tc>
          <w:tcPr>
            <w:tcW w:w="1160" w:type="dxa"/>
            <w:vAlign w:val="bottom"/>
          </w:tcPr>
          <w:p>
            <w:pPr>
              <w:spacing w:after="0"/>
              <w:rPr>
                <w:sz w:val="20"/>
                <w:szCs w:val="20"/>
                <w:color w:val="auto"/>
              </w:rPr>
            </w:pPr>
            <w:r>
              <w:rPr>
                <w:rFonts w:ascii="Arial" w:cs="Arial" w:eastAsia="Arial" w:hAnsi="Arial"/>
                <w:sz w:val="18"/>
                <w:szCs w:val="18"/>
                <w:color w:val="auto"/>
              </w:rPr>
              <w:t>Alexandria</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VA</w:t>
            </w:r>
          </w:p>
        </w:tc>
        <w:tc>
          <w:tcPr>
            <w:tcW w:w="1080" w:type="dxa"/>
            <w:vAlign w:val="bottom"/>
          </w:tcPr>
          <w:p>
            <w:pPr>
              <w:spacing w:after="0"/>
              <w:rPr>
                <w:sz w:val="20"/>
                <w:szCs w:val="20"/>
                <w:color w:val="auto"/>
              </w:rPr>
            </w:pPr>
            <w:r>
              <w:rPr>
                <w:rFonts w:ascii="Arial" w:cs="Arial" w:eastAsia="Arial" w:hAnsi="Arial"/>
                <w:sz w:val="18"/>
                <w:szCs w:val="18"/>
                <w:color w:val="auto"/>
              </w:rPr>
              <w:t>Controlled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gridSpan w:val="5"/>
          </w:tcPr>
          <w:p>
            <w:pPr>
              <w:spacing w:after="0"/>
              <w:rPr>
                <w:sz w:val="20"/>
                <w:szCs w:val="20"/>
                <w:color w:val="auto"/>
              </w:rPr>
            </w:pPr>
            <w:r>
              <w:rPr>
                <w:rFonts w:ascii="Arial" w:cs="Arial" w:eastAsia="Arial" w:hAnsi="Arial"/>
                <w:sz w:val="18"/>
                <w:szCs w:val="18"/>
                <w:color w:val="auto"/>
              </w:rPr>
              <w:t>500-1010   Bala Cynwyd Shopping Center</w:t>
            </w:r>
          </w:p>
        </w:tc>
        <w:tc>
          <w:tcPr>
            <w:tcW w:w="1160" w:type="dxa"/>
            <w:vAlign w:val="bottom"/>
          </w:tcPr>
          <w:p>
            <w:pPr>
              <w:spacing w:after="0"/>
              <w:rPr>
                <w:sz w:val="20"/>
                <w:szCs w:val="20"/>
                <w:color w:val="auto"/>
              </w:rPr>
            </w:pPr>
            <w:r>
              <w:rPr>
                <w:rFonts w:ascii="Arial" w:cs="Arial" w:eastAsia="Arial" w:hAnsi="Arial"/>
                <w:sz w:val="18"/>
                <w:szCs w:val="18"/>
                <w:color w:val="auto"/>
              </w:rPr>
              <w:t>Bala Cynwyd</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PA</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80" w:type="dxa"/>
            <w:vAlign w:val="bottom"/>
            <w:gridSpan w:val="2"/>
          </w:tcPr>
          <w:p>
            <w:pPr>
              <w:spacing w:after="0"/>
              <w:rPr>
                <w:sz w:val="20"/>
                <w:szCs w:val="20"/>
                <w:color w:val="auto"/>
              </w:rPr>
            </w:pPr>
            <w:r>
              <w:rPr>
                <w:rFonts w:ascii="Arial" w:cs="Arial" w:eastAsia="Arial" w:hAnsi="Arial"/>
                <w:sz w:val="18"/>
                <w:szCs w:val="18"/>
                <w:color w:val="auto"/>
                <w:w w:val="99"/>
              </w:rPr>
              <w:t>500-1050</w:t>
            </w:r>
          </w:p>
        </w:tc>
        <w:tc>
          <w:tcPr>
            <w:tcW w:w="3340" w:type="dxa"/>
            <w:vAlign w:val="bottom"/>
            <w:gridSpan w:val="3"/>
          </w:tcPr>
          <w:p>
            <w:pPr>
              <w:ind w:left="100"/>
              <w:spacing w:after="0"/>
              <w:rPr>
                <w:sz w:val="20"/>
                <w:szCs w:val="20"/>
                <w:color w:val="auto"/>
              </w:rPr>
            </w:pPr>
            <w:r>
              <w:rPr>
                <w:rFonts w:ascii="Arial" w:cs="Arial" w:eastAsia="Arial" w:hAnsi="Arial"/>
                <w:sz w:val="18"/>
                <w:szCs w:val="18"/>
                <w:color w:val="auto"/>
              </w:rPr>
              <w:t>Bristol Plaza</w:t>
            </w:r>
          </w:p>
        </w:tc>
        <w:tc>
          <w:tcPr>
            <w:tcW w:w="1160" w:type="dxa"/>
            <w:vAlign w:val="bottom"/>
          </w:tcPr>
          <w:p>
            <w:pPr>
              <w:spacing w:after="0"/>
              <w:rPr>
                <w:sz w:val="20"/>
                <w:szCs w:val="20"/>
                <w:color w:val="auto"/>
              </w:rPr>
            </w:pPr>
            <w:r>
              <w:rPr>
                <w:rFonts w:ascii="Arial" w:cs="Arial" w:eastAsia="Arial" w:hAnsi="Arial"/>
                <w:sz w:val="18"/>
                <w:szCs w:val="18"/>
                <w:color w:val="auto"/>
              </w:rPr>
              <w:t>Bristol</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CT</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80" w:type="dxa"/>
            <w:vAlign w:val="bottom"/>
            <w:gridSpan w:val="2"/>
          </w:tcPr>
          <w:p>
            <w:pPr>
              <w:spacing w:after="0"/>
              <w:rPr>
                <w:sz w:val="20"/>
                <w:szCs w:val="20"/>
                <w:color w:val="auto"/>
              </w:rPr>
            </w:pPr>
            <w:r>
              <w:rPr>
                <w:rFonts w:ascii="Arial" w:cs="Arial" w:eastAsia="Arial" w:hAnsi="Arial"/>
                <w:sz w:val="18"/>
                <w:szCs w:val="18"/>
                <w:color w:val="auto"/>
                <w:w w:val="99"/>
              </w:rPr>
              <w:t>500-1090</w:t>
            </w:r>
          </w:p>
        </w:tc>
        <w:tc>
          <w:tcPr>
            <w:tcW w:w="3340" w:type="dxa"/>
            <w:vAlign w:val="bottom"/>
            <w:gridSpan w:val="3"/>
          </w:tcPr>
          <w:p>
            <w:pPr>
              <w:ind w:left="100"/>
              <w:spacing w:after="0"/>
              <w:rPr>
                <w:sz w:val="20"/>
                <w:szCs w:val="20"/>
                <w:color w:val="auto"/>
              </w:rPr>
            </w:pPr>
            <w:r>
              <w:rPr>
                <w:rFonts w:ascii="Arial" w:cs="Arial" w:eastAsia="Arial" w:hAnsi="Arial"/>
                <w:sz w:val="18"/>
                <w:szCs w:val="18"/>
                <w:color w:val="auto"/>
              </w:rPr>
              <w:t>Crossroads Shopping Center</w:t>
            </w:r>
          </w:p>
        </w:tc>
        <w:tc>
          <w:tcPr>
            <w:tcW w:w="1160" w:type="dxa"/>
            <w:vAlign w:val="bottom"/>
          </w:tcPr>
          <w:p>
            <w:pPr>
              <w:spacing w:after="0"/>
              <w:rPr>
                <w:sz w:val="20"/>
                <w:szCs w:val="20"/>
                <w:color w:val="auto"/>
              </w:rPr>
            </w:pPr>
            <w:r>
              <w:rPr>
                <w:rFonts w:ascii="Arial" w:cs="Arial" w:eastAsia="Arial" w:hAnsi="Arial"/>
                <w:sz w:val="18"/>
                <w:szCs w:val="18"/>
                <w:color w:val="auto"/>
              </w:rPr>
              <w:t>Highland Park</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IL</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80" w:type="dxa"/>
            <w:vAlign w:val="bottom"/>
            <w:gridSpan w:val="2"/>
          </w:tcPr>
          <w:p>
            <w:pPr>
              <w:spacing w:after="0"/>
              <w:rPr>
                <w:sz w:val="20"/>
                <w:szCs w:val="20"/>
                <w:color w:val="auto"/>
              </w:rPr>
            </w:pPr>
            <w:r>
              <w:rPr>
                <w:rFonts w:ascii="Arial" w:cs="Arial" w:eastAsia="Arial" w:hAnsi="Arial"/>
                <w:sz w:val="18"/>
                <w:szCs w:val="18"/>
                <w:color w:val="auto"/>
                <w:w w:val="99"/>
              </w:rPr>
              <w:t>500-1097</w:t>
            </w:r>
          </w:p>
        </w:tc>
        <w:tc>
          <w:tcPr>
            <w:tcW w:w="3340" w:type="dxa"/>
            <w:vAlign w:val="bottom"/>
            <w:gridSpan w:val="3"/>
          </w:tcPr>
          <w:p>
            <w:pPr>
              <w:ind w:left="100"/>
              <w:spacing w:after="0"/>
              <w:rPr>
                <w:sz w:val="20"/>
                <w:szCs w:val="20"/>
                <w:color w:val="auto"/>
              </w:rPr>
            </w:pPr>
            <w:r>
              <w:rPr>
                <w:rFonts w:ascii="Arial" w:cs="Arial" w:eastAsia="Arial" w:hAnsi="Arial"/>
                <w:sz w:val="18"/>
                <w:szCs w:val="18"/>
                <w:color w:val="auto"/>
              </w:rPr>
              <w:t>Crow Canyon Crest</w:t>
            </w:r>
          </w:p>
        </w:tc>
        <w:tc>
          <w:tcPr>
            <w:tcW w:w="1160" w:type="dxa"/>
            <w:vAlign w:val="bottom"/>
          </w:tcPr>
          <w:p>
            <w:pPr>
              <w:spacing w:after="0"/>
              <w:rPr>
                <w:sz w:val="20"/>
                <w:szCs w:val="20"/>
                <w:color w:val="auto"/>
              </w:rPr>
            </w:pPr>
            <w:r>
              <w:rPr>
                <w:rFonts w:ascii="Arial" w:cs="Arial" w:eastAsia="Arial" w:hAnsi="Arial"/>
                <w:sz w:val="18"/>
                <w:szCs w:val="18"/>
                <w:color w:val="auto"/>
              </w:rPr>
              <w:t>San Ramon</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CA</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80" w:type="dxa"/>
            <w:vAlign w:val="bottom"/>
            <w:gridSpan w:val="2"/>
          </w:tcPr>
          <w:p>
            <w:pPr>
              <w:spacing w:after="0"/>
              <w:rPr>
                <w:sz w:val="20"/>
                <w:szCs w:val="20"/>
                <w:color w:val="auto"/>
              </w:rPr>
            </w:pPr>
            <w:r>
              <w:rPr>
                <w:rFonts w:ascii="Arial" w:cs="Arial" w:eastAsia="Arial" w:hAnsi="Arial"/>
                <w:sz w:val="18"/>
                <w:szCs w:val="18"/>
                <w:color w:val="auto"/>
                <w:w w:val="99"/>
              </w:rPr>
              <w:t>500-1125</w:t>
            </w:r>
          </w:p>
        </w:tc>
        <w:tc>
          <w:tcPr>
            <w:tcW w:w="3340" w:type="dxa"/>
            <w:vAlign w:val="bottom"/>
            <w:gridSpan w:val="3"/>
          </w:tcPr>
          <w:p>
            <w:pPr>
              <w:ind w:left="100"/>
              <w:spacing w:after="0"/>
              <w:rPr>
                <w:sz w:val="20"/>
                <w:szCs w:val="20"/>
                <w:color w:val="auto"/>
              </w:rPr>
            </w:pPr>
            <w:r>
              <w:rPr>
                <w:rFonts w:ascii="Arial" w:cs="Arial" w:eastAsia="Arial" w:hAnsi="Arial"/>
                <w:sz w:val="18"/>
                <w:szCs w:val="18"/>
                <w:color w:val="auto"/>
              </w:rPr>
              <w:t>Dedham Plaza</w:t>
            </w:r>
          </w:p>
        </w:tc>
        <w:tc>
          <w:tcPr>
            <w:tcW w:w="1160" w:type="dxa"/>
            <w:vAlign w:val="bottom"/>
          </w:tcPr>
          <w:p>
            <w:pPr>
              <w:spacing w:after="0"/>
              <w:rPr>
                <w:sz w:val="20"/>
                <w:szCs w:val="20"/>
                <w:color w:val="auto"/>
              </w:rPr>
            </w:pPr>
            <w:r>
              <w:rPr>
                <w:rFonts w:ascii="Arial" w:cs="Arial" w:eastAsia="Arial" w:hAnsi="Arial"/>
                <w:sz w:val="18"/>
                <w:szCs w:val="18"/>
                <w:color w:val="auto"/>
              </w:rPr>
              <w:t>Dedham</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MA</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80" w:type="dxa"/>
            <w:vAlign w:val="bottom"/>
            <w:gridSpan w:val="2"/>
          </w:tcPr>
          <w:p>
            <w:pPr>
              <w:spacing w:after="0"/>
              <w:rPr>
                <w:sz w:val="20"/>
                <w:szCs w:val="20"/>
                <w:color w:val="auto"/>
              </w:rPr>
            </w:pPr>
            <w:r>
              <w:rPr>
                <w:rFonts w:ascii="Arial" w:cs="Arial" w:eastAsia="Arial" w:hAnsi="Arial"/>
                <w:sz w:val="18"/>
                <w:szCs w:val="18"/>
                <w:color w:val="auto"/>
                <w:w w:val="99"/>
              </w:rPr>
              <w:t>500-1160</w:t>
            </w:r>
          </w:p>
        </w:tc>
        <w:tc>
          <w:tcPr>
            <w:tcW w:w="3340" w:type="dxa"/>
            <w:vAlign w:val="bottom"/>
            <w:gridSpan w:val="3"/>
          </w:tcPr>
          <w:p>
            <w:pPr>
              <w:ind w:left="100"/>
              <w:spacing w:after="0"/>
              <w:rPr>
                <w:sz w:val="20"/>
                <w:szCs w:val="20"/>
                <w:color w:val="auto"/>
              </w:rPr>
            </w:pPr>
            <w:r>
              <w:rPr>
                <w:rFonts w:ascii="Arial" w:cs="Arial" w:eastAsia="Arial" w:hAnsi="Arial"/>
                <w:sz w:val="18"/>
                <w:szCs w:val="18"/>
                <w:color w:val="auto"/>
              </w:rPr>
              <w:t>Eastgate Shopping Center</w:t>
            </w:r>
          </w:p>
        </w:tc>
        <w:tc>
          <w:tcPr>
            <w:tcW w:w="1160" w:type="dxa"/>
            <w:vAlign w:val="bottom"/>
          </w:tcPr>
          <w:p>
            <w:pPr>
              <w:spacing w:after="0"/>
              <w:rPr>
                <w:sz w:val="20"/>
                <w:szCs w:val="20"/>
                <w:color w:val="auto"/>
              </w:rPr>
            </w:pPr>
            <w:r>
              <w:rPr>
                <w:rFonts w:ascii="Arial" w:cs="Arial" w:eastAsia="Arial" w:hAnsi="Arial"/>
                <w:sz w:val="18"/>
                <w:szCs w:val="18"/>
                <w:color w:val="auto"/>
              </w:rPr>
              <w:t>Chapel Hill</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NC</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gridSpan w:val="5"/>
          </w:tcPr>
          <w:p>
            <w:pPr>
              <w:spacing w:after="0"/>
              <w:rPr>
                <w:sz w:val="20"/>
                <w:szCs w:val="20"/>
                <w:color w:val="auto"/>
              </w:rPr>
            </w:pPr>
            <w:r>
              <w:rPr>
                <w:rFonts w:ascii="Arial" w:cs="Arial" w:eastAsia="Arial" w:hAnsi="Arial"/>
                <w:sz w:val="18"/>
                <w:szCs w:val="18"/>
                <w:color w:val="auto"/>
              </w:rPr>
              <w:t>500-1180   Ellisburg Circle Shopping Center</w:t>
            </w:r>
          </w:p>
        </w:tc>
        <w:tc>
          <w:tcPr>
            <w:tcW w:w="1160" w:type="dxa"/>
            <w:vAlign w:val="bottom"/>
          </w:tcPr>
          <w:p>
            <w:pPr>
              <w:spacing w:after="0"/>
              <w:rPr>
                <w:sz w:val="20"/>
                <w:szCs w:val="20"/>
                <w:color w:val="auto"/>
              </w:rPr>
            </w:pPr>
            <w:r>
              <w:rPr>
                <w:rFonts w:ascii="Arial" w:cs="Arial" w:eastAsia="Arial" w:hAnsi="Arial"/>
                <w:sz w:val="18"/>
                <w:szCs w:val="18"/>
                <w:color w:val="auto"/>
              </w:rPr>
              <w:t>Cherry Hill</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NJ</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gridSpan w:val="5"/>
          </w:tcPr>
          <w:p>
            <w:pPr>
              <w:spacing w:after="0"/>
              <w:rPr>
                <w:sz w:val="20"/>
                <w:szCs w:val="20"/>
                <w:color w:val="auto"/>
              </w:rPr>
            </w:pPr>
            <w:r>
              <w:rPr>
                <w:rFonts w:ascii="Arial" w:cs="Arial" w:eastAsia="Arial" w:hAnsi="Arial"/>
                <w:sz w:val="18"/>
                <w:szCs w:val="18"/>
                <w:color w:val="auto"/>
              </w:rPr>
              <w:t>500-1200   Falls Plaza Shopping Center</w:t>
            </w:r>
          </w:p>
        </w:tc>
        <w:tc>
          <w:tcPr>
            <w:tcW w:w="1160" w:type="dxa"/>
            <w:vAlign w:val="bottom"/>
          </w:tcPr>
          <w:p>
            <w:pPr>
              <w:spacing w:after="0"/>
              <w:rPr>
                <w:sz w:val="20"/>
                <w:szCs w:val="20"/>
                <w:color w:val="auto"/>
              </w:rPr>
            </w:pPr>
            <w:r>
              <w:rPr>
                <w:rFonts w:ascii="Arial" w:cs="Arial" w:eastAsia="Arial" w:hAnsi="Arial"/>
                <w:sz w:val="18"/>
                <w:szCs w:val="18"/>
                <w:color w:val="auto"/>
              </w:rPr>
              <w:t>Falls Church</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VA</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80" w:type="dxa"/>
            <w:vAlign w:val="bottom"/>
            <w:gridSpan w:val="2"/>
          </w:tcPr>
          <w:p>
            <w:pPr>
              <w:spacing w:after="0"/>
              <w:rPr>
                <w:sz w:val="20"/>
                <w:szCs w:val="20"/>
                <w:color w:val="auto"/>
              </w:rPr>
            </w:pPr>
            <w:r>
              <w:rPr>
                <w:rFonts w:ascii="Arial" w:cs="Arial" w:eastAsia="Arial" w:hAnsi="Arial"/>
                <w:sz w:val="18"/>
                <w:szCs w:val="18"/>
                <w:color w:val="auto"/>
                <w:w w:val="99"/>
              </w:rPr>
              <w:t>500-1201</w:t>
            </w:r>
          </w:p>
        </w:tc>
        <w:tc>
          <w:tcPr>
            <w:tcW w:w="3340" w:type="dxa"/>
            <w:vAlign w:val="bottom"/>
            <w:gridSpan w:val="3"/>
          </w:tcPr>
          <w:p>
            <w:pPr>
              <w:ind w:left="100"/>
              <w:spacing w:after="0"/>
              <w:rPr>
                <w:sz w:val="20"/>
                <w:szCs w:val="20"/>
                <w:color w:val="auto"/>
              </w:rPr>
            </w:pPr>
            <w:r>
              <w:rPr>
                <w:rFonts w:ascii="Arial" w:cs="Arial" w:eastAsia="Arial" w:hAnsi="Arial"/>
                <w:sz w:val="18"/>
                <w:szCs w:val="18"/>
                <w:color w:val="auto"/>
              </w:rPr>
              <w:t>Feasterville Shopping Center</w:t>
            </w:r>
          </w:p>
        </w:tc>
        <w:tc>
          <w:tcPr>
            <w:tcW w:w="1160" w:type="dxa"/>
            <w:vAlign w:val="bottom"/>
          </w:tcPr>
          <w:p>
            <w:pPr>
              <w:spacing w:after="0"/>
              <w:rPr>
                <w:sz w:val="20"/>
                <w:szCs w:val="20"/>
                <w:color w:val="auto"/>
              </w:rPr>
            </w:pPr>
            <w:r>
              <w:rPr>
                <w:rFonts w:ascii="Arial" w:cs="Arial" w:eastAsia="Arial" w:hAnsi="Arial"/>
                <w:sz w:val="18"/>
                <w:szCs w:val="18"/>
                <w:color w:val="auto"/>
              </w:rPr>
              <w:t>Feasterville</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PA</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80" w:type="dxa"/>
            <w:vAlign w:val="bottom"/>
            <w:gridSpan w:val="2"/>
          </w:tcPr>
          <w:p>
            <w:pPr>
              <w:spacing w:after="0"/>
              <w:rPr>
                <w:sz w:val="20"/>
                <w:szCs w:val="20"/>
                <w:color w:val="auto"/>
              </w:rPr>
            </w:pPr>
            <w:r>
              <w:rPr>
                <w:rFonts w:ascii="Arial" w:cs="Arial" w:eastAsia="Arial" w:hAnsi="Arial"/>
                <w:sz w:val="18"/>
                <w:szCs w:val="18"/>
                <w:color w:val="auto"/>
                <w:w w:val="99"/>
              </w:rPr>
              <w:t>500-1202</w:t>
            </w:r>
          </w:p>
        </w:tc>
        <w:tc>
          <w:tcPr>
            <w:tcW w:w="3340" w:type="dxa"/>
            <w:vAlign w:val="bottom"/>
            <w:gridSpan w:val="3"/>
          </w:tcPr>
          <w:p>
            <w:pPr>
              <w:ind w:left="100"/>
              <w:spacing w:after="0"/>
              <w:rPr>
                <w:sz w:val="20"/>
                <w:szCs w:val="20"/>
                <w:color w:val="auto"/>
              </w:rPr>
            </w:pPr>
            <w:r>
              <w:rPr>
                <w:rFonts w:ascii="Arial" w:cs="Arial" w:eastAsia="Arial" w:hAnsi="Arial"/>
                <w:sz w:val="18"/>
                <w:szCs w:val="18"/>
                <w:color w:val="auto"/>
              </w:rPr>
              <w:t>Flourtown Shopping Center</w:t>
            </w:r>
          </w:p>
        </w:tc>
        <w:tc>
          <w:tcPr>
            <w:tcW w:w="1160" w:type="dxa"/>
            <w:vAlign w:val="bottom"/>
          </w:tcPr>
          <w:p>
            <w:pPr>
              <w:spacing w:after="0"/>
              <w:rPr>
                <w:sz w:val="20"/>
                <w:szCs w:val="20"/>
                <w:color w:val="auto"/>
              </w:rPr>
            </w:pPr>
            <w:r>
              <w:rPr>
                <w:rFonts w:ascii="Arial" w:cs="Arial" w:eastAsia="Arial" w:hAnsi="Arial"/>
                <w:sz w:val="18"/>
                <w:szCs w:val="18"/>
                <w:color w:val="auto"/>
              </w:rPr>
              <w:t>Flourtown</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PA</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gridSpan w:val="5"/>
          </w:tcPr>
          <w:p>
            <w:pPr>
              <w:spacing w:after="0"/>
              <w:rPr>
                <w:sz w:val="20"/>
                <w:szCs w:val="20"/>
                <w:color w:val="auto"/>
              </w:rPr>
            </w:pPr>
            <w:r>
              <w:rPr>
                <w:rFonts w:ascii="Arial" w:cs="Arial" w:eastAsia="Arial" w:hAnsi="Arial"/>
                <w:sz w:val="18"/>
                <w:szCs w:val="18"/>
                <w:color w:val="auto"/>
              </w:rPr>
              <w:t>500-1217   Finley Square Shopping Center</w:t>
            </w:r>
          </w:p>
        </w:tc>
        <w:tc>
          <w:tcPr>
            <w:tcW w:w="1160" w:type="dxa"/>
            <w:vAlign w:val="bottom"/>
          </w:tcPr>
          <w:p>
            <w:pPr>
              <w:spacing w:after="0"/>
              <w:rPr>
                <w:sz w:val="20"/>
                <w:szCs w:val="20"/>
                <w:color w:val="auto"/>
              </w:rPr>
            </w:pPr>
            <w:r>
              <w:rPr>
                <w:rFonts w:ascii="Arial" w:cs="Arial" w:eastAsia="Arial" w:hAnsi="Arial"/>
                <w:sz w:val="18"/>
                <w:szCs w:val="18"/>
                <w:color w:val="auto"/>
                <w:w w:val="91"/>
              </w:rPr>
              <w:t>Downers Grove</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IL</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80" w:type="dxa"/>
            <w:vAlign w:val="bottom"/>
            <w:gridSpan w:val="2"/>
          </w:tcPr>
          <w:p>
            <w:pPr>
              <w:spacing w:after="0"/>
              <w:rPr>
                <w:sz w:val="20"/>
                <w:szCs w:val="20"/>
                <w:color w:val="auto"/>
              </w:rPr>
            </w:pPr>
            <w:r>
              <w:rPr>
                <w:rFonts w:ascii="Arial" w:cs="Arial" w:eastAsia="Arial" w:hAnsi="Arial"/>
                <w:sz w:val="18"/>
                <w:szCs w:val="18"/>
                <w:color w:val="auto"/>
                <w:w w:val="99"/>
              </w:rPr>
              <w:t>500-1220</w:t>
            </w:r>
          </w:p>
        </w:tc>
        <w:tc>
          <w:tcPr>
            <w:tcW w:w="3340" w:type="dxa"/>
            <w:vAlign w:val="bottom"/>
            <w:gridSpan w:val="3"/>
          </w:tcPr>
          <w:p>
            <w:pPr>
              <w:ind w:left="100"/>
              <w:spacing w:after="0"/>
              <w:rPr>
                <w:sz w:val="20"/>
                <w:szCs w:val="20"/>
                <w:color w:val="auto"/>
              </w:rPr>
            </w:pPr>
            <w:r>
              <w:rPr>
                <w:rFonts w:ascii="Arial" w:cs="Arial" w:eastAsia="Arial" w:hAnsi="Arial"/>
                <w:sz w:val="18"/>
                <w:szCs w:val="18"/>
                <w:color w:val="auto"/>
              </w:rPr>
              <w:t>Gratiot Plaza</w:t>
            </w:r>
          </w:p>
        </w:tc>
        <w:tc>
          <w:tcPr>
            <w:tcW w:w="1160" w:type="dxa"/>
            <w:vAlign w:val="bottom"/>
          </w:tcPr>
          <w:p>
            <w:pPr>
              <w:spacing w:after="0"/>
              <w:rPr>
                <w:sz w:val="20"/>
                <w:szCs w:val="20"/>
                <w:color w:val="auto"/>
              </w:rPr>
            </w:pPr>
            <w:r>
              <w:rPr>
                <w:rFonts w:ascii="Arial" w:cs="Arial" w:eastAsia="Arial" w:hAnsi="Arial"/>
                <w:sz w:val="18"/>
                <w:szCs w:val="18"/>
                <w:color w:val="auto"/>
              </w:rPr>
              <w:t>Roseville</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MI</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gridSpan w:val="5"/>
          </w:tcPr>
          <w:p>
            <w:pPr>
              <w:spacing w:after="0"/>
              <w:rPr>
                <w:sz w:val="20"/>
                <w:szCs w:val="20"/>
                <w:color w:val="auto"/>
              </w:rPr>
            </w:pPr>
            <w:r>
              <w:rPr>
                <w:rFonts w:ascii="Arial" w:cs="Arial" w:eastAsia="Arial" w:hAnsi="Arial"/>
                <w:sz w:val="18"/>
                <w:szCs w:val="18"/>
                <w:color w:val="auto"/>
              </w:rPr>
              <w:t>500-1235   Gaithersburg Square Shopping Center</w:t>
            </w:r>
          </w:p>
        </w:tc>
        <w:tc>
          <w:tcPr>
            <w:tcW w:w="1160" w:type="dxa"/>
            <w:vAlign w:val="bottom"/>
          </w:tcPr>
          <w:p>
            <w:pPr>
              <w:spacing w:after="0"/>
              <w:rPr>
                <w:sz w:val="20"/>
                <w:szCs w:val="20"/>
                <w:color w:val="auto"/>
              </w:rPr>
            </w:pPr>
            <w:r>
              <w:rPr>
                <w:rFonts w:ascii="Arial" w:cs="Arial" w:eastAsia="Arial" w:hAnsi="Arial"/>
                <w:sz w:val="18"/>
                <w:szCs w:val="18"/>
                <w:color w:val="auto"/>
              </w:rPr>
              <w:t>Gaithersburg</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MD</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gridSpan w:val="5"/>
          </w:tcPr>
          <w:p>
            <w:pPr>
              <w:spacing w:after="0"/>
              <w:rPr>
                <w:sz w:val="20"/>
                <w:szCs w:val="20"/>
                <w:color w:val="auto"/>
              </w:rPr>
            </w:pPr>
            <w:r>
              <w:rPr>
                <w:rFonts w:ascii="Arial" w:cs="Arial" w:eastAsia="Arial" w:hAnsi="Arial"/>
                <w:sz w:val="18"/>
                <w:szCs w:val="18"/>
                <w:color w:val="auto"/>
              </w:rPr>
              <w:t>500-1236   Gaithersburg Square Office Bld</w:t>
            </w:r>
          </w:p>
        </w:tc>
        <w:tc>
          <w:tcPr>
            <w:tcW w:w="1160" w:type="dxa"/>
            <w:vAlign w:val="bottom"/>
          </w:tcPr>
          <w:p>
            <w:pPr>
              <w:spacing w:after="0"/>
              <w:rPr>
                <w:sz w:val="20"/>
                <w:szCs w:val="20"/>
                <w:color w:val="auto"/>
              </w:rPr>
            </w:pPr>
            <w:r>
              <w:rPr>
                <w:rFonts w:ascii="Arial" w:cs="Arial" w:eastAsia="Arial" w:hAnsi="Arial"/>
                <w:sz w:val="18"/>
                <w:szCs w:val="18"/>
                <w:color w:val="auto"/>
              </w:rPr>
              <w:t>Gaithersburg</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MD</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Office</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120" w:type="dxa"/>
            <w:vAlign w:val="bottom"/>
            <w:gridSpan w:val="5"/>
          </w:tcPr>
          <w:p>
            <w:pPr>
              <w:spacing w:after="0"/>
              <w:rPr>
                <w:sz w:val="20"/>
                <w:szCs w:val="20"/>
                <w:color w:val="auto"/>
              </w:rPr>
            </w:pPr>
            <w:r>
              <w:rPr>
                <w:rFonts w:ascii="Arial" w:cs="Arial" w:eastAsia="Arial" w:hAnsi="Arial"/>
                <w:sz w:val="18"/>
                <w:szCs w:val="18"/>
                <w:color w:val="auto"/>
              </w:rPr>
              <w:t>500-1245   Garden Market Shopping Center</w:t>
            </w:r>
          </w:p>
        </w:tc>
        <w:tc>
          <w:tcPr>
            <w:tcW w:w="1160" w:type="dxa"/>
            <w:vAlign w:val="bottom"/>
          </w:tcPr>
          <w:p>
            <w:pPr>
              <w:spacing w:after="0"/>
              <w:rPr>
                <w:sz w:val="20"/>
                <w:szCs w:val="20"/>
                <w:color w:val="auto"/>
              </w:rPr>
            </w:pPr>
            <w:r>
              <w:rPr>
                <w:rFonts w:ascii="Arial" w:cs="Arial" w:eastAsia="Arial" w:hAnsi="Arial"/>
                <w:sz w:val="18"/>
                <w:szCs w:val="18"/>
                <w:color w:val="auto"/>
                <w:w w:val="85"/>
              </w:rPr>
              <w:t>Western Springs</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IL</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80" w:type="dxa"/>
            <w:vAlign w:val="bottom"/>
            <w:gridSpan w:val="2"/>
          </w:tcPr>
          <w:p>
            <w:pPr>
              <w:spacing w:after="0"/>
              <w:rPr>
                <w:sz w:val="20"/>
                <w:szCs w:val="20"/>
                <w:color w:val="auto"/>
              </w:rPr>
            </w:pPr>
            <w:r>
              <w:rPr>
                <w:rFonts w:ascii="Arial" w:cs="Arial" w:eastAsia="Arial" w:hAnsi="Arial"/>
                <w:sz w:val="18"/>
                <w:szCs w:val="18"/>
                <w:color w:val="auto"/>
                <w:w w:val="99"/>
              </w:rPr>
              <w:t>500-1326</w:t>
            </w:r>
          </w:p>
        </w:tc>
        <w:tc>
          <w:tcPr>
            <w:tcW w:w="3340" w:type="dxa"/>
            <w:vAlign w:val="bottom"/>
            <w:gridSpan w:val="3"/>
          </w:tcPr>
          <w:p>
            <w:pPr>
              <w:ind w:left="100"/>
              <w:spacing w:after="0"/>
              <w:rPr>
                <w:sz w:val="20"/>
                <w:szCs w:val="20"/>
                <w:color w:val="auto"/>
              </w:rPr>
            </w:pPr>
            <w:r>
              <w:rPr>
                <w:rFonts w:ascii="Arial" w:cs="Arial" w:eastAsia="Arial" w:hAnsi="Arial"/>
                <w:sz w:val="18"/>
                <w:szCs w:val="18"/>
                <w:color w:val="auto"/>
              </w:rPr>
              <w:t>Huntington Shopping Center</w:t>
            </w:r>
          </w:p>
        </w:tc>
        <w:tc>
          <w:tcPr>
            <w:tcW w:w="1160" w:type="dxa"/>
            <w:vAlign w:val="bottom"/>
          </w:tcPr>
          <w:p>
            <w:pPr>
              <w:spacing w:after="0"/>
              <w:rPr>
                <w:sz w:val="20"/>
                <w:szCs w:val="20"/>
                <w:color w:val="auto"/>
              </w:rPr>
            </w:pPr>
            <w:r>
              <w:rPr>
                <w:rFonts w:ascii="Arial" w:cs="Arial" w:eastAsia="Arial" w:hAnsi="Arial"/>
                <w:sz w:val="18"/>
                <w:szCs w:val="18"/>
                <w:color w:val="auto"/>
              </w:rPr>
              <w:t>Huntington</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NY</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80" w:type="dxa"/>
            <w:vAlign w:val="bottom"/>
            <w:gridSpan w:val="2"/>
          </w:tcPr>
          <w:p>
            <w:pPr>
              <w:spacing w:after="0"/>
              <w:rPr>
                <w:sz w:val="20"/>
                <w:szCs w:val="20"/>
                <w:color w:val="auto"/>
              </w:rPr>
            </w:pPr>
            <w:r>
              <w:rPr>
                <w:rFonts w:ascii="Arial" w:cs="Arial" w:eastAsia="Arial" w:hAnsi="Arial"/>
                <w:sz w:val="18"/>
                <w:szCs w:val="18"/>
                <w:color w:val="auto"/>
                <w:w w:val="99"/>
              </w:rPr>
              <w:t>500-1440</w:t>
            </w:r>
          </w:p>
        </w:tc>
        <w:tc>
          <w:tcPr>
            <w:tcW w:w="3340" w:type="dxa"/>
            <w:vAlign w:val="bottom"/>
            <w:gridSpan w:val="3"/>
          </w:tcPr>
          <w:p>
            <w:pPr>
              <w:ind w:left="100"/>
              <w:spacing w:after="0"/>
              <w:rPr>
                <w:sz w:val="20"/>
                <w:szCs w:val="20"/>
                <w:color w:val="auto"/>
              </w:rPr>
            </w:pPr>
            <w:r>
              <w:rPr>
                <w:rFonts w:ascii="Arial" w:cs="Arial" w:eastAsia="Arial" w:hAnsi="Arial"/>
                <w:sz w:val="18"/>
                <w:szCs w:val="18"/>
                <w:color w:val="auto"/>
              </w:rPr>
              <w:t>Lancaster Shopping Center</w:t>
            </w:r>
          </w:p>
        </w:tc>
        <w:tc>
          <w:tcPr>
            <w:tcW w:w="1160" w:type="dxa"/>
            <w:vAlign w:val="bottom"/>
          </w:tcPr>
          <w:p>
            <w:pPr>
              <w:spacing w:after="0"/>
              <w:rPr>
                <w:sz w:val="20"/>
                <w:szCs w:val="20"/>
                <w:color w:val="auto"/>
              </w:rPr>
            </w:pPr>
            <w:r>
              <w:rPr>
                <w:rFonts w:ascii="Arial" w:cs="Arial" w:eastAsia="Arial" w:hAnsi="Arial"/>
                <w:sz w:val="18"/>
                <w:szCs w:val="18"/>
                <w:color w:val="auto"/>
              </w:rPr>
              <w:t>Lancaster</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PA</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w w:val="86"/>
              </w:rPr>
              <w:t>Shopping center lease expires 3/27/17 but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has 12 remaining 5-year extension</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options.</w:t>
            </w:r>
          </w:p>
        </w:tc>
        <w:tc>
          <w:tcPr>
            <w:tcW w:w="0" w:type="dxa"/>
            <w:vAlign w:val="bottom"/>
          </w:tcPr>
          <w:p>
            <w:pPr>
              <w:spacing w:after="0"/>
              <w:rPr>
                <w:sz w:val="1"/>
                <w:szCs w:val="1"/>
                <w:color w:val="auto"/>
              </w:rPr>
            </w:pPr>
          </w:p>
        </w:tc>
      </w:tr>
      <w:tr>
        <w:trPr>
          <w:trHeight w:val="216"/>
        </w:trPr>
        <w:tc>
          <w:tcPr>
            <w:tcW w:w="4120" w:type="dxa"/>
            <w:vAlign w:val="bottom"/>
            <w:gridSpan w:val="5"/>
          </w:tcPr>
          <w:p>
            <w:pPr>
              <w:spacing w:after="0"/>
              <w:rPr>
                <w:sz w:val="20"/>
                <w:szCs w:val="20"/>
                <w:color w:val="auto"/>
              </w:rPr>
            </w:pPr>
            <w:r>
              <w:rPr>
                <w:rFonts w:ascii="Arial" w:cs="Arial" w:eastAsia="Arial" w:hAnsi="Arial"/>
                <w:sz w:val="18"/>
                <w:szCs w:val="18"/>
                <w:color w:val="auto"/>
              </w:rPr>
              <w:t>500-1441   Langhorne Square S C</w:t>
            </w:r>
          </w:p>
        </w:tc>
        <w:tc>
          <w:tcPr>
            <w:tcW w:w="1160" w:type="dxa"/>
            <w:vAlign w:val="bottom"/>
          </w:tcPr>
          <w:p>
            <w:pPr>
              <w:spacing w:after="0"/>
              <w:rPr>
                <w:sz w:val="20"/>
                <w:szCs w:val="20"/>
                <w:color w:val="auto"/>
              </w:rPr>
            </w:pPr>
            <w:r>
              <w:rPr>
                <w:rFonts w:ascii="Arial" w:cs="Arial" w:eastAsia="Arial" w:hAnsi="Arial"/>
                <w:sz w:val="18"/>
                <w:szCs w:val="18"/>
                <w:color w:val="auto"/>
              </w:rPr>
              <w:t>Levittown</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PA</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80" w:type="dxa"/>
            <w:vAlign w:val="bottom"/>
            <w:gridSpan w:val="2"/>
          </w:tcPr>
          <w:p>
            <w:pPr>
              <w:spacing w:after="0"/>
              <w:rPr>
                <w:sz w:val="20"/>
                <w:szCs w:val="20"/>
                <w:color w:val="auto"/>
              </w:rPr>
            </w:pPr>
            <w:r>
              <w:rPr>
                <w:rFonts w:ascii="Arial" w:cs="Arial" w:eastAsia="Arial" w:hAnsi="Arial"/>
                <w:sz w:val="18"/>
                <w:szCs w:val="18"/>
                <w:color w:val="auto"/>
                <w:w w:val="99"/>
              </w:rPr>
              <w:t>500-1443</w:t>
            </w:r>
          </w:p>
        </w:tc>
        <w:tc>
          <w:tcPr>
            <w:tcW w:w="3340" w:type="dxa"/>
            <w:vAlign w:val="bottom"/>
            <w:gridSpan w:val="3"/>
          </w:tcPr>
          <w:p>
            <w:pPr>
              <w:ind w:left="100"/>
              <w:spacing w:after="0"/>
              <w:rPr>
                <w:sz w:val="20"/>
                <w:szCs w:val="20"/>
                <w:color w:val="auto"/>
              </w:rPr>
            </w:pPr>
            <w:r>
              <w:rPr>
                <w:rFonts w:ascii="Arial" w:cs="Arial" w:eastAsia="Arial" w:hAnsi="Arial"/>
                <w:sz w:val="18"/>
                <w:szCs w:val="18"/>
                <w:color w:val="auto"/>
              </w:rPr>
              <w:t>Laurel Shopping Center</w:t>
            </w:r>
          </w:p>
        </w:tc>
        <w:tc>
          <w:tcPr>
            <w:tcW w:w="1160" w:type="dxa"/>
            <w:vAlign w:val="bottom"/>
          </w:tcPr>
          <w:p>
            <w:pPr>
              <w:spacing w:after="0"/>
              <w:rPr>
                <w:sz w:val="20"/>
                <w:szCs w:val="20"/>
                <w:color w:val="auto"/>
              </w:rPr>
            </w:pPr>
            <w:r>
              <w:rPr>
                <w:rFonts w:ascii="Arial" w:cs="Arial" w:eastAsia="Arial" w:hAnsi="Arial"/>
                <w:sz w:val="18"/>
                <w:szCs w:val="18"/>
                <w:color w:val="auto"/>
              </w:rPr>
              <w:t>Laurel</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MD</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80" w:type="dxa"/>
            <w:vAlign w:val="bottom"/>
            <w:gridSpan w:val="2"/>
          </w:tcPr>
          <w:p>
            <w:pPr>
              <w:spacing w:after="0"/>
              <w:rPr>
                <w:sz w:val="20"/>
                <w:szCs w:val="20"/>
                <w:color w:val="auto"/>
              </w:rPr>
            </w:pPr>
            <w:r>
              <w:rPr>
                <w:rFonts w:ascii="Arial" w:cs="Arial" w:eastAsia="Arial" w:hAnsi="Arial"/>
                <w:sz w:val="18"/>
                <w:szCs w:val="18"/>
                <w:color w:val="auto"/>
                <w:w w:val="99"/>
              </w:rPr>
              <w:t>500-1475</w:t>
            </w:r>
          </w:p>
        </w:tc>
        <w:tc>
          <w:tcPr>
            <w:tcW w:w="3340" w:type="dxa"/>
            <w:vAlign w:val="bottom"/>
            <w:gridSpan w:val="3"/>
          </w:tcPr>
          <w:p>
            <w:pPr>
              <w:ind w:left="100"/>
              <w:spacing w:after="0"/>
              <w:rPr>
                <w:sz w:val="20"/>
                <w:szCs w:val="20"/>
                <w:color w:val="auto"/>
              </w:rPr>
            </w:pPr>
            <w:r>
              <w:rPr>
                <w:rFonts w:ascii="Arial" w:cs="Arial" w:eastAsia="Arial" w:hAnsi="Arial"/>
                <w:sz w:val="18"/>
                <w:szCs w:val="18"/>
                <w:color w:val="auto"/>
              </w:rPr>
              <w:t>Mercer Mall</w:t>
            </w:r>
          </w:p>
        </w:tc>
        <w:tc>
          <w:tcPr>
            <w:tcW w:w="1160" w:type="dxa"/>
            <w:vAlign w:val="bottom"/>
          </w:tcPr>
          <w:p>
            <w:pPr>
              <w:spacing w:after="0"/>
              <w:rPr>
                <w:sz w:val="20"/>
                <w:szCs w:val="20"/>
                <w:color w:val="auto"/>
              </w:rPr>
            </w:pPr>
            <w:r>
              <w:rPr>
                <w:rFonts w:ascii="Arial" w:cs="Arial" w:eastAsia="Arial" w:hAnsi="Arial"/>
                <w:sz w:val="18"/>
                <w:szCs w:val="18"/>
                <w:color w:val="auto"/>
              </w:rPr>
              <w:t>Lawrenceville</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NJ</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w w:val="98"/>
              </w:rPr>
              <w:t>Owned pursuant to ground lease that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w w:val="92"/>
              </w:rPr>
              <w:t>expires 9/30/2028 with an option for the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w w:val="88"/>
              </w:rPr>
              <w:t>tenant to purchase the property at a fixed</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price.</w:t>
            </w:r>
          </w:p>
        </w:tc>
        <w:tc>
          <w:tcPr>
            <w:tcW w:w="0" w:type="dxa"/>
            <w:vAlign w:val="bottom"/>
          </w:tcPr>
          <w:p>
            <w:pPr>
              <w:spacing w:after="0"/>
              <w:rPr>
                <w:sz w:val="1"/>
                <w:szCs w:val="1"/>
                <w:color w:val="auto"/>
              </w:rPr>
            </w:pPr>
          </w:p>
        </w:tc>
      </w:tr>
      <w:tr>
        <w:trPr>
          <w:trHeight w:val="216"/>
        </w:trPr>
        <w:tc>
          <w:tcPr>
            <w:tcW w:w="780" w:type="dxa"/>
            <w:vAlign w:val="bottom"/>
            <w:gridSpan w:val="2"/>
          </w:tcPr>
          <w:p>
            <w:pPr>
              <w:spacing w:after="0"/>
              <w:rPr>
                <w:sz w:val="20"/>
                <w:szCs w:val="20"/>
                <w:color w:val="auto"/>
              </w:rPr>
            </w:pPr>
            <w:r>
              <w:rPr>
                <w:rFonts w:ascii="Arial" w:cs="Arial" w:eastAsia="Arial" w:hAnsi="Arial"/>
                <w:sz w:val="18"/>
                <w:szCs w:val="18"/>
                <w:color w:val="auto"/>
                <w:w w:val="99"/>
              </w:rPr>
              <w:t>500-1476</w:t>
            </w:r>
          </w:p>
        </w:tc>
        <w:tc>
          <w:tcPr>
            <w:tcW w:w="3340" w:type="dxa"/>
            <w:vAlign w:val="bottom"/>
            <w:gridSpan w:val="3"/>
          </w:tcPr>
          <w:p>
            <w:pPr>
              <w:ind w:left="100"/>
              <w:spacing w:after="0"/>
              <w:rPr>
                <w:sz w:val="20"/>
                <w:szCs w:val="20"/>
                <w:color w:val="auto"/>
              </w:rPr>
            </w:pPr>
            <w:r>
              <w:rPr>
                <w:rFonts w:ascii="Arial" w:cs="Arial" w:eastAsia="Arial" w:hAnsi="Arial"/>
                <w:sz w:val="18"/>
                <w:szCs w:val="18"/>
                <w:color w:val="auto"/>
              </w:rPr>
              <w:t>Mercer Mall - Loupinski/Moore</w:t>
            </w:r>
          </w:p>
        </w:tc>
        <w:tc>
          <w:tcPr>
            <w:tcW w:w="1160" w:type="dxa"/>
            <w:vAlign w:val="bottom"/>
          </w:tcPr>
          <w:p>
            <w:pPr>
              <w:spacing w:after="0"/>
              <w:rPr>
                <w:sz w:val="20"/>
                <w:szCs w:val="20"/>
                <w:color w:val="auto"/>
              </w:rPr>
            </w:pPr>
            <w:r>
              <w:rPr>
                <w:rFonts w:ascii="Arial" w:cs="Arial" w:eastAsia="Arial" w:hAnsi="Arial"/>
                <w:sz w:val="18"/>
                <w:szCs w:val="18"/>
                <w:color w:val="auto"/>
              </w:rPr>
              <w:t>Lawrenceville</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NJ</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780" w:type="dxa"/>
            <w:vAlign w:val="bottom"/>
            <w:gridSpan w:val="2"/>
          </w:tcPr>
          <w:p>
            <w:pPr>
              <w:spacing w:after="0"/>
              <w:rPr>
                <w:sz w:val="20"/>
                <w:szCs w:val="20"/>
                <w:color w:val="auto"/>
              </w:rPr>
            </w:pPr>
            <w:r>
              <w:rPr>
                <w:rFonts w:ascii="Arial" w:cs="Arial" w:eastAsia="Arial" w:hAnsi="Arial"/>
                <w:sz w:val="18"/>
                <w:szCs w:val="18"/>
                <w:color w:val="auto"/>
                <w:w w:val="99"/>
              </w:rPr>
              <w:t>500-1480</w:t>
            </w:r>
          </w:p>
        </w:tc>
        <w:tc>
          <w:tcPr>
            <w:tcW w:w="3340" w:type="dxa"/>
            <w:vAlign w:val="bottom"/>
            <w:gridSpan w:val="3"/>
          </w:tcPr>
          <w:p>
            <w:pPr>
              <w:ind w:left="100"/>
              <w:spacing w:after="0"/>
              <w:rPr>
                <w:sz w:val="20"/>
                <w:szCs w:val="20"/>
                <w:color w:val="auto"/>
              </w:rPr>
            </w:pPr>
            <w:r>
              <w:rPr>
                <w:rFonts w:ascii="Arial" w:cs="Arial" w:eastAsia="Arial" w:hAnsi="Arial"/>
                <w:sz w:val="18"/>
                <w:szCs w:val="18"/>
                <w:color w:val="auto"/>
              </w:rPr>
              <w:t>Mid-Pike Plaza</w:t>
            </w:r>
          </w:p>
        </w:tc>
        <w:tc>
          <w:tcPr>
            <w:tcW w:w="1160" w:type="dxa"/>
            <w:vAlign w:val="bottom"/>
          </w:tcPr>
          <w:p>
            <w:pPr>
              <w:spacing w:after="0"/>
              <w:rPr>
                <w:sz w:val="20"/>
                <w:szCs w:val="20"/>
                <w:color w:val="auto"/>
              </w:rPr>
            </w:pPr>
            <w:r>
              <w:rPr>
                <w:rFonts w:ascii="Arial" w:cs="Arial" w:eastAsia="Arial" w:hAnsi="Arial"/>
                <w:sz w:val="18"/>
                <w:szCs w:val="18"/>
                <w:color w:val="auto"/>
              </w:rPr>
              <w:t>Rockville</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rPr>
              <w:t>MD</w:t>
            </w:r>
          </w:p>
        </w:tc>
        <w:tc>
          <w:tcPr>
            <w:tcW w:w="1080" w:type="dxa"/>
            <w:vAlign w:val="bottom"/>
          </w:tcPr>
          <w:p>
            <w:pPr>
              <w:spacing w:after="0"/>
              <w:rPr>
                <w:sz w:val="20"/>
                <w:szCs w:val="20"/>
                <w:color w:val="auto"/>
              </w:rPr>
            </w:pPr>
            <w:r>
              <w:rPr>
                <w:rFonts w:ascii="Arial" w:cs="Arial" w:eastAsia="Arial" w:hAnsi="Arial"/>
                <w:sz w:val="18"/>
                <w:szCs w:val="18"/>
                <w:color w:val="auto"/>
                <w:w w:val="91"/>
              </w:rPr>
              <w:t>Wholly Owned</w:t>
            </w: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6.1(z)</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Unencumbered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22,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w:t>
            </w:r>
          </w:p>
        </w:tc>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w w:val="98"/>
              </w:rPr>
              <w:t>Retail/Office/</w:t>
            </w: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020" w:type="dxa"/>
            <w:vAlign w:val="bottom"/>
            <w:gridSpan w:val="2"/>
            <w:vMerge w:val="continue"/>
          </w:tcPr>
          <w:p>
            <w:pPr>
              <w:spacing w:after="0"/>
              <w:rPr>
                <w:sz w:val="11"/>
                <w:szCs w:val="11"/>
                <w:color w:val="auto"/>
              </w:rPr>
            </w:pPr>
          </w:p>
        </w:tc>
        <w:tc>
          <w:tcPr>
            <w:tcW w:w="3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ind w:left="120"/>
              <w:spacing w:after="0" w:line="135" w:lineRule="exact"/>
              <w:rPr>
                <w:sz w:val="20"/>
                <w:szCs w:val="20"/>
                <w:color w:val="auto"/>
              </w:rPr>
            </w:pPr>
            <w:r>
              <w:rPr>
                <w:rFonts w:ascii="Arial" w:cs="Arial" w:eastAsia="Arial" w:hAnsi="Arial"/>
                <w:sz w:val="14"/>
                <w:szCs w:val="14"/>
                <w:b w:val="1"/>
                <w:bCs w:val="1"/>
                <w:color w:val="auto"/>
              </w:rPr>
              <w:t>Multifamily/</w:t>
            </w:r>
          </w:p>
        </w:tc>
        <w:tc>
          <w:tcPr>
            <w:tcW w:w="3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8"/>
              </w:rPr>
              <w:t>Number</w:t>
            </w:r>
          </w:p>
        </w:tc>
        <w:tc>
          <w:tcPr>
            <w:tcW w:w="480" w:type="dxa"/>
            <w:vAlign w:val="bottom"/>
          </w:tcPr>
          <w:p>
            <w:pPr>
              <w:spacing w:after="0"/>
              <w:rPr>
                <w:sz w:val="12"/>
                <w:szCs w:val="12"/>
                <w:color w:val="auto"/>
              </w:rPr>
            </w:pPr>
          </w:p>
        </w:tc>
        <w:tc>
          <w:tcPr>
            <w:tcW w:w="3980" w:type="dxa"/>
            <w:vAlign w:val="bottom"/>
            <w:gridSpan w:val="2"/>
          </w:tcPr>
          <w:p>
            <w:pPr>
              <w:ind w:left="1560"/>
              <w:spacing w:after="0" w:line="129" w:lineRule="exact"/>
              <w:rPr>
                <w:sz w:val="20"/>
                <w:szCs w:val="20"/>
                <w:color w:val="auto"/>
              </w:rPr>
            </w:pPr>
            <w:r>
              <w:rPr>
                <w:rFonts w:ascii="Arial" w:cs="Arial" w:eastAsia="Arial" w:hAnsi="Arial"/>
                <w:sz w:val="14"/>
                <w:szCs w:val="14"/>
                <w:b w:val="1"/>
                <w:bCs w:val="1"/>
                <w:color w:val="auto"/>
              </w:rPr>
              <w:t>Property</w:t>
            </w:r>
          </w:p>
        </w:tc>
        <w:tc>
          <w:tcPr>
            <w:tcW w:w="1080" w:type="dxa"/>
            <w:vAlign w:val="bottom"/>
          </w:tcPr>
          <w:p>
            <w:pPr>
              <w:ind w:left="420"/>
              <w:spacing w:after="0" w:line="129" w:lineRule="exact"/>
              <w:rPr>
                <w:sz w:val="20"/>
                <w:szCs w:val="20"/>
                <w:color w:val="auto"/>
              </w:rPr>
            </w:pPr>
            <w:r>
              <w:rPr>
                <w:rFonts w:ascii="Arial" w:cs="Arial" w:eastAsia="Arial" w:hAnsi="Arial"/>
                <w:sz w:val="14"/>
                <w:szCs w:val="14"/>
                <w:b w:val="1"/>
                <w:bCs w:val="1"/>
                <w:color w:val="auto"/>
              </w:rPr>
              <w:t>City</w:t>
            </w:r>
          </w:p>
        </w:tc>
        <w:tc>
          <w:tcPr>
            <w:tcW w:w="340" w:type="dxa"/>
            <w:vAlign w:val="bottom"/>
          </w:tcPr>
          <w:p>
            <w:pPr>
              <w:spacing w:after="0"/>
              <w:rPr>
                <w:sz w:val="12"/>
                <w:szCs w:val="12"/>
                <w:color w:val="auto"/>
              </w:rPr>
            </w:pPr>
          </w:p>
        </w:tc>
        <w:tc>
          <w:tcPr>
            <w:tcW w:w="28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ST</w:t>
            </w:r>
          </w:p>
        </w:tc>
        <w:tc>
          <w:tcPr>
            <w:tcW w:w="340" w:type="dxa"/>
            <w:vAlign w:val="bottom"/>
          </w:tcPr>
          <w:p>
            <w:pPr>
              <w:spacing w:after="0"/>
              <w:rPr>
                <w:sz w:val="12"/>
                <w:szCs w:val="12"/>
                <w:color w:val="auto"/>
              </w:rPr>
            </w:pPr>
          </w:p>
        </w:tc>
        <w:tc>
          <w:tcPr>
            <w:tcW w:w="14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9"/>
              </w:rPr>
              <w:t>Property Type</w:t>
            </w:r>
          </w:p>
        </w:tc>
        <w:tc>
          <w:tcPr>
            <w:tcW w:w="960" w:type="dxa"/>
            <w:vAlign w:val="bottom"/>
          </w:tcPr>
          <w:p>
            <w:pPr>
              <w:spacing w:after="0" w:line="129" w:lineRule="exact"/>
              <w:rPr>
                <w:sz w:val="20"/>
                <w:szCs w:val="20"/>
                <w:color w:val="auto"/>
              </w:rPr>
            </w:pPr>
            <w:r>
              <w:rPr>
                <w:rFonts w:ascii="Arial" w:cs="Arial" w:eastAsia="Arial" w:hAnsi="Arial"/>
                <w:sz w:val="14"/>
                <w:szCs w:val="14"/>
                <w:b w:val="1"/>
                <w:bCs w:val="1"/>
                <w:color w:val="auto"/>
                <w:w w:val="86"/>
              </w:rPr>
              <w:t>Development [1]</w:t>
            </w:r>
          </w:p>
        </w:tc>
        <w:tc>
          <w:tcPr>
            <w:tcW w:w="340" w:type="dxa"/>
            <w:vAlign w:val="bottom"/>
          </w:tcPr>
          <w:p>
            <w:pPr>
              <w:spacing w:after="0"/>
              <w:rPr>
                <w:sz w:val="12"/>
                <w:szCs w:val="12"/>
                <w:color w:val="auto"/>
              </w:rPr>
            </w:pPr>
          </w:p>
        </w:tc>
        <w:tc>
          <w:tcPr>
            <w:tcW w:w="1660" w:type="dxa"/>
            <w:vAlign w:val="bottom"/>
          </w:tcPr>
          <w:p>
            <w:pPr>
              <w:spacing w:after="0" w:line="129" w:lineRule="exact"/>
              <w:rPr>
                <w:sz w:val="20"/>
                <w:szCs w:val="20"/>
                <w:color w:val="auto"/>
              </w:rPr>
            </w:pPr>
            <w:r>
              <w:rPr>
                <w:rFonts w:ascii="Arial" w:cs="Arial" w:eastAsia="Arial" w:hAnsi="Arial"/>
                <w:sz w:val="14"/>
                <w:szCs w:val="14"/>
                <w:b w:val="1"/>
                <w:bCs w:val="1"/>
                <w:color w:val="auto"/>
                <w:w w:val="86"/>
              </w:rPr>
              <w:t>Eligible Property Exceptions</w:t>
            </w: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020" w:type="dxa"/>
            <w:vAlign w:val="bottom"/>
            <w:gridSpan w:val="2"/>
          </w:tcPr>
          <w:p>
            <w:pPr>
              <w:spacing w:after="0"/>
              <w:rPr>
                <w:sz w:val="20"/>
                <w:szCs w:val="20"/>
                <w:color w:val="auto"/>
              </w:rPr>
            </w:pPr>
            <w:r>
              <w:rPr>
                <w:rFonts w:ascii="Arial" w:cs="Arial" w:eastAsia="Arial" w:hAnsi="Arial"/>
                <w:sz w:val="18"/>
                <w:szCs w:val="18"/>
                <w:color w:val="auto"/>
              </w:rPr>
              <w:t>500-1500</w:t>
            </w:r>
          </w:p>
        </w:tc>
        <w:tc>
          <w:tcPr>
            <w:tcW w:w="3980" w:type="dxa"/>
            <w:vAlign w:val="bottom"/>
            <w:gridSpan w:val="2"/>
          </w:tcPr>
          <w:p>
            <w:pPr>
              <w:spacing w:after="0"/>
              <w:rPr>
                <w:sz w:val="20"/>
                <w:szCs w:val="20"/>
                <w:color w:val="auto"/>
              </w:rPr>
            </w:pPr>
            <w:r>
              <w:rPr>
                <w:rFonts w:ascii="Arial" w:cs="Arial" w:eastAsia="Arial" w:hAnsi="Arial"/>
                <w:sz w:val="18"/>
                <w:szCs w:val="18"/>
                <w:color w:val="auto"/>
              </w:rPr>
              <w:t>Town Center of New Britain</w:t>
            </w:r>
          </w:p>
        </w:tc>
        <w:tc>
          <w:tcPr>
            <w:tcW w:w="1080" w:type="dxa"/>
            <w:vAlign w:val="bottom"/>
          </w:tcPr>
          <w:p>
            <w:pPr>
              <w:spacing w:after="0"/>
              <w:rPr>
                <w:sz w:val="20"/>
                <w:szCs w:val="20"/>
                <w:color w:val="auto"/>
              </w:rPr>
            </w:pPr>
            <w:r>
              <w:rPr>
                <w:rFonts w:ascii="Arial" w:cs="Arial" w:eastAsia="Arial" w:hAnsi="Arial"/>
                <w:sz w:val="18"/>
                <w:szCs w:val="18"/>
                <w:color w:val="auto"/>
              </w:rPr>
              <w:t>New Britain</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PA</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3"/>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000" w:type="dxa"/>
            <w:vAlign w:val="bottom"/>
            <w:gridSpan w:val="2"/>
          </w:tcPr>
          <w:p>
            <w:pPr>
              <w:ind w:left="3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500-1520</w:t>
            </w:r>
          </w:p>
        </w:tc>
        <w:tc>
          <w:tcPr>
            <w:tcW w:w="3980" w:type="dxa"/>
            <w:vAlign w:val="bottom"/>
            <w:gridSpan w:val="2"/>
          </w:tcPr>
          <w:p>
            <w:pPr>
              <w:spacing w:after="0"/>
              <w:rPr>
                <w:sz w:val="20"/>
                <w:szCs w:val="20"/>
                <w:color w:val="auto"/>
              </w:rPr>
            </w:pPr>
            <w:r>
              <w:rPr>
                <w:rFonts w:ascii="Arial" w:cs="Arial" w:eastAsia="Arial" w:hAnsi="Arial"/>
                <w:sz w:val="18"/>
                <w:szCs w:val="18"/>
                <w:color w:val="auto"/>
              </w:rPr>
              <w:t>Northeast Shopping Center</w:t>
            </w:r>
          </w:p>
        </w:tc>
        <w:tc>
          <w:tcPr>
            <w:tcW w:w="1080" w:type="dxa"/>
            <w:vAlign w:val="bottom"/>
          </w:tcPr>
          <w:p>
            <w:pPr>
              <w:spacing w:after="0"/>
              <w:rPr>
                <w:sz w:val="20"/>
                <w:szCs w:val="20"/>
                <w:color w:val="auto"/>
              </w:rPr>
            </w:pPr>
            <w:r>
              <w:rPr>
                <w:rFonts w:ascii="Arial" w:cs="Arial" w:eastAsia="Arial" w:hAnsi="Arial"/>
                <w:sz w:val="18"/>
                <w:szCs w:val="18"/>
                <w:color w:val="auto"/>
              </w:rPr>
              <w:t>Philadelphia</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PA</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3"/>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000" w:type="dxa"/>
            <w:vAlign w:val="bottom"/>
            <w:gridSpan w:val="2"/>
          </w:tcPr>
          <w:p>
            <w:pPr>
              <w:ind w:left="3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500-1525</w:t>
            </w:r>
          </w:p>
        </w:tc>
        <w:tc>
          <w:tcPr>
            <w:tcW w:w="3980" w:type="dxa"/>
            <w:vAlign w:val="bottom"/>
            <w:gridSpan w:val="2"/>
          </w:tcPr>
          <w:p>
            <w:pPr>
              <w:spacing w:after="0"/>
              <w:rPr>
                <w:sz w:val="20"/>
                <w:szCs w:val="20"/>
                <w:color w:val="auto"/>
              </w:rPr>
            </w:pPr>
            <w:r>
              <w:rPr>
                <w:rFonts w:ascii="Arial" w:cs="Arial" w:eastAsia="Arial" w:hAnsi="Arial"/>
                <w:sz w:val="18"/>
                <w:szCs w:val="18"/>
                <w:color w:val="auto"/>
              </w:rPr>
              <w:t>North Lake Commons</w:t>
            </w:r>
          </w:p>
        </w:tc>
        <w:tc>
          <w:tcPr>
            <w:tcW w:w="1080" w:type="dxa"/>
            <w:vAlign w:val="bottom"/>
          </w:tcPr>
          <w:p>
            <w:pPr>
              <w:spacing w:after="0"/>
              <w:rPr>
                <w:sz w:val="20"/>
                <w:szCs w:val="20"/>
                <w:color w:val="auto"/>
              </w:rPr>
            </w:pPr>
            <w:r>
              <w:rPr>
                <w:rFonts w:ascii="Arial" w:cs="Arial" w:eastAsia="Arial" w:hAnsi="Arial"/>
                <w:sz w:val="18"/>
                <w:szCs w:val="18"/>
                <w:color w:val="auto"/>
              </w:rPr>
              <w:t>Lake Zurich</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IL</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3"/>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000" w:type="dxa"/>
            <w:vAlign w:val="bottom"/>
            <w:gridSpan w:val="2"/>
          </w:tcPr>
          <w:p>
            <w:pPr>
              <w:ind w:left="3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500-1560</w:t>
            </w:r>
          </w:p>
        </w:tc>
        <w:tc>
          <w:tcPr>
            <w:tcW w:w="3980" w:type="dxa"/>
            <w:vAlign w:val="bottom"/>
            <w:gridSpan w:val="2"/>
          </w:tcPr>
          <w:p>
            <w:pPr>
              <w:spacing w:after="0"/>
              <w:rPr>
                <w:sz w:val="20"/>
                <w:szCs w:val="20"/>
                <w:color w:val="auto"/>
              </w:rPr>
            </w:pPr>
            <w:r>
              <w:rPr>
                <w:rFonts w:ascii="Arial" w:cs="Arial" w:eastAsia="Arial" w:hAnsi="Arial"/>
                <w:sz w:val="18"/>
                <w:szCs w:val="18"/>
                <w:color w:val="auto"/>
              </w:rPr>
              <w:t>Old Keene Mill Shopping Center</w:t>
            </w:r>
          </w:p>
        </w:tc>
        <w:tc>
          <w:tcPr>
            <w:tcW w:w="1080" w:type="dxa"/>
            <w:vAlign w:val="bottom"/>
          </w:tcPr>
          <w:p>
            <w:pPr>
              <w:spacing w:after="0"/>
              <w:rPr>
                <w:sz w:val="20"/>
                <w:szCs w:val="20"/>
                <w:color w:val="auto"/>
              </w:rPr>
            </w:pPr>
            <w:r>
              <w:rPr>
                <w:rFonts w:ascii="Arial" w:cs="Arial" w:eastAsia="Arial" w:hAnsi="Arial"/>
                <w:sz w:val="18"/>
                <w:szCs w:val="18"/>
                <w:color w:val="auto"/>
              </w:rPr>
              <w:t>Springfield</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VA</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3"/>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000" w:type="dxa"/>
            <w:vAlign w:val="bottom"/>
            <w:gridSpan w:val="2"/>
          </w:tcPr>
          <w:p>
            <w:pPr>
              <w:ind w:left="3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500-1580</w:t>
            </w:r>
          </w:p>
        </w:tc>
        <w:tc>
          <w:tcPr>
            <w:tcW w:w="3980" w:type="dxa"/>
            <w:vAlign w:val="bottom"/>
            <w:gridSpan w:val="2"/>
          </w:tcPr>
          <w:p>
            <w:pPr>
              <w:spacing w:after="0"/>
              <w:rPr>
                <w:sz w:val="20"/>
                <w:szCs w:val="20"/>
                <w:color w:val="auto"/>
              </w:rPr>
            </w:pPr>
            <w:r>
              <w:rPr>
                <w:rFonts w:ascii="Arial" w:cs="Arial" w:eastAsia="Arial" w:hAnsi="Arial"/>
                <w:sz w:val="18"/>
                <w:szCs w:val="18"/>
                <w:color w:val="auto"/>
              </w:rPr>
              <w:t>Pan Am Shopping Center</w:t>
            </w:r>
          </w:p>
        </w:tc>
        <w:tc>
          <w:tcPr>
            <w:tcW w:w="1080" w:type="dxa"/>
            <w:vAlign w:val="bottom"/>
          </w:tcPr>
          <w:p>
            <w:pPr>
              <w:spacing w:after="0"/>
              <w:rPr>
                <w:sz w:val="20"/>
                <w:szCs w:val="20"/>
                <w:color w:val="auto"/>
              </w:rPr>
            </w:pPr>
            <w:r>
              <w:rPr>
                <w:rFonts w:ascii="Arial" w:cs="Arial" w:eastAsia="Arial" w:hAnsi="Arial"/>
                <w:sz w:val="18"/>
                <w:szCs w:val="18"/>
                <w:color w:val="auto"/>
              </w:rPr>
              <w:t>Fairfax</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VA</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3"/>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000" w:type="dxa"/>
            <w:vAlign w:val="bottom"/>
            <w:gridSpan w:val="2"/>
          </w:tcPr>
          <w:p>
            <w:pPr>
              <w:ind w:left="3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500-1610</w:t>
            </w:r>
          </w:p>
        </w:tc>
        <w:tc>
          <w:tcPr>
            <w:tcW w:w="3980" w:type="dxa"/>
            <w:vAlign w:val="bottom"/>
            <w:gridSpan w:val="2"/>
          </w:tcPr>
          <w:p>
            <w:pPr>
              <w:spacing w:after="0"/>
              <w:rPr>
                <w:sz w:val="20"/>
                <w:szCs w:val="20"/>
                <w:color w:val="auto"/>
              </w:rPr>
            </w:pPr>
            <w:r>
              <w:rPr>
                <w:rFonts w:ascii="Arial" w:cs="Arial" w:eastAsia="Arial" w:hAnsi="Arial"/>
                <w:sz w:val="18"/>
                <w:szCs w:val="18"/>
                <w:color w:val="auto"/>
              </w:rPr>
              <w:t>Queen Anne Plaza</w:t>
            </w:r>
          </w:p>
        </w:tc>
        <w:tc>
          <w:tcPr>
            <w:tcW w:w="1080" w:type="dxa"/>
            <w:vAlign w:val="bottom"/>
          </w:tcPr>
          <w:p>
            <w:pPr>
              <w:spacing w:after="0"/>
              <w:rPr>
                <w:sz w:val="20"/>
                <w:szCs w:val="20"/>
                <w:color w:val="auto"/>
              </w:rPr>
            </w:pPr>
            <w:r>
              <w:rPr>
                <w:rFonts w:ascii="Arial" w:cs="Arial" w:eastAsia="Arial" w:hAnsi="Arial"/>
                <w:sz w:val="18"/>
                <w:szCs w:val="18"/>
                <w:color w:val="auto"/>
              </w:rPr>
              <w:t>Norwell</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w w:val="96"/>
              </w:rPr>
              <w:t>MA</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3"/>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000" w:type="dxa"/>
            <w:vAlign w:val="bottom"/>
            <w:gridSpan w:val="2"/>
          </w:tcPr>
          <w:p>
            <w:pPr>
              <w:ind w:left="3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500-1625</w:t>
            </w:r>
          </w:p>
        </w:tc>
        <w:tc>
          <w:tcPr>
            <w:tcW w:w="3980" w:type="dxa"/>
            <w:vAlign w:val="bottom"/>
            <w:gridSpan w:val="2"/>
          </w:tcPr>
          <w:p>
            <w:pPr>
              <w:spacing w:after="0"/>
              <w:rPr>
                <w:sz w:val="20"/>
                <w:szCs w:val="20"/>
                <w:color w:val="auto"/>
              </w:rPr>
            </w:pPr>
            <w:r>
              <w:rPr>
                <w:rFonts w:ascii="Arial" w:cs="Arial" w:eastAsia="Arial" w:hAnsi="Arial"/>
                <w:sz w:val="18"/>
                <w:szCs w:val="18"/>
                <w:color w:val="auto"/>
              </w:rPr>
              <w:t>Quince Orchard Shopping Center</w:t>
            </w:r>
          </w:p>
        </w:tc>
        <w:tc>
          <w:tcPr>
            <w:tcW w:w="1080" w:type="dxa"/>
            <w:vAlign w:val="bottom"/>
          </w:tcPr>
          <w:p>
            <w:pPr>
              <w:spacing w:after="0"/>
              <w:rPr>
                <w:sz w:val="20"/>
                <w:szCs w:val="20"/>
                <w:color w:val="auto"/>
              </w:rPr>
            </w:pPr>
            <w:r>
              <w:rPr>
                <w:rFonts w:ascii="Arial" w:cs="Arial" w:eastAsia="Arial" w:hAnsi="Arial"/>
                <w:sz w:val="18"/>
                <w:szCs w:val="18"/>
                <w:color w:val="auto"/>
              </w:rPr>
              <w:t>Gaithersburg</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w w:val="92"/>
              </w:rPr>
              <w:t>MD</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3"/>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000" w:type="dxa"/>
            <w:vAlign w:val="bottom"/>
            <w:gridSpan w:val="2"/>
          </w:tcPr>
          <w:p>
            <w:pPr>
              <w:ind w:left="3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500-1626</w:t>
            </w:r>
          </w:p>
        </w:tc>
        <w:tc>
          <w:tcPr>
            <w:tcW w:w="3980" w:type="dxa"/>
            <w:vAlign w:val="bottom"/>
            <w:gridSpan w:val="2"/>
          </w:tcPr>
          <w:p>
            <w:pPr>
              <w:spacing w:after="0"/>
              <w:rPr>
                <w:sz w:val="20"/>
                <w:szCs w:val="20"/>
                <w:color w:val="auto"/>
              </w:rPr>
            </w:pPr>
            <w:r>
              <w:rPr>
                <w:rFonts w:ascii="Arial" w:cs="Arial" w:eastAsia="Arial" w:hAnsi="Arial"/>
                <w:sz w:val="18"/>
                <w:szCs w:val="18"/>
                <w:color w:val="auto"/>
              </w:rPr>
              <w:t>Quince Orchard Office Building</w:t>
            </w:r>
          </w:p>
        </w:tc>
        <w:tc>
          <w:tcPr>
            <w:tcW w:w="1080" w:type="dxa"/>
            <w:vAlign w:val="bottom"/>
          </w:tcPr>
          <w:p>
            <w:pPr>
              <w:spacing w:after="0"/>
              <w:rPr>
                <w:sz w:val="20"/>
                <w:szCs w:val="20"/>
                <w:color w:val="auto"/>
              </w:rPr>
            </w:pPr>
            <w:r>
              <w:rPr>
                <w:rFonts w:ascii="Arial" w:cs="Arial" w:eastAsia="Arial" w:hAnsi="Arial"/>
                <w:sz w:val="18"/>
                <w:szCs w:val="18"/>
                <w:color w:val="auto"/>
              </w:rPr>
              <w:t>Gaithersburg</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w w:val="92"/>
              </w:rPr>
              <w:t>MD</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3"/>
              </w:rPr>
              <w:t>Wholly Owned</w:t>
            </w:r>
          </w:p>
        </w:tc>
        <w:tc>
          <w:tcPr>
            <w:tcW w:w="960" w:type="dxa"/>
            <w:vAlign w:val="bottom"/>
          </w:tcPr>
          <w:p>
            <w:pPr>
              <w:spacing w:after="0"/>
              <w:rPr>
                <w:sz w:val="20"/>
                <w:szCs w:val="20"/>
                <w:color w:val="auto"/>
              </w:rPr>
            </w:pPr>
            <w:r>
              <w:rPr>
                <w:rFonts w:ascii="Arial" w:cs="Arial" w:eastAsia="Arial" w:hAnsi="Arial"/>
                <w:sz w:val="18"/>
                <w:szCs w:val="18"/>
                <w:color w:val="auto"/>
              </w:rPr>
              <w:t>Office</w:t>
            </w:r>
          </w:p>
        </w:tc>
        <w:tc>
          <w:tcPr>
            <w:tcW w:w="2000" w:type="dxa"/>
            <w:vAlign w:val="bottom"/>
            <w:gridSpan w:val="2"/>
          </w:tcPr>
          <w:p>
            <w:pPr>
              <w:ind w:left="3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500-1627</w:t>
            </w:r>
          </w:p>
        </w:tc>
        <w:tc>
          <w:tcPr>
            <w:tcW w:w="3980" w:type="dxa"/>
            <w:vAlign w:val="bottom"/>
            <w:gridSpan w:val="2"/>
          </w:tcPr>
          <w:p>
            <w:pPr>
              <w:spacing w:after="0"/>
              <w:rPr>
                <w:sz w:val="20"/>
                <w:szCs w:val="20"/>
                <w:color w:val="auto"/>
              </w:rPr>
            </w:pPr>
            <w:r>
              <w:rPr>
                <w:rFonts w:ascii="Arial" w:cs="Arial" w:eastAsia="Arial" w:hAnsi="Arial"/>
                <w:sz w:val="18"/>
                <w:szCs w:val="18"/>
                <w:color w:val="auto"/>
              </w:rPr>
              <w:t>7700 Richmond Highway</w:t>
            </w:r>
          </w:p>
        </w:tc>
        <w:tc>
          <w:tcPr>
            <w:tcW w:w="1080" w:type="dxa"/>
            <w:vAlign w:val="bottom"/>
          </w:tcPr>
          <w:p>
            <w:pPr>
              <w:spacing w:after="0"/>
              <w:rPr>
                <w:sz w:val="20"/>
                <w:szCs w:val="20"/>
                <w:color w:val="auto"/>
              </w:rPr>
            </w:pPr>
            <w:r>
              <w:rPr>
                <w:rFonts w:ascii="Arial" w:cs="Arial" w:eastAsia="Arial" w:hAnsi="Arial"/>
                <w:sz w:val="18"/>
                <w:szCs w:val="18"/>
                <w:color w:val="auto"/>
              </w:rPr>
              <w:t>Alexandria</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VA</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3"/>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000" w:type="dxa"/>
            <w:vAlign w:val="bottom"/>
            <w:gridSpan w:val="2"/>
          </w:tcPr>
          <w:p>
            <w:pPr>
              <w:ind w:left="3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500-1700</w:t>
            </w:r>
          </w:p>
        </w:tc>
        <w:tc>
          <w:tcPr>
            <w:tcW w:w="3980" w:type="dxa"/>
            <w:vAlign w:val="bottom"/>
            <w:gridSpan w:val="2"/>
          </w:tcPr>
          <w:p>
            <w:pPr>
              <w:spacing w:after="0"/>
              <w:rPr>
                <w:sz w:val="20"/>
                <w:szCs w:val="20"/>
                <w:color w:val="auto"/>
              </w:rPr>
            </w:pPr>
            <w:r>
              <w:rPr>
                <w:rFonts w:ascii="Arial" w:cs="Arial" w:eastAsia="Arial" w:hAnsi="Arial"/>
                <w:sz w:val="18"/>
                <w:szCs w:val="18"/>
                <w:color w:val="auto"/>
              </w:rPr>
              <w:t>Saugus Plaza</w:t>
            </w:r>
          </w:p>
        </w:tc>
        <w:tc>
          <w:tcPr>
            <w:tcW w:w="1080" w:type="dxa"/>
            <w:vAlign w:val="bottom"/>
          </w:tcPr>
          <w:p>
            <w:pPr>
              <w:spacing w:after="0"/>
              <w:rPr>
                <w:sz w:val="20"/>
                <w:szCs w:val="20"/>
                <w:color w:val="auto"/>
              </w:rPr>
            </w:pPr>
            <w:r>
              <w:rPr>
                <w:rFonts w:ascii="Arial" w:cs="Arial" w:eastAsia="Arial" w:hAnsi="Arial"/>
                <w:sz w:val="18"/>
                <w:szCs w:val="18"/>
                <w:color w:val="auto"/>
              </w:rPr>
              <w:t>Saugus</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w w:val="96"/>
              </w:rPr>
              <w:t>MA</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3"/>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000" w:type="dxa"/>
            <w:vAlign w:val="bottom"/>
            <w:gridSpan w:val="2"/>
          </w:tcPr>
          <w:p>
            <w:pPr>
              <w:ind w:left="3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500-1750</w:t>
            </w:r>
          </w:p>
        </w:tc>
        <w:tc>
          <w:tcPr>
            <w:tcW w:w="3980" w:type="dxa"/>
            <w:vAlign w:val="bottom"/>
            <w:gridSpan w:val="2"/>
          </w:tcPr>
          <w:p>
            <w:pPr>
              <w:spacing w:after="0"/>
              <w:rPr>
                <w:sz w:val="20"/>
                <w:szCs w:val="20"/>
                <w:color w:val="auto"/>
              </w:rPr>
            </w:pPr>
            <w:r>
              <w:rPr>
                <w:rFonts w:ascii="Arial" w:cs="Arial" w:eastAsia="Arial" w:hAnsi="Arial"/>
                <w:sz w:val="18"/>
                <w:szCs w:val="18"/>
                <w:color w:val="auto"/>
              </w:rPr>
              <w:t>Tower Shopping Center</w:t>
            </w:r>
          </w:p>
        </w:tc>
        <w:tc>
          <w:tcPr>
            <w:tcW w:w="1080" w:type="dxa"/>
            <w:vAlign w:val="bottom"/>
          </w:tcPr>
          <w:p>
            <w:pPr>
              <w:spacing w:after="0"/>
              <w:rPr>
                <w:sz w:val="20"/>
                <w:szCs w:val="20"/>
                <w:color w:val="auto"/>
              </w:rPr>
            </w:pPr>
            <w:r>
              <w:rPr>
                <w:rFonts w:ascii="Arial" w:cs="Arial" w:eastAsia="Arial" w:hAnsi="Arial"/>
                <w:sz w:val="18"/>
                <w:szCs w:val="18"/>
                <w:color w:val="auto"/>
              </w:rPr>
              <w:t>Springfield</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VA</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3"/>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000" w:type="dxa"/>
            <w:vAlign w:val="bottom"/>
            <w:gridSpan w:val="2"/>
          </w:tcPr>
          <w:p>
            <w:pPr>
              <w:ind w:left="3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500-1761</w:t>
            </w:r>
          </w:p>
        </w:tc>
        <w:tc>
          <w:tcPr>
            <w:tcW w:w="3980" w:type="dxa"/>
            <w:vAlign w:val="bottom"/>
            <w:gridSpan w:val="2"/>
          </w:tcPr>
          <w:p>
            <w:pPr>
              <w:spacing w:after="0"/>
              <w:rPr>
                <w:sz w:val="20"/>
                <w:szCs w:val="20"/>
                <w:color w:val="auto"/>
              </w:rPr>
            </w:pPr>
            <w:r>
              <w:rPr>
                <w:rFonts w:ascii="Arial" w:cs="Arial" w:eastAsia="Arial" w:hAnsi="Arial"/>
                <w:sz w:val="18"/>
                <w:szCs w:val="18"/>
                <w:color w:val="auto"/>
              </w:rPr>
              <w:t>Troy Shopping Center</w:t>
            </w:r>
          </w:p>
        </w:tc>
        <w:tc>
          <w:tcPr>
            <w:tcW w:w="1080" w:type="dxa"/>
            <w:vAlign w:val="bottom"/>
          </w:tcPr>
          <w:p>
            <w:pPr>
              <w:spacing w:after="0"/>
              <w:rPr>
                <w:sz w:val="20"/>
                <w:szCs w:val="20"/>
                <w:color w:val="auto"/>
              </w:rPr>
            </w:pPr>
            <w:r>
              <w:rPr>
                <w:rFonts w:ascii="Arial" w:cs="Arial" w:eastAsia="Arial" w:hAnsi="Arial"/>
                <w:sz w:val="18"/>
                <w:szCs w:val="18"/>
                <w:color w:val="auto"/>
              </w:rPr>
              <w:t>Parsippany-</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NJ</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3"/>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000" w:type="dxa"/>
            <w:vAlign w:val="bottom"/>
            <w:gridSpan w:val="2"/>
          </w:tcPr>
          <w:p>
            <w:pPr>
              <w:ind w:left="3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Troy</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500-1763</w:t>
            </w:r>
          </w:p>
        </w:tc>
        <w:tc>
          <w:tcPr>
            <w:tcW w:w="3980" w:type="dxa"/>
            <w:vAlign w:val="bottom"/>
            <w:gridSpan w:val="2"/>
          </w:tcPr>
          <w:p>
            <w:pPr>
              <w:spacing w:after="0"/>
              <w:rPr>
                <w:sz w:val="20"/>
                <w:szCs w:val="20"/>
                <w:color w:val="auto"/>
              </w:rPr>
            </w:pPr>
            <w:r>
              <w:rPr>
                <w:rFonts w:ascii="Arial" w:cs="Arial" w:eastAsia="Arial" w:hAnsi="Arial"/>
                <w:sz w:val="18"/>
                <w:szCs w:val="18"/>
                <w:color w:val="auto"/>
              </w:rPr>
              <w:t>Tysons Station Shopping Center</w:t>
            </w:r>
          </w:p>
        </w:tc>
        <w:tc>
          <w:tcPr>
            <w:tcW w:w="1080" w:type="dxa"/>
            <w:vAlign w:val="bottom"/>
          </w:tcPr>
          <w:p>
            <w:pPr>
              <w:spacing w:after="0"/>
              <w:rPr>
                <w:sz w:val="20"/>
                <w:szCs w:val="20"/>
                <w:color w:val="auto"/>
              </w:rPr>
            </w:pPr>
            <w:r>
              <w:rPr>
                <w:rFonts w:ascii="Arial" w:cs="Arial" w:eastAsia="Arial" w:hAnsi="Arial"/>
                <w:sz w:val="18"/>
                <w:szCs w:val="18"/>
                <w:color w:val="auto"/>
              </w:rPr>
              <w:t>Falls Church</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VA</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3"/>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000" w:type="dxa"/>
            <w:vAlign w:val="bottom"/>
            <w:gridSpan w:val="2"/>
          </w:tcPr>
          <w:p>
            <w:pPr>
              <w:ind w:left="3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500-1880</w:t>
            </w:r>
          </w:p>
        </w:tc>
        <w:tc>
          <w:tcPr>
            <w:tcW w:w="3980" w:type="dxa"/>
            <w:vAlign w:val="bottom"/>
            <w:gridSpan w:val="2"/>
          </w:tcPr>
          <w:p>
            <w:pPr>
              <w:spacing w:after="0"/>
              <w:rPr>
                <w:sz w:val="20"/>
                <w:szCs w:val="20"/>
                <w:color w:val="auto"/>
              </w:rPr>
            </w:pPr>
            <w:r>
              <w:rPr>
                <w:rFonts w:ascii="Arial" w:cs="Arial" w:eastAsia="Arial" w:hAnsi="Arial"/>
                <w:sz w:val="18"/>
                <w:szCs w:val="18"/>
                <w:color w:val="auto"/>
              </w:rPr>
              <w:t>Falls Plaza - East</w:t>
            </w:r>
          </w:p>
        </w:tc>
        <w:tc>
          <w:tcPr>
            <w:tcW w:w="1080" w:type="dxa"/>
            <w:vAlign w:val="bottom"/>
          </w:tcPr>
          <w:p>
            <w:pPr>
              <w:spacing w:after="0"/>
              <w:rPr>
                <w:sz w:val="20"/>
                <w:szCs w:val="20"/>
                <w:color w:val="auto"/>
              </w:rPr>
            </w:pPr>
            <w:r>
              <w:rPr>
                <w:rFonts w:ascii="Arial" w:cs="Arial" w:eastAsia="Arial" w:hAnsi="Arial"/>
                <w:sz w:val="18"/>
                <w:szCs w:val="18"/>
                <w:color w:val="auto"/>
              </w:rPr>
              <w:t>Falls Church</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VA</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3"/>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000" w:type="dxa"/>
            <w:vAlign w:val="bottom"/>
            <w:gridSpan w:val="2"/>
          </w:tcPr>
          <w:p>
            <w:pPr>
              <w:ind w:left="3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500-1883</w:t>
            </w:r>
          </w:p>
        </w:tc>
        <w:tc>
          <w:tcPr>
            <w:tcW w:w="3980" w:type="dxa"/>
            <w:vAlign w:val="bottom"/>
            <w:gridSpan w:val="2"/>
          </w:tcPr>
          <w:p>
            <w:pPr>
              <w:spacing w:after="0"/>
              <w:rPr>
                <w:sz w:val="20"/>
                <w:szCs w:val="20"/>
                <w:color w:val="auto"/>
              </w:rPr>
            </w:pPr>
            <w:r>
              <w:rPr>
                <w:rFonts w:ascii="Arial" w:cs="Arial" w:eastAsia="Arial" w:hAnsi="Arial"/>
                <w:sz w:val="18"/>
                <w:szCs w:val="18"/>
                <w:color w:val="auto"/>
              </w:rPr>
              <w:t>The Shops at Willow Lawn</w:t>
            </w:r>
          </w:p>
        </w:tc>
        <w:tc>
          <w:tcPr>
            <w:tcW w:w="1080" w:type="dxa"/>
            <w:vAlign w:val="bottom"/>
          </w:tcPr>
          <w:p>
            <w:pPr>
              <w:spacing w:after="0"/>
              <w:rPr>
                <w:sz w:val="20"/>
                <w:szCs w:val="20"/>
                <w:color w:val="auto"/>
              </w:rPr>
            </w:pPr>
            <w:r>
              <w:rPr>
                <w:rFonts w:ascii="Arial" w:cs="Arial" w:eastAsia="Arial" w:hAnsi="Arial"/>
                <w:sz w:val="18"/>
                <w:szCs w:val="18"/>
                <w:color w:val="auto"/>
              </w:rPr>
              <w:t>Richmond</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VA</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3"/>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000" w:type="dxa"/>
            <w:vAlign w:val="bottom"/>
            <w:gridSpan w:val="2"/>
          </w:tcPr>
          <w:p>
            <w:pPr>
              <w:ind w:left="3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1020" w:type="dxa"/>
            <w:vAlign w:val="bottom"/>
            <w:gridSpan w:val="2"/>
          </w:tcPr>
          <w:p>
            <w:pPr>
              <w:spacing w:after="0"/>
              <w:rPr>
                <w:sz w:val="20"/>
                <w:szCs w:val="20"/>
                <w:color w:val="auto"/>
              </w:rPr>
            </w:pPr>
            <w:r>
              <w:rPr>
                <w:rFonts w:ascii="Arial" w:cs="Arial" w:eastAsia="Arial" w:hAnsi="Arial"/>
                <w:sz w:val="18"/>
                <w:szCs w:val="18"/>
                <w:color w:val="auto"/>
              </w:rPr>
              <w:t>500-1889</w:t>
            </w:r>
          </w:p>
        </w:tc>
        <w:tc>
          <w:tcPr>
            <w:tcW w:w="3980" w:type="dxa"/>
            <w:vAlign w:val="bottom"/>
            <w:gridSpan w:val="2"/>
          </w:tcPr>
          <w:p>
            <w:pPr>
              <w:spacing w:after="0"/>
              <w:rPr>
                <w:sz w:val="20"/>
                <w:szCs w:val="20"/>
                <w:color w:val="auto"/>
              </w:rPr>
            </w:pPr>
            <w:r>
              <w:rPr>
                <w:rFonts w:ascii="Arial" w:cs="Arial" w:eastAsia="Arial" w:hAnsi="Arial"/>
                <w:sz w:val="18"/>
                <w:szCs w:val="18"/>
                <w:color w:val="auto"/>
              </w:rPr>
              <w:t>Willow Grove Shopping Center</w:t>
            </w:r>
          </w:p>
        </w:tc>
        <w:tc>
          <w:tcPr>
            <w:tcW w:w="1080" w:type="dxa"/>
            <w:vAlign w:val="bottom"/>
          </w:tcPr>
          <w:p>
            <w:pPr>
              <w:spacing w:after="0"/>
              <w:rPr>
                <w:sz w:val="20"/>
                <w:szCs w:val="20"/>
                <w:color w:val="auto"/>
              </w:rPr>
            </w:pPr>
            <w:r>
              <w:rPr>
                <w:rFonts w:ascii="Arial" w:cs="Arial" w:eastAsia="Arial" w:hAnsi="Arial"/>
                <w:sz w:val="18"/>
                <w:szCs w:val="18"/>
                <w:color w:val="auto"/>
                <w:w w:val="99"/>
              </w:rPr>
              <w:t>Willow Grove</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PA</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3"/>
              </w:rPr>
              <w:t>Wholly Owned</w:t>
            </w:r>
          </w:p>
        </w:tc>
        <w:tc>
          <w:tcPr>
            <w:tcW w:w="960" w:type="dxa"/>
            <w:vAlign w:val="bottom"/>
          </w:tcPr>
          <w:p>
            <w:pPr>
              <w:spacing w:after="0"/>
              <w:rPr>
                <w:sz w:val="20"/>
                <w:szCs w:val="20"/>
                <w:color w:val="auto"/>
              </w:rPr>
            </w:pPr>
            <w:r>
              <w:rPr>
                <w:rFonts w:ascii="Arial" w:cs="Arial" w:eastAsia="Arial" w:hAnsi="Arial"/>
                <w:sz w:val="18"/>
                <w:szCs w:val="18"/>
                <w:color w:val="auto"/>
              </w:rPr>
              <w:t>Retail</w:t>
            </w:r>
          </w:p>
        </w:tc>
        <w:tc>
          <w:tcPr>
            <w:tcW w:w="2000" w:type="dxa"/>
            <w:vAlign w:val="bottom"/>
            <w:gridSpan w:val="2"/>
          </w:tcPr>
          <w:p>
            <w:pPr>
              <w:ind w:left="3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Use shown is predominant use.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Santana Row also constitutes a mixed-use property.</w:t>
      </w:r>
    </w:p>
    <w:p>
      <w:pPr>
        <w:spacing w:after="0" w:line="9" w:lineRule="exact"/>
        <w:rPr>
          <w:rFonts w:ascii="Arial" w:cs="Arial" w:eastAsia="Arial" w:hAnsi="Arial"/>
          <w:sz w:val="18"/>
          <w:szCs w:val="18"/>
          <w:color w:val="auto"/>
        </w:rPr>
      </w:pPr>
    </w:p>
    <w:p>
      <w:pPr>
        <w:ind w:left="460" w:right="560" w:hanging="452"/>
        <w:spacing w:after="0" w:line="250"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Currently owned pursuant to a ground lease until the 1031 reverse transaction is unwound no later than July 18, 2011. At that time, the property will become wholly owned.</w:t>
      </w: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Bethesda Row also constitutes a mixed-use property.</w:t>
      </w:r>
    </w:p>
    <w:p>
      <w:pPr>
        <w:sectPr>
          <w:pgSz w:w="11900" w:h="16838" w:orient="portrait"/>
          <w:cols w:equalWidth="0" w:num="1">
            <w:col w:w="11420"/>
          </w:cols>
          <w:pgMar w:left="240" w:top="274" w:right="239" w:bottom="1440" w:gutter="0" w:footer="0" w:header="0"/>
        </w:sectPr>
      </w:pPr>
    </w:p>
    <w:bookmarkStart w:id="165" w:name="page166"/>
    <w:bookmarkEnd w:id="165"/>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 OF ASSIGNMENT AND ASSUMPTION AGREEMENT</w:t>
      </w:r>
    </w:p>
    <w:p>
      <w:pPr>
        <w:spacing w:after="0" w:line="171"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This Assignment and Assumption Agreement (the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 between [the][each] Assignor identified in item 1 below ([the][each, an] “</w:t>
      </w:r>
      <w:r>
        <w:rPr>
          <w:rFonts w:ascii="Arial" w:cs="Arial" w:eastAsia="Arial" w:hAnsi="Arial"/>
          <w:sz w:val="16"/>
          <w:szCs w:val="16"/>
          <w:u w:val="single" w:color="auto"/>
          <w:color w:val="auto"/>
        </w:rPr>
        <w:t>Assignor</w:t>
      </w:r>
      <w:r>
        <w:rPr>
          <w:rFonts w:ascii="Arial" w:cs="Arial" w:eastAsia="Arial" w:hAnsi="Arial"/>
          <w:sz w:val="16"/>
          <w:szCs w:val="16"/>
          <w:color w:val="auto"/>
        </w:rPr>
        <w:t>”) and [the][each]</w:t>
      </w:r>
      <w:r>
        <w:rPr>
          <w:rFonts w:ascii="Arial" w:cs="Arial" w:eastAsia="Arial" w:hAnsi="Arial"/>
          <w:sz w:val="10"/>
          <w:szCs w:val="10"/>
          <w:color w:val="auto"/>
        </w:rPr>
        <w:t>1</w:t>
      </w:r>
      <w:r>
        <w:rPr>
          <w:rFonts w:ascii="Arial" w:cs="Arial" w:eastAsia="Arial" w:hAnsi="Arial"/>
          <w:sz w:val="16"/>
          <w:szCs w:val="16"/>
          <w:color w:val="auto"/>
        </w:rPr>
        <w:t xml:space="preserve"> Assignee identified in item 2 below ([the][each, an] “</w:t>
      </w:r>
      <w:r>
        <w:rPr>
          <w:rFonts w:ascii="Arial" w:cs="Arial" w:eastAsia="Arial" w:hAnsi="Arial"/>
          <w:sz w:val="16"/>
          <w:szCs w:val="16"/>
          <w:u w:val="single" w:color="auto"/>
          <w:color w:val="auto"/>
        </w:rPr>
        <w:t>Assignee</w:t>
      </w:r>
      <w:r>
        <w:rPr>
          <w:rFonts w:ascii="Arial" w:cs="Arial" w:eastAsia="Arial" w:hAnsi="Arial"/>
          <w:sz w:val="16"/>
          <w:szCs w:val="16"/>
          <w:color w:val="auto"/>
        </w:rPr>
        <w:t>”). [It is understood and agreed that the rights and obligations of [the Assignors][the Assignees]</w:t>
      </w:r>
      <w:r>
        <w:rPr>
          <w:rFonts w:ascii="Arial" w:cs="Arial" w:eastAsia="Arial" w:hAnsi="Arial"/>
          <w:sz w:val="10"/>
          <w:szCs w:val="10"/>
          <w:color w:val="auto"/>
        </w:rPr>
        <w:t>2</w:t>
      </w:r>
      <w:r>
        <w:rPr>
          <w:rFonts w:ascii="Arial" w:cs="Arial" w:eastAsia="Arial" w:hAnsi="Arial"/>
          <w:sz w:val="16"/>
          <w:szCs w:val="16"/>
          <w:color w:val="auto"/>
        </w:rPr>
        <w:t xml:space="preserve"> hereunder are several and not joint.]</w:t>
      </w:r>
      <w:r>
        <w:rPr>
          <w:rFonts w:ascii="Arial" w:cs="Arial" w:eastAsia="Arial" w:hAnsi="Arial"/>
          <w:sz w:val="10"/>
          <w:szCs w:val="10"/>
          <w:color w:val="auto"/>
        </w:rPr>
        <w:t>3</w:t>
      </w:r>
      <w:r>
        <w:rPr>
          <w:rFonts w:ascii="Arial" w:cs="Arial" w:eastAsia="Arial" w:hAnsi="Arial"/>
          <w:sz w:val="16"/>
          <w:szCs w:val="16"/>
          <w:color w:val="auto"/>
        </w:rPr>
        <w:t xml:space="preserve"> Capitalized terms used but not defined herein shall have the meanings given to them in the Credit Agreement identified below (as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receipt of a copy of which is hereby acknowledged by [the][each] Assignee. The Standard Terms and Conditions set forth in Annex 1 attached hereto are hereby agreed to and incorporated herein by reference and made a part of this Assignment and Assumption as if set forth herein in full.</w:t>
      </w:r>
    </w:p>
    <w:p>
      <w:pPr>
        <w:spacing w:after="0" w:line="11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any Letters of Credit, Guarantees, and Swingline Loans included in such facilities),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6"/>
          <w:szCs w:val="16"/>
          <w:u w:val="single" w:color="auto"/>
          <w:color w:val="auto"/>
        </w:rPr>
        <w:t>Assigned Interest</w:t>
      </w:r>
      <w:r>
        <w:rPr>
          <w:rFonts w:ascii="Arial" w:cs="Arial" w:eastAsia="Arial" w:hAnsi="Arial"/>
          <w:sz w:val="16"/>
          <w:szCs w:val="16"/>
          <w:color w:val="auto"/>
        </w:rPr>
        <w:t>”). Each such sale and assignment is without recourse to [the][any] Assignor and, except as expressly provided in this Assignment and Assumption, without representation or warranty by [the][any]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89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80"/>
          </w:cols>
          <w:pgMar w:left="240" w:top="280" w:right="279" w:bottom="1440" w:gutter="0" w:footer="0" w:header="0"/>
        </w:sectPr>
      </w:pPr>
    </w:p>
    <w:p>
      <w:pPr>
        <w:spacing w:after="0" w:line="94"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For bracketed language here and elsewhere in this form relating to the Assignee(s), if the assignment is to a single Assignee, choose the first bracketed language. If the assignment is to multiple Assignees, choose the second bracketed language. Select as appropriate.</w:t>
      </w:r>
    </w:p>
    <w:p>
      <w:pPr>
        <w:spacing w:after="0"/>
        <w:rPr>
          <w:sz w:val="20"/>
          <w:szCs w:val="20"/>
          <w:color w:val="auto"/>
        </w:rPr>
      </w:pPr>
      <w:r>
        <w:rPr>
          <w:rFonts w:ascii="Arial" w:cs="Arial" w:eastAsia="Arial" w:hAnsi="Arial"/>
          <w:sz w:val="18"/>
          <w:szCs w:val="18"/>
          <w:color w:val="auto"/>
        </w:rPr>
        <w:t>Include bracketed language if there are either multiple Assignors or multiple Assignees.</w:t>
      </w:r>
    </w:p>
    <w:p>
      <w:pPr>
        <w:sectPr>
          <w:pgSz w:w="11900" w:h="16838" w:orient="portrait"/>
          <w:cols w:equalWidth="0" w:num="2">
            <w:col w:w="60" w:space="400"/>
            <w:col w:w="10920"/>
          </w:cols>
          <w:pgMar w:left="240" w:top="280" w:right="279" w:bottom="1440" w:gutter="0" w:footer="0" w:header="0"/>
          <w:type w:val="continuous"/>
        </w:sectPr>
      </w:pPr>
    </w:p>
    <w:bookmarkStart w:id="166" w:name="page167"/>
    <w:bookmarkEnd w:id="166"/>
    <w:p>
      <w:pPr>
        <w:ind w:left="580" w:hanging="572"/>
        <w:spacing w:after="0"/>
        <w:tabs>
          <w:tab w:leader="none" w:pos="5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Assignor[s]:</w:t>
      </w:r>
    </w:p>
    <w:p>
      <w:pPr>
        <w:spacing w:after="0" w:line="38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[Assignor [is] [is not] a Defaulting Lender]</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-571500</wp:posOffset>
            </wp:positionV>
            <wp:extent cx="18097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-348615</wp:posOffset>
            </wp:positionV>
            <wp:extent cx="180975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10795</wp:posOffset>
            </wp:positionV>
            <wp:extent cx="180975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221"/>
        </w:trPr>
        <w:tc>
          <w:tcPr>
            <w:tcW w:w="360" w:type="dxa"/>
            <w:vAlign w:val="bottom"/>
          </w:tcPr>
          <w:p>
            <w:pPr>
              <w:spacing w:after="0"/>
              <w:rPr>
                <w:sz w:val="19"/>
                <w:szCs w:val="19"/>
                <w:color w:val="auto"/>
              </w:rPr>
            </w:pPr>
          </w:p>
        </w:tc>
        <w:tc>
          <w:tcPr>
            <w:tcW w:w="11000" w:type="dxa"/>
            <w:vAlign w:val="bottom"/>
            <w:gridSpan w:val="4"/>
          </w:tcPr>
          <w:p>
            <w:pPr>
              <w:ind w:left="220"/>
              <w:spacing w:after="0"/>
              <w:rPr>
                <w:sz w:val="20"/>
                <w:szCs w:val="20"/>
                <w:color w:val="auto"/>
              </w:rPr>
            </w:pPr>
            <w:r>
              <w:rPr>
                <w:rFonts w:ascii="Arial" w:cs="Arial" w:eastAsia="Arial" w:hAnsi="Arial"/>
                <w:sz w:val="18"/>
                <w:szCs w:val="18"/>
                <w:color w:val="auto"/>
              </w:rPr>
              <w:t>[for each Assignee, indicate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p>
        </w:tc>
      </w:tr>
      <w:tr>
        <w:trPr>
          <w:trHeight w:val="324"/>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3.</w:t>
            </w:r>
          </w:p>
        </w:tc>
        <w:tc>
          <w:tcPr>
            <w:tcW w:w="2040" w:type="dxa"/>
            <w:vAlign w:val="bottom"/>
          </w:tcPr>
          <w:p>
            <w:pPr>
              <w:ind w:left="220"/>
              <w:spacing w:after="0"/>
              <w:rPr>
                <w:sz w:val="20"/>
                <w:szCs w:val="20"/>
                <w:color w:val="auto"/>
              </w:rPr>
            </w:pPr>
            <w:r>
              <w:rPr>
                <w:rFonts w:ascii="Arial" w:cs="Arial" w:eastAsia="Arial" w:hAnsi="Arial"/>
                <w:sz w:val="18"/>
                <w:szCs w:val="18"/>
                <w:color w:val="auto"/>
              </w:rPr>
              <w:t>Borrower:</w:t>
            </w:r>
          </w:p>
        </w:tc>
        <w:tc>
          <w:tcPr>
            <w:tcW w:w="8960" w:type="dxa"/>
            <w:vAlign w:val="bottom"/>
            <w:gridSpan w:val="3"/>
          </w:tcPr>
          <w:p>
            <w:pPr>
              <w:ind w:left="260"/>
              <w:spacing w:after="0"/>
              <w:rPr>
                <w:sz w:val="20"/>
                <w:szCs w:val="20"/>
                <w:color w:val="auto"/>
              </w:rPr>
            </w:pPr>
            <w:r>
              <w:rPr>
                <w:rFonts w:ascii="Arial" w:cs="Arial" w:eastAsia="Arial" w:hAnsi="Arial"/>
                <w:sz w:val="18"/>
                <w:szCs w:val="18"/>
                <w:color w:val="auto"/>
              </w:rPr>
              <w:t>Federal Realty Investment Trust</w:t>
            </w:r>
          </w:p>
        </w:tc>
      </w:tr>
      <w:tr>
        <w:trPr>
          <w:trHeight w:val="324"/>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4.</w:t>
            </w:r>
          </w:p>
        </w:tc>
        <w:tc>
          <w:tcPr>
            <w:tcW w:w="2040" w:type="dxa"/>
            <w:vAlign w:val="bottom"/>
          </w:tcPr>
          <w:p>
            <w:pPr>
              <w:ind w:left="220"/>
              <w:spacing w:after="0"/>
              <w:rPr>
                <w:sz w:val="20"/>
                <w:szCs w:val="20"/>
                <w:color w:val="auto"/>
              </w:rPr>
            </w:pPr>
            <w:r>
              <w:rPr>
                <w:rFonts w:ascii="Arial" w:cs="Arial" w:eastAsia="Arial" w:hAnsi="Arial"/>
                <w:sz w:val="18"/>
                <w:szCs w:val="18"/>
                <w:color w:val="auto"/>
              </w:rPr>
              <w:t>Administrative Agent:</w:t>
            </w:r>
          </w:p>
        </w:tc>
        <w:tc>
          <w:tcPr>
            <w:tcW w:w="8960" w:type="dxa"/>
            <w:vAlign w:val="bottom"/>
            <w:gridSpan w:val="3"/>
          </w:tcPr>
          <w:p>
            <w:pPr>
              <w:ind w:left="260"/>
              <w:spacing w:after="0"/>
              <w:rPr>
                <w:sz w:val="20"/>
                <w:szCs w:val="20"/>
                <w:color w:val="auto"/>
              </w:rPr>
            </w:pPr>
            <w:r>
              <w:rPr>
                <w:rFonts w:ascii="Arial" w:cs="Arial" w:eastAsia="Arial" w:hAnsi="Arial"/>
                <w:sz w:val="18"/>
                <w:szCs w:val="18"/>
                <w:color w:val="auto"/>
              </w:rPr>
              <w:t>Wells Fargo Bank, National Association, as the Administrative Agent under the Credit Agreement</w:t>
            </w:r>
          </w:p>
        </w:tc>
      </w:tr>
      <w:tr>
        <w:trPr>
          <w:trHeight w:val="318"/>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5.</w:t>
            </w:r>
          </w:p>
        </w:tc>
        <w:tc>
          <w:tcPr>
            <w:tcW w:w="2040" w:type="dxa"/>
            <w:vAlign w:val="bottom"/>
          </w:tcPr>
          <w:p>
            <w:pPr>
              <w:ind w:left="220"/>
              <w:spacing w:after="0"/>
              <w:rPr>
                <w:sz w:val="20"/>
                <w:szCs w:val="20"/>
                <w:color w:val="auto"/>
              </w:rPr>
            </w:pPr>
            <w:r>
              <w:rPr>
                <w:rFonts w:ascii="Arial" w:cs="Arial" w:eastAsia="Arial" w:hAnsi="Arial"/>
                <w:sz w:val="18"/>
                <w:szCs w:val="18"/>
                <w:color w:val="auto"/>
              </w:rPr>
              <w:t>Credit Agreement:</w:t>
            </w:r>
          </w:p>
        </w:tc>
        <w:tc>
          <w:tcPr>
            <w:tcW w:w="8960" w:type="dxa"/>
            <w:vAlign w:val="bottom"/>
            <w:gridSpan w:val="3"/>
          </w:tcPr>
          <w:p>
            <w:pPr>
              <w:ind w:left="260"/>
              <w:spacing w:after="0"/>
              <w:rPr>
                <w:sz w:val="20"/>
                <w:szCs w:val="20"/>
                <w:color w:val="auto"/>
              </w:rPr>
            </w:pPr>
            <w:r>
              <w:rPr>
                <w:rFonts w:ascii="Arial" w:cs="Arial" w:eastAsia="Arial" w:hAnsi="Arial"/>
                <w:sz w:val="18"/>
                <w:szCs w:val="18"/>
                <w:color w:val="auto"/>
                <w:w w:val="93"/>
              </w:rPr>
              <w:t>That certain Credit Agreement dated as of July 7, 2011, by and among Federal Realty Investment Trust, the financial</w:t>
            </w:r>
          </w:p>
        </w:tc>
      </w:tr>
      <w:tr>
        <w:trPr>
          <w:trHeight w:val="216"/>
        </w:trPr>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960" w:type="dxa"/>
            <w:vAlign w:val="bottom"/>
            <w:gridSpan w:val="3"/>
          </w:tcPr>
          <w:p>
            <w:pPr>
              <w:ind w:left="260"/>
              <w:spacing w:after="0"/>
              <w:rPr>
                <w:sz w:val="20"/>
                <w:szCs w:val="20"/>
                <w:color w:val="auto"/>
              </w:rPr>
            </w:pPr>
            <w:r>
              <w:rPr>
                <w:rFonts w:ascii="Arial" w:cs="Arial" w:eastAsia="Arial" w:hAnsi="Arial"/>
                <w:sz w:val="18"/>
                <w:szCs w:val="18"/>
                <w:color w:val="auto"/>
                <w:w w:val="88"/>
              </w:rPr>
              <w:t>institutions party thereto and their permitted assignees under Section 12.6 thereof, Wells Fargo Bank, National Association,</w:t>
            </w:r>
          </w:p>
        </w:tc>
      </w:tr>
      <w:tr>
        <w:trPr>
          <w:trHeight w:val="216"/>
        </w:trPr>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960" w:type="dxa"/>
            <w:vAlign w:val="bottom"/>
            <w:gridSpan w:val="3"/>
          </w:tcPr>
          <w:p>
            <w:pPr>
              <w:ind w:left="260"/>
              <w:spacing w:after="0"/>
              <w:rPr>
                <w:sz w:val="20"/>
                <w:szCs w:val="20"/>
                <w:color w:val="auto"/>
              </w:rPr>
            </w:pPr>
            <w:r>
              <w:rPr>
                <w:rFonts w:ascii="Arial" w:cs="Arial" w:eastAsia="Arial" w:hAnsi="Arial"/>
                <w:sz w:val="18"/>
                <w:szCs w:val="18"/>
                <w:color w:val="auto"/>
                <w:w w:val="89"/>
              </w:rPr>
              <w:t>as Administrative Agent, PNC Bank, National Association, as Syndication Agent, and each of Wells Fargo Securities, LLC,</w:t>
            </w:r>
          </w:p>
        </w:tc>
      </w:tr>
      <w:tr>
        <w:trPr>
          <w:trHeight w:val="222"/>
        </w:trPr>
        <w:tc>
          <w:tcPr>
            <w:tcW w:w="3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960" w:type="dxa"/>
            <w:vAlign w:val="bottom"/>
            <w:gridSpan w:val="3"/>
          </w:tcPr>
          <w:p>
            <w:pPr>
              <w:ind w:left="260"/>
              <w:spacing w:after="0"/>
              <w:rPr>
                <w:sz w:val="20"/>
                <w:szCs w:val="20"/>
                <w:color w:val="auto"/>
              </w:rPr>
            </w:pPr>
            <w:r>
              <w:rPr>
                <w:rFonts w:ascii="Arial" w:cs="Arial" w:eastAsia="Arial" w:hAnsi="Arial"/>
                <w:sz w:val="18"/>
                <w:szCs w:val="18"/>
                <w:color w:val="auto"/>
              </w:rPr>
              <w:t>and PNC Capital Markets LLC, as a Lead Arranger and Book Manager</w:t>
            </w:r>
          </w:p>
        </w:tc>
      </w:tr>
    </w:tbl>
    <w:p>
      <w:pPr>
        <w:spacing w:after="0" w:line="102" w:lineRule="exact"/>
        <w:rPr>
          <w:sz w:val="20"/>
          <w:szCs w:val="20"/>
          <w:color w:val="auto"/>
        </w:rPr>
      </w:pPr>
    </w:p>
    <w:p>
      <w:pPr>
        <w:ind w:left="580" w:hanging="572"/>
        <w:spacing w:after="0"/>
        <w:tabs>
          <w:tab w:leader="none" w:pos="5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Assigned Interest[s]: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80" w:type="dxa"/>
            <w:vAlign w:val="bottom"/>
            <w:gridSpan w:val="2"/>
          </w:tcPr>
          <w:p>
            <w:pPr>
              <w:jc w:val="center"/>
              <w:ind w:right="700"/>
              <w:spacing w:after="0"/>
              <w:rPr>
                <w:sz w:val="20"/>
                <w:szCs w:val="20"/>
                <w:color w:val="auto"/>
              </w:rPr>
            </w:pPr>
            <w:r>
              <w:rPr>
                <w:rFonts w:ascii="Arial" w:cs="Arial" w:eastAsia="Arial" w:hAnsi="Arial"/>
                <w:sz w:val="14"/>
                <w:szCs w:val="14"/>
                <w:color w:val="auto"/>
                <w:w w:val="89"/>
              </w:rPr>
              <w:t>Aggregate Amount</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color w:val="auto"/>
                <w:w w:val="80"/>
              </w:rPr>
              <w:t>Percentage</w:t>
            </w:r>
          </w:p>
        </w:tc>
      </w:tr>
      <w:tr>
        <w:trPr>
          <w:trHeight w:val="149"/>
        </w:trPr>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rPr>
              <w:t>of</w:t>
            </w:r>
          </w:p>
        </w:tc>
        <w:tc>
          <w:tcPr>
            <w:tcW w:w="700" w:type="dxa"/>
            <w:vAlign w:val="bottom"/>
          </w:tcPr>
          <w:p>
            <w:pPr>
              <w:spacing w:after="0"/>
              <w:rPr>
                <w:sz w:val="12"/>
                <w:szCs w:val="12"/>
                <w:color w:val="auto"/>
              </w:rPr>
            </w:pPr>
          </w:p>
        </w:tc>
        <w:tc>
          <w:tcPr>
            <w:tcW w:w="2260" w:type="dxa"/>
            <w:vAlign w:val="bottom"/>
            <w:gridSpan w:val="2"/>
          </w:tcPr>
          <w:p>
            <w:pPr>
              <w:jc w:val="center"/>
              <w:ind w:right="1400"/>
              <w:spacing w:after="0" w:line="149" w:lineRule="exact"/>
              <w:rPr>
                <w:sz w:val="20"/>
                <w:szCs w:val="20"/>
                <w:color w:val="auto"/>
              </w:rPr>
            </w:pPr>
            <w:r>
              <w:rPr>
                <w:rFonts w:ascii="Arial" w:cs="Arial" w:eastAsia="Arial" w:hAnsi="Arial"/>
                <w:sz w:val="14"/>
                <w:szCs w:val="14"/>
                <w:color w:val="auto"/>
                <w:w w:val="90"/>
              </w:rPr>
              <w:t>Amount of</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Assigned of</w:t>
            </w:r>
          </w:p>
        </w:tc>
      </w:tr>
      <w:tr>
        <w:trPr>
          <w:trHeight w:val="132"/>
        </w:trPr>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4"/>
                <w:szCs w:val="14"/>
                <w:color w:val="auto"/>
              </w:rPr>
              <w:t>Facility</w:t>
            </w:r>
          </w:p>
        </w:tc>
        <w:tc>
          <w:tcPr>
            <w:tcW w:w="3100" w:type="dxa"/>
            <w:vAlign w:val="bottom"/>
            <w:gridSpan w:val="3"/>
          </w:tcPr>
          <w:p>
            <w:pPr>
              <w:ind w:left="1320"/>
              <w:spacing w:after="0" w:line="133" w:lineRule="exact"/>
              <w:rPr>
                <w:sz w:val="20"/>
                <w:szCs w:val="20"/>
                <w:color w:val="auto"/>
              </w:rPr>
            </w:pPr>
            <w:r>
              <w:rPr>
                <w:rFonts w:ascii="Arial" w:cs="Arial" w:eastAsia="Arial" w:hAnsi="Arial"/>
                <w:sz w:val="14"/>
                <w:szCs w:val="14"/>
                <w:color w:val="auto"/>
              </w:rPr>
              <w:t>Commitment/Loans</w:t>
            </w:r>
          </w:p>
        </w:tc>
        <w:tc>
          <w:tcPr>
            <w:tcW w:w="700" w:type="dxa"/>
            <w:vAlign w:val="bottom"/>
          </w:tcPr>
          <w:p>
            <w:pPr>
              <w:spacing w:after="0"/>
              <w:rPr>
                <w:sz w:val="11"/>
                <w:szCs w:val="11"/>
                <w:color w:val="auto"/>
              </w:rPr>
            </w:pPr>
          </w:p>
        </w:tc>
        <w:tc>
          <w:tcPr>
            <w:tcW w:w="2260" w:type="dxa"/>
            <w:vAlign w:val="bottom"/>
            <w:gridSpan w:val="2"/>
          </w:tcPr>
          <w:p>
            <w:pPr>
              <w:jc w:val="center"/>
              <w:ind w:right="1400"/>
              <w:spacing w:after="0" w:line="133" w:lineRule="exact"/>
              <w:rPr>
                <w:sz w:val="20"/>
                <w:szCs w:val="20"/>
                <w:color w:val="auto"/>
              </w:rPr>
            </w:pPr>
            <w:r>
              <w:rPr>
                <w:rFonts w:ascii="Arial" w:cs="Arial" w:eastAsia="Arial" w:hAnsi="Arial"/>
                <w:sz w:val="14"/>
                <w:szCs w:val="14"/>
                <w:color w:val="auto"/>
                <w:w w:val="88"/>
              </w:rPr>
              <w:t>Commitment/</w:t>
            </w:r>
          </w:p>
        </w:tc>
        <w:tc>
          <w:tcPr>
            <w:tcW w:w="860" w:type="dxa"/>
            <w:vAlign w:val="bottom"/>
            <w:gridSpan w:val="2"/>
          </w:tcPr>
          <w:p>
            <w:pPr>
              <w:jc w:val="right"/>
              <w:ind w:right="100"/>
              <w:spacing w:after="0" w:line="133" w:lineRule="exact"/>
              <w:rPr>
                <w:sz w:val="20"/>
                <w:szCs w:val="20"/>
                <w:color w:val="auto"/>
              </w:rPr>
            </w:pPr>
            <w:r>
              <w:rPr>
                <w:rFonts w:ascii="Arial" w:cs="Arial" w:eastAsia="Arial" w:hAnsi="Arial"/>
                <w:sz w:val="14"/>
                <w:szCs w:val="14"/>
                <w:color w:val="auto"/>
                <w:w w:val="88"/>
              </w:rPr>
              <w:t>Commitment/</w:t>
            </w:r>
          </w:p>
        </w:tc>
      </w:tr>
      <w:tr>
        <w:trPr>
          <w:trHeight w:val="169"/>
        </w:trPr>
        <w:tc>
          <w:tcPr>
            <w:tcW w:w="1980" w:type="dxa"/>
            <w:vAlign w:val="bottom"/>
            <w:gridSpan w:val="3"/>
          </w:tcPr>
          <w:p>
            <w:pPr>
              <w:spacing w:after="0"/>
              <w:rPr>
                <w:sz w:val="20"/>
                <w:szCs w:val="20"/>
                <w:color w:val="auto"/>
              </w:rPr>
            </w:pPr>
            <w:r>
              <w:rPr>
                <w:rFonts w:ascii="Arial" w:cs="Arial" w:eastAsia="Arial" w:hAnsi="Arial"/>
                <w:sz w:val="14"/>
                <w:szCs w:val="14"/>
                <w:color w:val="auto"/>
              </w:rPr>
              <w:t>Assignor[s]</w:t>
            </w:r>
          </w:p>
        </w:tc>
        <w:tc>
          <w:tcPr>
            <w:tcW w:w="1960" w:type="dxa"/>
            <w:vAlign w:val="bottom"/>
            <w:gridSpan w:val="4"/>
          </w:tcPr>
          <w:p>
            <w:pPr>
              <w:spacing w:after="0"/>
              <w:rPr>
                <w:sz w:val="20"/>
                <w:szCs w:val="20"/>
                <w:color w:val="auto"/>
              </w:rPr>
            </w:pPr>
            <w:r>
              <w:rPr>
                <w:rFonts w:ascii="Arial" w:cs="Arial" w:eastAsia="Arial" w:hAnsi="Arial"/>
                <w:sz w:val="14"/>
                <w:szCs w:val="14"/>
                <w:color w:val="auto"/>
              </w:rPr>
              <w:t>Assignee[s]</w:t>
            </w:r>
          </w:p>
        </w:tc>
        <w:tc>
          <w:tcPr>
            <w:tcW w:w="560" w:type="dxa"/>
            <w:vAlign w:val="bottom"/>
          </w:tcPr>
          <w:p>
            <w:pPr>
              <w:spacing w:after="0" w:line="162" w:lineRule="exact"/>
              <w:rPr>
                <w:sz w:val="20"/>
                <w:szCs w:val="20"/>
                <w:color w:val="auto"/>
              </w:rPr>
            </w:pPr>
            <w:r>
              <w:rPr>
                <w:rFonts w:ascii="Arial" w:cs="Arial" w:eastAsia="Arial" w:hAnsi="Arial"/>
                <w:sz w:val="12"/>
                <w:szCs w:val="12"/>
                <w:color w:val="auto"/>
                <w:w w:val="96"/>
              </w:rPr>
              <w:t>Assigned</w:t>
            </w:r>
            <w:r>
              <w:rPr>
                <w:rFonts w:ascii="Arial" w:cs="Arial" w:eastAsia="Arial" w:hAnsi="Arial"/>
                <w:sz w:val="18"/>
                <w:szCs w:val="18"/>
                <w:color w:val="auto"/>
                <w:w w:val="96"/>
                <w:vertAlign w:val="superscript"/>
              </w:rPr>
              <w:t>4</w:t>
            </w:r>
          </w:p>
        </w:tc>
        <w:tc>
          <w:tcPr>
            <w:tcW w:w="1320" w:type="dxa"/>
            <w:vAlign w:val="bottom"/>
          </w:tcPr>
          <w:p>
            <w:pPr>
              <w:spacing w:after="0"/>
              <w:rPr>
                <w:sz w:val="14"/>
                <w:szCs w:val="14"/>
                <w:color w:val="auto"/>
              </w:rPr>
            </w:pPr>
          </w:p>
        </w:tc>
        <w:tc>
          <w:tcPr>
            <w:tcW w:w="1780" w:type="dxa"/>
            <w:vAlign w:val="bottom"/>
            <w:gridSpan w:val="2"/>
          </w:tcPr>
          <w:p>
            <w:pPr>
              <w:jc w:val="center"/>
              <w:ind w:right="700"/>
              <w:spacing w:after="0"/>
              <w:rPr>
                <w:sz w:val="20"/>
                <w:szCs w:val="20"/>
                <w:color w:val="auto"/>
              </w:rPr>
            </w:pPr>
            <w:r>
              <w:rPr>
                <w:rFonts w:ascii="Arial" w:cs="Arial" w:eastAsia="Arial" w:hAnsi="Arial"/>
                <w:sz w:val="14"/>
                <w:szCs w:val="14"/>
                <w:color w:val="auto"/>
                <w:w w:val="90"/>
              </w:rPr>
              <w:t>for all Lenders</w:t>
            </w:r>
          </w:p>
        </w:tc>
        <w:tc>
          <w:tcPr>
            <w:tcW w:w="70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color w:val="auto"/>
              </w:rPr>
              <w:t>Loans Assigned</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Loans</w:t>
            </w:r>
          </w:p>
        </w:tc>
      </w:tr>
      <w:tr>
        <w:trPr>
          <w:trHeight w:val="216"/>
        </w:trPr>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5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525"/>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1640" w:type="dxa"/>
            <w:vAlign w:val="bottom"/>
            <w:gridSpan w:val="2"/>
          </w:tcPr>
          <w:p>
            <w:pPr>
              <w:ind w:left="140"/>
              <w:spacing w:after="0"/>
              <w:rPr>
                <w:sz w:val="20"/>
                <w:szCs w:val="20"/>
                <w:color w:val="auto"/>
              </w:rPr>
            </w:pPr>
            <w:r>
              <w:rPr>
                <w:rFonts w:ascii="Arial" w:cs="Arial" w:eastAsia="Arial" w:hAnsi="Arial"/>
                <w:sz w:val="18"/>
                <w:szCs w:val="18"/>
                <w:color w:val="auto"/>
              </w:rPr>
              <w:t>Trade Date:</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5</w:t>
            </w: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5"/>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00" w:type="dxa"/>
            <w:vAlign w:val="bottom"/>
            <w:gridSpan w:val="3"/>
          </w:tcPr>
          <w:p>
            <w:pPr>
              <w:ind w:left="760"/>
              <w:spacing w:after="0"/>
              <w:rPr>
                <w:sz w:val="20"/>
                <w:szCs w:val="20"/>
                <w:color w:val="auto"/>
              </w:rPr>
            </w:pPr>
            <w:r>
              <w:rPr>
                <w:rFonts w:ascii="Arial" w:cs="Arial" w:eastAsia="Arial" w:hAnsi="Arial"/>
                <w:sz w:val="18"/>
                <w:szCs w:val="18"/>
                <w:color w:val="auto"/>
              </w:rPr>
              <w:t>[Page break]</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289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324"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Fill in the appropriate terminology for the types of facilities under the Credit Agreement that are being assigned under this Assignment (e.g., “Revolving Loans,” etc.)</w:t>
      </w:r>
    </w:p>
    <w:p>
      <w:pPr>
        <w:spacing w:after="0"/>
        <w:rPr>
          <w:sz w:val="20"/>
          <w:szCs w:val="20"/>
          <w:color w:val="auto"/>
        </w:rPr>
      </w:pPr>
      <w:r>
        <w:rPr>
          <w:rFonts w:ascii="Arial" w:cs="Arial" w:eastAsia="Arial" w:hAnsi="Arial"/>
          <w:sz w:val="16"/>
          <w:szCs w:val="16"/>
          <w:color w:val="auto"/>
        </w:rPr>
        <w:t>To be completed if the Assignor(s) and the Assignee(s) intend that the minimum assignment amount is to be determined as of the Trade Date.</w:t>
      </w:r>
    </w:p>
    <w:p>
      <w:pPr>
        <w:spacing w:after="0" w:line="174"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A-157</w:t>
      </w:r>
    </w:p>
    <w:p>
      <w:pPr>
        <w:sectPr>
          <w:pgSz w:w="11900" w:h="16838" w:orient="portrait"/>
          <w:cols w:equalWidth="0" w:num="2">
            <w:col w:w="60" w:space="400"/>
            <w:col w:w="10960"/>
          </w:cols>
          <w:pgMar w:left="240" w:top="280" w:right="239" w:bottom="1440" w:gutter="0" w:footer="0" w:header="0"/>
          <w:type w:val="continuous"/>
        </w:sectPr>
      </w:pPr>
    </w:p>
    <w:bookmarkStart w:id="167" w:name="page168"/>
    <w:bookmarkEnd w:id="167"/>
    <w:p>
      <w:pPr>
        <w:ind w:left="460"/>
        <w:spacing w:after="0"/>
        <w:tabs>
          <w:tab w:leader="none" w:pos="2640" w:val="left"/>
          <w:tab w:leader="none" w:pos="31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Date:</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[TO BE INSERTED BY ADMINISTRATIVE AGENT AND WHICH SHALL BE THE EFFECTIVE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-13970</wp:posOffset>
            </wp:positionV>
            <wp:extent cx="9753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RECORDATION OF TRANSFER IN THE REGISTER THEREFOR.]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ASSIGNOR[S]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ASSIGNOR]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ASSIGNEE[S]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A-158</w:t>
      </w:r>
    </w:p>
    <w:p>
      <w:pPr>
        <w:sectPr>
          <w:pgSz w:w="11900" w:h="16838" w:orient="portrait"/>
          <w:cols w:equalWidth="0" w:num="1">
            <w:col w:w="11100"/>
          </w:cols>
          <w:pgMar w:left="240" w:top="280" w:right="5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[Consented to and]</w:t>
      </w:r>
      <w:r>
        <w:rPr>
          <w:rFonts w:ascii="Arial" w:cs="Arial" w:eastAsia="Arial" w:hAnsi="Arial"/>
          <w:sz w:val="11"/>
          <w:szCs w:val="11"/>
          <w:color w:val="auto"/>
        </w:rPr>
        <w:t>6</w:t>
      </w:r>
      <w:r>
        <w:rPr>
          <w:rFonts w:ascii="Arial" w:cs="Arial" w:eastAsia="Arial" w:hAnsi="Arial"/>
          <w:sz w:val="18"/>
          <w:szCs w:val="18"/>
          <w:color w:val="auto"/>
        </w:rPr>
        <w:t xml:space="preserve"> Accepted: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ASSOCATION, 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right="94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1"/>
          <w:szCs w:val="11"/>
          <w:color w:val="auto"/>
        </w:rPr>
        <w:t>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right="94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1"/>
          <w:szCs w:val="11"/>
          <w:color w:val="auto"/>
        </w:rPr>
        <w:t>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RELEVANT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22"/>
          <w:szCs w:val="22"/>
          <w:color w:val="auto"/>
          <w:vertAlign w:val="superscript"/>
        </w:rPr>
      </w:pPr>
      <w:r>
        <w:rPr>
          <w:rFonts w:ascii="Arial" w:cs="Arial" w:eastAsia="Arial" w:hAnsi="Arial"/>
          <w:sz w:val="18"/>
          <w:szCs w:val="18"/>
          <w:color w:val="auto"/>
        </w:rPr>
        <w:t>To be added only if the consent of the Administrative Agent is required by the terms of the Credit Agreement.</w:t>
      </w:r>
    </w:p>
    <w:p>
      <w:pPr>
        <w:ind w:left="460" w:hanging="452"/>
        <w:spacing w:after="0" w:line="205" w:lineRule="auto"/>
        <w:tabs>
          <w:tab w:leader="none" w:pos="460" w:val="left"/>
        </w:tabs>
        <w:numPr>
          <w:ilvl w:val="0"/>
          <w:numId w:val="132"/>
        </w:numPr>
        <w:rPr>
          <w:rFonts w:ascii="Arial" w:cs="Arial" w:eastAsia="Arial" w:hAnsi="Arial"/>
          <w:sz w:val="22"/>
          <w:szCs w:val="22"/>
          <w:color w:val="auto"/>
          <w:vertAlign w:val="superscript"/>
        </w:rPr>
      </w:pPr>
      <w:r>
        <w:rPr>
          <w:rFonts w:ascii="Arial" w:cs="Arial" w:eastAsia="Arial" w:hAnsi="Arial"/>
          <w:sz w:val="18"/>
          <w:szCs w:val="18"/>
          <w:color w:val="auto"/>
        </w:rPr>
        <w:t>To be added only if the consent of the Borrower is required by the terms of the Credit Agreement.</w:t>
      </w:r>
    </w:p>
    <w:p>
      <w:pPr>
        <w:spacing w:after="0" w:line="11" w:lineRule="exact"/>
        <w:rPr>
          <w:sz w:val="20"/>
          <w:szCs w:val="20"/>
          <w:color w:val="auto"/>
        </w:rPr>
      </w:pPr>
    </w:p>
    <w:p>
      <w:pPr>
        <w:jc w:val="center"/>
        <w:ind w:left="5480" w:hanging="5472"/>
        <w:spacing w:after="0" w:line="387" w:lineRule="auto"/>
        <w:tabs>
          <w:tab w:leader="none" w:pos="444" w:val="left"/>
        </w:tabs>
        <w:numPr>
          <w:ilvl w:val="0"/>
          <w:numId w:val="133"/>
        </w:numPr>
        <w:rPr>
          <w:rFonts w:ascii="Arial" w:cs="Arial" w:eastAsia="Arial" w:hAnsi="Arial"/>
          <w:sz w:val="22"/>
          <w:szCs w:val="22"/>
          <w:color w:val="auto"/>
          <w:vertAlign w:val="superscript"/>
        </w:rPr>
      </w:pPr>
      <w:r>
        <w:rPr>
          <w:rFonts w:ascii="Arial" w:cs="Arial" w:eastAsia="Arial" w:hAnsi="Arial"/>
          <w:sz w:val="18"/>
          <w:szCs w:val="18"/>
          <w:color w:val="auto"/>
        </w:rPr>
        <w:t>To be added only if the consent of the other parties (e.g. Swingline Lender, Issuing Bank, etc.) is required by the terms of the Credit Agreement. A-159</w:t>
      </w:r>
    </w:p>
    <w:p>
      <w:pPr>
        <w:sectPr>
          <w:pgSz w:w="11900" w:h="16838" w:orient="portrait"/>
          <w:cols w:equalWidth="0" w:num="1">
            <w:col w:w="10580"/>
          </w:cols>
          <w:pgMar w:left="240" w:top="280" w:right="107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165" w:lineRule="exact"/>
        <w:rPr>
          <w:sz w:val="20"/>
          <w:szCs w:val="20"/>
          <w:color w:val="auto"/>
        </w:rPr>
      </w:pPr>
    </w:p>
    <w:p>
      <w:pPr>
        <w:ind w:left="1100" w:hanging="179"/>
        <w:spacing w:after="0"/>
        <w:tabs>
          <w:tab w:leader="none" w:pos="110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Assignor[s]</w:t>
      </w:r>
      <w:r>
        <w:rPr>
          <w:rFonts w:ascii="Arial" w:cs="Arial" w:eastAsia="Arial" w:hAnsi="Arial"/>
          <w:sz w:val="16"/>
          <w:szCs w:val="16"/>
          <w:color w:val="auto"/>
        </w:rPr>
        <w:t>. [The][Each] Assignor (a) represents and warrants that (i) it is the legal and beneficial owner of [the][the relevant] Assigned Interest,</w:t>
      </w:r>
    </w:p>
    <w:p>
      <w:pPr>
        <w:spacing w:after="0" w:line="38" w:lineRule="exact"/>
        <w:rPr>
          <w:sz w:val="20"/>
          <w:szCs w:val="20"/>
          <w:color w:val="auto"/>
        </w:rPr>
      </w:pPr>
    </w:p>
    <w:p>
      <w:pPr>
        <w:ind w:right="80" w:firstLine="8"/>
        <w:spacing w:after="0" w:line="281" w:lineRule="auto"/>
        <w:tabs>
          <w:tab w:leader="none" w:pos="258"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w:t>
      </w:r>
    </w:p>
    <w:p>
      <w:pPr>
        <w:spacing w:after="0" w:line="3" w:lineRule="exact"/>
        <w:rPr>
          <w:rFonts w:ascii="Arial" w:cs="Arial" w:eastAsia="Arial" w:hAnsi="Arial"/>
          <w:sz w:val="16"/>
          <w:szCs w:val="16"/>
          <w:color w:val="auto"/>
        </w:rPr>
      </w:pPr>
    </w:p>
    <w:p>
      <w:pPr>
        <w:ind w:right="40" w:firstLine="8"/>
        <w:spacing w:after="0" w:line="261" w:lineRule="auto"/>
        <w:tabs>
          <w:tab w:leader="none" w:pos="29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performance or observance by the Borrower, any of its Subsidiaries or Affiliates or any other Person of any of their respective obligations under any Loan Document.</w:t>
      </w:r>
    </w:p>
    <w:p>
      <w:pPr>
        <w:spacing w:after="0" w:line="138" w:lineRule="exact"/>
        <w:rPr>
          <w:sz w:val="20"/>
          <w:szCs w:val="20"/>
          <w:color w:val="auto"/>
        </w:rPr>
      </w:pPr>
    </w:p>
    <w:p>
      <w:pPr>
        <w:ind w:right="40" w:firstLine="913"/>
        <w:spacing w:after="0" w:line="301"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Assignee[s]</w:t>
      </w:r>
      <w:r>
        <w:rPr>
          <w:rFonts w:ascii="Arial" w:cs="Arial" w:eastAsia="Arial" w:hAnsi="Arial"/>
          <w:sz w:val="15"/>
          <w:szCs w:val="15"/>
          <w:color w:val="auto"/>
        </w:rPr>
        <w:t xml:space="preserve">.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Eligible Assignee as defined in the Credit Agreement (subject to such consents, if any, as may be required under </w:t>
      </w:r>
      <w:r>
        <w:rPr>
          <w:rFonts w:ascii="Arial" w:cs="Arial" w:eastAsia="Arial" w:hAnsi="Arial"/>
          <w:sz w:val="15"/>
          <w:szCs w:val="15"/>
          <w:u w:val="single" w:color="auto"/>
          <w:color w:val="auto"/>
        </w:rPr>
        <w:t>Section 12.6(b)</w:t>
      </w:r>
      <w:r>
        <w:rPr>
          <w:rFonts w:ascii="Arial" w:cs="Arial" w:eastAsia="Arial" w:hAnsi="Arial"/>
          <w:sz w:val="15"/>
          <w:szCs w:val="15"/>
          <w:color w:val="auto"/>
        </w:rPr>
        <w:t xml:space="preserve"> of the Credit Agreement), (iii) from and after the Effective Date specified for this Assignment and Assumption,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8.2</w:t>
      </w:r>
      <w:r>
        <w:rPr>
          <w:rFonts w:ascii="Arial" w:cs="Arial" w:eastAsia="Arial" w:hAnsi="Arial"/>
          <w:sz w:val="15"/>
          <w:szCs w:val="15"/>
          <w:color w:val="auto"/>
        </w:rPr>
        <w:t xml:space="preserve">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the Assignor or any other Lender and based on such documents and information as it has deemed appropriate, made its own credit analysis and decision to enter into this Assignment and Assumption and to purchase [the][such] Assigned Interest; and (vii) if it is a Foreign Lender, attached to the Assignment and Assumption is any documentation required to be delivered by it pursuant to the terms of the Credit Agreement, duly completed and executed by [the][such] Assignee; and</w:t>
      </w:r>
    </w:p>
    <w:p>
      <w:pPr>
        <w:spacing w:after="0" w:line="3" w:lineRule="exact"/>
        <w:rPr>
          <w:sz w:val="20"/>
          <w:szCs w:val="20"/>
          <w:color w:val="auto"/>
        </w:rPr>
      </w:pPr>
    </w:p>
    <w:p>
      <w:pPr>
        <w:ind w:right="60" w:firstLine="8"/>
        <w:spacing w:after="0" w:line="281" w:lineRule="auto"/>
        <w:tabs>
          <w:tab w:leader="none" w:pos="249"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agrees that (i) it will, independently and without reliance on the Administrative Agent, [the][any] Assignor or any other Lender, and based on such documents and information as it shall deem appropriate at the time, continue to make its own credit decisions in taking or not taking action under the Loan Documents,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it will perform in accordance with their terms all of the obligations which by the terms of the Loan Documents are required to be performed by it as a Lender.</w:t>
      </w:r>
    </w:p>
    <w:p>
      <w:pPr>
        <w:spacing w:after="0" w:line="187" w:lineRule="exact"/>
        <w:rPr>
          <w:rFonts w:ascii="Arial" w:cs="Arial" w:eastAsia="Arial" w:hAnsi="Arial"/>
          <w:sz w:val="16"/>
          <w:szCs w:val="16"/>
          <w:color w:val="auto"/>
        </w:rPr>
      </w:pPr>
    </w:p>
    <w:p>
      <w:pPr>
        <w:jc w:val="both"/>
        <w:ind w:right="580" w:firstLine="921"/>
        <w:spacing w:after="0" w:line="370" w:lineRule="auto"/>
        <w:tabs>
          <w:tab w:leader="none" w:pos="1088" w:val="left"/>
        </w:tabs>
        <w:numPr>
          <w:ilvl w:val="1"/>
          <w:numId w:val="138"/>
        </w:numPr>
        <w:rPr>
          <w:rFonts w:ascii="Arial" w:cs="Arial" w:eastAsia="Arial" w:hAnsi="Arial"/>
          <w:sz w:val="15"/>
          <w:szCs w:val="15"/>
          <w:color w:val="auto"/>
        </w:rPr>
      </w:pPr>
      <w:r>
        <w:rPr>
          <w:rFonts w:ascii="Arial" w:cs="Arial" w:eastAsia="Arial" w:hAnsi="Arial"/>
          <w:sz w:val="15"/>
          <w:szCs w:val="15"/>
          <w:u w:val="single" w:color="auto"/>
          <w:color w:val="auto"/>
        </w:rPr>
        <w:t>Payments</w:t>
      </w:r>
      <w:r>
        <w:rPr>
          <w:rFonts w:ascii="Arial" w:cs="Arial" w:eastAsia="Arial" w:hAnsi="Arial"/>
          <w:sz w:val="15"/>
          <w:szCs w:val="15"/>
          <w:color w:val="auto"/>
        </w:rPr>
        <w:t>. From and after the Effective Date, the Administrative Agent shall make all payments in respect of [the][each] Assigned Interest (including payments of principal, interest, fees and other amounts) to [the][the relevant] Assignee whether such amounts have accrued prior to, on or after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A-160</w:t>
      </w:r>
    </w:p>
    <w:p>
      <w:pPr>
        <w:sectPr>
          <w:pgSz w:w="11900" w:h="16838" w:orient="portrait"/>
          <w:cols w:equalWidth="0" w:num="1">
            <w:col w:w="11420"/>
          </w:cols>
          <w:pgMar w:left="240" w:top="280" w:right="239" w:bottom="1440" w:gutter="0" w:footer="0" w:header="0"/>
        </w:sectPr>
      </w:pPr>
    </w:p>
    <w:bookmarkStart w:id="170" w:name="page171"/>
    <w:bookmarkEnd w:id="17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Effective Date. The Assignor[s] and the Assignee[s] shall make all appropriate adjustments in payments by the Administrative Agent for periods prior to such Effective Date or with respect to the making of this assignment directly between themselves.</w:t>
      </w:r>
    </w:p>
    <w:p>
      <w:pPr>
        <w:spacing w:after="0" w:line="132" w:lineRule="exact"/>
        <w:rPr>
          <w:sz w:val="20"/>
          <w:szCs w:val="20"/>
          <w:color w:val="auto"/>
        </w:rPr>
      </w:pPr>
    </w:p>
    <w:p>
      <w:pPr>
        <w:ind w:firstLine="921"/>
        <w:spacing w:after="0" w:line="255" w:lineRule="auto"/>
        <w:tabs>
          <w:tab w:leader="none" w:pos="1088"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A-161</w:t>
      </w:r>
    </w:p>
    <w:p>
      <w:pPr>
        <w:sectPr>
          <w:pgSz w:w="11900" w:h="16838" w:orient="portrait"/>
          <w:cols w:equalWidth="0" w:num="1">
            <w:col w:w="11360"/>
          </w:cols>
          <w:pgMar w:left="240" w:top="280" w:right="299" w:bottom="1440" w:gutter="0" w:footer="0" w:header="0"/>
        </w:sectPr>
      </w:pPr>
    </w:p>
    <w:bookmarkStart w:id="171" w:name="page172"/>
    <w:bookmarkEnd w:id="171"/>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FORM OF BID RATE NOTE</w:t>
      </w:r>
    </w:p>
    <w:p>
      <w:pPr>
        <w:spacing w:after="0" w:line="171"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6415405</wp:posOffset>
            </wp:positionH>
            <wp:positionV relativeFrom="paragraph">
              <wp:posOffset>-13970</wp:posOffset>
            </wp:positionV>
            <wp:extent cx="83629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5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FOR VALUE RECEIVED, the undersigned, FEDERAL REALTY INVESTMENT TRUST, a real estate investment trust formed under the laws of the State of Maryland (the “Borrower”), hereby promises to pay to the order of ________________ (the “Lender”), in care of Wells Fargo Bank, National</w:t>
      </w:r>
    </w:p>
    <w:p>
      <w:pPr>
        <w:ind w:right="40"/>
        <w:spacing w:after="0" w:line="295" w:lineRule="auto"/>
        <w:rPr>
          <w:sz w:val="20"/>
          <w:szCs w:val="20"/>
          <w:color w:val="auto"/>
        </w:rPr>
      </w:pPr>
      <w:r>
        <w:rPr>
          <w:rFonts w:ascii="Arial" w:cs="Arial" w:eastAsia="Arial" w:hAnsi="Arial"/>
          <w:sz w:val="16"/>
          <w:szCs w:val="16"/>
          <w:color w:val="auto"/>
        </w:rPr>
        <w:t>Association (together with its successors and permitted assigns, the “Administrative Agent”), at its office located at 608 Second Avenue South, Minneapolis, Minnesota, 55402, or at such other address as may be specified by the Administrative Agent to the Borrower, the aggregate unpaid principal amount of Bid Rate Loans made by the Lender to the Borrower under the Credit Agreement, on the dates and in the principal amounts provided in the Credit Agreement, and to pay interest on the unpaid principal amount of each such Bid Rate Loan, at such office at the rates and on the dates provided in the Credit Agreement.</w:t>
      </w:r>
    </w:p>
    <w:p>
      <w:pPr>
        <w:spacing w:after="0" w:line="11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The date, amount, interest rate and maturity date of each Bid Rate Loan made by the Lender to the Borrower, and each payment made on account of the principal thereof, shall be recorded by the Lender on its books and, prior to any transfer of this Bid Rate Note (this “Note”), endorsed by the Lender on the schedule attached hereto or any continuation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the Lender to make any such recordation or endorsement shall not affect the obligations of the Borrower to make a payment when due of any amount owing under the Credit Agreement or hereunder in respect of the Bid Rate Loans made by the Lender.</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Note is one of the “Bid Rate Notes” referred to in that certain Credit Agreement dated as of July 7, 2011, by and among the Borrower, the financial institutions party thereto and their permitted assignees under Section 12.6 thereof, the Administrative Agent, PNC Bank, National Association, as Syndication Agent, and each of Wells Fargo Securities, LLC, and PNC Capital Markets LLC, as a Lead Arranger and Book Manager, and evidences Bid Rate Loans made by the Lender thereunder. Terms used but not otherwise defined in this Note have the respective meanings assigned to them in the Credit Agreement.</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Credit Agreement provides for the acceleration of the maturity of this Note upon the occurrence of certain events and for prepayments of Bid Rate Loans upon the terms and conditions specified therein.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permitted by Section 12.6. of the Credit Agreement, this Note may not be assigned by the Lender to any other Person.</w:t>
      </w:r>
    </w:p>
    <w:p>
      <w:pPr>
        <w:spacing w:after="0" w:line="171"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THIS NOTE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Borrower hereby waives presentment for payment, demand, notice of demand, notice of non-payment, protest, notice of protest and all other similar notices.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 is of the essence for this Note.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on next page]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B-162</w:t>
      </w:r>
    </w:p>
    <w:p>
      <w:pPr>
        <w:sectPr>
          <w:pgSz w:w="11900" w:h="16838" w:orient="portrait"/>
          <w:cols w:equalWidth="0" w:num="1">
            <w:col w:w="11320"/>
          </w:cols>
          <w:pgMar w:left="240" w:top="280" w:right="339" w:bottom="1440" w:gutter="0" w:footer="0" w:header="0"/>
        </w:sectPr>
      </w:pPr>
    </w:p>
    <w:bookmarkStart w:id="172" w:name="page173"/>
    <w:bookmarkEnd w:id="17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and delivered this Bid Rate Note under seal as of the date first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FEDERAL REALTY INVESTMENT TRUST</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31521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31521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B-163</w:t>
      </w:r>
    </w:p>
    <w:p>
      <w:pPr>
        <w:sectPr>
          <w:pgSz w:w="11900" w:h="16838" w:orient="portrait"/>
          <w:cols w:equalWidth="0" w:num="1">
            <w:col w:w="9759"/>
          </w:cols>
          <w:pgMar w:left="700" w:top="280" w:right="1440"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BID RATE LOANS</w:t>
      </w:r>
    </w:p>
    <w:p>
      <w:pPr>
        <w:spacing w:after="0" w:line="17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This Note evidences Bid Rate Loans made under the within-described Credit Agreement to the Borrower, on the dates, in the principal amounts, bearing interest at the rates and maturing on the dates set forth below, subject to the payments and prepayments of principal set forth below:</w:t>
      </w:r>
    </w:p>
    <w:p>
      <w:pPr>
        <w:spacing w:after="0" w:line="109"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8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8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Unpaid</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9"/>
        </w:trPr>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Date of</w:t>
            </w:r>
          </w:p>
        </w:tc>
        <w:tc>
          <w:tcPr>
            <w:tcW w:w="16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6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c>
          <w:tcPr>
            <w:tcW w:w="12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Date of</w:t>
            </w:r>
          </w:p>
        </w:tc>
        <w:tc>
          <w:tcPr>
            <w:tcW w:w="8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Paid or</w:t>
            </w:r>
          </w:p>
        </w:tc>
        <w:tc>
          <w:tcPr>
            <w:tcW w:w="8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w:t>
            </w:r>
          </w:p>
        </w:tc>
        <w:tc>
          <w:tcPr>
            <w:tcW w:w="880" w:type="dxa"/>
            <w:vAlign w:val="bottom"/>
          </w:tcPr>
          <w:p>
            <w:pPr>
              <w:spacing w:after="0"/>
              <w:rPr>
                <w:sz w:val="12"/>
                <w:szCs w:val="12"/>
                <w:color w:val="auto"/>
              </w:rPr>
            </w:pPr>
          </w:p>
        </w:tc>
        <w:tc>
          <w:tcPr>
            <w:tcW w:w="5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7"/>
              </w:rPr>
              <w:t>Notation</w:t>
            </w:r>
          </w:p>
        </w:tc>
      </w:tr>
      <w:tr>
        <w:trPr>
          <w:trHeight w:val="168"/>
        </w:trPr>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Loan</w:t>
            </w:r>
          </w:p>
        </w:tc>
        <w:tc>
          <w:tcPr>
            <w:tcW w:w="16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Loan</w:t>
            </w:r>
          </w:p>
        </w:tc>
        <w:tc>
          <w:tcPr>
            <w:tcW w:w="168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Loan</w:t>
            </w:r>
          </w:p>
        </w:tc>
        <w:tc>
          <w:tcPr>
            <w:tcW w:w="8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Prepaid</w:t>
            </w:r>
          </w:p>
        </w:tc>
        <w:tc>
          <w:tcPr>
            <w:tcW w:w="8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88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Made By</w:t>
            </w: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B-164</w:t>
      </w:r>
    </w:p>
    <w:p>
      <w:pPr>
        <w:sectPr>
          <w:pgSz w:w="11900" w:h="16838" w:orient="portrait"/>
          <w:cols w:equalWidth="0" w:num="1">
            <w:col w:w="11420"/>
          </w:cols>
          <w:pgMar w:left="240" w:top="280" w:right="2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gridSpan w:val="2"/>
          </w:tcPr>
          <w:p>
            <w:pPr>
              <w:jc w:val="center"/>
              <w:ind w:right="1292"/>
              <w:spacing w:after="0"/>
              <w:rPr>
                <w:sz w:val="20"/>
                <w:szCs w:val="20"/>
                <w:color w:val="auto"/>
              </w:rPr>
            </w:pPr>
            <w:r>
              <w:rPr>
                <w:rFonts w:ascii="Arial" w:cs="Arial" w:eastAsia="Arial" w:hAnsi="Arial"/>
                <w:sz w:val="18"/>
                <w:szCs w:val="18"/>
                <w:color w:val="auto"/>
                <w:w w:val="97"/>
              </w:rPr>
              <w:t>EXHIBIT C</w:t>
            </w:r>
          </w:p>
        </w:tc>
        <w:tc>
          <w:tcPr>
            <w:tcW w:w="176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78"/>
        </w:trPr>
        <w:tc>
          <w:tcPr>
            <w:tcW w:w="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760" w:type="dxa"/>
            <w:vAlign w:val="bottom"/>
            <w:gridSpan w:val="4"/>
          </w:tcPr>
          <w:p>
            <w:pPr>
              <w:jc w:val="center"/>
              <w:ind w:right="332"/>
              <w:spacing w:after="0"/>
              <w:rPr>
                <w:sz w:val="20"/>
                <w:szCs w:val="20"/>
                <w:color w:val="auto"/>
              </w:rPr>
            </w:pPr>
            <w:r>
              <w:rPr>
                <w:rFonts w:ascii="Arial" w:cs="Arial" w:eastAsia="Arial" w:hAnsi="Arial"/>
                <w:sz w:val="18"/>
                <w:szCs w:val="18"/>
                <w:color w:val="auto"/>
                <w:w w:val="93"/>
              </w:rPr>
              <w:t>FORM OF DESIGNATION AGREEMENT</w:t>
            </w:r>
          </w:p>
        </w:tc>
        <w:tc>
          <w:tcPr>
            <w:tcW w:w="17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40"/>
        </w:trPr>
        <w:tc>
          <w:tcPr>
            <w:tcW w:w="4040" w:type="dxa"/>
            <w:vAlign w:val="bottom"/>
            <w:gridSpan w:val="3"/>
          </w:tcPr>
          <w:p>
            <w:pPr>
              <w:ind w:left="460"/>
              <w:spacing w:after="0"/>
              <w:rPr>
                <w:sz w:val="20"/>
                <w:szCs w:val="20"/>
                <w:color w:val="auto"/>
              </w:rPr>
            </w:pPr>
            <w:r>
              <w:rPr>
                <w:rFonts w:ascii="Arial" w:cs="Arial" w:eastAsia="Arial" w:hAnsi="Arial"/>
                <w:sz w:val="18"/>
                <w:szCs w:val="18"/>
                <w:color w:val="auto"/>
                <w:w w:val="92"/>
              </w:rPr>
              <w:t>THIS DESIGNATION AGREEMENT dated as of</w:t>
            </w:r>
          </w:p>
        </w:tc>
        <w:tc>
          <w:tcPr>
            <w:tcW w:w="880" w:type="dxa"/>
            <w:vAlign w:val="bottom"/>
            <w:tcBorders>
              <w:bottom w:val="single" w:sz="8" w:color="auto"/>
            </w:tcBorders>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360" w:type="dxa"/>
            <w:vAlign w:val="bottom"/>
            <w:tcBorders>
              <w:bottom w:val="single" w:sz="8" w:color="auto"/>
            </w:tcBorders>
          </w:tcPr>
          <w:p>
            <w:pPr>
              <w:spacing w:after="0"/>
              <w:rPr>
                <w:sz w:val="24"/>
                <w:szCs w:val="24"/>
                <w:color w:val="auto"/>
              </w:rPr>
            </w:pPr>
          </w:p>
        </w:tc>
        <w:tc>
          <w:tcPr>
            <w:tcW w:w="2440" w:type="dxa"/>
            <w:vAlign w:val="bottom"/>
          </w:tcPr>
          <w:p>
            <w:pPr>
              <w:ind w:left="40"/>
              <w:spacing w:after="0"/>
              <w:rPr>
                <w:sz w:val="20"/>
                <w:szCs w:val="20"/>
                <w:color w:val="auto"/>
              </w:rPr>
            </w:pPr>
            <w:r>
              <w:rPr>
                <w:rFonts w:ascii="Arial" w:cs="Arial" w:eastAsia="Arial" w:hAnsi="Arial"/>
                <w:sz w:val="18"/>
                <w:szCs w:val="18"/>
                <w:color w:val="auto"/>
                <w:w w:val="91"/>
              </w:rPr>
              <w:t>(the “Agreement”) by and among</w:t>
            </w:r>
          </w:p>
        </w:tc>
        <w:tc>
          <w:tcPr>
            <w:tcW w:w="1760" w:type="dxa"/>
            <w:vAlign w:val="bottom"/>
            <w:tcBorders>
              <w:bottom w:val="single" w:sz="8" w:color="auto"/>
            </w:tcBorders>
          </w:tcPr>
          <w:p>
            <w:pPr>
              <w:spacing w:after="0"/>
              <w:rPr>
                <w:sz w:val="24"/>
                <w:szCs w:val="24"/>
                <w:color w:val="auto"/>
              </w:rPr>
            </w:pPr>
          </w:p>
        </w:tc>
        <w:tc>
          <w:tcPr>
            <w:tcW w:w="1840" w:type="dxa"/>
            <w:vAlign w:val="bottom"/>
          </w:tcPr>
          <w:p>
            <w:pPr>
              <w:ind w:left="40"/>
              <w:spacing w:after="0"/>
              <w:rPr>
                <w:sz w:val="20"/>
                <w:szCs w:val="20"/>
                <w:color w:val="auto"/>
              </w:rPr>
            </w:pPr>
            <w:r>
              <w:rPr>
                <w:rFonts w:ascii="Arial" w:cs="Arial" w:eastAsia="Arial" w:hAnsi="Arial"/>
                <w:sz w:val="18"/>
                <w:szCs w:val="18"/>
                <w:color w:val="auto"/>
              </w:rPr>
              <w:t>(the “Designating</w:t>
            </w: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w w:val="95"/>
              </w:rPr>
              <w:t>Lender”),</w:t>
            </w:r>
          </w:p>
        </w:tc>
        <w:tc>
          <w:tcPr>
            <w:tcW w:w="1760" w:type="dxa"/>
            <w:vAlign w:val="bottom"/>
            <w:tcBorders>
              <w:bottom w:val="single" w:sz="8" w:color="auto"/>
            </w:tcBorders>
          </w:tcPr>
          <w:p>
            <w:pPr>
              <w:spacing w:after="0"/>
              <w:rPr>
                <w:sz w:val="17"/>
                <w:szCs w:val="17"/>
                <w:color w:val="auto"/>
              </w:rPr>
            </w:pPr>
          </w:p>
        </w:tc>
        <w:tc>
          <w:tcPr>
            <w:tcW w:w="8920" w:type="dxa"/>
            <w:vAlign w:val="bottom"/>
            <w:gridSpan w:val="7"/>
          </w:tcPr>
          <w:p>
            <w:pPr>
              <w:ind w:left="40"/>
              <w:spacing w:after="0" w:line="196" w:lineRule="exact"/>
              <w:rPr>
                <w:sz w:val="20"/>
                <w:szCs w:val="20"/>
                <w:color w:val="auto"/>
              </w:rPr>
            </w:pPr>
            <w:r>
              <w:rPr>
                <w:rFonts w:ascii="Arial" w:cs="Arial" w:eastAsia="Arial" w:hAnsi="Arial"/>
                <w:sz w:val="18"/>
                <w:szCs w:val="18"/>
                <w:color w:val="auto"/>
                <w:w w:val="89"/>
              </w:rPr>
              <w:t>(the “Designated Lender”) and Wells Fargo Bank, National Association, as Administrative Agent (together with its successors</w:t>
            </w:r>
          </w:p>
        </w:tc>
      </w:tr>
      <w:tr>
        <w:trPr>
          <w:trHeight w:val="235"/>
        </w:trPr>
        <w:tc>
          <w:tcPr>
            <w:tcW w:w="4040" w:type="dxa"/>
            <w:vAlign w:val="bottom"/>
            <w:gridSpan w:val="3"/>
          </w:tcPr>
          <w:p>
            <w:pPr>
              <w:spacing w:after="0"/>
              <w:rPr>
                <w:sz w:val="20"/>
                <w:szCs w:val="20"/>
                <w:color w:val="auto"/>
              </w:rPr>
            </w:pPr>
            <w:r>
              <w:rPr>
                <w:rFonts w:ascii="Arial" w:cs="Arial" w:eastAsia="Arial" w:hAnsi="Arial"/>
                <w:sz w:val="18"/>
                <w:szCs w:val="18"/>
                <w:color w:val="auto"/>
                <w:w w:val="99"/>
              </w:rPr>
              <w:t>and permitted assigns, the “Administrative Agent”).</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20" w:firstLine="456"/>
        <w:spacing w:after="0" w:line="298" w:lineRule="auto"/>
        <w:rPr>
          <w:sz w:val="20"/>
          <w:szCs w:val="20"/>
          <w:color w:val="auto"/>
        </w:rPr>
      </w:pPr>
      <w:r>
        <w:rPr>
          <w:rFonts w:ascii="Arial" w:cs="Arial" w:eastAsia="Arial" w:hAnsi="Arial"/>
          <w:sz w:val="16"/>
          <w:szCs w:val="16"/>
          <w:color w:val="auto"/>
        </w:rPr>
        <w:t>WHEREAS, the Designating Lender is a Lender under that certain Credit Agreement dated as of July 7, 2011, by and among Federal Realty Investment Trust, a real estate investment trust formed under the laws of the State of Maryland (the “Borrower”), the financial institutions party thereto and their permitted assignees under Section 12.6. thereof, the Administrative Agent, PNC Bank, National Association, as Syndication Agent, and each of Wells Fargo Securities, LLC, and PNC Capital Markets LLC, as a Lead Arranger and Book Manager;</w:t>
      </w:r>
    </w:p>
    <w:p>
      <w:pPr>
        <w:spacing w:after="0" w:line="11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WHEREAS, pursuant to Section 12.6.(h), the Designating Lender desires to designate the Designated Lender as its “Designated Lender” under and as defined in the Credit Agreement;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Administrative Agent consents to such designation on the terms and conditions set forth herein.</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hereby are acknowledged by the parties hereto, the parties hereto hereby agree as follows: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Designation</w:t>
      </w:r>
      <w:r>
        <w:rPr>
          <w:rFonts w:ascii="Arial" w:cs="Arial" w:eastAsia="Arial" w:hAnsi="Arial"/>
          <w:sz w:val="16"/>
          <w:szCs w:val="16"/>
          <w:color w:val="auto"/>
        </w:rPr>
        <w:t>. Subject to the terms and conditions of this Agreement, the Designating Lender hereby designates the Designated Lender, and the Designated Lender hereby accepts such designation, to have a right to make Bid Rate Loans on behalf of the Designating Lender pursuant to Section 2.2. of the Credit Agreement. Any assignment by the Designating Lender to the Designated Lender of rights to make a Bid Rate Loan shall only be effective at the time such Bid Rate Loan is funded by the Designated Lender. The Designated Lender, subject to the terms and conditions hereof, hereby agrees to make such accepted Bid Rate Loans and to perform such other obligations as may be required of it as a Designated Lender under the Credit Agreement.</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Designating Lender Not Discharged</w:t>
      </w:r>
      <w:r>
        <w:rPr>
          <w:rFonts w:ascii="Arial" w:cs="Arial" w:eastAsia="Arial" w:hAnsi="Arial"/>
          <w:sz w:val="16"/>
          <w:szCs w:val="16"/>
          <w:color w:val="auto"/>
        </w:rPr>
        <w:t>. Notwithstanding the designation of the Designated Lender hereunder, the Designating Lender shall be and remain obligated to the Borrower, the Administrative Agent and the Lenders for each and every of the obligations of the Designating Lender and its related Designated Lender with respect to the Credit Agreement and the other Loan Documents, including, without limitation, any indemnification obligations under Section 11.6. of the Credit Agreement and any sums otherwise payable to the Borrower by the Designated Lender.</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No Representations by Designating Lender</w:t>
      </w:r>
      <w:r>
        <w:rPr>
          <w:rFonts w:ascii="Arial" w:cs="Arial" w:eastAsia="Arial" w:hAnsi="Arial"/>
          <w:sz w:val="16"/>
          <w:szCs w:val="16"/>
          <w:color w:val="auto"/>
        </w:rPr>
        <w:t>. The Designating Lender makes no representation or warranty and, except as set forth in Section 8 below, assumes no responsibility pursuant to this Agreement with respect to (a) any statements, warranties or representations made in or in connection with any Loan Document or the execution, legality, validity, enforceability, genuineness, sufficiency or value of any Loan Document or any other instrument and document furnished pursuant thereto and (b) the financial condition of the Borrower, any other Loan Party or any other Subsidiary of the Borrower or the performance or observance by the Borrower or any other Loan Party of any of its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C-165</w:t>
      </w:r>
    </w:p>
    <w:p>
      <w:pPr>
        <w:sectPr>
          <w:pgSz w:w="11900" w:h="16838" w:orient="portrait"/>
          <w:cols w:equalWidth="0" w:num="1">
            <w:col w:w="11400"/>
          </w:cols>
          <w:pgMar w:left="240" w:top="280" w:right="2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under any Loan Document to which it is a party or any other instrument or document furnished pursuant thereto.</w:t>
      </w:r>
    </w:p>
    <w:p>
      <w:pPr>
        <w:spacing w:after="0" w:line="17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Representations and Covenants of Designated Lender</w:t>
      </w:r>
      <w:r>
        <w:rPr>
          <w:rFonts w:ascii="Arial" w:cs="Arial" w:eastAsia="Arial" w:hAnsi="Arial"/>
          <w:sz w:val="16"/>
          <w:szCs w:val="16"/>
          <w:color w:val="auto"/>
        </w:rPr>
        <w:t>. The Designated Lender makes and confirms to the Administrative Agent, the Designating Lender, and the other Lenders all of the representations, warranties and covenants of a Lender under the Credit Agreement. Not in limitation of the foregoing, the Designated Lender (a) represents and warrants that it (i) is legally authorized to enter into this Agreement; (ii) is an “accredited investor” (as such term is used in Regulation D of the Securities Act) and (iii) meets the requirements of a “Designated Lender” contained in the definition of such term contained in the Credit Agreement; (b) confirms that it has received a copy of the Credit Agreement, together with copies of the most recent financial statements delivered pursuant thereto and such other documents and information (including without limitation the Loan Documents) as it has deemed appropriate to make its own credit analysis and decision to enter into this Agreement; (c) confirms that it has, independently and without reliance upon the Administrative Agent, any other Lender or counsel to the Administrative Agent, or any of their respective officers, directors, employees, agents or counsel, and based on such financial statements and such other documents and information, made its own credit analysis and decision to become a Designated Lender under the Credit Agreement; (d) appoints and authorizes the Administrative Agent to take such action as contractual representative on its behalf and to exercise such powers under the Loan Documents as are delegated to the Administrative Agent by the terms thereof together with such powers as are reasonably incidental thereto; and (e) agrees that it will become a party to and shall be bound by the Credit Agreement, the other Loan Documents to which the other Lenders are a party on the Effective Date (as defined below) and will perform in accordance therewith all of the obligations which are required to be performed by it as a Designated Lender. The Designated Lender also acknowledges that it will, independently and without reliance upon the Administrative Agent, any other Lender or counsel to the Administrative Agent or any of their respective officers, directors, employees and agents, and based on such documents and information as it shall deem appropriate at the time, continue to make its own credit decisions in taking or not taking action under the Credit Agreement or any Note or pursuant to any other obligation. The Designated Lender acknowledges and agrees that except as expressly required under the Credit Agreement, the Administrative Agent shall have no duty or responsibility whatsoever, either initially or on a continuing basis, to provide the Designated Lender with any credit or other information with respect to the Borrower, any other Loan Party or any other Subsidiary or to notify the Designated Lender of any Default or Event of Default.</w:t>
      </w:r>
    </w:p>
    <w:p>
      <w:pPr>
        <w:spacing w:after="0" w:line="1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Appointment of Designating Lender as Attorney-In-Fact</w:t>
      </w:r>
      <w:r>
        <w:rPr>
          <w:rFonts w:ascii="Arial" w:cs="Arial" w:eastAsia="Arial" w:hAnsi="Arial"/>
          <w:sz w:val="16"/>
          <w:szCs w:val="16"/>
          <w:color w:val="auto"/>
        </w:rPr>
        <w:t>. The Designated Lender hereby appoints the Designating Lender as the Designated Lender’s agent and attorney-in-fact, and grants to the Designating Lender an irrevocable power of attorney, to receive any and all payments to be made for the benefit of the Designated Lender under the Credit Agreement, to deliver and receive all notices and other communications under the Credit Agreement and other Loan Documents and to exercise on the Designated Lender’s behalf all rights to vote and to grant and make approvals, waivers, consents or amendments to or under the Credit Agreement or other Loan Documents. Any document executed by the Designating Lender on the Designated Lender’s behalf in connection with the Credit Agreement or other Loan Documents shall be binding on the Designated Lender. The Borrower, the Administrative Agent and each of the Lenders may rely on and are beneficiaries of the preceding provisions.</w:t>
      </w:r>
    </w:p>
    <w:p>
      <w:pPr>
        <w:spacing w:after="0" w:line="11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Acceptance by the Administrative Agent</w:t>
      </w:r>
      <w:r>
        <w:rPr>
          <w:rFonts w:ascii="Arial" w:cs="Arial" w:eastAsia="Arial" w:hAnsi="Arial"/>
          <w:sz w:val="16"/>
          <w:szCs w:val="16"/>
          <w:color w:val="auto"/>
        </w:rPr>
        <w:t>. Following the execution of this Agreement by the Designating Lender and the Designated Lender, the Designating Lender will (i) deliver to the Administrative Agent a duly executed original of this Agreement for acceptance by the Administrative Agent and</w:t>
      </w:r>
    </w:p>
    <w:p>
      <w:pPr>
        <w:ind w:right="340" w:firstLine="8"/>
        <w:spacing w:after="0" w:line="323" w:lineRule="auto"/>
        <w:tabs>
          <w:tab w:leader="none" w:pos="258" w:val="left"/>
        </w:tabs>
        <w:numPr>
          <w:ilvl w:val="0"/>
          <w:numId w:val="140"/>
        </w:numPr>
        <w:rPr>
          <w:rFonts w:ascii="Arial" w:cs="Arial" w:eastAsia="Arial" w:hAnsi="Arial"/>
          <w:sz w:val="16"/>
          <w:szCs w:val="16"/>
          <w:color w:val="auto"/>
        </w:rPr>
      </w:pPr>
      <w:r>
        <w:rPr>
          <w:rFonts w:ascii="Arial" w:cs="Arial" w:eastAsia="Arial" w:hAnsi="Arial"/>
          <w:sz w:val="16"/>
          <w:szCs w:val="16"/>
          <w:color w:val="auto"/>
        </w:rPr>
        <w:t>pay to the Administrative Agent the fee, if any, payable under the applicable provisions of the Credit Agreement whereupon this Agreement shall become effective as of the date of such acceptance or such other date as may be specified on the signature page hereof (the “Effective Date”).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C-166</w:t>
      </w:r>
    </w:p>
    <w:p>
      <w:pPr>
        <w:sectPr>
          <w:pgSz w:w="11900" w:h="16838" w:orient="portrait"/>
          <w:cols w:equalWidth="0" w:num="1">
            <w:col w:w="11400"/>
          </w:cols>
          <w:pgMar w:left="240" w:top="280" w:right="259" w:bottom="1440" w:gutter="0" w:footer="0" w:header="0"/>
        </w:sectPr>
      </w:pPr>
    </w:p>
    <w:bookmarkStart w:id="176" w:name="page177"/>
    <w:bookmarkEnd w:id="176"/>
    <w:p>
      <w:pPr>
        <w:ind w:right="120" w:firstLine="456"/>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 </w:t>
      </w:r>
      <w:r>
        <w:rPr>
          <w:rFonts w:ascii="Arial" w:cs="Arial" w:eastAsia="Arial" w:hAnsi="Arial"/>
          <w:sz w:val="15"/>
          <w:szCs w:val="15"/>
          <w:u w:val="single" w:color="auto"/>
          <w:color w:val="auto"/>
        </w:rPr>
        <w:t>Effect of Designation</w:t>
      </w:r>
      <w:r>
        <w:rPr>
          <w:rFonts w:ascii="Arial" w:cs="Arial" w:eastAsia="Arial" w:hAnsi="Arial"/>
          <w:sz w:val="15"/>
          <w:szCs w:val="15"/>
          <w:color w:val="auto"/>
        </w:rPr>
        <w:t xml:space="preserve">. Upon such acceptance and recording by the Administrative Agent, as of the Effective Date, the Designated Lender shall be a party to the Credit Agreement with a right to make Bid Rate Loans as a Lender pursuant to Section 2.2. of the Credit Agreement and the rights and obligations of a Lender related thereto;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Designated Lender shall not be required to make payments with respect to such obligations except to the extent of excess cash flow of the Designated Lender which is not otherwise required to repay obligations of the Designated Lender which are then due and payable. Notwithstanding the foregoing, the Designating Lender, as agent for the Designated Lender, shall be and remain obligated to the Borrower, the Administrative Agent and the Lenders for each and every obligation of the Designated Lender and the Designating Lender with respect to the Credit Agreement.</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Indemnification of Designated Lender</w:t>
      </w:r>
      <w:r>
        <w:rPr>
          <w:rFonts w:ascii="Arial" w:cs="Arial" w:eastAsia="Arial" w:hAnsi="Arial"/>
          <w:sz w:val="16"/>
          <w:szCs w:val="16"/>
          <w:color w:val="auto"/>
        </w:rPr>
        <w:t>. The Designating Lender unconditionally agrees to pay or reimburse the Designated Lender and save the Designated Lender harmless against all liabilities, obligations, losses, damages, penalties, actions, judgments, suits, costs, expenses or disbursements of any kind or nature whatsoever which may be imposed or asserted by any of the parties to the Loan Documents against the Designated Lender, in its capacity as such, in any way relating to or arising out of this Agreement or any other Loan Documents or any action taken or omitted by the Designated Lender hereunder or thereunder, provided that the Designating Lender shall not be liable for any portion of such liabilities, obligations, losses, damages, penalties, actions, judgments, suits, costs, expenses or disbursements if the same results from the Designated Lender’s gross negligence or willful misconduct.</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taken together, shall constitute one and the same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have been inserted herein for convenience only and shall not be construed to be a part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Amendments; Waivers</w:t>
      </w:r>
      <w:r>
        <w:rPr>
          <w:rFonts w:ascii="Arial" w:cs="Arial" w:eastAsia="Arial" w:hAnsi="Arial"/>
          <w:sz w:val="16"/>
          <w:szCs w:val="16"/>
          <w:color w:val="auto"/>
        </w:rPr>
        <w:t>. This Agreement may not be amended, changed, waived or modified except by a writing executed by all parties hereto.</w:t>
      </w:r>
    </w:p>
    <w:p>
      <w:pPr>
        <w:spacing w:after="0" w:line="194"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hereto and their respective successors and permitted assigns.</w:t>
      </w:r>
    </w:p>
    <w:p>
      <w:pPr>
        <w:spacing w:after="0" w:line="132"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Definitions</w:t>
      </w:r>
      <w:r>
        <w:rPr>
          <w:rFonts w:ascii="Arial" w:cs="Arial" w:eastAsia="Arial" w:hAnsi="Arial"/>
          <w:sz w:val="16"/>
          <w:szCs w:val="16"/>
          <w:color w:val="auto"/>
        </w:rPr>
        <w:t>. Terms not otherwise defined herein are used herein with the respective meanings given them in the Credit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C-167</w:t>
      </w:r>
    </w:p>
    <w:p>
      <w:pPr>
        <w:sectPr>
          <w:pgSz w:w="11900" w:h="16838" w:orient="portrait"/>
          <w:cols w:equalWidth="0" w:num="1">
            <w:col w:w="11420"/>
          </w:cols>
          <w:pgMar w:left="240" w:top="280" w:right="239" w:bottom="1440" w:gutter="0" w:footer="0" w:header="0"/>
        </w:sectPr>
      </w:pPr>
    </w:p>
    <w:bookmarkStart w:id="177" w:name="page178"/>
    <w:bookmarkEnd w:id="177"/>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duly executed this Designation Agreement as of the date and year first written above.</w:t>
      </w:r>
    </w:p>
    <w:p>
      <w:pPr>
        <w:spacing w:after="0" w:line="200" w:lineRule="exact"/>
        <w:rPr>
          <w:sz w:val="20"/>
          <w:szCs w:val="20"/>
          <w:color w:val="auto"/>
        </w:rPr>
      </w:pP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10795</wp:posOffset>
            </wp:positionV>
            <wp:extent cx="17322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DESIGNATING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DESIGNATING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10795</wp:posOffset>
            </wp:positionV>
            <wp:extent cx="22555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10795</wp:posOffset>
            </wp:positionV>
            <wp:extent cx="22555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DESIGNATED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DESIGNATED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10795</wp:posOffset>
            </wp:positionV>
            <wp:extent cx="22555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10795</wp:posOffset>
            </wp:positionV>
            <wp:extent cx="22555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10795</wp:posOffset>
            </wp:positionV>
            <wp:extent cx="22555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10795</wp:posOffset>
            </wp:positionV>
            <wp:extent cx="22555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C-168</w:t>
      </w:r>
    </w:p>
    <w:p>
      <w:pPr>
        <w:sectPr>
          <w:pgSz w:w="11900" w:h="16838" w:orient="portrait"/>
          <w:cols w:equalWidth="0" w:num="1">
            <w:col w:w="10219"/>
          </w:cols>
          <w:pgMar w:left="240" w:top="280" w:right="1440"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GUARANTY</w:t>
      </w:r>
    </w:p>
    <w:p>
      <w:pPr>
        <w:spacing w:after="0" w:line="165"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THIS GUARANTY dated as of July 7, 2011, is executed and delivered by each of the undersigned and the other Persons from time to time party hereto pursuant to the execution and delivery of an Accession Agreement in the form of Annex I hereto (all of the undersigned, together with such other Persons each a “Guarantor” and collectively, the “Guarantors”) in favor of WELLS FARGO BANK, NATIONAL ASSOCIATION, in its capacity as Administrative Agent (together with its successors and permitted assigns, the “Administrative Agent”) for the Lenders (as defined herein) under that certain Credit Agreement dated as of July 7, 2011, by and among Federal Realty Investment Trust, a real estate investment trust formed under the laws of the State of Maryland (the “Borrower”), the financial institutions party thereto and their permitted assignees under Section 12.6. thereof (collectively, the “Lenders”), the Administrative Agent, PNC Bank, National Association, as Syndication Agent, and each of Wells Fargo Securities, LLC, and PNC Capital Markets LLC, as a Lead Arranger and Book Manager, for the benefit of itself, the Issuing Bank, and the Lenders (the Administrative Agent, the Lenders, and the Issuing Bank, each individually a “Guarantied Party” and collectively, the “Guarantied Parties”).</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WHEREAS, pursuant to the Credit Agreement, the Administrative Agent and the Lenders have agreed to make available to the Borrower certain financial accommodations on the terms and conditions set forth in the Credit Agreement;</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WHEREAS, the Borrower and each of the Guarantors, though separate legal entities, are mutually dependent on each other in the conduct of their respective businesses as an integrated operation and have determined it to be in their mutual best interests to obtain financing from the Administrative Agent and the Lenders through their collective efforts;</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WHEREAS, each Guarantor acknowledges that it will receive direct and indirect benefits from the Administrative Agent and the Lenders making such financial accommodations available to the Borrower under the Credit Agreement and, accordingly, each Guarantor is willing to guarantee the Borrower’s obligations to the Administrative Agent and the Lenders on the terms and conditions contained herein; and</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WHEREAS, each Guarantor’s execution and delivery of this Guaranty is a condition to the Administrative Agent and the Lenders making, and continuing to make, such financial accommodations to the Borrower.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by each Guarantor, each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agrees as follows:</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Guaranty</w:t>
      </w:r>
      <w:r>
        <w:rPr>
          <w:rFonts w:ascii="Arial" w:cs="Arial" w:eastAsia="Arial" w:hAnsi="Arial"/>
          <w:sz w:val="16"/>
          <w:szCs w:val="16"/>
          <w:color w:val="auto"/>
        </w:rPr>
        <w:t>. Each Guarantor hereby absolutely, irrevocably and unconditionally guaranties the due and punctual payment and performance when due, whether at stated maturity, by acceleration or otherwise, of all of the following (collectively referred to as the “Guarantied Obligations”): (a) all indebtedness, liabilities, obligations, covenants and duties owing by the Borrower to the Administrative Agent or any other Guarantied Party under or in connection with the Credit Agreement and any other Loan Document, including without limitation, the repayment of all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D-169</w:t>
      </w:r>
    </w:p>
    <w:p>
      <w:pPr>
        <w:sectPr>
          <w:pgSz w:w="11900" w:h="16838" w:orient="portrait"/>
          <w:cols w:equalWidth="0" w:num="1">
            <w:col w:w="11420"/>
          </w:cols>
          <w:pgMar w:left="240" w:top="280" w:right="239" w:bottom="1440" w:gutter="0" w:footer="0" w:header="0"/>
        </w:sectPr>
      </w:pPr>
    </w:p>
    <w:bookmarkStart w:id="179" w:name="page180"/>
    <w:bookmarkEnd w:id="179"/>
    <w:p>
      <w:pPr>
        <w:ind w:right="1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of the Loans, the Reimbursement Obligations and all other Letter of Credit Liabilities, and the payment of all interest, Fees, charges, reasonable attorneys’ fees and other amounts payable to the Administrative Agent or any other Guarantied Party thereunder or in connection therewith (including, to the extent permitted by Applicable Law, interest, Fees and other amounts that would accrue and become due after the filing of a case or other proceeding under the Bankruptcy Code (as defined below) or other similar Applicable Law but for the commencement of such case or proceeding, whether or not such amounts are allowed or allowable in whole or in part in such case or proceeding); (b) any and all extensions, renewals, modifications, amendments or substitutions of the foregoing; (c) all other Obligations; and (d) all reasonable out-of-pocket costs and expenses, including, without limitation, reasonable attorneys’ fees and disbursements for which the Borrower is responsible under Section 12.2. of the Credit Agreement.</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Guaranty of Payment and Not of Collection</w:t>
      </w:r>
      <w:r>
        <w:rPr>
          <w:rFonts w:ascii="Arial" w:cs="Arial" w:eastAsia="Arial" w:hAnsi="Arial"/>
          <w:sz w:val="18"/>
          <w:szCs w:val="18"/>
          <w:color w:val="auto"/>
        </w:rPr>
        <w:t>. This Guaranty is a guaranty of payment, and not of collection, and a debt of each Guarantor for its own account. Accordingly, none of the Administrative Agent or the other Guarantied Parties shall be obligated or required before enforcing this Guaranty against any Guarantor: (a) to pursue any right or remedy any of them may have against the Borrower, any other Guarantor or any other Person or commence any suit or other proceeding against the Borrower, any other Guarantor or any other Person in any court or other tribunal; (b) to make any claim in a liquidation or bankruptcy of the Borrower, any other Guarantor or any other Person; or (c) to make demand of the Borrower, any other Guarantor or any other Person or to enforce or seek to enforce or realize upon any collateral security, if any, held by the Administrative Agent or any other Guarantied Party which may secure any of the Guarantied Obligations.</w:t>
      </w:r>
    </w:p>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Guaranty Absolute</w:t>
      </w:r>
      <w:r>
        <w:rPr>
          <w:rFonts w:ascii="Arial" w:cs="Arial" w:eastAsia="Arial" w:hAnsi="Arial"/>
          <w:sz w:val="18"/>
          <w:szCs w:val="18"/>
          <w:color w:val="auto"/>
        </w:rPr>
        <w:t>. Each Guarantor guarantees that the Guarantied Obligations will be paid strictly in accordance with the terms of the documents evidencing the same, regardless of any Applicable Law now or hereafter in effect in any jurisdiction affecting any of such terms or the rights of the Administrative Agent or the other Guarantied Parties with respect thereto. The liability of each Guarantor under this Guaranty shall be absolute, irrevocable and unconditional in accordance with its terms and shall remain in full force and effect without regard to, and shall not be released, suspended, discharged, terminated or otherwise affected by, any circumstance or occurrence whatsoever, including without limitation, the following (whether or not such Guarantor consents thereto or has notice thereof):</w:t>
      </w:r>
    </w:p>
    <w:p>
      <w:pPr>
        <w:spacing w:after="0" w:line="144" w:lineRule="exact"/>
        <w:rPr>
          <w:sz w:val="20"/>
          <w:szCs w:val="20"/>
          <w:color w:val="auto"/>
        </w:rPr>
      </w:pPr>
    </w:p>
    <w:p>
      <w:pPr>
        <w:ind w:firstLine="464"/>
        <w:spacing w:after="0" w:line="291" w:lineRule="auto"/>
        <w:tabs>
          <w:tab w:leader="none" w:pos="69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 any change in the amount, interest rate or due date or other term of any of the Guarantied Obligations, (ii) any change in the time, place or manner of payment of all or any portion of the Guarantied Obligations, (iii) any amendment or waiver of, or consent to the departure from or other indulgence with respect to, the Credit Agreement, any other Loan Document, or any other document or instrument evidencing or relating to any Guarantied Obligations, or (iv) any waiver, renewal, extension, addition, or supplement to, or deletion from, or any other action or inaction under or in respect of, the Credit Agreement, any of the other Loan Documents, or any other documents, instruments or agreements relating to the Guarantied Obligations or any other instrument or agreement referred to therein or evidencing any Guarantied Obligations or any assignment or transfer of any of the foregoing;</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D-170</w:t>
      </w:r>
    </w:p>
    <w:p>
      <w:pPr>
        <w:sectPr>
          <w:pgSz w:w="11900" w:h="16838" w:orient="portrait"/>
          <w:cols w:equalWidth="0" w:num="1">
            <w:col w:w="11380"/>
          </w:cols>
          <w:pgMar w:left="240" w:top="280" w:right="279" w:bottom="1440" w:gutter="0" w:footer="0" w:header="0"/>
        </w:sectPr>
      </w:pPr>
    </w:p>
    <w:bookmarkStart w:id="180" w:name="page181"/>
    <w:bookmarkEnd w:id="180"/>
    <w:p>
      <w:pPr>
        <w:ind w:right="420" w:firstLine="464"/>
        <w:spacing w:after="0" w:line="332" w:lineRule="auto"/>
        <w:tabs>
          <w:tab w:leader="none" w:pos="705" w:val="left"/>
        </w:tabs>
        <w:numPr>
          <w:ilvl w:val="0"/>
          <w:numId w:val="1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lack of validity or enforceability of the Credit Agreement, any of the other Loan Documents, or any other document, instrument or agreement referred to therein or evidencing any Guarantied Obligations or any assignment or transfer of any of the foregoing;</w:t>
      </w:r>
    </w:p>
    <w:p>
      <w:pPr>
        <w:spacing w:after="0" w:line="85" w:lineRule="exact"/>
        <w:rPr>
          <w:rFonts w:ascii="Arial" w:cs="Arial" w:eastAsia="Arial" w:hAnsi="Arial"/>
          <w:sz w:val="16"/>
          <w:szCs w:val="16"/>
          <w:color w:val="auto"/>
        </w:rPr>
      </w:pPr>
    </w:p>
    <w:p>
      <w:pPr>
        <w:ind w:firstLine="464"/>
        <w:spacing w:after="0" w:line="268" w:lineRule="auto"/>
        <w:tabs>
          <w:tab w:leader="none" w:pos="69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furnishing to the Administrative Agent or the other Guarantied Parties of any security for the Guarantied Obligations, or any sale, exchange, release or surrender of, or realization on, any collateral securing any of the Obligations;</w:t>
      </w:r>
    </w:p>
    <w:p>
      <w:pPr>
        <w:spacing w:after="0" w:line="131" w:lineRule="exact"/>
        <w:rPr>
          <w:rFonts w:ascii="Arial" w:cs="Arial" w:eastAsia="Arial" w:hAnsi="Arial"/>
          <w:sz w:val="18"/>
          <w:szCs w:val="18"/>
          <w:color w:val="auto"/>
        </w:rPr>
      </w:pPr>
    </w:p>
    <w:p>
      <w:pPr>
        <w:ind w:right="320" w:firstLine="464"/>
        <w:spacing w:after="0" w:line="259" w:lineRule="auto"/>
        <w:tabs>
          <w:tab w:leader="none" w:pos="7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settlement or compromise of any of the Guarantied Obligations, any security therefor, or any liability of any other party with respect to the Guarantied Obligations, or any subordination of the payment of the Guarantied Obligations to the payment of any other liability of the Borrower or any other Loan Party;</w:t>
      </w:r>
    </w:p>
    <w:p>
      <w:pPr>
        <w:spacing w:after="0" w:line="140" w:lineRule="exact"/>
        <w:rPr>
          <w:rFonts w:ascii="Arial" w:cs="Arial" w:eastAsia="Arial" w:hAnsi="Arial"/>
          <w:sz w:val="18"/>
          <w:szCs w:val="18"/>
          <w:color w:val="auto"/>
        </w:rPr>
      </w:pPr>
    </w:p>
    <w:p>
      <w:pPr>
        <w:ind w:right="240" w:firstLine="464"/>
        <w:spacing w:after="0" w:line="259" w:lineRule="auto"/>
        <w:tabs>
          <w:tab w:leader="none" w:pos="69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bankruptcy, insolvency, reorganization, composition, adjustment, dissolution, liquidation or other like proceeding relating to such Guarantor, the Borrower, any other Loan Party or any other Person, or any action taken with respect to this Guaranty by any trustee or receiver, or by any court, in any such proceeding;</w:t>
      </w:r>
    </w:p>
    <w:p>
      <w:pPr>
        <w:spacing w:after="0" w:line="140" w:lineRule="exact"/>
        <w:rPr>
          <w:rFonts w:ascii="Arial" w:cs="Arial" w:eastAsia="Arial" w:hAnsi="Arial"/>
          <w:sz w:val="18"/>
          <w:szCs w:val="18"/>
          <w:color w:val="auto"/>
        </w:rPr>
      </w:pPr>
    </w:p>
    <w:p>
      <w:pPr>
        <w:ind w:right="180" w:firstLine="464"/>
        <w:spacing w:after="0" w:line="268" w:lineRule="auto"/>
        <w:tabs>
          <w:tab w:leader="none" w:pos="67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act or failure to act by the Borrower, any other Loan Party or any other Person which may adversely affect such Guarantor’s subrogation rights, if any, against the Borrower to recover payments made under this Guaranty;</w:t>
      </w:r>
    </w:p>
    <w:p>
      <w:pPr>
        <w:spacing w:after="0" w:line="131" w:lineRule="exact"/>
        <w:rPr>
          <w:rFonts w:ascii="Arial" w:cs="Arial" w:eastAsia="Arial" w:hAnsi="Arial"/>
          <w:sz w:val="18"/>
          <w:szCs w:val="18"/>
          <w:color w:val="auto"/>
        </w:rPr>
      </w:pPr>
    </w:p>
    <w:p>
      <w:pPr>
        <w:ind w:right="460" w:firstLine="464"/>
        <w:spacing w:after="0" w:line="268" w:lineRule="auto"/>
        <w:tabs>
          <w:tab w:leader="none" w:pos="7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nonperfection or impairment of any security interest, if any, or other Lien on any collateral, if any, securing in any way any of the Guarantied Obligations;</w:t>
      </w:r>
    </w:p>
    <w:p>
      <w:pPr>
        <w:spacing w:after="0" w:line="131" w:lineRule="exact"/>
        <w:rPr>
          <w:rFonts w:ascii="Arial" w:cs="Arial" w:eastAsia="Arial" w:hAnsi="Arial"/>
          <w:sz w:val="18"/>
          <w:szCs w:val="18"/>
          <w:color w:val="auto"/>
        </w:rPr>
      </w:pPr>
    </w:p>
    <w:p>
      <w:pPr>
        <w:ind w:right="900" w:firstLine="464"/>
        <w:spacing w:after="0" w:line="268" w:lineRule="auto"/>
        <w:tabs>
          <w:tab w:leader="none" w:pos="7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application of sums paid by the Borrower, any other Guarantor or any other Person with respect to the liabilities of the Borrower to the Administrative Agent or the other Guarantied Parties, regardless of what liabilities of the Borrower remain unpaid;</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defect, limitation or insufficiency in the borrowing powers of the Borrower or in the exercise thereof;</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change in the corporate existence, structure or ownership of the Borrower or any other Loan Party;</w:t>
      </w:r>
    </w:p>
    <w:p>
      <w:pPr>
        <w:spacing w:after="0" w:line="171" w:lineRule="exact"/>
        <w:rPr>
          <w:rFonts w:ascii="Arial" w:cs="Arial" w:eastAsia="Arial" w:hAnsi="Arial"/>
          <w:sz w:val="18"/>
          <w:szCs w:val="18"/>
          <w:color w:val="auto"/>
        </w:rPr>
      </w:pPr>
    </w:p>
    <w:p>
      <w:pPr>
        <w:ind w:right="300" w:firstLine="464"/>
        <w:spacing w:after="0" w:line="268" w:lineRule="auto"/>
        <w:tabs>
          <w:tab w:leader="none" w:pos="70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statement, representation or warranty made or deemed made by or on behalf of the Borrower, any Guarantor or any other Loan Party under any Loan Document, or any amendment hereto or thereto, proves to have been incorrect or misleading in any respect; or</w:t>
      </w:r>
    </w:p>
    <w:p>
      <w:pPr>
        <w:spacing w:after="0" w:line="131" w:lineRule="exact"/>
        <w:rPr>
          <w:rFonts w:ascii="Arial" w:cs="Arial" w:eastAsia="Arial" w:hAnsi="Arial"/>
          <w:sz w:val="18"/>
          <w:szCs w:val="18"/>
          <w:color w:val="auto"/>
        </w:rPr>
      </w:pPr>
    </w:p>
    <w:p>
      <w:pPr>
        <w:ind w:right="120" w:firstLine="464"/>
        <w:spacing w:after="0" w:line="370" w:lineRule="auto"/>
        <w:tabs>
          <w:tab w:leader="none" w:pos="666" w:val="left"/>
        </w:tabs>
        <w:numPr>
          <w:ilvl w:val="0"/>
          <w:numId w:val="142"/>
        </w:numPr>
        <w:rPr>
          <w:rFonts w:ascii="Arial" w:cs="Arial" w:eastAsia="Arial" w:hAnsi="Arial"/>
          <w:sz w:val="15"/>
          <w:szCs w:val="15"/>
          <w:color w:val="auto"/>
        </w:rPr>
      </w:pPr>
      <w:r>
        <w:rPr>
          <w:rFonts w:ascii="Arial" w:cs="Arial" w:eastAsia="Arial" w:hAnsi="Arial"/>
          <w:sz w:val="15"/>
          <w:szCs w:val="15"/>
          <w:color w:val="auto"/>
        </w:rPr>
        <w:t>any other circumstance which might otherwise constitute a defense available to, or a discharge of, a Guarantor hereunder (other than indefeasible payment and performance in full in cash or release or termination of the obligations of any Guarantor hereunder pursuant to the terms of the Credit Agreement).</w:t>
      </w:r>
    </w:p>
    <w:p>
      <w:pPr>
        <w:spacing w:after="0" w:line="6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Action with Respect to Guarantied Obligations</w:t>
      </w:r>
      <w:r>
        <w:rPr>
          <w:rFonts w:ascii="Arial" w:cs="Arial" w:eastAsia="Arial" w:hAnsi="Arial"/>
          <w:sz w:val="16"/>
          <w:szCs w:val="16"/>
          <w:color w:val="auto"/>
        </w:rPr>
        <w:t>. The Administrative Agent and the other Guarantied Parties may, at any time and from time to time, without the consent of, or notice to, any Guarantor, and without discharging any Guarantor from its obligations hereunder, take any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D-171</w:t>
      </w:r>
    </w:p>
    <w:p>
      <w:pPr>
        <w:sectPr>
          <w:pgSz w:w="11900" w:h="16838" w:orient="portrait"/>
          <w:cols w:equalWidth="0" w:num="1">
            <w:col w:w="11380"/>
          </w:cols>
          <w:pgMar w:left="240" w:top="280" w:right="279" w:bottom="1440" w:gutter="0" w:footer="0" w:header="0"/>
        </w:sectPr>
      </w:pPr>
    </w:p>
    <w:bookmarkStart w:id="181" w:name="page182"/>
    <w:bookmarkEnd w:id="181"/>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all actions described in Section 3 and may otherwise: (a) amend, modify, alter or supplement the terms of any of the Guarantied Obligations, including, but not limited to, extending or shortening the time of payment of any of the Guarantied Obligations or changing the interest rate that may accrue on any of the Guarantied Obligations; (b) amend, modify, alter or supplement the Credit Agreement or any other Loan Document; (c) sell, exchange, release or otherwise deal with all, or any part, of any collateral securing any of the Guarantied Obligations; (d) release any other Loan Party or other Person liable in any manner for the payment or collection of the Guarantied Obligations; (e) exercise, or refrain from exercising, any rights against the Borrower, any other Guarantor or any other Person; and (f) apply any sum, by whomsoever paid or however realized, to the Guarantied Obligations in such order as the Administrative Agent and the other Guarantied Parties shall elect.</w:t>
      </w:r>
    </w:p>
    <w:p>
      <w:pPr>
        <w:spacing w:after="0" w:line="118"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Guarantor hereby makes to the Administrative Agent and the other Guarantied Parties all of the representations and warranties made by the Borrower with respect to or in any way relating to such Guarantor in the Credit Agreement and the other Loan Documents, as if the same were set forth herein in full.</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Covenants</w:t>
      </w:r>
      <w:r>
        <w:rPr>
          <w:rFonts w:ascii="Arial" w:cs="Arial" w:eastAsia="Arial" w:hAnsi="Arial"/>
          <w:sz w:val="18"/>
          <w:szCs w:val="18"/>
          <w:color w:val="auto"/>
        </w:rPr>
        <w:t>. Each Guarantor will comply with all covenants which the Borrower is to cause such Guarantor to comply with under the terms of the Credit Agreement or any of the other Loan Documents.</w:t>
      </w:r>
    </w:p>
    <w:p>
      <w:pPr>
        <w:spacing w:after="0" w:line="13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Waiver</w:t>
      </w:r>
      <w:r>
        <w:rPr>
          <w:rFonts w:ascii="Arial" w:cs="Arial" w:eastAsia="Arial" w:hAnsi="Arial"/>
          <w:sz w:val="16"/>
          <w:szCs w:val="16"/>
          <w:color w:val="auto"/>
        </w:rPr>
        <w:t>. Each Guarantor, to the fullest extent permitted by Applicable Law, hereby waives notice of acceptance hereof or any presentment, demand, protest or notice of any kind, and any other act or thing, or omission or delay to do any other act or thing, which in any manner or to any extent might vary the risk of such Guarantor or which otherwise might operate to discharge such Guarantor from its obligations hereunder.</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Inability to Accelerate Loan</w:t>
      </w:r>
      <w:r>
        <w:rPr>
          <w:rFonts w:ascii="Arial" w:cs="Arial" w:eastAsia="Arial" w:hAnsi="Arial"/>
          <w:sz w:val="18"/>
          <w:szCs w:val="18"/>
          <w:color w:val="auto"/>
        </w:rPr>
        <w:t>. If the Administrative Agent and/or the other Guarantied Parties are prevented under Applicable Law or otherwise from demanding or accelerating payment of any of the Guarantied Obligations by reason of any automatic stay or otherwise, the Administrative Agent and/or the other Guarantied Parties shall be entitled to receive from each Guarantor, upon demand therefor, the sums which otherwise would have been due had such demand or acceleration occurred.</w:t>
      </w:r>
    </w:p>
    <w:p>
      <w:pPr>
        <w:spacing w:after="0" w:line="14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Reinstatement of Guarantied Obligations</w:t>
      </w:r>
      <w:r>
        <w:rPr>
          <w:rFonts w:ascii="Arial" w:cs="Arial" w:eastAsia="Arial" w:hAnsi="Arial"/>
          <w:sz w:val="16"/>
          <w:szCs w:val="16"/>
          <w:color w:val="auto"/>
        </w:rPr>
        <w:t>. If claim is ever made on the Administrative Agent or any of the other Guarantied Parties for repayment or recovery of any amount or amounts received in payment or on account of any of the Guarantied Obligations, and the Administrative Agent or such other Guarantied Party repays all or part of said amount by reason of (a) any judgment, decree or order of any court or administrative body of competent jurisdiction, or (b) any settlement or compromise of any such claim effected by the Administrative Agent or such other Guarantied Party with any such claimant (including the Borrower or a trustee in bankruptcy for the Borrower), then and in such event each Guarantor agrees that any such judgment, decree, order, settlement or compromise shall be binding on it, notwithstanding any revocation hereof or the cancellation of the Credit Agreement, any of the other Loan Documents, or any other instrument evidencing any liability of the Borrower, and such Guarantor shall be and remain liable to the Administrative Agent or such other Guarantied Party for the amounts so repaid or recovered to the same extent as if such amount had never originally been paid to the Administrative Agent or such other Guarantied Party.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D-172</w:t>
      </w:r>
    </w:p>
    <w:p>
      <w:pPr>
        <w:sectPr>
          <w:pgSz w:w="11900" w:h="16838" w:orient="portrait"/>
          <w:cols w:equalWidth="0" w:num="1">
            <w:col w:w="11400"/>
          </w:cols>
          <w:pgMar w:left="240" w:top="280" w:right="259" w:bottom="1440" w:gutter="0" w:footer="0" w:header="0"/>
        </w:sectPr>
      </w:pPr>
    </w:p>
    <w:bookmarkStart w:id="182" w:name="page183"/>
    <w:bookmarkEnd w:id="182"/>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 </w:t>
      </w:r>
      <w:r>
        <w:rPr>
          <w:rFonts w:ascii="Arial" w:cs="Arial" w:eastAsia="Arial" w:hAnsi="Arial"/>
          <w:sz w:val="16"/>
          <w:szCs w:val="16"/>
          <w:u w:val="single" w:color="auto"/>
          <w:color w:val="auto"/>
        </w:rPr>
        <w:t>Subrogation</w:t>
      </w:r>
      <w:r>
        <w:rPr>
          <w:rFonts w:ascii="Arial" w:cs="Arial" w:eastAsia="Arial" w:hAnsi="Arial"/>
          <w:sz w:val="16"/>
          <w:szCs w:val="16"/>
          <w:color w:val="auto"/>
        </w:rPr>
        <w:t>. Upon the making by any Guarantor of any payment hereunder for the account of the Borrower, such Guarantor shall be subrogated to the rights of the payee against the Borrower; provided, however, that such Guarantor shall not enforce any right or receive any payment by way of subrogation or otherwise take any action in respect of any other claim or cause of action such Guarantor may have against the Borrower arising by reason of any payment or performance by such Guarantor pursuant to this Guaranty, unless and until all of the Guarantied Obligations have been indefeasibly paid and performed in full. If any amount shall be paid to such Guarantor on account of or in respect of such subrogation rights or other claims or causes of action, such Guarantor shall hold such amount in trust for the benefit of the Administrative Agent and the other Guarantied Parties and shall forthwith pay such amount to the Administrative Agent to be credited and applied against the Guarantied Obligations, whether matured or unmatured, in accordance with the terms of the Credit Agreement or to be held by the Administrative Agent as collateral security for any Guarantied Obligations existing.</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Payments Free and Clear</w:t>
      </w:r>
      <w:r>
        <w:rPr>
          <w:rFonts w:ascii="Arial" w:cs="Arial" w:eastAsia="Arial" w:hAnsi="Arial"/>
          <w:sz w:val="16"/>
          <w:szCs w:val="16"/>
          <w:color w:val="auto"/>
        </w:rPr>
        <w:t>. All sums payable by each Guarantor hereunder, whether of principal, interest, Fees, expenses, premiums or otherwise, shall be paid in full, without set-off or counterclaim or any deduction or withholding whatsoever (including any Taxes, subject to Section 3.10. of the Credit Agreement) and if any Guarantor is required by Applicable Law or by a Governmental Authority to make any such deduction or withholding, such Guarantor shall pay to the Administrative Agent and the other Guarantied Parties such additional amount as will result in the receipt by the Administrative Agent and the other Guarantied Parties of the full amount payable hereunder had such deduction or withholding not occurred or been required.</w:t>
      </w:r>
    </w:p>
    <w:p>
      <w:pPr>
        <w:spacing w:after="0" w:line="116"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Set-off</w:t>
      </w:r>
      <w:r>
        <w:rPr>
          <w:rFonts w:ascii="Arial" w:cs="Arial" w:eastAsia="Arial" w:hAnsi="Arial"/>
          <w:sz w:val="15"/>
          <w:szCs w:val="15"/>
          <w:color w:val="auto"/>
        </w:rPr>
        <w:t>. In addition to any rights now or hereafter granted under any of the other Loan Documents or Applicable Law and not by way of limitation of any such rights, each Guarantor hereby authorizes the Administrative Agent, each Lender and any of their respective Affiliates, at any time while an Event of Default exists, without any prior notice to such Guarantor or to any other Person, any such notice being hereby expressly waived, but in the case of a Lender or an Affiliate of a Lender subject to receipt of the prior written consent of the Administrative Agent exercised in its sole discretion, to set off and to appropriate and to apply any and all deposits (general or special, including, but not limited to, indebtedness evidenced by certificates of deposit, whether matured or unmatured) and any other indebtedness at any time held or owing by the Administrative Agent, such Lender, or any of their respective Affiliates, to or for the credit or the account of such Guarantor against and on account of any of the Guarantied Obligations, although such obligations shall be contingent or unmatured.</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Subordination</w:t>
      </w:r>
      <w:r>
        <w:rPr>
          <w:rFonts w:ascii="Arial" w:cs="Arial" w:eastAsia="Arial" w:hAnsi="Arial"/>
          <w:sz w:val="16"/>
          <w:szCs w:val="16"/>
          <w:color w:val="auto"/>
        </w:rPr>
        <w:t>. Each Guarantor hereby expressly covenants and agrees for the benefit of the Administrative Agent and the other Guarantied Parties that all obligations and liabilities of the Borrower to such Guarantor of whatever description, including without limitation, all intercompany receivables of such Guarantor from the Borrower (collectively, the “Junior Claims”) shall be subordinate and junior in right of payment to all Guarantied Obligations. If an Event of Default shall exist, then no Guarantor shall accept any direct or indirect payment (in cash, property or securities, by setoff or otherwise) from the Borrower on account of or in any manner in respect of any Junior Claim until all of the Guarantied Obligations have been paid in full in cash.</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D-173</w:t>
      </w:r>
    </w:p>
    <w:p>
      <w:pPr>
        <w:sectPr>
          <w:pgSz w:w="11900" w:h="16838" w:orient="portrait"/>
          <w:cols w:equalWidth="0" w:num="1">
            <w:col w:w="11360"/>
          </w:cols>
          <w:pgMar w:left="240" w:top="280" w:right="299" w:bottom="1440" w:gutter="0" w:footer="0" w:header="0"/>
        </w:sectPr>
      </w:pPr>
    </w:p>
    <w:bookmarkStart w:id="183" w:name="page184"/>
    <w:bookmarkEnd w:id="183"/>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14. </w:t>
      </w:r>
      <w:r>
        <w:rPr>
          <w:rFonts w:ascii="Arial" w:cs="Arial" w:eastAsia="Arial" w:hAnsi="Arial"/>
          <w:sz w:val="16"/>
          <w:szCs w:val="16"/>
          <w:u w:val="single" w:color="auto"/>
          <w:color w:val="auto"/>
        </w:rPr>
        <w:t>Avoidance Provisions</w:t>
      </w:r>
      <w:r>
        <w:rPr>
          <w:rFonts w:ascii="Arial" w:cs="Arial" w:eastAsia="Arial" w:hAnsi="Arial"/>
          <w:sz w:val="16"/>
          <w:szCs w:val="16"/>
          <w:color w:val="auto"/>
        </w:rPr>
        <w:t>. It is the intent of each Guarantor, the Administrative Agent and the other Guarantied Parties that in any Proceeding, such Guarantor’s maximum obligation hereunder shall equal, but not exceed, the maximum amount which would not otherwise cause the obligations of such Guarantor hereunder (or any other obligations of such Guarantor to the Administrative Agent and the other Guarantied Parties) to be avoidable or unenforceable against such Guarantor in such Proceeding as a result of Applicable Law, including without limitation, (a) Section 548 of the Bankruptcy Code and (b) any state fraudulent transfer or fraudulent conveyance act or statute applied in such Proceeding, whether by virtue of Section 544 of the Bankruptcy Code or otherwise. The Applicable Laws under which the possible avoidance or unenforceability of the obligations of such Guarantor hereunder (or any other obligations of such Guarantor to the Administrative Agent and the other Guarantied Parties) shall be determined in any such Proceeding are referred to as the “Avoidance Provisions”. Accordingly, to the extent that the obligations of any Guarantor hereunder would otherwise be subject to avoidance under the Avoidance Provisions, the maximum Guarantied Obligations for which such Guarantor shall be liable hereunder shall be reduced to that amount which, as of the time any of the Guarantied Obligations are deemed to have been incurred under the Avoidance Provisions, would not cause the obligations of such Guarantor hereunder (or any other obligations of such Guarantor to the Administrative Agent and the other Guarantied Parties), to be subject to avoidance under the Avoidance Provisions. This Section is intended solely to preserve the rights of the Administrative Agent and the other Guarantied Parties hereunder to the maximum extent that would not cause the obligations of any Guarantor hereunder to be subject to avoidance under the Avoidance Provisions, and no Guarantor or any other Person shall have any right or claim under this Section as against the Administrative Agent and the other Guarantied Parties that would not otherwise be available to such Person under the Avoidance Provisions.</w:t>
      </w:r>
    </w:p>
    <w:p>
      <w:pPr>
        <w:spacing w:after="0" w:line="12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Information</w:t>
      </w:r>
      <w:r>
        <w:rPr>
          <w:rFonts w:ascii="Arial" w:cs="Arial" w:eastAsia="Arial" w:hAnsi="Arial"/>
          <w:sz w:val="16"/>
          <w:szCs w:val="16"/>
          <w:color w:val="auto"/>
        </w:rPr>
        <w:t>. Each Guarantor assumes all responsibility for being and keeping itself informed of the financial condition of the Borrower and the other Guarantors, and of all other circumstances bearing upon the risk of nonpayment of any of the Guarantied Obligations and the nature, scope and extent of the risks that such Guarantor assumes and incurs hereunder, and agrees that neither the Administrative Agent nor any of the other Guarantied Parties shall have any duty whatsoever to advise any Guarantor of information regarding such circumstances or risks.</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GUARANTY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171" w:lineRule="exact"/>
        <w:rPr>
          <w:sz w:val="20"/>
          <w:szCs w:val="20"/>
          <w:color w:val="auto"/>
        </w:rPr>
      </w:pPr>
    </w:p>
    <w:p>
      <w:pPr>
        <w:ind w:right="220" w:firstLine="464"/>
        <w:spacing w:after="0" w:line="294" w:lineRule="auto"/>
        <w:tabs>
          <w:tab w:leader="none" w:pos="69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EACH PARTY HERETO ACKNOWLEDGES THAT ANY DISPUTE OR CONTROVERSY BETWEEN OR AMONG ANY GUARANTOR, THE ADMINISTRATIVE AGENT, THE ISSUING BANK, OR ANY OF THE LENDERS WOULD BE BASED ON DIFFICULT AND COMPLEX ISSUES OF LAW AND FACT AND WOULD RESULT IN DELAY AND EXPENSE TO THE PARTIES. ACCORDINGLY, TO THE EXTENT PERMITTED BY APPLICABLE LAW, EACH OF THE LENDERS, THE ISSUING BANK, AND THE ADMINISTRATIVE AGENT AND EACH GUARANTOR HEREBY WAIVES ITS RIGHT TO A TRIAL BY JURY IN ANY ACTION OR PROCEEDING OF ANY KIND OR NATURE IN 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D-174</w:t>
      </w:r>
    </w:p>
    <w:p>
      <w:pPr>
        <w:sectPr>
          <w:pgSz w:w="11900" w:h="16838" w:orient="portrait"/>
          <w:cols w:equalWidth="0" w:num="1">
            <w:col w:w="11420"/>
          </w:cols>
          <w:pgMar w:left="240" w:top="280" w:right="239" w:bottom="1440" w:gutter="0" w:footer="0" w:header="0"/>
        </w:sectPr>
      </w:pPr>
    </w:p>
    <w:bookmarkStart w:id="184" w:name="page185"/>
    <w:bookmarkEnd w:id="18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COURT OR TRIBUNAL IN WHICH AN ACTION MAY BE COMMENCED BY OR AGAINST ANY PARTY HERETO ARISING OUT OF THIS GUARANTY OR ANY OTHER LOAN DOCUMENT OR BY REASON OF ANY OTHER SUIT, CAUSE OF ACTION OR DISPUTE WHATSOEVER BETWEEN OR AMONG ANY GUARANTOR, THE ADMINISTRATIVE AGENT, THE ISSUING BANK, OR ANY OF THE LENDERS OF ANY KIND OR NATURE RELATING TO ANY OF THE LOAN DOCUMENTS.</w:t>
      </w:r>
    </w:p>
    <w:p>
      <w:pPr>
        <w:spacing w:after="0" w:line="143" w:lineRule="exact"/>
        <w:rPr>
          <w:sz w:val="20"/>
          <w:szCs w:val="20"/>
          <w:color w:val="auto"/>
        </w:rPr>
      </w:pPr>
    </w:p>
    <w:p>
      <w:pPr>
        <w:ind w:firstLine="464"/>
        <w:spacing w:after="0" w:line="252" w:lineRule="auto"/>
        <w:tabs>
          <w:tab w:leader="none" w:pos="70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OF THE GUARANTORS, THE ADMINISTRATIVE AGENT, THE ISSUING BANK, AND EACH LENDER HEREBY AGREES THE FEDERAL DISTRICT COURT OF THE SOUTHERN DISTRICT OF NEW YORK AND ANY STATE COURT LOCATED IN THE BOROUGH OF MANHATTAN, NEW YORK, NEW YORK SHALL HAVE JURISDICTION TO HEAR AND DETERMINE ANY CLAIMS OR DISPUTES BETWEEN OR AMONG ANY GUARANTOR, THE ADMINISTRATIVE AGENT, THE ISSUING BANK, OR ANY OF THE LENDERS, PERTAINING DIRECTLY OR INDIRECTLY TO THIS GUARANTY OR ANY OTHER LOAN DOCUMENT OR TO ANY MATTER ARISING HEREFROM OR THEREFROM. EACH GUARANTOR AND EACH OF THE GUARANTIED PARTIES EXPRESSLY SUBMIT AND CONSENT IN ADVANCE TO SUCH JURISDICTION IN ANY ACTION OR PROCEEDING COMMENCED IN SUCH COURTS WITH RESPECT TO SUCH CLAIMS OR DISPUTES.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SECTION SHALL NOT BE DEEMED TO PRECLUDE THE BRINGING OF ANY ACTION BY ANY PARTY OR THE ENFORCEMENT BY ANY PARTY OF ANY JUDGMENT OBTAINED IN SUCH FORUM IN ANY OTHER APPROPRIATE JURISDICTION.</w:t>
      </w:r>
    </w:p>
    <w:p>
      <w:pPr>
        <w:spacing w:after="0" w:line="147" w:lineRule="exact"/>
        <w:rPr>
          <w:rFonts w:ascii="Arial" w:cs="Arial" w:eastAsia="Arial" w:hAnsi="Arial"/>
          <w:sz w:val="18"/>
          <w:szCs w:val="18"/>
          <w:color w:val="auto"/>
        </w:rPr>
      </w:pPr>
    </w:p>
    <w:p>
      <w:pPr>
        <w:ind w:right="60" w:firstLine="464"/>
        <w:spacing w:after="0" w:line="256" w:lineRule="auto"/>
        <w:tabs>
          <w:tab w:leader="none" w:pos="69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THE TERMINATION OR EXPIRATION OF ALL LETTERS OF CREDIT AND THE TERMINATION OF THIS GUARANTY.</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Loan Accounts</w:t>
      </w:r>
      <w:r>
        <w:rPr>
          <w:rFonts w:ascii="Arial" w:cs="Arial" w:eastAsia="Arial" w:hAnsi="Arial"/>
          <w:sz w:val="16"/>
          <w:szCs w:val="16"/>
          <w:color w:val="auto"/>
        </w:rPr>
        <w:t>. The Administrative Agent and each Lender may maintain books and accounts setting forth the amounts of principal, interest and other sums paid and payable with respect to the Guarantied Obligations, and in the case of any dispute relating to any of the outstanding amount, payment or receipt of any of the Guarantied Obligations or otherwise, the entries in such books and accounts shall be deemed conclusive evidence of the amounts and other matters set forth herein, absent manifest error. The failure of the Administrative Agent or any Lender to maintain such books and accounts shall not in any way relieve or discharge any Guarantor of any of its obligations hereunder.</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Waiver of Remedies</w:t>
      </w:r>
      <w:r>
        <w:rPr>
          <w:rFonts w:ascii="Arial" w:cs="Arial" w:eastAsia="Arial" w:hAnsi="Arial"/>
          <w:sz w:val="18"/>
          <w:szCs w:val="18"/>
          <w:color w:val="auto"/>
        </w:rPr>
        <w:t>. No delay or failure on the part of the Administrative Agent or any of the other Guarantied Parties in the exercise of any right or remedy it may have against any Guarantor hereunder or otherwise shall operate as a waiver thereof, and no single or partial exercise by the Administrative Agent or any of the other Guarantied Parties of any such right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D-175</w:t>
      </w:r>
    </w:p>
    <w:p>
      <w:pPr>
        <w:sectPr>
          <w:pgSz w:w="11900" w:h="16838" w:orient="portrait"/>
          <w:cols w:equalWidth="0" w:num="1">
            <w:col w:w="11400"/>
          </w:cols>
          <w:pgMar w:left="240" w:top="280" w:right="2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remedy shall preclude any other or further exercise thereof or the exercise of any other such right or remedy.</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u w:val="single" w:color="auto"/>
          <w:color w:val="auto"/>
        </w:rPr>
        <w:t>Termination</w:t>
      </w:r>
      <w:r>
        <w:rPr>
          <w:rFonts w:ascii="Arial" w:cs="Arial" w:eastAsia="Arial" w:hAnsi="Arial"/>
          <w:sz w:val="16"/>
          <w:szCs w:val="16"/>
          <w:color w:val="auto"/>
        </w:rPr>
        <w:t>. This Guaranty shall remain in full force and effect with respect to each Guarantor until payment in full in cash of the Guarantied Obligations and the other Obligations, the termination or expiration of all of the Lenders’ and the Administrative Agent’s obligations to make loans or other financial accommodations or extensions of credit to the Borrower, and the termination or cancellation of the Credit Agreement in accordance with its terms.</w:t>
      </w:r>
    </w:p>
    <w:p>
      <w:pPr>
        <w:spacing w:after="0" w:line="10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Each reference herein to the Administrative Agent or the other Guarantied Parties shall be deemed to include such Person’s respective successors and assigns (including, but not limited to, any holder of the Guarantied Obligations) in whose favor the provisions of this Guaranty also shall inure, and each reference herein to each Guarantor shall be deemed to include such Guarantor’s successors and assigns, upon whom this Guaranty also shall be binding. The Lenders may, in accordance with the applicable provisions of the Credit Agreement, assign, transfer or sell any Guarantied Obligation, or grant or sell participations in any Guarantied Obligations, to any Person without the consent of, or notice to, any Guarantor and without releasing, discharging or modifying any Guarantor’s obligations hereunder. Subject to Section 12.9. of the Credit Agreement, each Guarantor hereby consents to the delivery by the Administrative Agent or any Lender to any Eligible Assignee or Participant (or any prospective Eligible Assignee or Participant) of any financial or other information regarding the Borrower or any Guarantor. No Guarantor may assign or transfer its rights or obligations hereunder to any Person without the prior written consent of the Administrative Agent and all other Guarantied Parties and any such assignment or other transfer to which the Administrative Agent and all of the other Guarantied Parties have not so consented shall be null and void.</w:t>
      </w:r>
    </w:p>
    <w:p>
      <w:pPr>
        <w:spacing w:after="0" w:line="123" w:lineRule="exact"/>
        <w:rPr>
          <w:sz w:val="20"/>
          <w:szCs w:val="20"/>
          <w:color w:val="auto"/>
        </w:rPr>
      </w:pPr>
    </w:p>
    <w:p>
      <w:pPr>
        <w:jc w:val="both"/>
        <w:ind w:right="660" w:firstLine="456"/>
        <w:spacing w:after="0" w:line="306"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JOINT AND SEVERAL OBLIGATIONS</w:t>
      </w:r>
      <w:r>
        <w:rPr>
          <w:rFonts w:ascii="Arial" w:cs="Arial" w:eastAsia="Arial" w:hAnsi="Arial"/>
          <w:sz w:val="16"/>
          <w:szCs w:val="16"/>
          <w:color w:val="auto"/>
        </w:rPr>
        <w:t>. THE OBLIGATIONS OF THE GUARANTORS HEREUNDER SHALL BE JOINT AND SEVERAL, AND ACCORDINGLY, EACH GUARANTOR CONFIRMS THAT IT IS LIABLE FOR THE FULL AMOUNT OF THE “GUARANTIED OBLIGATIONS” AND ALL OF THE OBLIGATIONS AND LIABILITIES OF EACH OF THE OTHER GUARANTORS HEREUNDER.</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Amendments</w:t>
      </w:r>
      <w:r>
        <w:rPr>
          <w:rFonts w:ascii="Arial" w:cs="Arial" w:eastAsia="Arial" w:hAnsi="Arial"/>
          <w:sz w:val="18"/>
          <w:szCs w:val="18"/>
          <w:color w:val="auto"/>
        </w:rPr>
        <w:t>. This Guaranty may not be amended except in a writing signed by the Requisite Lenders (or all of the Lenders if required under the terms of the Credit Agreement), the Administrative Agent and each Guarantor.</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Payments</w:t>
      </w:r>
      <w:r>
        <w:rPr>
          <w:rFonts w:ascii="Arial" w:cs="Arial" w:eastAsia="Arial" w:hAnsi="Arial"/>
          <w:sz w:val="18"/>
          <w:szCs w:val="18"/>
          <w:color w:val="auto"/>
        </w:rPr>
        <w:t>. All payments to be made by any Guarantor pursuant to this Guaranty shall be made in Dollars, in immediately available funds to the Administrative Agent at the Principal Office, not later than 2:00 p.m. on the date of demand therefor.</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and other communications hereunder shall be in writing (including facsimile transmission or similar writing) and shall be given (a) to each Guarantor at its address set forth below its signature hereto, (b) to the Administrative Agent or any Lender at its respective address for notices provided for in the Credit Agreement, or (c) as to each such party at such other address as such party shall designate in a written notice to the other parties. Each such notice, request or other communication shall be effective (i) if mailed, when received; (ii) if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D-176</w:t>
      </w:r>
    </w:p>
    <w:p>
      <w:pPr>
        <w:sectPr>
          <w:pgSz w:w="11900" w:h="16838" w:orient="portrait"/>
          <w:cols w:equalWidth="0" w:num="1">
            <w:col w:w="11420"/>
          </w:cols>
          <w:pgMar w:left="240" w:top="280" w:right="239" w:bottom="1440" w:gutter="0" w:footer="0" w:header="0"/>
        </w:sectPr>
      </w:pPr>
    </w:p>
    <w:bookmarkStart w:id="186" w:name="page187"/>
    <w:bookmarkEnd w:id="18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telecopied, when transmitted; or (iii) if hand delivered, when delivered; provided, however, that any notice of a change of address for notices shall not be effective until received.</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of this Guaranty shall be invalid, illegal or unenforceable in any jurisdiction, the validity, legality and enforceability of the remaining provisions shall not in any way be affected or impaired thereby.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used in this Guaranty are for convenience only and shall not affect the construction of this Guaranty.</w:t>
      </w:r>
    </w:p>
    <w:p>
      <w:pPr>
        <w:spacing w:after="0" w:line="19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Neither the Administrative Agent nor any of the other Guarantied Parties, nor any Affiliate, officer, director, employee, attorney, or agent of the Administrative Agent or any of the other Guarantied Parties, shall have any liability with respect to, and each Guarantor hereby waives, releases, and agrees not to sue any of them upon, any claim for any special, indirect, incidental, or consequential damages suffered or incurred by a Guarantor in connection with, arising out of, or in any way related to, this Guaranty or any of the other Loan Documents, or any of the transactions contemplated by this Guaranty, the Credit Agreement or any of the other Loan Documents. Each Guarantor hereby waives, releases, and agrees not to sue the Administrative Agent or any of the other Guarantied Parties or any of the Administrative Agent’s or of any other Guarantied Parties’, officers, directors, employees, attorneys, or agents for punitive damages in respect of any claim in connection with, arising out of, or in any way related to, this Guaranty, the Credit Agreement or any of the other Loan Documents, or any of the transactions contemplated by the Credit Agreement or financed thereby.</w:t>
      </w:r>
    </w:p>
    <w:p>
      <w:pPr>
        <w:spacing w:after="0" w:line="11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Electronic Delivery of Certain Information</w:t>
      </w:r>
      <w:r>
        <w:rPr>
          <w:rFonts w:ascii="Arial" w:cs="Arial" w:eastAsia="Arial" w:hAnsi="Arial"/>
          <w:sz w:val="18"/>
          <w:szCs w:val="18"/>
          <w:color w:val="auto"/>
        </w:rPr>
        <w:t>. Each Guarantor acknowledges and agrees that information regarding the Guarantor may be delivered electronically pursuant to Section 8.5. of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 </w:t>
      </w:r>
      <w:r>
        <w:rPr>
          <w:rFonts w:ascii="Arial" w:cs="Arial" w:eastAsia="Arial" w:hAnsi="Arial"/>
          <w:sz w:val="18"/>
          <w:szCs w:val="18"/>
          <w:u w:val="single" w:color="auto"/>
          <w:color w:val="auto"/>
        </w:rPr>
        <w:t>Definitions</w:t>
      </w:r>
      <w:r>
        <w:rPr>
          <w:rFonts w:ascii="Arial" w:cs="Arial" w:eastAsia="Arial" w:hAnsi="Arial"/>
          <w:sz w:val="18"/>
          <w:szCs w:val="18"/>
          <w:color w:val="auto"/>
        </w:rPr>
        <w:t>. (a) For the purposes of this Guaranty:</w:t>
      </w:r>
    </w:p>
    <w:p>
      <w:pPr>
        <w:spacing w:after="0" w:line="171" w:lineRule="exact"/>
        <w:rPr>
          <w:sz w:val="20"/>
          <w:szCs w:val="20"/>
          <w:color w:val="auto"/>
        </w:rPr>
      </w:pPr>
    </w:p>
    <w:p>
      <w:pPr>
        <w:jc w:val="both"/>
        <w:ind w:right="2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Code</w:t>
      </w:r>
      <w:r>
        <w:rPr>
          <w:rFonts w:ascii="Arial" w:cs="Arial" w:eastAsia="Arial" w:hAnsi="Arial"/>
          <w:sz w:val="16"/>
          <w:szCs w:val="16"/>
          <w:color w:val="auto"/>
        </w:rPr>
        <w:t>” means Title 11 of the United States Code entitled “Bankruptcy”, as amended from time to time, and any successor statute or statutes and all rules and regulations from time to time promulgated thereunder, and any comparable foreign laws relating to bankruptcy, insolvency or creditors’ rights.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any of the following: (i) a voluntary or involuntary case concerning any Guarantor shall be commenced under the Bankruptcy Code;</w:t>
      </w:r>
    </w:p>
    <w:p>
      <w:pPr>
        <w:spacing w:after="0" w:line="38" w:lineRule="exact"/>
        <w:rPr>
          <w:sz w:val="20"/>
          <w:szCs w:val="20"/>
          <w:color w:val="auto"/>
        </w:rPr>
      </w:pPr>
    </w:p>
    <w:p>
      <w:pPr>
        <w:ind w:right="20" w:firstLine="8"/>
        <w:spacing w:after="0" w:line="288" w:lineRule="auto"/>
        <w:tabs>
          <w:tab w:leader="none" w:pos="25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 custodian (as defined in such Bankruptcy Code or any other applicable bankruptcy laws) is appointed for, or takes charge of, all or any substantial part of the property of any Guarantor; (iii) any other proceeding under any Applicable Law, domestic or foreign, relating to bankruptcy, insolvency, reorganization, winding-up or composition for adjustment of debts, whether now or hereafter in effect, is commenced relating to any Guarantor; (iv) any Guarantor is adjudicated insolvent or bankrupt; (v) any order of relief or other order approving any such case or proceeding is entered by a court of competent jurisdiction; (vi) any Guarantor makes a general assignment for the benefit of creditors; (vii) any Guarantor shall fail to pay, or shall state that it is unable to pay, or shall be unable to pay, its debts generally as they become due; (viii) any Guarantor shall call a meeting of its creditors with a view to arranging a composition or adjustment of its debts; (ix) any Guarantor shall by any act or failure to act indicate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D-177</w:t>
      </w:r>
    </w:p>
    <w:p>
      <w:pPr>
        <w:sectPr>
          <w:pgSz w:w="11900" w:h="16838" w:orient="portrait"/>
          <w:cols w:equalWidth="0" w:num="1">
            <w:col w:w="11420"/>
          </w:cols>
          <w:pgMar w:left="240" w:top="280" w:right="239" w:bottom="1440" w:gutter="0" w:footer="0" w:header="0"/>
        </w:sectPr>
      </w:pPr>
    </w:p>
    <w:bookmarkStart w:id="187" w:name="page188"/>
    <w:bookmarkEnd w:id="18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consent to, approval of or acquiescence in any of the foregoing; or (x) any corporate action shall be taken by any Guarantor for the purpose of effecting any of the foregoing.</w:t>
      </w:r>
    </w:p>
    <w:p>
      <w:pPr>
        <w:spacing w:after="0" w:line="132" w:lineRule="exact"/>
        <w:rPr>
          <w:sz w:val="20"/>
          <w:szCs w:val="20"/>
          <w:color w:val="auto"/>
        </w:rPr>
      </w:pPr>
    </w:p>
    <w:p>
      <w:pPr>
        <w:ind w:left="4820" w:right="2340" w:hanging="4356"/>
        <w:spacing w:after="0" w:line="430" w:lineRule="auto"/>
        <w:tabs>
          <w:tab w:leader="none" w:pos="70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Terms not otherwise defined herein are used herein with the respective meanings given them in the Credit Agreement. [Signature on Next Page]</w:t>
      </w:r>
    </w:p>
    <w:p>
      <w:pPr>
        <w:spacing w:after="0" w:line="1"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D-178</w:t>
      </w:r>
    </w:p>
    <w:p>
      <w:pPr>
        <w:sectPr>
          <w:pgSz w:w="11900" w:h="16838" w:orient="portrait"/>
          <w:cols w:equalWidth="0" w:num="1">
            <w:col w:w="11340"/>
          </w:cols>
          <w:pgMar w:left="240" w:top="280" w:right="319" w:bottom="1440" w:gutter="0" w:footer="0" w:header="0"/>
        </w:sectPr>
      </w:pPr>
    </w:p>
    <w:bookmarkStart w:id="188" w:name="page189"/>
    <w:bookmarkEnd w:id="188"/>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Guarantor has duly executed and delivered this Guaranty as of the date and year first written above.</w:t>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[GUARANTORS]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4704080</wp:posOffset>
            </wp:positionH>
            <wp:positionV relativeFrom="paragraph">
              <wp:posOffset>10795</wp:posOffset>
            </wp:positionV>
            <wp:extent cx="22555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4704080</wp:posOffset>
            </wp:positionH>
            <wp:positionV relativeFrom="paragraph">
              <wp:posOffset>10795</wp:posOffset>
            </wp:positionV>
            <wp:extent cx="22555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 Federal Realty Investment Trust</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Telecopy Number: (301) 998-3715</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Telephone Number: (301) 998-8100</w:t>
      </w:r>
    </w:p>
    <w:p>
      <w:pPr>
        <w:spacing w:after="0" w:line="15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D-179</w:t>
      </w:r>
    </w:p>
    <w:p>
      <w:pPr>
        <w:sectPr>
          <w:pgSz w:w="11900" w:h="16838" w:orient="portrait"/>
          <w:cols w:equalWidth="0" w:num="1">
            <w:col w:w="9759"/>
          </w:cols>
          <w:pgMar w:left="700" w:top="280" w:right="1440" w:bottom="1440" w:gutter="0" w:footer="0" w:header="0"/>
        </w:sectPr>
      </w:pPr>
    </w:p>
    <w:bookmarkStart w:id="189" w:name="page190"/>
    <w:bookmarkEnd w:id="189"/>
    <w:tbl>
      <w:tblPr>
        <w:tblLayout w:type="fixed"/>
        <w:tblInd w:w="460" w:type="dxa"/>
        <w:tblCellMar>
          <w:top w:w="0" w:type="dxa"/>
          <w:left w:w="0" w:type="dxa"/>
          <w:bottom w:w="0" w:type="dxa"/>
          <w:right w:w="0" w:type="dxa"/>
        </w:tblCellMar>
      </w:tblPr>
      <w:tr>
        <w:trPr>
          <w:trHeight w:val="222"/>
        </w:trPr>
        <w:tc>
          <w:tcPr>
            <w:tcW w:w="3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60" w:type="dxa"/>
            <w:vAlign w:val="bottom"/>
            <w:gridSpan w:val="2"/>
          </w:tcPr>
          <w:p>
            <w:pPr>
              <w:jc w:val="center"/>
              <w:ind w:right="1740"/>
              <w:spacing w:after="0"/>
              <w:rPr>
                <w:sz w:val="20"/>
                <w:szCs w:val="20"/>
                <w:color w:val="auto"/>
              </w:rPr>
            </w:pPr>
            <w:r>
              <w:rPr>
                <w:rFonts w:ascii="Arial" w:cs="Arial" w:eastAsia="Arial" w:hAnsi="Arial"/>
                <w:sz w:val="18"/>
                <w:szCs w:val="18"/>
                <w:color w:val="auto"/>
                <w:w w:val="99"/>
              </w:rPr>
              <w:t>ANNEX I</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78"/>
        </w:trPr>
        <w:tc>
          <w:tcPr>
            <w:tcW w:w="3380" w:type="dxa"/>
            <w:vAlign w:val="bottom"/>
          </w:tcPr>
          <w:p>
            <w:pPr>
              <w:spacing w:after="0"/>
              <w:rPr>
                <w:sz w:val="24"/>
                <w:szCs w:val="24"/>
                <w:color w:val="auto"/>
              </w:rPr>
            </w:pPr>
          </w:p>
        </w:tc>
        <w:tc>
          <w:tcPr>
            <w:tcW w:w="4180" w:type="dxa"/>
            <w:vAlign w:val="bottom"/>
            <w:gridSpan w:val="5"/>
          </w:tcPr>
          <w:p>
            <w:pPr>
              <w:jc w:val="center"/>
              <w:ind w:right="440"/>
              <w:spacing w:after="0"/>
              <w:rPr>
                <w:sz w:val="20"/>
                <w:szCs w:val="20"/>
                <w:color w:val="auto"/>
              </w:rPr>
            </w:pPr>
            <w:r>
              <w:rPr>
                <w:rFonts w:ascii="Arial" w:cs="Arial" w:eastAsia="Arial" w:hAnsi="Arial"/>
                <w:sz w:val="18"/>
                <w:szCs w:val="18"/>
                <w:color w:val="auto"/>
                <w:w w:val="92"/>
              </w:rPr>
              <w:t>FORM OF ACCESSION AGREEMENT</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0"/>
        </w:trPr>
        <w:tc>
          <w:tcPr>
            <w:tcW w:w="3380" w:type="dxa"/>
            <w:vAlign w:val="bottom"/>
          </w:tcPr>
          <w:p>
            <w:pPr>
              <w:spacing w:after="0"/>
              <w:rPr>
                <w:sz w:val="20"/>
                <w:szCs w:val="20"/>
                <w:color w:val="auto"/>
              </w:rPr>
            </w:pPr>
            <w:r>
              <w:rPr>
                <w:rFonts w:ascii="Arial" w:cs="Arial" w:eastAsia="Arial" w:hAnsi="Arial"/>
                <w:sz w:val="18"/>
                <w:szCs w:val="18"/>
                <w:color w:val="auto"/>
                <w:w w:val="92"/>
              </w:rPr>
              <w:t>THIS ACCESSION AGREEMENT dated as of</w:t>
            </w:r>
          </w:p>
        </w:tc>
        <w:tc>
          <w:tcPr>
            <w:tcW w:w="880" w:type="dxa"/>
            <w:vAlign w:val="bottom"/>
          </w:tcPr>
          <w:p>
            <w:pPr>
              <w:spacing w:after="0"/>
              <w:rPr>
                <w:sz w:val="24"/>
                <w:szCs w:val="24"/>
                <w:color w:val="auto"/>
              </w:rPr>
            </w:pPr>
          </w:p>
        </w:tc>
        <w:tc>
          <w:tcPr>
            <w:tcW w:w="3300" w:type="dxa"/>
            <w:vAlign w:val="bottom"/>
            <w:gridSpan w:val="4"/>
          </w:tcPr>
          <w:p>
            <w:pPr>
              <w:spacing w:after="0"/>
              <w:rPr>
                <w:sz w:val="20"/>
                <w:szCs w:val="20"/>
                <w:color w:val="auto"/>
              </w:rPr>
            </w:pPr>
            <w:r>
              <w:rPr>
                <w:rFonts w:ascii="Arial" w:cs="Arial" w:eastAsia="Arial" w:hAnsi="Arial"/>
                <w:sz w:val="18"/>
                <w:szCs w:val="18"/>
                <w:color w:val="auto"/>
              </w:rPr>
              <w:t>, 20  , executed and delivered by</w:t>
            </w:r>
          </w:p>
        </w:tc>
        <w:tc>
          <w:tcPr>
            <w:tcW w:w="1080" w:type="dxa"/>
            <w:vAlign w:val="bottom"/>
            <w:gridSpan w:val="2"/>
          </w:tcPr>
          <w:p>
            <w:pPr>
              <w:ind w:left="880"/>
              <w:spacing w:after="0"/>
              <w:rPr>
                <w:sz w:val="20"/>
                <w:szCs w:val="20"/>
                <w:color w:val="auto"/>
              </w:rPr>
            </w:pPr>
            <w:r>
              <w:rPr>
                <w:rFonts w:ascii="Arial" w:cs="Arial" w:eastAsia="Arial" w:hAnsi="Arial"/>
                <w:sz w:val="18"/>
                <w:szCs w:val="18"/>
                <w:color w:val="auto"/>
                <w:w w:val="89"/>
              </w:rPr>
              <w:t>, a</w:t>
            </w:r>
          </w:p>
        </w:tc>
        <w:tc>
          <w:tcPr>
            <w:tcW w:w="880" w:type="dxa"/>
            <w:vAlign w:val="bottom"/>
          </w:tcPr>
          <w:p>
            <w:pPr>
              <w:spacing w:after="0"/>
              <w:rPr>
                <w:sz w:val="24"/>
                <w:szCs w:val="24"/>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89"/>
              </w:rPr>
              <w:t>(the “New</w:t>
            </w:r>
          </w:p>
        </w:tc>
      </w:tr>
      <w:tr>
        <w:trPr>
          <w:trHeight w:val="20"/>
        </w:trPr>
        <w:tc>
          <w:tcPr>
            <w:tcW w:w="3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0"/>
        <w:spacing w:after="0" w:line="291" w:lineRule="auto"/>
        <w:rPr>
          <w:sz w:val="20"/>
          <w:szCs w:val="20"/>
          <w:color w:val="auto"/>
        </w:rPr>
      </w:pPr>
      <w:r>
        <w:rPr>
          <w:rFonts w:ascii="Arial" w:cs="Arial" w:eastAsia="Arial" w:hAnsi="Arial"/>
          <w:sz w:val="16"/>
          <w:szCs w:val="16"/>
          <w:color w:val="auto"/>
        </w:rPr>
        <w:t>Guarantor”), in favor of (a) WELLS FARGO BANK, NATIONAL ASSOCIATION, in its capacity as Administrative Agent (together with its successors and permitted assigns, the “Administrative Agent”) for the Lenders (as defined herein) under that certain Credit Agreement dated as of July 7, 2011, by and among Federal Realty Investment Trust, a real estate investment trust formed under the laws of the State of Maryland (the “Borrower”), the financial institutions party thereto and their permitted assignees under Section 12.6. thereof (collectively, the “Lenders”), the Administrative Agent, PNC Bank, National Association, as Syndication Agent, and each of Wells Fargo Securities, LLC, and PNC Capital Markets LLC, as a Lead Arranger and Book Manager, and (b) the Lenders and the Issuing Bank (the Administrative Agent, the Lenders, and the Issuing Bank, collectively, the “Guarantied Parties”).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pursuant to the Credit Agreement, the Administrative Agent and the Lenders have agreed to make available to the Borrower certain financial accommodations on the terms and conditions set forth in the Credit Agreement;</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WHEREAS, the Borrower, the New Guarantor, and the existing Guarantors, though separate legal entities, are mutually dependent on each other in the conduct of their respective businesses as an integrated operation and have determined it to be in their mutual best interests to obtain financing from the Administrative Agent and the Lenders through their collective efforts;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WHEREAS, the New Guarantor acknowledges that it will receive direct and indirect benefits from the Administrative Agent and the Lenders making such financial accommodations available to the Borrower under the Credit Agreement and, accordingly, the New Guarantor is willing to guarantee the Borrower’s obligations to the Administrative Agent and the Lenders on the terms and conditions contained herein; and</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WHEREAS, the New Guarantor’s execution and delivery of this Agreement is a condition to the Administrative Agent and the Lenders continuing to make such financial accommodations to the Borrower.</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New Guarantor, the New Guarantor agrees as follows:</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Accession to Guaranty</w:t>
      </w:r>
      <w:r>
        <w:rPr>
          <w:rFonts w:ascii="Arial" w:cs="Arial" w:eastAsia="Arial" w:hAnsi="Arial"/>
          <w:sz w:val="16"/>
          <w:szCs w:val="16"/>
          <w:color w:val="auto"/>
        </w:rPr>
        <w:t>. The New Guarantor hereby agrees that it is a “Guarantor” under that certain Guaranty dated as of July 7, 2011 (as amended, restated, supplemented, or otherwise modified from time to time, the “Guaranty”), made by each of the Guarantors party thereto in favor of the Administrative Agent and the other Guarantied Parties and assumes all obligations of a “Guarantor” thereunder and agrees to be bound thereby, all as if the New Guarantor had been an original signatory to the Guaranty. Without limiting the generality of the foregoing, the New Guarantor hereby: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D-180</w:t>
      </w:r>
    </w:p>
    <w:p>
      <w:pPr>
        <w:sectPr>
          <w:pgSz w:w="11900" w:h="16838" w:orient="portrait"/>
          <w:cols w:equalWidth="0" w:num="1">
            <w:col w:w="11380"/>
          </w:cols>
          <w:pgMar w:left="240" w:top="280" w:right="279" w:bottom="1440" w:gutter="0" w:footer="0" w:header="0"/>
        </w:sectPr>
      </w:pPr>
    </w:p>
    <w:bookmarkStart w:id="190" w:name="page191"/>
    <w:bookmarkEnd w:id="190"/>
    <w:p>
      <w:pPr>
        <w:ind w:right="220" w:firstLine="464"/>
        <w:spacing w:after="0" w:line="268" w:lineRule="auto"/>
        <w:tabs>
          <w:tab w:leader="none" w:pos="695"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irrevocably and unconditionally guarantees the due and punctual payment and performance when due, whether at stated maturity, by acceleration or otherwise, of all Guarantied Obligations (as defined in the Guaranty);</w:t>
      </w:r>
    </w:p>
    <w:p>
      <w:pPr>
        <w:spacing w:after="0" w:line="131" w:lineRule="exact"/>
        <w:rPr>
          <w:rFonts w:ascii="Arial" w:cs="Arial" w:eastAsia="Arial" w:hAnsi="Arial"/>
          <w:sz w:val="18"/>
          <w:szCs w:val="18"/>
          <w:color w:val="auto"/>
        </w:rPr>
      </w:pPr>
    </w:p>
    <w:p>
      <w:pPr>
        <w:ind w:right="480" w:firstLine="464"/>
        <w:spacing w:after="0" w:line="332" w:lineRule="auto"/>
        <w:tabs>
          <w:tab w:leader="none" w:pos="70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makes to the Administrative Agent and the other Guarantied Parties as of the date hereof each of the representations and warranties contained in Section 5 of the Guaranty and agrees to be bound by each of the covenants contained in Section 6 of the Guaranty; and</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consents and agrees to each provision set forth in the Guaranty.</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ACCESSION AGREEMENT SHALL BE GOVERNED BY, AND CONSTRUED AND ENFORCED IN ACCORDANCE WITH, THE LAWS OF THE STATE OF NEW YORK APPLICABLE TO CONTRACTS EXECUTED, AND TO BE FULLY PERFORMED, IN SUCH STATE.</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and not otherwise defined herein shall have their respective defined meanings given them in the Credit Agreement.</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 on Next Page]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D-181</w:t>
      </w:r>
    </w:p>
    <w:p>
      <w:pPr>
        <w:sectPr>
          <w:pgSz w:w="11900" w:h="16838" w:orient="portrait"/>
          <w:cols w:equalWidth="0" w:num="1">
            <w:col w:w="11320"/>
          </w:cols>
          <w:pgMar w:left="240" w:top="280" w:right="339" w:bottom="1440" w:gutter="0" w:footer="0" w:header="0"/>
        </w:sectPr>
      </w:pPr>
    </w:p>
    <w:bookmarkStart w:id="191" w:name="page192"/>
    <w:bookmarkEnd w:id="191"/>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New Guarantor has caused this Accession Agreement to be duly executed and delivered under seal by its duly authorized officers as of the date first written above.</w:t>
      </w:r>
    </w:p>
    <w:p>
      <w:pPr>
        <w:spacing w:after="0" w:line="3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10795</wp:posOffset>
            </wp:positionV>
            <wp:extent cx="22555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10795</wp:posOffset>
            </wp:positionV>
            <wp:extent cx="22555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 Federal Realty Investment Trust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Telecopy Number: (301) 998-3715</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Number: (301) 998-8100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 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10795</wp:posOffset>
            </wp:positionV>
            <wp:extent cx="22555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10795</wp:posOffset>
            </wp:positionV>
            <wp:extent cx="22555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D-182</w:t>
      </w:r>
    </w:p>
    <w:p>
      <w:pPr>
        <w:sectPr>
          <w:pgSz w:w="11900" w:h="16838" w:orient="portrait"/>
          <w:cols w:equalWidth="0" w:num="1">
            <w:col w:w="11200"/>
          </w:cols>
          <w:pgMar w:left="240" w:top="280" w:right="459" w:bottom="1440" w:gutter="0" w:footer="0" w:header="0"/>
        </w:sectPr>
      </w:pPr>
    </w:p>
    <w:bookmarkStart w:id="192" w:name="page193"/>
    <w:bookmarkEnd w:id="192"/>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FORM OF NOTICE OF BORROWING</w:t>
      </w:r>
    </w:p>
    <w:p>
      <w:pPr>
        <w:spacing w:after="0" w:line="17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-13970</wp:posOffset>
            </wp:positionV>
            <wp:extent cx="83629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1753 Pinnacle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McLean, VA 22102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 M. Freeman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Reference is made to that certain Credit Agreement dated as of July 7, 2011, by and among Federal Realty Investment Trust, a real estate investment trust formed under the laws of the State of Maryland (the “Borrower”), the financial institutions party thereto and their permitted assignees under Section 12.6. thereof, Wells Fargo Bank, National Association (together with its successors and permitted assigns, the “Administrative Agent”), PNC Bank, National Association, as Syndication Agent, and each of Wells Fargo Securities, LLC, and PNC Capital Markets LLC, as a Lead Arranger and Book Manager. Capitalized terms used herein, and not otherwise defined herein, have their respective meanings given them in the Credit Agreement.</w:t>
      </w:r>
    </w:p>
    <w:p>
      <w:pPr>
        <w:spacing w:after="0" w:line="35" w:lineRule="exact"/>
        <w:rPr>
          <w:sz w:val="20"/>
          <w:szCs w:val="20"/>
          <w:color w:val="auto"/>
        </w:rPr>
      </w:pPr>
    </w:p>
    <w:p>
      <w:pPr>
        <w:ind w:left="900" w:hanging="446"/>
        <w:spacing w:after="0"/>
        <w:tabs>
          <w:tab w:leader="none" w:pos="9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Pursuant to Section 2.1.(b) of the Credit Agreement, the Borrower hereby requests that the Lenders make Revolving Loans to the Borrower in an</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w w:val="87"/>
              </w:rPr>
              <w:t>aggregate principal amount equal to $</w:t>
            </w:r>
          </w:p>
        </w:tc>
        <w:tc>
          <w:tcPr>
            <w:tcW w:w="3600" w:type="dxa"/>
            <w:vAlign w:val="bottom"/>
            <w:gridSpan w:val="2"/>
          </w:tcPr>
          <w:p>
            <w:pPr>
              <w:jc w:val="right"/>
              <w:ind w:right="18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6420" w:type="dxa"/>
            <w:vAlign w:val="bottom"/>
            <w:gridSpan w:val="3"/>
          </w:tcPr>
          <w:p>
            <w:pPr>
              <w:ind w:left="160"/>
              <w:spacing w:after="0"/>
              <w:rPr>
                <w:sz w:val="20"/>
                <w:szCs w:val="20"/>
                <w:color w:val="auto"/>
              </w:rPr>
            </w:pPr>
            <w:r>
              <w:rPr>
                <w:rFonts w:ascii="Arial" w:cs="Arial" w:eastAsia="Arial" w:hAnsi="Arial"/>
                <w:sz w:val="18"/>
                <w:szCs w:val="18"/>
                <w:color w:val="auto"/>
                <w:w w:val="88"/>
              </w:rPr>
              <w:t>The Borrower requests that such Revolving Loans be made available to the Borrower on</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0" w:lineRule="exact"/>
        <w:rPr>
          <w:sz w:val="20"/>
          <w:szCs w:val="20"/>
          <w:color w:val="auto"/>
        </w:rPr>
      </w:pPr>
    </w:p>
    <w:p>
      <w:pPr>
        <w:ind w:left="900" w:hanging="446"/>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Borrower hereby requests that such Revolving Loans be of the following Type:</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[Check one box only]</w:t>
      </w:r>
    </w:p>
    <w:p>
      <w:pPr>
        <w:spacing w:after="0" w:line="21" w:lineRule="exact"/>
        <w:rPr>
          <w:sz w:val="20"/>
          <w:szCs w:val="20"/>
          <w:color w:val="auto"/>
        </w:rPr>
      </w:pPr>
    </w:p>
    <w:p>
      <w:pPr>
        <w:ind w:left="2100" w:hanging="211"/>
        <w:spacing w:after="0"/>
        <w:tabs>
          <w:tab w:leader="none" w:pos="2100" w:val="left"/>
        </w:tabs>
        <w:numPr>
          <w:ilvl w:val="0"/>
          <w:numId w:val="150"/>
        </w:numPr>
        <w:rPr>
          <w:rFonts w:ascii="MS PGothic" w:cs="MS PGothic" w:eastAsia="MS PGothic" w:hAnsi="MS PGothic"/>
          <w:sz w:val="18"/>
          <w:szCs w:val="18"/>
          <w:color w:val="auto"/>
        </w:rPr>
      </w:pPr>
      <w:r>
        <w:rPr>
          <w:rFonts w:ascii="Arial" w:cs="Arial" w:eastAsia="Arial" w:hAnsi="Arial"/>
          <w:sz w:val="18"/>
          <w:szCs w:val="18"/>
          <w:color w:val="auto"/>
        </w:rPr>
        <w:t>Base Rate Loans</w:t>
      </w:r>
    </w:p>
    <w:p>
      <w:pPr>
        <w:spacing w:after="0" w:line="16" w:lineRule="exact"/>
        <w:rPr>
          <w:rFonts w:ascii="MS PGothic" w:cs="MS PGothic" w:eastAsia="MS PGothic" w:hAnsi="MS PGothic"/>
          <w:sz w:val="18"/>
          <w:szCs w:val="18"/>
          <w:color w:val="auto"/>
        </w:rPr>
      </w:pPr>
    </w:p>
    <w:p>
      <w:pPr>
        <w:ind w:left="2100" w:hanging="211"/>
        <w:spacing w:after="0"/>
        <w:tabs>
          <w:tab w:leader="none" w:pos="2100" w:val="left"/>
        </w:tabs>
        <w:numPr>
          <w:ilvl w:val="0"/>
          <w:numId w:val="150"/>
        </w:numPr>
        <w:rPr>
          <w:rFonts w:ascii="MS PGothic" w:cs="MS PGothic" w:eastAsia="MS PGothic" w:hAnsi="MS PGothic"/>
          <w:sz w:val="18"/>
          <w:szCs w:val="18"/>
          <w:color w:val="auto"/>
        </w:rPr>
      </w:pPr>
      <w:r>
        <w:rPr>
          <w:rFonts w:ascii="Arial" w:cs="Arial" w:eastAsia="Arial" w:hAnsi="Arial"/>
          <w:sz w:val="18"/>
          <w:szCs w:val="18"/>
          <w:color w:val="auto"/>
        </w:rPr>
        <w:t>LIBOR Loans, with an initial Interest Period for a duration of:</w:t>
      </w:r>
    </w:p>
    <w:p>
      <w:pPr>
        <w:spacing w:after="0" w:line="70" w:lineRule="exact"/>
        <w:rPr>
          <w:rFonts w:ascii="MS PGothic" w:cs="MS PGothic" w:eastAsia="MS PGothic" w:hAnsi="MS PGothic"/>
          <w:sz w:val="18"/>
          <w:szCs w:val="18"/>
          <w:color w:val="auto"/>
        </w:rPr>
      </w:pPr>
    </w:p>
    <w:p>
      <w:pPr>
        <w:ind w:left="21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[Check one box only]</w:t>
      </w:r>
    </w:p>
    <w:p>
      <w:pPr>
        <w:spacing w:after="0" w:line="21" w:lineRule="exact"/>
        <w:rPr>
          <w:rFonts w:ascii="MS PGothic" w:cs="MS PGothic" w:eastAsia="MS PGothic" w:hAnsi="MS PGothic"/>
          <w:sz w:val="18"/>
          <w:szCs w:val="18"/>
          <w:color w:val="auto"/>
        </w:rPr>
      </w:pPr>
    </w:p>
    <w:p>
      <w:pPr>
        <w:ind w:left="2980" w:hanging="215"/>
        <w:spacing w:after="0"/>
        <w:tabs>
          <w:tab w:leader="none" w:pos="2980" w:val="left"/>
        </w:tabs>
        <w:numPr>
          <w:ilvl w:val="1"/>
          <w:numId w:val="150"/>
        </w:numPr>
        <w:rPr>
          <w:rFonts w:ascii="MS PGothic" w:cs="MS PGothic" w:eastAsia="MS PGothic" w:hAnsi="MS PGothic"/>
          <w:sz w:val="18"/>
          <w:szCs w:val="18"/>
          <w:color w:val="auto"/>
        </w:rPr>
      </w:pPr>
      <w:r>
        <w:rPr>
          <w:rFonts w:ascii="Arial" w:cs="Arial" w:eastAsia="Arial" w:hAnsi="Arial"/>
          <w:sz w:val="18"/>
          <w:szCs w:val="18"/>
          <w:color w:val="auto"/>
        </w:rPr>
        <w:t>seven days</w:t>
      </w:r>
    </w:p>
    <w:p>
      <w:pPr>
        <w:spacing w:after="0" w:line="16" w:lineRule="exact"/>
        <w:rPr>
          <w:rFonts w:ascii="MS PGothic" w:cs="MS PGothic" w:eastAsia="MS PGothic" w:hAnsi="MS PGothic"/>
          <w:sz w:val="18"/>
          <w:szCs w:val="18"/>
          <w:color w:val="auto"/>
        </w:rPr>
      </w:pPr>
    </w:p>
    <w:p>
      <w:pPr>
        <w:ind w:left="2980" w:hanging="215"/>
        <w:spacing w:after="0"/>
        <w:tabs>
          <w:tab w:leader="none" w:pos="2980" w:val="left"/>
        </w:tabs>
        <w:numPr>
          <w:ilvl w:val="1"/>
          <w:numId w:val="150"/>
        </w:numPr>
        <w:rPr>
          <w:rFonts w:ascii="MS PGothic" w:cs="MS PGothic" w:eastAsia="MS PGothic" w:hAnsi="MS PGothic"/>
          <w:sz w:val="18"/>
          <w:szCs w:val="18"/>
          <w:color w:val="auto"/>
        </w:rPr>
      </w:pPr>
      <w:r>
        <w:rPr>
          <w:rFonts w:ascii="Arial" w:cs="Arial" w:eastAsia="Arial" w:hAnsi="Arial"/>
          <w:sz w:val="18"/>
          <w:szCs w:val="18"/>
          <w:color w:val="auto"/>
        </w:rPr>
        <w:t>one month</w:t>
      </w:r>
    </w:p>
    <w:p>
      <w:pPr>
        <w:spacing w:after="0" w:line="9" w:lineRule="exact"/>
        <w:rPr>
          <w:rFonts w:ascii="MS PGothic" w:cs="MS PGothic" w:eastAsia="MS PGothic" w:hAnsi="MS PGothic"/>
          <w:sz w:val="18"/>
          <w:szCs w:val="18"/>
          <w:color w:val="auto"/>
        </w:rPr>
      </w:pPr>
    </w:p>
    <w:p>
      <w:pPr>
        <w:ind w:left="2980" w:hanging="215"/>
        <w:spacing w:after="0"/>
        <w:tabs>
          <w:tab w:leader="none" w:pos="2980" w:val="left"/>
        </w:tabs>
        <w:numPr>
          <w:ilvl w:val="1"/>
          <w:numId w:val="150"/>
        </w:numPr>
        <w:rPr>
          <w:rFonts w:ascii="MS PGothic" w:cs="MS PGothic" w:eastAsia="MS PGothic" w:hAnsi="MS PGothic"/>
          <w:sz w:val="18"/>
          <w:szCs w:val="18"/>
          <w:color w:val="auto"/>
        </w:rPr>
      </w:pPr>
      <w:r>
        <w:rPr>
          <w:rFonts w:ascii="Arial" w:cs="Arial" w:eastAsia="Arial" w:hAnsi="Arial"/>
          <w:sz w:val="18"/>
          <w:szCs w:val="18"/>
          <w:color w:val="auto"/>
        </w:rPr>
        <w:t>three months</w:t>
      </w:r>
    </w:p>
    <w:p>
      <w:pPr>
        <w:spacing w:after="0" w:line="9" w:lineRule="exact"/>
        <w:rPr>
          <w:rFonts w:ascii="MS PGothic" w:cs="MS PGothic" w:eastAsia="MS PGothic" w:hAnsi="MS PGothic"/>
          <w:sz w:val="18"/>
          <w:szCs w:val="18"/>
          <w:color w:val="auto"/>
        </w:rPr>
      </w:pPr>
    </w:p>
    <w:p>
      <w:pPr>
        <w:ind w:left="2980" w:hanging="215"/>
        <w:spacing w:after="0"/>
        <w:tabs>
          <w:tab w:leader="none" w:pos="2980" w:val="left"/>
        </w:tabs>
        <w:numPr>
          <w:ilvl w:val="1"/>
          <w:numId w:val="150"/>
        </w:numPr>
        <w:rPr>
          <w:rFonts w:ascii="MS PGothic" w:cs="MS PGothic" w:eastAsia="MS PGothic" w:hAnsi="MS PGothic"/>
          <w:sz w:val="18"/>
          <w:szCs w:val="18"/>
          <w:color w:val="auto"/>
        </w:rPr>
      </w:pPr>
      <w:r>
        <w:rPr>
          <w:rFonts w:ascii="Arial" w:cs="Arial" w:eastAsia="Arial" w:hAnsi="Arial"/>
          <w:sz w:val="18"/>
          <w:szCs w:val="18"/>
          <w:color w:val="auto"/>
        </w:rPr>
        <w:t>six months</w:t>
      </w:r>
    </w:p>
    <w:p>
      <w:pPr>
        <w:spacing w:after="0" w:line="15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Borrower hereby certifies to the Administrative Agent and the Lenders that as of the date hereof, as of the date of the making of the requested Revolving Loans, and after making such Revolving Loans, (a) no Default or Event of Default exists or shall exist, and none of the limits specified in Section 2.15. of the Credit Agreement have been violated or shall be violated; and (b) the representations and warranties made or deemed made by the Borrower and each other Loan Party in the Loan Documents to which any of them is a party, are and shall be true and correct in all material respects (except in the case of a representation or warranty qualified by materiality, in which case such representation or warranty is and shall be true and correct in all respects) with the same force and effect as if made on and as of such</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E-183</w:t>
      </w:r>
    </w:p>
    <w:p>
      <w:pPr>
        <w:sectPr>
          <w:pgSz w:w="11900" w:h="16838" w:orient="portrait"/>
          <w:cols w:equalWidth="0" w:num="1">
            <w:col w:w="11420"/>
          </w:cols>
          <w:pgMar w:left="240" w:top="280" w:right="239" w:bottom="1440" w:gutter="0" w:footer="0" w:header="0"/>
        </w:sectPr>
      </w:pPr>
    </w:p>
    <w:bookmarkStart w:id="193" w:name="page194"/>
    <w:bookmarkEnd w:id="19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under the Credit Agreement. In addition, the Borrower certifies to the Administrative Agent and the Lenders that all conditions to the making of the requested Revolving Loans contained in Article V. of the Credit Agreement will have been satisfied (or waived in accordance with the terms of the Credit Agreement) at the time such Revolving Loans are made.</w:t>
      </w:r>
    </w:p>
    <w:p>
      <w:pPr>
        <w:spacing w:after="0" w:line="16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10795</wp:posOffset>
            </wp:positionV>
            <wp:extent cx="22555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10795</wp:posOffset>
            </wp:positionV>
            <wp:extent cx="22555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E-184</w:t>
      </w:r>
    </w:p>
    <w:p>
      <w:pPr>
        <w:sectPr>
          <w:pgSz w:w="11900" w:h="16838" w:orient="portrait"/>
          <w:cols w:equalWidth="0" w:num="1">
            <w:col w:w="11360"/>
          </w:cols>
          <w:pgMar w:left="240" w:top="280" w:right="299" w:bottom="1440" w:gutter="0" w:footer="0" w:header="0"/>
        </w:sectPr>
      </w:pPr>
    </w:p>
    <w:bookmarkStart w:id="194" w:name="page195"/>
    <w:bookmarkEnd w:id="194"/>
    <w:p>
      <w:pPr>
        <w:ind w:left="5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F</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FORM OF NOTICE OF CONTINUATION</w:t>
      </w:r>
    </w:p>
    <w:p>
      <w:pPr>
        <w:spacing w:after="0" w:line="17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-13970</wp:posOffset>
            </wp:positionV>
            <wp:extent cx="8362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1753 Pinnacle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McLean, VA 22102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 M. Freeman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Reference is made to that certain Credit Agreement dated as of July 7, 2011, by and among Federal Realty Investment Trust, a real estate investment trust formed under the laws of the State of Maryland (the “Borrower”), the financial institutions party thereto and their permitted assignees under Section 12.6. thereof, Wells Fargo Bank, National Association (together with its successors and permitted assigns, the “Administrative Agent”), PNC Bank, National Association, as Syndication Agent, and each of Wells Fargo Securities, LLC, and PNC Capital Markets LLC, as a Lead Arranger and Book Manager. Capitalized terms used herein, and not otherwise defined herein, have their respective meanings given them in the Credit Agreement.</w:t>
      </w:r>
    </w:p>
    <w:p>
      <w:pPr>
        <w:spacing w:after="0" w:line="116"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Pursuant to Section 2.9. of the Credit Agreement, the Borrower hereby requests a Continuation of Loans under the Credit Agreement, and in that connection sets forth below the information relating to such Continuation as required by such Section of the Credit Agreement:</w:t>
      </w:r>
    </w:p>
    <w:tbl>
      <w:tblPr>
        <w:tblLayout w:type="fixed"/>
        <w:tblInd w:w="460" w:type="dxa"/>
        <w:tblCellMar>
          <w:top w:w="0" w:type="dxa"/>
          <w:left w:w="0" w:type="dxa"/>
          <w:bottom w:w="0" w:type="dxa"/>
          <w:right w:w="0" w:type="dxa"/>
        </w:tblCellMar>
      </w:tblPr>
      <w:tr>
        <w:trPr>
          <w:trHeight w:val="188"/>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1.</w:t>
            </w:r>
          </w:p>
        </w:tc>
        <w:tc>
          <w:tcPr>
            <w:tcW w:w="3200" w:type="dxa"/>
            <w:vAlign w:val="bottom"/>
            <w:gridSpan w:val="2"/>
          </w:tcPr>
          <w:p>
            <w:pPr>
              <w:ind w:left="160"/>
              <w:spacing w:after="0" w:line="189" w:lineRule="exact"/>
              <w:rPr>
                <w:sz w:val="20"/>
                <w:szCs w:val="20"/>
                <w:color w:val="auto"/>
              </w:rPr>
            </w:pPr>
            <w:r>
              <w:rPr>
                <w:rFonts w:ascii="Arial" w:cs="Arial" w:eastAsia="Arial" w:hAnsi="Arial"/>
                <w:sz w:val="18"/>
                <w:szCs w:val="18"/>
                <w:color w:val="auto"/>
                <w:w w:val="87"/>
              </w:rPr>
              <w:t>The requested date of such Continuation is</w:t>
            </w:r>
          </w:p>
        </w:tc>
        <w:tc>
          <w:tcPr>
            <w:tcW w:w="880" w:type="dxa"/>
            <w:vAlign w:val="bottom"/>
          </w:tcPr>
          <w:p>
            <w:pPr>
              <w:spacing w:after="0"/>
              <w:rPr>
                <w:sz w:val="16"/>
                <w:szCs w:val="16"/>
                <w:color w:val="auto"/>
              </w:rPr>
            </w:pPr>
          </w:p>
        </w:tc>
        <w:tc>
          <w:tcPr>
            <w:tcW w:w="700" w:type="dxa"/>
            <w:vAlign w:val="bottom"/>
            <w:gridSpan w:val="3"/>
          </w:tcPr>
          <w:p>
            <w:pPr>
              <w:jc w:val="right"/>
              <w:ind w:right="220"/>
              <w:spacing w:after="0" w:line="189" w:lineRule="exact"/>
              <w:rPr>
                <w:sz w:val="20"/>
                <w:szCs w:val="20"/>
                <w:color w:val="auto"/>
              </w:rPr>
            </w:pPr>
            <w:r>
              <w:rPr>
                <w:rFonts w:ascii="Arial" w:cs="Arial" w:eastAsia="Arial" w:hAnsi="Arial"/>
                <w:sz w:val="18"/>
                <w:szCs w:val="18"/>
                <w:color w:val="auto"/>
              </w:rPr>
              <w:t>, 20  .</w:t>
            </w: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6520" w:type="dxa"/>
            <w:vAlign w:val="bottom"/>
            <w:gridSpan w:val="9"/>
          </w:tcPr>
          <w:p>
            <w:pPr>
              <w:ind w:left="160"/>
              <w:spacing w:after="0"/>
              <w:rPr>
                <w:sz w:val="20"/>
                <w:szCs w:val="20"/>
                <w:color w:val="auto"/>
              </w:rPr>
            </w:pPr>
            <w:r>
              <w:rPr>
                <w:rFonts w:ascii="Arial" w:cs="Arial" w:eastAsia="Arial" w:hAnsi="Arial"/>
                <w:sz w:val="18"/>
                <w:szCs w:val="18"/>
                <w:color w:val="auto"/>
                <w:w w:val="91"/>
              </w:rPr>
              <w:t>The aggregate principal amount of the Loans subject to the requested Continuation is $</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8"/>
                <w:szCs w:val="18"/>
                <w:color w:val="auto"/>
                <w:w w:val="89"/>
              </w:rPr>
              <w:t>and the portion of such principal</w:t>
            </w:r>
          </w:p>
        </w:tc>
      </w:tr>
      <w:tr>
        <w:trPr>
          <w:trHeight w:val="196"/>
        </w:trPr>
        <w:tc>
          <w:tcPr>
            <w:tcW w:w="280" w:type="dxa"/>
            <w:vAlign w:val="bottom"/>
          </w:tcPr>
          <w:p>
            <w:pPr>
              <w:spacing w:after="0"/>
              <w:rPr>
                <w:sz w:val="17"/>
                <w:szCs w:val="17"/>
                <w:color w:val="auto"/>
              </w:rPr>
            </w:pPr>
          </w:p>
        </w:tc>
        <w:tc>
          <w:tcPr>
            <w:tcW w:w="320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3"/>
              </w:rPr>
              <w:t>amount subject to such Continuation is $</w:t>
            </w:r>
          </w:p>
        </w:tc>
        <w:tc>
          <w:tcPr>
            <w:tcW w:w="2440" w:type="dxa"/>
            <w:vAlign w:val="bottom"/>
            <w:gridSpan w:val="5"/>
          </w:tcPr>
          <w:p>
            <w:pPr>
              <w:jc w:val="right"/>
              <w:ind w:right="820"/>
              <w:spacing w:after="0" w:line="196"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340" w:type="dxa"/>
            <w:vAlign w:val="bottom"/>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760" w:type="dxa"/>
            <w:vAlign w:val="bottom"/>
            <w:gridSpan w:val="5"/>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3.</w:t>
            </w:r>
          </w:p>
        </w:tc>
        <w:tc>
          <w:tcPr>
            <w:tcW w:w="5640" w:type="dxa"/>
            <w:vAlign w:val="bottom"/>
            <w:gridSpan w:val="7"/>
          </w:tcPr>
          <w:p>
            <w:pPr>
              <w:ind w:left="160"/>
              <w:spacing w:after="0"/>
              <w:rPr>
                <w:sz w:val="20"/>
                <w:szCs w:val="20"/>
                <w:color w:val="auto"/>
              </w:rPr>
            </w:pPr>
            <w:r>
              <w:rPr>
                <w:rFonts w:ascii="Arial" w:cs="Arial" w:eastAsia="Arial" w:hAnsi="Arial"/>
                <w:sz w:val="18"/>
                <w:szCs w:val="18"/>
                <w:color w:val="auto"/>
                <w:w w:val="88"/>
              </w:rPr>
              <w:t>The current Interest Period of the Loans subject to such Continuation ends on</w:t>
            </w:r>
          </w:p>
        </w:tc>
        <w:tc>
          <w:tcPr>
            <w:tcW w:w="880" w:type="dxa"/>
            <w:vAlign w:val="bottom"/>
            <w:gridSpan w:val="2"/>
          </w:tcPr>
          <w:p>
            <w:pPr>
              <w:spacing w:after="0"/>
              <w:rPr>
                <w:sz w:val="24"/>
                <w:szCs w:val="24"/>
                <w:color w:val="auto"/>
              </w:rPr>
            </w:pPr>
          </w:p>
        </w:tc>
        <w:tc>
          <w:tcPr>
            <w:tcW w:w="1500" w:type="dxa"/>
            <w:vAlign w:val="bottom"/>
            <w:gridSpan w:val="3"/>
          </w:tcPr>
          <w:p>
            <w:pPr>
              <w:jc w:val="right"/>
              <w:ind w:right="1020"/>
              <w:spacing w:after="0"/>
              <w:rPr>
                <w:sz w:val="20"/>
                <w:szCs w:val="20"/>
                <w:color w:val="auto"/>
              </w:rPr>
            </w:pPr>
            <w:r>
              <w:rPr>
                <w:rFonts w:ascii="Arial" w:cs="Arial" w:eastAsia="Arial" w:hAnsi="Arial"/>
                <w:sz w:val="18"/>
                <w:szCs w:val="18"/>
                <w:color w:val="auto"/>
              </w:rPr>
              <w:t>, 20  .</w:t>
            </w:r>
          </w:p>
        </w:tc>
        <w:tc>
          <w:tcPr>
            <w:tcW w:w="234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100" w:lineRule="exact"/>
        <w:rPr>
          <w:sz w:val="20"/>
          <w:szCs w:val="20"/>
          <w:color w:val="auto"/>
        </w:rPr>
      </w:pPr>
    </w:p>
    <w:p>
      <w:pPr>
        <w:ind w:left="900" w:hanging="446"/>
        <w:spacing w:after="0"/>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duration of the Interest Period for the Loans or portion thereof subject to such Continuation is:</w:t>
      </w:r>
    </w:p>
    <w:p>
      <w:pPr>
        <w:spacing w:after="0" w:line="84"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[Check one box only]</w:t>
      </w:r>
    </w:p>
    <w:p>
      <w:pPr>
        <w:spacing w:after="0" w:line="96" w:lineRule="exact"/>
        <w:rPr>
          <w:rFonts w:ascii="Arial" w:cs="Arial" w:eastAsia="Arial" w:hAnsi="Arial"/>
          <w:sz w:val="18"/>
          <w:szCs w:val="18"/>
          <w:color w:val="auto"/>
        </w:rPr>
      </w:pPr>
    </w:p>
    <w:p>
      <w:pPr>
        <w:ind w:left="2100" w:hanging="211"/>
        <w:spacing w:after="0"/>
        <w:tabs>
          <w:tab w:leader="none" w:pos="2100" w:val="left"/>
        </w:tabs>
        <w:numPr>
          <w:ilvl w:val="1"/>
          <w:numId w:val="151"/>
        </w:numPr>
        <w:rPr>
          <w:rFonts w:ascii="MS PGothic" w:cs="MS PGothic" w:eastAsia="MS PGothic" w:hAnsi="MS PGothic"/>
          <w:sz w:val="18"/>
          <w:szCs w:val="18"/>
          <w:color w:val="auto"/>
        </w:rPr>
      </w:pPr>
      <w:r>
        <w:rPr>
          <w:rFonts w:ascii="Arial" w:cs="Arial" w:eastAsia="Arial" w:hAnsi="Arial"/>
          <w:sz w:val="18"/>
          <w:szCs w:val="18"/>
          <w:color w:val="auto"/>
        </w:rPr>
        <w:t>seven days</w:t>
      </w:r>
    </w:p>
    <w:p>
      <w:pPr>
        <w:spacing w:after="0" w:line="23" w:lineRule="exact"/>
        <w:rPr>
          <w:rFonts w:ascii="MS PGothic" w:cs="MS PGothic" w:eastAsia="MS PGothic" w:hAnsi="MS PGothic"/>
          <w:sz w:val="18"/>
          <w:szCs w:val="18"/>
          <w:color w:val="auto"/>
        </w:rPr>
      </w:pPr>
    </w:p>
    <w:p>
      <w:pPr>
        <w:ind w:left="2100" w:hanging="211"/>
        <w:spacing w:after="0"/>
        <w:tabs>
          <w:tab w:leader="none" w:pos="2100" w:val="left"/>
        </w:tabs>
        <w:numPr>
          <w:ilvl w:val="1"/>
          <w:numId w:val="151"/>
        </w:numPr>
        <w:rPr>
          <w:rFonts w:ascii="MS PGothic" w:cs="MS PGothic" w:eastAsia="MS PGothic" w:hAnsi="MS PGothic"/>
          <w:sz w:val="18"/>
          <w:szCs w:val="18"/>
          <w:color w:val="auto"/>
        </w:rPr>
      </w:pPr>
      <w:r>
        <w:rPr>
          <w:rFonts w:ascii="Arial" w:cs="Arial" w:eastAsia="Arial" w:hAnsi="Arial"/>
          <w:sz w:val="18"/>
          <w:szCs w:val="18"/>
          <w:color w:val="auto"/>
        </w:rPr>
        <w:t>one month</w:t>
      </w:r>
    </w:p>
    <w:p>
      <w:pPr>
        <w:spacing w:after="0" w:line="9" w:lineRule="exact"/>
        <w:rPr>
          <w:rFonts w:ascii="MS PGothic" w:cs="MS PGothic" w:eastAsia="MS PGothic" w:hAnsi="MS PGothic"/>
          <w:sz w:val="18"/>
          <w:szCs w:val="18"/>
          <w:color w:val="auto"/>
        </w:rPr>
      </w:pPr>
    </w:p>
    <w:p>
      <w:pPr>
        <w:ind w:left="2100" w:hanging="211"/>
        <w:spacing w:after="0"/>
        <w:tabs>
          <w:tab w:leader="none" w:pos="2100" w:val="left"/>
        </w:tabs>
        <w:numPr>
          <w:ilvl w:val="1"/>
          <w:numId w:val="151"/>
        </w:numPr>
        <w:rPr>
          <w:rFonts w:ascii="MS PGothic" w:cs="MS PGothic" w:eastAsia="MS PGothic" w:hAnsi="MS PGothic"/>
          <w:sz w:val="18"/>
          <w:szCs w:val="18"/>
          <w:color w:val="auto"/>
        </w:rPr>
      </w:pPr>
      <w:r>
        <w:rPr>
          <w:rFonts w:ascii="Arial" w:cs="Arial" w:eastAsia="Arial" w:hAnsi="Arial"/>
          <w:sz w:val="18"/>
          <w:szCs w:val="18"/>
          <w:color w:val="auto"/>
        </w:rPr>
        <w:t>three months</w:t>
      </w:r>
    </w:p>
    <w:p>
      <w:pPr>
        <w:spacing w:after="0" w:line="9" w:lineRule="exact"/>
        <w:rPr>
          <w:rFonts w:ascii="MS PGothic" w:cs="MS PGothic" w:eastAsia="MS PGothic" w:hAnsi="MS PGothic"/>
          <w:sz w:val="18"/>
          <w:szCs w:val="18"/>
          <w:color w:val="auto"/>
        </w:rPr>
      </w:pPr>
    </w:p>
    <w:p>
      <w:pPr>
        <w:ind w:left="2100" w:hanging="211"/>
        <w:spacing w:after="0"/>
        <w:tabs>
          <w:tab w:leader="none" w:pos="2100" w:val="left"/>
        </w:tabs>
        <w:numPr>
          <w:ilvl w:val="1"/>
          <w:numId w:val="151"/>
        </w:numPr>
        <w:rPr>
          <w:rFonts w:ascii="MS PGothic" w:cs="MS PGothic" w:eastAsia="MS PGothic" w:hAnsi="MS PGothic"/>
          <w:sz w:val="18"/>
          <w:szCs w:val="18"/>
          <w:color w:val="auto"/>
        </w:rPr>
      </w:pPr>
      <w:r>
        <w:rPr>
          <w:rFonts w:ascii="Arial" w:cs="Arial" w:eastAsia="Arial" w:hAnsi="Arial"/>
          <w:sz w:val="18"/>
          <w:szCs w:val="18"/>
          <w:color w:val="auto"/>
        </w:rPr>
        <w:t>six months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 on next page]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F-185</w:t>
      </w:r>
    </w:p>
    <w:p>
      <w:pPr>
        <w:sectPr>
          <w:pgSz w:w="11900" w:h="16838" w:orient="portrait"/>
          <w:cols w:equalWidth="0" w:num="1">
            <w:col w:w="11400"/>
          </w:cols>
          <w:pgMar w:left="240" w:top="280" w:right="259" w:bottom="1440" w:gutter="0" w:footer="0" w:header="0"/>
        </w:sectPr>
      </w:pPr>
    </w:p>
    <w:bookmarkStart w:id="195" w:name="page196"/>
    <w:bookmarkEnd w:id="195"/>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hereby certifies to the Administrative Agent and the Lenders that as of the date hereof, as of the proposed date of the requested Continuation, and after giving effect to such Continuation (a) no Default or Event of Default exists or shall exist, and none of the limits specified in Section 2.15. of the Credit Agreement have been violated or shall be violated; and (b) the representations and warranties made or deemed made by the Borrower and each other Loan Party in the Loan Documents to which any of them is a party, are and shall be true and correct in all material respects (except in the case of a representation or warranty qualified by materiality, in which case such representation or warranty is and shall be true and correct in all respects)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under the Credit Agreement.</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notice of the requested Continuation was given previously by telephone, this notice shall be considered the written confirmation of such telephone notice required by Section 2.9. of the Credit Agreement.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10795</wp:posOffset>
            </wp:positionV>
            <wp:extent cx="22555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10795</wp:posOffset>
            </wp:positionV>
            <wp:extent cx="22555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F-186</w:t>
      </w:r>
    </w:p>
    <w:p>
      <w:pPr>
        <w:sectPr>
          <w:pgSz w:w="11900" w:h="16838" w:orient="portrait"/>
          <w:cols w:equalWidth="0" w:num="1">
            <w:col w:w="11420"/>
          </w:cols>
          <w:pgMar w:left="240" w:top="280" w:right="239" w:bottom="1440" w:gutter="0" w:footer="0" w:header="0"/>
        </w:sectPr>
      </w:pPr>
    </w:p>
    <w:bookmarkStart w:id="196" w:name="page197"/>
    <w:bookmarkEnd w:id="196"/>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FORM OF NOTICE OF CONVERSION</w:t>
      </w:r>
    </w:p>
    <w:p>
      <w:pPr>
        <w:spacing w:after="0" w:line="17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-13970</wp:posOffset>
            </wp:positionV>
            <wp:extent cx="83629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1753 Pinnacle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McLean, VA 22102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 M. Freeman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Reference is made to that certain Credit Agreement dated as of July 7, 2011, by and among Federal Realty Investment Trust, a real estate investment trust formed under the laws of the State of Maryland (the “Borrower”), the financial institutions party thereto and their permitted assignees under Section 12.6. thereof, Wells Fargo Bank, National Association (together with its successors and permitted assigns, the “Administrative Agent”), PNC Bank, National Association, as Syndication Agent, and each of Wells Fargo Securities, LLC, and PNC Capital Markets LLC, as a Lead Arranger and Book Manager. Capitalized terms used herein, and not otherwise defined herein, have their respective meanings given them in the Credit Agreement.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Section 2.10. of the Credit Agreement, the Borrower hereby requests a Conversion of Loans of one Type into Loans of another Type under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and in that connection sets forth below the information relating to such Conversion as required by such Section of the Credit Agreement:</w:t>
      </w:r>
    </w:p>
    <w:p>
      <w:pPr>
        <w:spacing w:after="0" w:line="107" w:lineRule="exact"/>
        <w:rPr>
          <w:sz w:val="20"/>
          <w:szCs w:val="20"/>
          <w:color w:val="auto"/>
        </w:rPr>
      </w:pPr>
    </w:p>
    <w:p>
      <w:pPr>
        <w:ind w:left="460"/>
        <w:spacing w:after="0"/>
        <w:tabs>
          <w:tab w:leader="none" w:pos="880" w:val="left"/>
          <w:tab w:leader="none" w:pos="4700" w:val="left"/>
          <w:tab w:leader="none" w:pos="51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The requested date of such Conversion is</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2437765</wp:posOffset>
            </wp:positionH>
            <wp:positionV relativeFrom="paragraph">
              <wp:posOffset>-13970</wp:posOffset>
            </wp:positionV>
            <wp:extent cx="83629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70" w:lineRule="exact"/>
        <w:rPr>
          <w:sz w:val="20"/>
          <w:szCs w:val="20"/>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Type of Loans to be Converted pursuant hereto is currently:</w:t>
      </w:r>
    </w:p>
    <w:p>
      <w:pPr>
        <w:spacing w:after="0" w:line="84"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[Check one box only]</w:t>
      </w:r>
    </w:p>
    <w:p>
      <w:pPr>
        <w:spacing w:after="0" w:line="96" w:lineRule="exact"/>
        <w:rPr>
          <w:rFonts w:ascii="Arial" w:cs="Arial" w:eastAsia="Arial" w:hAnsi="Arial"/>
          <w:sz w:val="18"/>
          <w:szCs w:val="18"/>
          <w:color w:val="auto"/>
        </w:rPr>
      </w:pPr>
    </w:p>
    <w:p>
      <w:pPr>
        <w:ind w:left="1920" w:hanging="440"/>
        <w:spacing w:after="0"/>
        <w:tabs>
          <w:tab w:leader="none" w:pos="1920" w:val="left"/>
        </w:tabs>
        <w:numPr>
          <w:ilvl w:val="1"/>
          <w:numId w:val="152"/>
        </w:numPr>
        <w:rPr>
          <w:rFonts w:ascii="MS PGothic" w:cs="MS PGothic" w:eastAsia="MS PGothic" w:hAnsi="MS PGothic"/>
          <w:sz w:val="18"/>
          <w:szCs w:val="18"/>
          <w:color w:val="auto"/>
        </w:rPr>
      </w:pPr>
      <w:r>
        <w:rPr>
          <w:rFonts w:ascii="Arial" w:cs="Arial" w:eastAsia="Arial" w:hAnsi="Arial"/>
          <w:sz w:val="18"/>
          <w:szCs w:val="18"/>
          <w:color w:val="auto"/>
        </w:rPr>
        <w:t>Base Rate Loan</w:t>
      </w:r>
    </w:p>
    <w:p>
      <w:pPr>
        <w:spacing w:after="0" w:line="23" w:lineRule="exact"/>
        <w:rPr>
          <w:rFonts w:ascii="MS PGothic" w:cs="MS PGothic" w:eastAsia="MS PGothic" w:hAnsi="MS PGothic"/>
          <w:sz w:val="18"/>
          <w:szCs w:val="18"/>
          <w:color w:val="auto"/>
        </w:rPr>
      </w:pPr>
    </w:p>
    <w:p>
      <w:pPr>
        <w:ind w:left="1920" w:hanging="440"/>
        <w:spacing w:after="0"/>
        <w:tabs>
          <w:tab w:leader="none" w:pos="1920" w:val="left"/>
        </w:tabs>
        <w:numPr>
          <w:ilvl w:val="1"/>
          <w:numId w:val="152"/>
        </w:numPr>
        <w:rPr>
          <w:rFonts w:ascii="MS PGothic" w:cs="MS PGothic" w:eastAsia="MS PGothic" w:hAnsi="MS PGothic"/>
          <w:sz w:val="18"/>
          <w:szCs w:val="18"/>
          <w:color w:val="auto"/>
        </w:rPr>
      </w:pPr>
      <w:r>
        <w:rPr>
          <w:rFonts w:ascii="Arial" w:cs="Arial" w:eastAsia="Arial" w:hAnsi="Arial"/>
          <w:sz w:val="18"/>
          <w:szCs w:val="18"/>
          <w:color w:val="auto"/>
        </w:rPr>
        <w:t>LIBOR Loan</w:t>
      </w:r>
    </w:p>
    <w:p>
      <w:pPr>
        <w:spacing w:after="0" w:line="53"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3.</w:t>
            </w:r>
          </w:p>
        </w:tc>
        <w:tc>
          <w:tcPr>
            <w:tcW w:w="7380" w:type="dxa"/>
            <w:vAlign w:val="bottom"/>
            <w:gridSpan w:val="5"/>
          </w:tcPr>
          <w:p>
            <w:pPr>
              <w:ind w:left="160"/>
              <w:spacing w:after="0"/>
              <w:rPr>
                <w:sz w:val="20"/>
                <w:szCs w:val="20"/>
                <w:color w:val="auto"/>
              </w:rPr>
            </w:pPr>
            <w:r>
              <w:rPr>
                <w:rFonts w:ascii="Arial" w:cs="Arial" w:eastAsia="Arial" w:hAnsi="Arial"/>
                <w:sz w:val="18"/>
                <w:szCs w:val="18"/>
                <w:color w:val="auto"/>
              </w:rPr>
              <w:t>The aggregate principal amount of the Loans subject to the requested Conversion is $</w:t>
            </w:r>
          </w:p>
        </w:tc>
        <w:tc>
          <w:tcPr>
            <w:tcW w:w="2920" w:type="dxa"/>
            <w:vAlign w:val="bottom"/>
          </w:tcPr>
          <w:p>
            <w:pPr>
              <w:ind w:left="60"/>
              <w:spacing w:after="0"/>
              <w:rPr>
                <w:sz w:val="20"/>
                <w:szCs w:val="20"/>
                <w:color w:val="auto"/>
              </w:rPr>
            </w:pPr>
            <w:r>
              <w:rPr>
                <w:rFonts w:ascii="Arial" w:cs="Arial" w:eastAsia="Arial" w:hAnsi="Arial"/>
                <w:sz w:val="18"/>
                <w:szCs w:val="18"/>
                <w:color w:val="auto"/>
                <w:w w:val="88"/>
              </w:rPr>
              <w:t>and the portion of such principal amount</w:t>
            </w:r>
          </w:p>
        </w:tc>
      </w:tr>
      <w:tr>
        <w:trPr>
          <w:trHeight w:val="196"/>
        </w:trPr>
        <w:tc>
          <w:tcPr>
            <w:tcW w:w="280" w:type="dxa"/>
            <w:vAlign w:val="bottom"/>
          </w:tcPr>
          <w:p>
            <w:pPr>
              <w:spacing w:after="0"/>
              <w:rPr>
                <w:sz w:val="17"/>
                <w:szCs w:val="17"/>
                <w:color w:val="auto"/>
              </w:rPr>
            </w:pPr>
          </w:p>
        </w:tc>
        <w:tc>
          <w:tcPr>
            <w:tcW w:w="296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subject to such Conversion is $</w:t>
            </w:r>
          </w:p>
        </w:tc>
        <w:tc>
          <w:tcPr>
            <w:tcW w:w="3200" w:type="dxa"/>
            <w:vAlign w:val="bottom"/>
            <w:gridSpan w:val="2"/>
          </w:tcPr>
          <w:p>
            <w:pPr>
              <w:jc w:val="right"/>
              <w:ind w:right="2452"/>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spacing w:after="0"/>
              <w:rPr>
                <w:sz w:val="17"/>
                <w:szCs w:val="17"/>
                <w:color w:val="auto"/>
              </w:rPr>
            </w:pPr>
          </w:p>
        </w:tc>
        <w:tc>
          <w:tcPr>
            <w:tcW w:w="2920" w:type="dxa"/>
            <w:vAlign w:val="bottom"/>
          </w:tcPr>
          <w:p>
            <w:pPr>
              <w:spacing w:after="0"/>
              <w:rPr>
                <w:sz w:val="17"/>
                <w:szCs w:val="17"/>
                <w:color w:val="auto"/>
              </w:rPr>
            </w:pPr>
          </w:p>
        </w:tc>
      </w:tr>
      <w:tr>
        <w:trPr>
          <w:trHeight w:val="383"/>
        </w:trPr>
        <w:tc>
          <w:tcPr>
            <w:tcW w:w="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800" w:type="dxa"/>
            <w:vAlign w:val="bottom"/>
            <w:gridSpan w:val="2"/>
          </w:tcPr>
          <w:p>
            <w:pPr>
              <w:ind w:left="1160"/>
              <w:spacing w:after="0"/>
              <w:rPr>
                <w:sz w:val="20"/>
                <w:szCs w:val="20"/>
                <w:color w:val="auto"/>
              </w:rPr>
            </w:pPr>
            <w:r>
              <w:rPr>
                <w:rFonts w:ascii="Arial" w:cs="Arial" w:eastAsia="Arial" w:hAnsi="Arial"/>
                <w:sz w:val="18"/>
                <w:szCs w:val="18"/>
                <w:color w:val="auto"/>
              </w:rPr>
              <w:t>G-187</w:t>
            </w:r>
          </w:p>
        </w:tc>
        <w:tc>
          <w:tcPr>
            <w:tcW w:w="292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197" w:name="page198"/>
    <w:bookmarkEnd w:id="197"/>
    <w:p>
      <w:pPr>
        <w:ind w:left="900" w:hanging="446"/>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of such Loans to be so Converted is to be converted into Loans of the following Type:</w:t>
      </w:r>
    </w:p>
    <w:p>
      <w:pPr>
        <w:spacing w:after="0" w:line="84"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[Check one box only]</w:t>
      </w:r>
    </w:p>
    <w:p>
      <w:pPr>
        <w:spacing w:after="0" w:line="96" w:lineRule="exact"/>
        <w:rPr>
          <w:rFonts w:ascii="Arial" w:cs="Arial" w:eastAsia="Arial" w:hAnsi="Arial"/>
          <w:sz w:val="18"/>
          <w:szCs w:val="18"/>
          <w:color w:val="auto"/>
        </w:rPr>
      </w:pPr>
    </w:p>
    <w:p>
      <w:pPr>
        <w:ind w:left="1920" w:hanging="440"/>
        <w:spacing w:after="0"/>
        <w:tabs>
          <w:tab w:leader="none" w:pos="1920" w:val="left"/>
        </w:tabs>
        <w:numPr>
          <w:ilvl w:val="1"/>
          <w:numId w:val="153"/>
        </w:numPr>
        <w:rPr>
          <w:rFonts w:ascii="MS PGothic" w:cs="MS PGothic" w:eastAsia="MS PGothic" w:hAnsi="MS PGothic"/>
          <w:sz w:val="18"/>
          <w:szCs w:val="18"/>
          <w:color w:val="auto"/>
        </w:rPr>
      </w:pPr>
      <w:r>
        <w:rPr>
          <w:rFonts w:ascii="Arial" w:cs="Arial" w:eastAsia="Arial" w:hAnsi="Arial"/>
          <w:sz w:val="18"/>
          <w:szCs w:val="18"/>
          <w:color w:val="auto"/>
        </w:rPr>
        <w:t>Base Rate Loan</w:t>
      </w:r>
    </w:p>
    <w:p>
      <w:pPr>
        <w:spacing w:after="0" w:line="23" w:lineRule="exact"/>
        <w:rPr>
          <w:rFonts w:ascii="MS PGothic" w:cs="MS PGothic" w:eastAsia="MS PGothic" w:hAnsi="MS PGothic"/>
          <w:sz w:val="18"/>
          <w:szCs w:val="18"/>
          <w:color w:val="auto"/>
        </w:rPr>
      </w:pPr>
    </w:p>
    <w:p>
      <w:pPr>
        <w:ind w:left="1920" w:hanging="440"/>
        <w:spacing w:after="0"/>
        <w:tabs>
          <w:tab w:leader="none" w:pos="1920" w:val="left"/>
        </w:tabs>
        <w:numPr>
          <w:ilvl w:val="1"/>
          <w:numId w:val="153"/>
        </w:numPr>
        <w:rPr>
          <w:rFonts w:ascii="MS PGothic" w:cs="MS PGothic" w:eastAsia="MS PGothic" w:hAnsi="MS PGothic"/>
          <w:sz w:val="18"/>
          <w:szCs w:val="18"/>
          <w:color w:val="auto"/>
        </w:rPr>
      </w:pPr>
      <w:r>
        <w:rPr>
          <w:rFonts w:ascii="Arial" w:cs="Arial" w:eastAsia="Arial" w:hAnsi="Arial"/>
          <w:sz w:val="18"/>
          <w:szCs w:val="18"/>
          <w:color w:val="auto"/>
        </w:rPr>
        <w:t>LIBOR Loan, with an initial Interest Period for a duration of:</w:t>
      </w:r>
    </w:p>
    <w:p>
      <w:pPr>
        <w:spacing w:after="0" w:line="70"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[Check one box only]</w:t>
      </w:r>
    </w:p>
    <w:p>
      <w:pPr>
        <w:spacing w:after="0" w:line="96" w:lineRule="exact"/>
        <w:rPr>
          <w:sz w:val="20"/>
          <w:szCs w:val="20"/>
          <w:color w:val="auto"/>
        </w:rPr>
      </w:pPr>
    </w:p>
    <w:p>
      <w:pPr>
        <w:ind w:left="3420" w:hanging="454"/>
        <w:spacing w:after="0"/>
        <w:tabs>
          <w:tab w:leader="none" w:pos="3420" w:val="left"/>
        </w:tabs>
        <w:numPr>
          <w:ilvl w:val="0"/>
          <w:numId w:val="154"/>
        </w:numPr>
        <w:rPr>
          <w:rFonts w:ascii="MS PGothic" w:cs="MS PGothic" w:eastAsia="MS PGothic" w:hAnsi="MS PGothic"/>
          <w:sz w:val="18"/>
          <w:szCs w:val="18"/>
          <w:color w:val="auto"/>
        </w:rPr>
      </w:pPr>
      <w:r>
        <w:rPr>
          <w:rFonts w:ascii="Arial" w:cs="Arial" w:eastAsia="Arial" w:hAnsi="Arial"/>
          <w:sz w:val="18"/>
          <w:szCs w:val="18"/>
          <w:color w:val="auto"/>
        </w:rPr>
        <w:t>seven days</w:t>
      </w:r>
    </w:p>
    <w:p>
      <w:pPr>
        <w:spacing w:after="0" w:line="23" w:lineRule="exact"/>
        <w:rPr>
          <w:rFonts w:ascii="MS PGothic" w:cs="MS PGothic" w:eastAsia="MS PGothic" w:hAnsi="MS PGothic"/>
          <w:sz w:val="18"/>
          <w:szCs w:val="18"/>
          <w:color w:val="auto"/>
        </w:rPr>
      </w:pPr>
    </w:p>
    <w:p>
      <w:pPr>
        <w:ind w:left="3420" w:hanging="454"/>
        <w:spacing w:after="0"/>
        <w:tabs>
          <w:tab w:leader="none" w:pos="3420" w:val="left"/>
        </w:tabs>
        <w:numPr>
          <w:ilvl w:val="0"/>
          <w:numId w:val="154"/>
        </w:numPr>
        <w:rPr>
          <w:rFonts w:ascii="MS PGothic" w:cs="MS PGothic" w:eastAsia="MS PGothic" w:hAnsi="MS PGothic"/>
          <w:sz w:val="18"/>
          <w:szCs w:val="18"/>
          <w:color w:val="auto"/>
        </w:rPr>
      </w:pPr>
      <w:r>
        <w:rPr>
          <w:rFonts w:ascii="Arial" w:cs="Arial" w:eastAsia="Arial" w:hAnsi="Arial"/>
          <w:sz w:val="18"/>
          <w:szCs w:val="18"/>
          <w:color w:val="auto"/>
        </w:rPr>
        <w:t>one month</w:t>
      </w:r>
    </w:p>
    <w:p>
      <w:pPr>
        <w:spacing w:after="0" w:line="9" w:lineRule="exact"/>
        <w:rPr>
          <w:rFonts w:ascii="MS PGothic" w:cs="MS PGothic" w:eastAsia="MS PGothic" w:hAnsi="MS PGothic"/>
          <w:sz w:val="18"/>
          <w:szCs w:val="18"/>
          <w:color w:val="auto"/>
        </w:rPr>
      </w:pPr>
    </w:p>
    <w:p>
      <w:pPr>
        <w:ind w:left="3420" w:hanging="454"/>
        <w:spacing w:after="0"/>
        <w:tabs>
          <w:tab w:leader="none" w:pos="3420" w:val="left"/>
        </w:tabs>
        <w:numPr>
          <w:ilvl w:val="0"/>
          <w:numId w:val="154"/>
        </w:numPr>
        <w:rPr>
          <w:rFonts w:ascii="MS PGothic" w:cs="MS PGothic" w:eastAsia="MS PGothic" w:hAnsi="MS PGothic"/>
          <w:sz w:val="18"/>
          <w:szCs w:val="18"/>
          <w:color w:val="auto"/>
        </w:rPr>
      </w:pPr>
      <w:r>
        <w:rPr>
          <w:rFonts w:ascii="Arial" w:cs="Arial" w:eastAsia="Arial" w:hAnsi="Arial"/>
          <w:sz w:val="18"/>
          <w:szCs w:val="18"/>
          <w:color w:val="auto"/>
        </w:rPr>
        <w:t>three months</w:t>
      </w:r>
    </w:p>
    <w:p>
      <w:pPr>
        <w:spacing w:after="0" w:line="9" w:lineRule="exact"/>
        <w:rPr>
          <w:rFonts w:ascii="MS PGothic" w:cs="MS PGothic" w:eastAsia="MS PGothic" w:hAnsi="MS PGothic"/>
          <w:sz w:val="18"/>
          <w:szCs w:val="18"/>
          <w:color w:val="auto"/>
        </w:rPr>
      </w:pPr>
    </w:p>
    <w:p>
      <w:pPr>
        <w:ind w:left="3420" w:hanging="454"/>
        <w:spacing w:after="0"/>
        <w:tabs>
          <w:tab w:leader="none" w:pos="3420" w:val="left"/>
        </w:tabs>
        <w:numPr>
          <w:ilvl w:val="0"/>
          <w:numId w:val="154"/>
        </w:numPr>
        <w:rPr>
          <w:rFonts w:ascii="MS PGothic" w:cs="MS PGothic" w:eastAsia="MS PGothic" w:hAnsi="MS PGothic"/>
          <w:sz w:val="18"/>
          <w:szCs w:val="18"/>
          <w:color w:val="auto"/>
        </w:rPr>
      </w:pPr>
      <w:r>
        <w:rPr>
          <w:rFonts w:ascii="Arial" w:cs="Arial" w:eastAsia="Arial" w:hAnsi="Arial"/>
          <w:sz w:val="18"/>
          <w:szCs w:val="18"/>
          <w:color w:val="auto"/>
        </w:rPr>
        <w:t>six months</w:t>
      </w:r>
    </w:p>
    <w:p>
      <w:pPr>
        <w:spacing w:after="0" w:line="15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Borrower hereby certifies to the Administrative Agent and the Lenders that as of the date hereof, as of the proposed date of the requested Conversion, and after giving effect to such Conversion (a) no Default or Event of Default exists or shall exist</w:t>
      </w:r>
      <w:r>
        <w:rPr>
          <w:rFonts w:ascii="Arial" w:cs="Arial" w:eastAsia="Arial" w:hAnsi="Arial"/>
          <w:sz w:val="10"/>
          <w:szCs w:val="10"/>
          <w:color w:val="auto"/>
        </w:rPr>
        <w:t>9</w:t>
      </w:r>
      <w:r>
        <w:rPr>
          <w:rFonts w:ascii="Arial" w:cs="Arial" w:eastAsia="Arial" w:hAnsi="Arial"/>
          <w:sz w:val="16"/>
          <w:szCs w:val="16"/>
          <w:color w:val="auto"/>
        </w:rPr>
        <w:t>, and none of the limits specified in Section 2.15. of the Credit Agreement have been violated or shall be violated; and (b) the representations and warranties made or deemed made by the Borrower and each other Loan Party in the Loan Documents to which any of them is a party, are and shall be true and correct in all material respects (except in the case of a representation or warranty qualified by materiality, in which case such representation or warranty is and shall be true and correct in all respects)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under the Credit Agreement.</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notice of the requested Continuation was given previously by telephone, this notice shall be considered the written confirmation of such telephone notice required by Section 2.10. of the Credit Agreement.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10795</wp:posOffset>
            </wp:positionV>
            <wp:extent cx="22555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10795</wp:posOffset>
            </wp:positionV>
            <wp:extent cx="22555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2555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289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5" w:lineRule="exact"/>
        <w:rPr>
          <w:sz w:val="20"/>
          <w:szCs w:val="20"/>
          <w:color w:val="auto"/>
        </w:rPr>
      </w:pPr>
    </w:p>
    <w:p>
      <w:pPr>
        <w:ind w:left="5480" w:right="4400" w:hanging="5472"/>
        <w:spacing w:after="0" w:line="424" w:lineRule="auto"/>
        <w:tabs>
          <w:tab w:leader="none" w:pos="215" w:val="left"/>
        </w:tabs>
        <w:numPr>
          <w:ilvl w:val="0"/>
          <w:numId w:val="155"/>
        </w:numPr>
        <w:rPr>
          <w:rFonts w:ascii="Arial" w:cs="Arial" w:eastAsia="Arial" w:hAnsi="Arial"/>
          <w:sz w:val="21"/>
          <w:szCs w:val="21"/>
          <w:color w:val="auto"/>
          <w:vertAlign w:val="superscript"/>
        </w:rPr>
      </w:pPr>
      <w:r>
        <w:rPr>
          <w:rFonts w:ascii="Arial" w:cs="Arial" w:eastAsia="Arial" w:hAnsi="Arial"/>
          <w:sz w:val="17"/>
          <w:szCs w:val="17"/>
          <w:color w:val="auto"/>
        </w:rPr>
        <w:t>Note: A Base Rate Loan may not be converted into a LIBOR Loan if an Event of Default exists. G-188</w:t>
      </w:r>
    </w:p>
    <w:p>
      <w:pPr>
        <w:sectPr>
          <w:pgSz w:w="11900" w:h="16838" w:orient="portrait"/>
          <w:cols w:equalWidth="0" w:num="1">
            <w:col w:w="11380"/>
          </w:cols>
          <w:pgMar w:left="240" w:top="280" w:right="279" w:bottom="1440" w:gutter="0" w:footer="0" w:header="0"/>
        </w:sectPr>
      </w:pPr>
    </w:p>
    <w:bookmarkStart w:id="198" w:name="page199"/>
    <w:bookmarkEnd w:id="198"/>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H</w:t>
      </w:r>
    </w:p>
    <w:p>
      <w:pPr>
        <w:spacing w:after="0" w:line="17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FORM OF NOTICE OF SWINGLINE BORROWING</w:t>
      </w:r>
    </w:p>
    <w:p>
      <w:pPr>
        <w:spacing w:after="0" w:line="17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-13970</wp:posOffset>
            </wp:positionV>
            <wp:extent cx="83629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1753 Pinnacle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McLean, VA 22102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 M. Freeman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Reference is made to that certain Credit Agreement dated as of July 7, 2011, by and among Federal Realty Investment Trust, a real estate investment trust formed under the laws of the State of Maryland (the “Borrower”), the financial institutions party thereto and their permitted assignees under Section 12.6. thereof, Wells Fargo Bank, National Association (together with its successors and permitted assigns, the “Administrative Agent”), PNC Bank, National Association, as Syndication Agent, and each of Wells Fargo Securities, LLC, and PNC Capital Markets LLC, as a Lead Arranger and Book Manager. Capitalized terms used herein, and not otherwise defined herein, have their respective meanings given them in the Credit Agreement.</w:t>
      </w:r>
    </w:p>
    <w:p>
      <w:pPr>
        <w:spacing w:after="0" w:line="35" w:lineRule="exact"/>
        <w:rPr>
          <w:sz w:val="20"/>
          <w:szCs w:val="20"/>
          <w:color w:val="auto"/>
        </w:rPr>
      </w:pPr>
    </w:p>
    <w:p>
      <w:pPr>
        <w:ind w:left="900" w:hanging="446"/>
        <w:spacing w:after="0"/>
        <w:tabs>
          <w:tab w:leader="none" w:pos="90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Pursuant to Section 2.4.(b) of the Credit Agreement, the Borrower hereby requests that the Swingline Lender make a Swingline Loan to the Borrower</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w w:val="87"/>
              </w:rPr>
              <w:t>in an amount equal to $</w:t>
            </w:r>
          </w:p>
        </w:tc>
        <w:tc>
          <w:tcPr>
            <w:tcW w:w="1220" w:type="dxa"/>
            <w:vAlign w:val="bottom"/>
            <w:tcBorders>
              <w:bottom w:val="single" w:sz="8" w:color="auto"/>
            </w:tcBorders>
          </w:tcPr>
          <w:p>
            <w:pPr>
              <w:spacing w:after="0"/>
              <w:rPr>
                <w:sz w:val="17"/>
                <w:szCs w:val="17"/>
                <w:color w:val="auto"/>
              </w:rPr>
            </w:pPr>
          </w:p>
        </w:tc>
        <w:tc>
          <w:tcPr>
            <w:tcW w:w="3300" w:type="dxa"/>
            <w:vAlign w:val="bottom"/>
          </w:tcPr>
          <w:p>
            <w:pPr>
              <w:jc w:val="right"/>
              <w:ind w:right="3211"/>
              <w:spacing w:after="0"/>
              <w:rPr>
                <w:sz w:val="20"/>
                <w:szCs w:val="20"/>
                <w:color w:val="auto"/>
              </w:rPr>
            </w:pPr>
            <w:r>
              <w:rPr>
                <w:rFonts w:ascii="Arial" w:cs="Arial" w:eastAsia="Arial" w:hAnsi="Arial"/>
                <w:sz w:val="10"/>
                <w:szCs w:val="10"/>
                <w:color w:val="auto"/>
                <w:w w:val="70"/>
              </w:rPr>
              <w:t>.</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w w:val="88"/>
              </w:rPr>
              <w:t>The Borrower requests that such Swingline Loan be made available to the Borrower on</w:t>
            </w:r>
          </w:p>
        </w:tc>
        <w:tc>
          <w:tcPr>
            <w:tcW w:w="860" w:type="dxa"/>
            <w:vAlign w:val="bottom"/>
          </w:tcPr>
          <w:p>
            <w:pPr>
              <w:spacing w:after="0"/>
              <w:rPr>
                <w:sz w:val="24"/>
                <w:szCs w:val="24"/>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8"/>
                <w:szCs w:val="18"/>
                <w:color w:val="auto"/>
              </w:rPr>
              <w:t>, 20  .</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3.</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w w:val="88"/>
              </w:rPr>
              <w:t>The Borrower requests that the proceeds of such Swingline Loan be made available to the Borrower by</w:t>
            </w:r>
          </w:p>
        </w:tc>
        <w:tc>
          <w:tcPr>
            <w:tcW w:w="840" w:type="dxa"/>
            <w:vAlign w:val="bottom"/>
            <w:gridSpan w:val="2"/>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Borrower hereby certifies to the Administrative Agent, the Swingline Lender and the other Lenders that as of the date hereof, as of the date of the making of the requested Swingline Loan, and after making such Swingline Loan, (a) no Default or Event of Default exists or shall exist, and none of the limits specified in Section 2.15. of the Credit Agreement have been violated or shall be violated; and (b) the representations and warranties made or deemed made by the Borrower and each other Loan Party in the Loan Documents to which any of them is a party, are and shall be true and correct in all material respects (except in the case of a representation or warranty qualified by materiality, in which case such representation or warranty is and shall be true and correct in all respects)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under the Credit Agreement. In addition, the Borrower certifies to the Administrative Agent and the Lenders that all conditions to the making of the requested Swingline Loan contained in Article V. of the Credit Agreement will have been satisfied (or waived in accordance with the terms of the Credit Agreement) at the time such Swingline Loan is made.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H-189</w:t>
      </w:r>
    </w:p>
    <w:p>
      <w:pPr>
        <w:sectPr>
          <w:pgSz w:w="11900" w:h="16838" w:orient="portrait"/>
          <w:cols w:equalWidth="0" w:num="1">
            <w:col w:w="11420"/>
          </w:cols>
          <w:pgMar w:left="240" w:top="280" w:right="2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[Continued on next page]</w:t>
      </w:r>
    </w:p>
    <w:p>
      <w:pPr>
        <w:sectPr>
          <w:pgSz w:w="11900" w:h="16838" w:orient="portrait"/>
          <w:cols w:equalWidth="0" w:num="1">
            <w:col w:w="9019"/>
          </w:cols>
          <w:pgMar w:left="1440" w:top="280"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H-190</w:t>
      </w:r>
    </w:p>
    <w:p>
      <w:pPr>
        <w:sectPr>
          <w:pgSz w:w="11900" w:h="16838" w:orient="portrait"/>
          <w:cols w:equalWidth="0" w:num="1">
            <w:col w:w="9019"/>
          </w:cols>
          <w:pgMar w:left="1440" w:top="280" w:right="1440" w:bottom="1440" w:gutter="0" w:footer="0" w:header="0"/>
          <w:type w:val="continuous"/>
        </w:sectPr>
      </w:pPr>
    </w:p>
    <w:bookmarkStart w:id="200" w:name="page201"/>
    <w:bookmarkEnd w:id="20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notice of the requested borrowing of this Swingline Loan was previously given by telephone, this notice is to be considered the written confirmation of such telephone notice required by Section 2.4(b) of the Credit Agreement.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10795</wp:posOffset>
            </wp:positionV>
            <wp:extent cx="22555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10795</wp:posOffset>
            </wp:positionV>
            <wp:extent cx="22555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H-191</w:t>
      </w:r>
    </w:p>
    <w:p>
      <w:pPr>
        <w:sectPr>
          <w:pgSz w:w="11900" w:h="16838" w:orient="portrait"/>
          <w:cols w:equalWidth="0" w:num="1">
            <w:col w:w="11240"/>
          </w:cols>
          <w:pgMar w:left="240" w:top="280" w:right="41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180" w:type="dxa"/>
            <w:vAlign w:val="bottom"/>
            <w:gridSpan w:val="2"/>
          </w:tcPr>
          <w:p>
            <w:pPr>
              <w:jc w:val="center"/>
              <w:ind w:left="1212"/>
              <w:spacing w:after="0"/>
              <w:rPr>
                <w:sz w:val="20"/>
                <w:szCs w:val="20"/>
                <w:color w:val="auto"/>
              </w:rPr>
            </w:pPr>
            <w:r>
              <w:rPr>
                <w:rFonts w:ascii="Arial" w:cs="Arial" w:eastAsia="Arial" w:hAnsi="Arial"/>
                <w:sz w:val="18"/>
                <w:szCs w:val="18"/>
                <w:color w:val="auto"/>
                <w:w w:val="99"/>
              </w:rPr>
              <w:t>EXHIBIT I</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78"/>
        </w:trPr>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180" w:type="dxa"/>
            <w:vAlign w:val="bottom"/>
            <w:gridSpan w:val="2"/>
          </w:tcPr>
          <w:p>
            <w:pPr>
              <w:jc w:val="center"/>
              <w:ind w:left="1192"/>
              <w:spacing w:after="0"/>
              <w:rPr>
                <w:sz w:val="20"/>
                <w:szCs w:val="20"/>
                <w:color w:val="auto"/>
              </w:rPr>
            </w:pPr>
            <w:r>
              <w:rPr>
                <w:rFonts w:ascii="Arial" w:cs="Arial" w:eastAsia="Arial" w:hAnsi="Arial"/>
                <w:sz w:val="18"/>
                <w:szCs w:val="18"/>
                <w:color w:val="auto"/>
                <w:w w:val="94"/>
              </w:rPr>
              <w:t>FORM OF REVOLVING NOTE</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80"/>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 20</w:t>
            </w:r>
          </w:p>
        </w:tc>
      </w:tr>
      <w:tr>
        <w:trPr>
          <w:trHeight w:val="20"/>
        </w:trPr>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390"/>
        </w:trPr>
        <w:tc>
          <w:tcPr>
            <w:tcW w:w="100" w:type="dxa"/>
            <w:vAlign w:val="bottom"/>
          </w:tcPr>
          <w:p>
            <w:pPr>
              <w:spacing w:after="0"/>
              <w:rPr>
                <w:sz w:val="24"/>
                <w:szCs w:val="24"/>
                <w:color w:val="auto"/>
              </w:rPr>
            </w:pPr>
          </w:p>
        </w:tc>
        <w:tc>
          <w:tcPr>
            <w:tcW w:w="11320" w:type="dxa"/>
            <w:vAlign w:val="bottom"/>
            <w:gridSpan w:val="7"/>
          </w:tcPr>
          <w:p>
            <w:pPr>
              <w:jc w:val="right"/>
              <w:ind w:right="380"/>
              <w:spacing w:after="0"/>
              <w:rPr>
                <w:sz w:val="20"/>
                <w:szCs w:val="20"/>
                <w:color w:val="auto"/>
              </w:rPr>
            </w:pPr>
            <w:r>
              <w:rPr>
                <w:rFonts w:ascii="Arial" w:cs="Arial" w:eastAsia="Arial" w:hAnsi="Arial"/>
                <w:sz w:val="18"/>
                <w:szCs w:val="18"/>
                <w:color w:val="auto"/>
                <w:w w:val="93"/>
              </w:rPr>
              <w:t>FOR VALUE RECEIVED, the undersigned, FEDERAL REALTY INVESTMENT TRUST, a real estate investment trust formed under the laws of the</w:t>
            </w:r>
          </w:p>
        </w:tc>
      </w:tr>
      <w:tr>
        <w:trPr>
          <w:trHeight w:val="184"/>
        </w:trPr>
        <w:tc>
          <w:tcPr>
            <w:tcW w:w="6480" w:type="dxa"/>
            <w:vAlign w:val="bottom"/>
            <w:gridSpan w:val="3"/>
          </w:tcPr>
          <w:p>
            <w:pPr>
              <w:spacing w:after="0" w:line="184" w:lineRule="exact"/>
              <w:rPr>
                <w:sz w:val="20"/>
                <w:szCs w:val="20"/>
                <w:color w:val="auto"/>
              </w:rPr>
            </w:pPr>
            <w:r>
              <w:rPr>
                <w:rFonts w:ascii="Arial" w:cs="Arial" w:eastAsia="Arial" w:hAnsi="Arial"/>
                <w:sz w:val="18"/>
                <w:szCs w:val="18"/>
                <w:color w:val="auto"/>
                <w:w w:val="90"/>
              </w:rPr>
              <w:t>State of Maryland (the “Borrower”), hereby unconditionally promises to pay to the order of</w:t>
            </w:r>
          </w:p>
        </w:tc>
        <w:tc>
          <w:tcPr>
            <w:tcW w:w="2680" w:type="dxa"/>
            <w:vAlign w:val="bottom"/>
            <w:tcBorders>
              <w:bottom w:val="single" w:sz="8" w:color="auto"/>
            </w:tcBorders>
          </w:tcPr>
          <w:p>
            <w:pPr>
              <w:spacing w:after="0"/>
              <w:rPr>
                <w:sz w:val="15"/>
                <w:szCs w:val="15"/>
                <w:color w:val="auto"/>
              </w:rPr>
            </w:pPr>
          </w:p>
        </w:tc>
        <w:tc>
          <w:tcPr>
            <w:tcW w:w="2260" w:type="dxa"/>
            <w:vAlign w:val="bottom"/>
            <w:gridSpan w:val="4"/>
          </w:tcPr>
          <w:p>
            <w:pPr>
              <w:jc w:val="right"/>
              <w:spacing w:after="0" w:line="184" w:lineRule="exact"/>
              <w:rPr>
                <w:sz w:val="20"/>
                <w:szCs w:val="20"/>
                <w:color w:val="auto"/>
              </w:rPr>
            </w:pPr>
            <w:r>
              <w:rPr>
                <w:rFonts w:ascii="Arial" w:cs="Arial" w:eastAsia="Arial" w:hAnsi="Arial"/>
                <w:sz w:val="18"/>
                <w:szCs w:val="18"/>
                <w:color w:val="auto"/>
                <w:w w:val="92"/>
              </w:rPr>
              <w:t>(the “Lender”), in care of Wells</w:t>
            </w: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300"/>
        <w:spacing w:after="0" w:line="286" w:lineRule="auto"/>
        <w:rPr>
          <w:sz w:val="20"/>
          <w:szCs w:val="20"/>
          <w:color w:val="auto"/>
        </w:rPr>
      </w:pPr>
      <w:r>
        <w:rPr>
          <w:rFonts w:ascii="Arial" w:cs="Arial" w:eastAsia="Arial" w:hAnsi="Arial"/>
          <w:sz w:val="16"/>
          <w:szCs w:val="16"/>
          <w:color w:val="auto"/>
        </w:rPr>
        <w:t>Fargo Bank, National Association (together with its successors and permitted assigns, the “Administrative Agent”), at its office located at 608 Second Avenue South, Minneapolis, Minnesota, 55402, or at such other address as may be specified by the Administrative Agent to the Borrower, the principal sum of</w:t>
      </w:r>
    </w:p>
    <w:p>
      <w:pPr>
        <w:ind w:left="1800"/>
        <w:spacing w:after="0"/>
        <w:tabs>
          <w:tab w:leader="none" w:pos="2380" w:val="left"/>
          <w:tab w:leader="none" w:pos="4620" w:val="left"/>
        </w:tabs>
        <w:rPr>
          <w:sz w:val="20"/>
          <w:szCs w:val="20"/>
          <w:color w:val="auto"/>
        </w:rPr>
      </w:pPr>
      <w:r>
        <w:rPr>
          <w:rFonts w:ascii="Arial" w:cs="Arial" w:eastAsia="Arial" w:hAnsi="Arial"/>
          <w:sz w:val="18"/>
          <w:szCs w:val="18"/>
          <w:color w:val="auto"/>
        </w:rPr>
        <w:t>AND</w:t>
        <w:tab/>
        <w:t>/100 DOLLARS ($</w:t>
      </w:r>
      <w:r>
        <w:rPr>
          <w:sz w:val="20"/>
          <w:szCs w:val="20"/>
          <w:color w:val="auto"/>
        </w:rPr>
        <w:tab/>
      </w:r>
      <w:r>
        <w:rPr>
          <w:rFonts w:ascii="Arial" w:cs="Arial" w:eastAsia="Arial" w:hAnsi="Arial"/>
          <w:sz w:val="15"/>
          <w:szCs w:val="15"/>
          <w:color w:val="auto"/>
        </w:rPr>
        <w:t>), or such lesser amount as may be the then outstanding and unpaid balance of all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1765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2383155</wp:posOffset>
            </wp:positionH>
            <wp:positionV relativeFrom="paragraph">
              <wp:posOffset>-17780</wp:posOffset>
            </wp:positionV>
            <wp:extent cx="55753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Loans made by the Lender to the Borrower pursuant to, and in accordance with the terms of, the Credit Agreement.</w:t>
      </w:r>
    </w:p>
    <w:p>
      <w:pPr>
        <w:spacing w:after="0" w:line="16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Borrower further agrees to pay interest at said office, in like money, on the unpaid principal amount owing hereunder from time to time on the dates and at the rates and at the times specified in the Credit Agreement.</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This Revolving Note (this “Note”) is one of the “Revolving Notes” referred to in that certain Credit Agreement dated as of July 7, 2011, by and among Federal Realty Investment Trust, a real estate investment trust formed under the laws of the State of Maryland (the “Borrower”), the financial institutions party thereto and their permitted assignees under Section 12.6. thereof, Administrative Agent, PNC Bank, National Association, as Syndication Agent, and each of Wells Fargo Securities, LLC, and PNC Capital Markets LLC, as a Lead Arranger and Book Manager, and is subject to, and entitled to, all provisions and benefits thereof. Capitalized terms used herein and not defined herein shall have the respective meanings given to such terms in the Credit Agreement. The Credit Agreement, among other things, (a) provides for the making of Revolving Loans by the Lender to the Borrower from time to time in an aggregate amount not to exceed at any time outstanding the Dollar amount first above mentioned, (b) permits the prepayment of the Loans by the Borrower subject to certain terms and conditions and (c) provides for the acceleration of the Revolving Loans upon the occurrence of certain specified events.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Borrower hereby waives presentment, demand, protest and notice of any kind. No failure to exercise, and no delay in exercising any rights hereunder on the part of the holder hereof shall operate as a waiver of such rights.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 is of the essence for this Note.</w:t>
      </w:r>
    </w:p>
    <w:p>
      <w:pPr>
        <w:spacing w:after="0" w:line="171"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THIS NOTE SHALL BE GOVERNED BY, AND CONSTRUED IN ACCORDANCE WITH, THE LAWS OF THE STATE OF NEW YORK APPLICABLE TO CONTRACTS EXECUTED, AND TO BE FULLY PERFORMED, IN SUCH STATE.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I-192</w:t>
      </w:r>
    </w:p>
    <w:p>
      <w:pPr>
        <w:sectPr>
          <w:pgSz w:w="11900" w:h="16838" w:orient="portrait"/>
          <w:cols w:equalWidth="0" w:num="1">
            <w:col w:w="11420"/>
          </w:cols>
          <w:pgMar w:left="240" w:top="280" w:right="239" w:bottom="1440" w:gutter="0" w:footer="0" w:header="0"/>
        </w:sectPr>
      </w:pPr>
    </w:p>
    <w:bookmarkStart w:id="202" w:name="page203"/>
    <w:bookmarkEnd w:id="20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executed and delivered this Revolving Note under seal as of the date first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FEDERAL REALTY INVESTMENT TRUST</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4704080</wp:posOffset>
            </wp:positionH>
            <wp:positionV relativeFrom="paragraph">
              <wp:posOffset>10795</wp:posOffset>
            </wp:positionV>
            <wp:extent cx="22555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4704080</wp:posOffset>
            </wp:positionH>
            <wp:positionV relativeFrom="paragraph">
              <wp:posOffset>10795</wp:posOffset>
            </wp:positionV>
            <wp:extent cx="22555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I-193</w:t>
      </w:r>
    </w:p>
    <w:p>
      <w:pPr>
        <w:sectPr>
          <w:pgSz w:w="11900" w:h="16838" w:orient="portrait"/>
          <w:cols w:equalWidth="0" w:num="1">
            <w:col w:w="9759"/>
          </w:cols>
          <w:pgMar w:left="700" w:top="280" w:right="1440" w:bottom="1440" w:gutter="0" w:footer="0" w:header="0"/>
        </w:sectPr>
      </w:pPr>
    </w:p>
    <w:bookmarkStart w:id="203" w:name="page204"/>
    <w:bookmarkEnd w:id="203"/>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J</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FORM OF SWINGLINE NOTE</w:t>
      </w:r>
    </w:p>
    <w:p>
      <w:pPr>
        <w:spacing w:after="0" w:line="212" w:lineRule="exact"/>
        <w:rPr>
          <w:sz w:val="20"/>
          <w:szCs w:val="20"/>
          <w:color w:val="auto"/>
        </w:rPr>
      </w:pPr>
    </w:p>
    <w:p>
      <w:pPr>
        <w:spacing w:after="0"/>
        <w:tabs>
          <w:tab w:leader="none" w:pos="10960" w:val="left"/>
        </w:tabs>
        <w:rPr>
          <w:sz w:val="20"/>
          <w:szCs w:val="20"/>
          <w:color w:val="auto"/>
        </w:rPr>
      </w:pPr>
      <w:r>
        <w:rPr>
          <w:rFonts w:ascii="Arial" w:cs="Arial" w:eastAsia="Arial" w:hAnsi="Arial"/>
          <w:sz w:val="18"/>
          <w:szCs w:val="18"/>
          <w:color w:val="auto"/>
        </w:rPr>
        <w:t>$50,000,000</w:t>
      </w:r>
      <w:r>
        <w:rPr>
          <w:sz w:val="20"/>
          <w:szCs w:val="20"/>
          <w:color w:val="auto"/>
        </w:rPr>
        <w:tab/>
      </w:r>
      <w:r>
        <w:rPr>
          <w:rFonts w:ascii="Arial" w:cs="Arial" w:eastAsia="Arial" w:hAnsi="Arial"/>
          <w:sz w:val="15"/>
          <w:szCs w:val="15"/>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6415405</wp:posOffset>
            </wp:positionH>
            <wp:positionV relativeFrom="paragraph">
              <wp:posOffset>-13970</wp:posOffset>
            </wp:positionV>
            <wp:extent cx="83629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VALUE RECEIVED, the undersigned, FEDERAL REALTY INVESTMENT TRUST, a real estate investment trust formed under the laws of the State of Maryland (the “Borrower”), hereby promises to pay to the order of WELLS FARGO BANK, NATIONAL ASSOCIATION (the “Swingline Lender”), at its office located at 608 Second Avenue South, Minneapolis, Minnesota, 55402, or at such other address as may be specified by the Swingline Lender to the Borrower, the principal sum of FIFTY MILLION AND NO/100 DOLLARS ($50,000,000) (or such lesser amount as shall equal the aggregate unpaid principal amount of Swingline Loans made by the Swingline Lender to the Borrower under the Credit Agreement), on the dates and in the principal amounts provided in the Credit Agreement, and to pay interest on the unpaid principal amount owing hereunder, at the rates and on the dates provided in the Credit Agreement.</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The date, amount of each Swingline Loan, and each payment made on account of the principal thereof, shall be recorded by the Swingline Lender on its books and, prior to any transfer of this Swingline Note (this “Note”), endorsed by the Swingline Lender on the schedule attached hereto or any continuation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the Swingline Lender to make any such recordation or endorsement shall not affect the obligations of the Borrower to make a payment when due of any amount owing under the Credit Agreement or hereunder in respect of the Swingline Loans.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This Note is the “Swingline Note” referred to in that certain Credit Agreement dated as of July 7, 2011, by and among the Borrower, the financial institutions party thereto and their permitted assignees under Section 12.6. thereof, Wells Fargo Bank, National Association (together with its successors and permitted assigns, the “Administrative Agent”), PNC Bank, National Association, as Syndication Agent, and each of Wells Fargo Securities, LLC, and PNC Capital Markets LLC, as a Lead Arranger and Book Manager, and evidences Swingline Loans made to the Borrower thereunder. Terms used but not otherwise defined in this Note have the respective meanings assigned to them in the Credit Agreement.</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Credit Agreement provides for the acceleration of the maturity of this Note upon the occurrence of certain events and for prepayments of Swingline Loans upon the terms and conditions specified therein.</w:t>
      </w:r>
    </w:p>
    <w:p>
      <w:pPr>
        <w:spacing w:after="0" w:line="132"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THIS NOTE SHALL BE GOVERNED BY, AND CONSTRUED IN ACCORDANCE WITH, THE LAWS OF THE STATE OF NEW YORK APPLICABLE TO CONTRACTS EXECUTED, AND TO BE FULLY PERFORMED, IN SUCH STATE.</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Borrower hereby waives presentment for payment, demand, notice of demand, notice of non-payment, protest, notice of protest and all other similar notices.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 is of the essence for this Note.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J-194</w:t>
      </w:r>
    </w:p>
    <w:p>
      <w:pPr>
        <w:sectPr>
          <w:pgSz w:w="11900" w:h="16838" w:orient="portrait"/>
          <w:cols w:equalWidth="0" w:num="1">
            <w:col w:w="11340"/>
          </w:cols>
          <w:pgMar w:left="240" w:top="280" w:right="319" w:bottom="1440" w:gutter="0" w:footer="0" w:header="0"/>
        </w:sectPr>
      </w:pPr>
    </w:p>
    <w:bookmarkStart w:id="204" w:name="page205"/>
    <w:bookmarkEnd w:id="20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and delivered this Swingline Note under seal as of the date first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FEDERAL REALTY INVESTMENT TRUST</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4704080</wp:posOffset>
            </wp:positionH>
            <wp:positionV relativeFrom="paragraph">
              <wp:posOffset>10795</wp:posOffset>
            </wp:positionV>
            <wp:extent cx="22555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4704080</wp:posOffset>
            </wp:positionH>
            <wp:positionV relativeFrom="paragraph">
              <wp:posOffset>10795</wp:posOffset>
            </wp:positionV>
            <wp:extent cx="22555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J-195</w:t>
      </w:r>
    </w:p>
    <w:p>
      <w:pPr>
        <w:sectPr>
          <w:pgSz w:w="11900" w:h="16838" w:orient="portrait"/>
          <w:cols w:equalWidth="0" w:num="1">
            <w:col w:w="9759"/>
          </w:cols>
          <w:pgMar w:left="700" w:top="280" w:right="1440" w:bottom="1440" w:gutter="0" w:footer="0" w:header="0"/>
        </w:sectPr>
      </w:pPr>
    </w:p>
    <w:bookmarkStart w:id="205" w:name="page206"/>
    <w:bookmarkEnd w:id="205"/>
    <w:p>
      <w:pPr>
        <w:jc w:val="center"/>
        <w:ind w:right="-2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SWINGLINE LOANS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Note evidences Swingline Loans made under the within-described Credit Agreement to the Borrower, on the dates and in the principal amounts set forth below, subject to the payments and prepayments of principal set forth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1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8"/>
              </w:rPr>
              <w:t>Unpaid</w:t>
            </w:r>
          </w:p>
        </w:tc>
        <w:tc>
          <w:tcPr>
            <w:tcW w:w="17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7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Paid</w:t>
            </w:r>
          </w:p>
        </w:tc>
        <w:tc>
          <w:tcPr>
            <w:tcW w:w="18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1780" w:type="dxa"/>
            <w:vAlign w:val="bottom"/>
          </w:tcPr>
          <w:p>
            <w:pPr>
              <w:spacing w:after="0"/>
              <w:rPr>
                <w:sz w:val="12"/>
                <w:szCs w:val="12"/>
                <w:color w:val="auto"/>
              </w:rPr>
            </w:pPr>
          </w:p>
        </w:tc>
        <w:tc>
          <w:tcPr>
            <w:tcW w:w="5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7"/>
              </w:rPr>
              <w:t>Notation</w:t>
            </w:r>
          </w:p>
        </w:tc>
      </w:tr>
      <w:tr>
        <w:trPr>
          <w:trHeight w:val="168"/>
        </w:trPr>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Date of Loan</w:t>
            </w:r>
          </w:p>
        </w:tc>
        <w:tc>
          <w:tcPr>
            <w:tcW w:w="17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Loan</w:t>
            </w:r>
          </w:p>
        </w:tc>
        <w:tc>
          <w:tcPr>
            <w:tcW w:w="17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or Prepaid</w:t>
            </w:r>
          </w:p>
        </w:tc>
        <w:tc>
          <w:tcPr>
            <w:tcW w:w="18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78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Made By</w:t>
            </w:r>
          </w:p>
        </w:tc>
      </w:tr>
    </w:tbl>
    <w:p>
      <w:pPr>
        <w:spacing w:after="0" w:line="200" w:lineRule="exact"/>
        <w:rPr>
          <w:sz w:val="20"/>
          <w:szCs w:val="20"/>
          <w:color w:val="auto"/>
        </w:rPr>
      </w:pPr>
    </w:p>
    <w:p>
      <w:pPr>
        <w:spacing w:after="0" w:line="38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J-196</w:t>
      </w:r>
    </w:p>
    <w:p>
      <w:pPr>
        <w:sectPr>
          <w:pgSz w:w="11900" w:h="16838" w:orient="portrait"/>
          <w:cols w:equalWidth="0" w:num="1">
            <w:col w:w="11140"/>
          </w:cols>
          <w:pgMar w:left="240" w:top="280" w:right="51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No. 1004039</w:t>
      </w:r>
    </w:p>
    <w:p>
      <w:pPr>
        <w:spacing w:after="0" w:line="15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EXHIBIT K</w:t>
      </w:r>
    </w:p>
    <w:p>
      <w:pPr>
        <w:spacing w:after="0" w:line="17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TRANSFER AUTHORIZER DESIGNATION</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8"/>
          <w:szCs w:val="18"/>
          <w:i w:val="1"/>
          <w:iCs w:val="1"/>
          <w:color w:val="auto"/>
        </w:rPr>
        <w:t>(For Disbursement of Loan Proceeds by Funds Transfer)</w:t>
      </w:r>
    </w:p>
    <w:p>
      <w:pPr>
        <w:spacing w:after="0" w:line="132" w:lineRule="exact"/>
        <w:rPr>
          <w:sz w:val="20"/>
          <w:szCs w:val="20"/>
          <w:color w:val="auto"/>
        </w:rPr>
      </w:pPr>
    </w:p>
    <w:p>
      <w:pPr>
        <w:ind w:left="1240"/>
        <w:spacing w:after="0" w:line="207" w:lineRule="exact"/>
        <w:tabs>
          <w:tab w:leader="none" w:pos="5280" w:val="left"/>
          <w:tab w:leader="none" w:pos="74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NEW</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REPLACE PREVIOUS DESIGNATION</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u w:val="single" w:color="auto"/>
          <w:color w:val="auto"/>
        </w:rPr>
        <w:t>ADD</w:t>
      </w:r>
      <w:r>
        <w:rPr>
          <w:rFonts w:ascii="MS PGothic" w:cs="MS PGothic" w:eastAsia="MS PGothic" w:hAnsi="MS PGothic"/>
          <w:sz w:val="18"/>
          <w:szCs w:val="18"/>
          <w:color w:val="auto"/>
        </w:rPr>
        <w:t xml:space="preserve">  ☐  </w:t>
      </w:r>
      <w:r>
        <w:rPr>
          <w:rFonts w:ascii="Arial" w:cs="Arial" w:eastAsia="Arial" w:hAnsi="Arial"/>
          <w:sz w:val="18"/>
          <w:szCs w:val="18"/>
          <w:u w:val="single" w:color="auto"/>
          <w:color w:val="auto"/>
        </w:rPr>
        <w:t>CHANGE</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u w:val="single" w:color="auto"/>
          <w:color w:val="auto"/>
        </w:rPr>
        <w:t>DELETE LINE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6250940</wp:posOffset>
            </wp:positionH>
            <wp:positionV relativeFrom="paragraph">
              <wp:posOffset>5715</wp:posOffset>
            </wp:positionV>
            <wp:extent cx="22288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following representatives of FEDERAL REALTY INVESTMENT TRUST, a real estate investment trust formed under the laws of the State of Maryland (“Borrower”), are authorized to request the disbursement of proceeds of the Loans and initiate funds transfers for Loan Number 1004039 assigned to the unsecured revolving credit facility evidenced by that certain Credit Agreement dated as of July 7, 2011, by and among the Borrower, the financial institutions party thereto and their permitted assignees under Section 12.6. thereof, Wells Fargo Bank, National Association (together with its successors and permitted assigns, the “Administrative Agent”), PNC Bank, National Association, as Syndication Agent, and each of Wells Fargo Securities, LLC, and PNC Capital Markets LLC, as a Lead Arranger and Book Manager. The Administrative Agent is authorized to rely on this Transfer Authorizer Designation until it has received a new Transfer Authorizer Designation signed by Borrower, even in the event that any or all of the foregoing information may have changed.</w:t>
      </w:r>
    </w:p>
    <w:p>
      <w:pPr>
        <w:spacing w:after="0" w:line="142"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Maximum</w:t>
            </w:r>
          </w:p>
        </w:tc>
      </w:tr>
      <w:tr>
        <w:trPr>
          <w:trHeight w:val="149"/>
        </w:trPr>
        <w:tc>
          <w:tcPr>
            <w:tcW w:w="3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Wire</w:t>
            </w:r>
          </w:p>
        </w:tc>
      </w:tr>
      <w:tr>
        <w:trPr>
          <w:trHeight w:val="175"/>
        </w:trPr>
        <w:tc>
          <w:tcPr>
            <w:tcW w:w="382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5"/>
                <w:szCs w:val="15"/>
                <w:color w:val="auto"/>
              </w:rPr>
            </w:pPr>
          </w:p>
        </w:tc>
        <w:tc>
          <w:tcPr>
            <w:tcW w:w="17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Amount10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K-197</w:t>
      </w:r>
    </w:p>
    <w:p>
      <w:pPr>
        <w:sectPr>
          <w:pgSz w:w="11900" w:h="16838" w:orient="portrait"/>
          <w:cols w:equalWidth="0" w:num="1">
            <w:col w:w="11420"/>
          </w:cols>
          <w:pgMar w:left="240" w:top="280"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No. 1004039</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Beneficiary Bank and Account Holder Information</w:t>
      </w:r>
    </w:p>
    <w:p>
      <w:pPr>
        <w:sectPr>
          <w:pgSz w:w="11900" w:h="16838" w:orient="portrait"/>
          <w:cols w:equalWidth="0" w:num="1">
            <w:col w:w="11420"/>
          </w:cols>
          <w:pgMar w:left="240" w:top="280" w:right="2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Transfer Funds to (Receiving Party Account Name):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Receiving Party Account Number: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Receiving Bank Name, City and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Maximum Transfer Amount: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Further Credit Information/Instructions: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Transfer Funds to (Receiving Party Account Name):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Receiving Party Account Number: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Receiving Bank Name, City and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Maximum Transfer Amount: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Further Credit Information/Instructions: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Transfer Funds to (Receiving Party Account Name):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Receiving Party Account Number: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Receiving Bank Name, City and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Maximum Transfer Amount: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Further Credit Information/Instructions:</w:t>
      </w:r>
    </w:p>
    <w:p>
      <w:pPr>
        <w:spacing w:after="0" w:line="218" w:lineRule="exact"/>
        <w:rPr>
          <w:sz w:val="20"/>
          <w:szCs w:val="20"/>
          <w:color w:val="auto"/>
        </w:rPr>
      </w:pPr>
    </w:p>
    <w:p>
      <w:pPr>
        <w:ind w:left="220" w:hanging="212"/>
        <w:spacing w:after="0"/>
        <w:tabs>
          <w:tab w:leader="none" w:pos="220"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Maximum Wire Amount may not exceed the Loan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Receiving</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Receiving</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Receiving</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1124" w:lineRule="exact"/>
        <w:rPr>
          <w:sz w:val="20"/>
          <w:szCs w:val="20"/>
          <w:color w:val="auto"/>
        </w:rPr>
      </w:pPr>
    </w:p>
    <w:p>
      <w:pPr>
        <w:sectPr>
          <w:pgSz w:w="11900" w:h="16838" w:orient="portrait"/>
          <w:cols w:equalWidth="0" w:num="2">
            <w:col w:w="8460" w:space="720"/>
            <w:col w:w="2240"/>
          </w:cols>
          <w:pgMar w:left="240" w:top="28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K-198</w:t>
      </w:r>
    </w:p>
    <w:p>
      <w:pPr>
        <w:sectPr>
          <w:pgSz w:w="11900" w:h="16838" w:orient="portrait"/>
          <w:cols w:equalWidth="0" w:num="1">
            <w:col w:w="11420"/>
          </w:cols>
          <w:pgMar w:left="240" w:top="280" w:right="239" w:bottom="1440" w:gutter="0" w:footer="0" w:header="0"/>
          <w:type w:val="continuous"/>
        </w:sectPr>
      </w:pPr>
    </w:p>
    <w:bookmarkStart w:id="208" w:name="page209"/>
    <w:bookmarkEnd w:id="20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Loan No. 1004039</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-13970</wp:posOffset>
            </wp:positionV>
            <wp:extent cx="83629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real estate investment trust formed under the laws of the State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Maryland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10795</wp:posOffset>
            </wp:positionV>
            <wp:extent cx="22555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10795</wp:posOffset>
            </wp:positionV>
            <wp:extent cx="22555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K-199</w:t>
      </w:r>
    </w:p>
    <w:p>
      <w:pPr>
        <w:sectPr>
          <w:pgSz w:w="11900" w:h="16838" w:orient="portrait"/>
          <w:cols w:equalWidth="0" w:num="1">
            <w:col w:w="11420"/>
          </w:cols>
          <w:pgMar w:left="240" w:top="280" w:right="239" w:bottom="1440" w:gutter="0" w:footer="0" w:header="0"/>
        </w:sectPr>
      </w:pPr>
    </w:p>
    <w:bookmarkStart w:id="209" w:name="page210"/>
    <w:bookmarkEnd w:id="209"/>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L</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FORM OF BID RATE QUOTE REQUEST</w:t>
      </w:r>
    </w:p>
    <w:p>
      <w:pPr>
        <w:spacing w:after="0" w:line="17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-13970</wp:posOffset>
            </wp:positionV>
            <wp:extent cx="7245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1753 Pinnacle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McLean, VA 22102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 M. Freeman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Reference is made to that certain Credit Agreement dated as of July 7, 2011, by and among Federal Realty Investment Trust, a real estate investment trust formed under the laws of the State of Maryland (“Borrower”), the financial institutions party thereto and their permitted assignees under Section 12.6. thereof, Wells Fargo Bank, National Association (together with its successors and permitted assigns, the “Administrative Agent”), PNC Bank, National Association, as Syndication Agent, and each of Wells Fargo Securities, LLC, and PNC Capital Markets LLC, as a Lead Arranger and Book Manager. Capitalized terms used herein, and not otherwise defined herein, have their respective meanings given them in the Credit Agreement.</w:t>
      </w:r>
    </w:p>
    <w:p>
      <w:pPr>
        <w:spacing w:after="0" w:line="35" w:lineRule="exact"/>
        <w:rPr>
          <w:sz w:val="20"/>
          <w:szCs w:val="20"/>
          <w:color w:val="auto"/>
        </w:rPr>
      </w:pPr>
    </w:p>
    <w:p>
      <w:pPr>
        <w:ind w:left="900" w:hanging="446"/>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Borrower hereby requests Bid Rate Quotes for the following proposed Bid Rate Borrowings:</w:t>
      </w:r>
    </w:p>
    <w:p>
      <w:pPr>
        <w:spacing w:after="0" w:line="191" w:lineRule="exact"/>
        <w:rPr>
          <w:sz w:val="20"/>
          <w:szCs w:val="20"/>
          <w:color w:val="auto"/>
        </w:rPr>
      </w:pPr>
    </w:p>
    <w:p>
      <w:pPr>
        <w:ind w:left="780"/>
        <w:spacing w:after="0"/>
        <w:tabs>
          <w:tab w:leader="none" w:pos="4060" w:val="left"/>
          <w:tab w:leader="none" w:pos="7120" w:val="left"/>
          <w:tab w:leader="none" w:pos="9840" w:val="left"/>
        </w:tabs>
        <w:rPr>
          <w:sz w:val="20"/>
          <w:szCs w:val="20"/>
          <w:color w:val="auto"/>
        </w:rPr>
      </w:pPr>
      <w:r>
        <w:rPr>
          <w:rFonts w:ascii="Arial" w:cs="Arial" w:eastAsia="Arial" w:hAnsi="Arial"/>
          <w:sz w:val="14"/>
          <w:szCs w:val="14"/>
          <w:u w:val="single" w:color="auto"/>
          <w:color w:val="auto"/>
        </w:rPr>
        <w:t>Borrowing Date</w:t>
      </w:r>
      <w:r>
        <w:rPr>
          <w:sz w:val="20"/>
          <w:szCs w:val="20"/>
          <w:color w:val="auto"/>
        </w:rPr>
        <w:tab/>
      </w:r>
      <w:r>
        <w:rPr>
          <w:rFonts w:ascii="Arial" w:cs="Arial" w:eastAsia="Arial" w:hAnsi="Arial"/>
          <w:sz w:val="14"/>
          <w:szCs w:val="14"/>
          <w:u w:val="single" w:color="auto"/>
          <w:color w:val="auto"/>
        </w:rPr>
        <w:t>Amount</w:t>
      </w:r>
      <w:r>
        <w:rPr>
          <w:rFonts w:ascii="Arial" w:cs="Arial" w:eastAsia="Arial" w:hAnsi="Arial"/>
          <w:sz w:val="22"/>
          <w:szCs w:val="22"/>
          <w:u w:val="single" w:color="auto"/>
          <w:color w:val="auto"/>
          <w:vertAlign w:val="superscript"/>
        </w:rPr>
        <w:t>1</w:t>
      </w:r>
      <w:r>
        <w:rPr>
          <w:sz w:val="20"/>
          <w:szCs w:val="20"/>
          <w:color w:val="auto"/>
        </w:rPr>
        <w:tab/>
      </w:r>
      <w:r>
        <w:rPr>
          <w:rFonts w:ascii="Arial" w:cs="Arial" w:eastAsia="Arial" w:hAnsi="Arial"/>
          <w:sz w:val="14"/>
          <w:szCs w:val="14"/>
          <w:u w:val="single" w:color="auto"/>
          <w:color w:val="auto"/>
        </w:rPr>
        <w:t>Type</w:t>
      </w:r>
      <w:r>
        <w:rPr>
          <w:rFonts w:ascii="Arial" w:cs="Arial" w:eastAsia="Arial" w:hAnsi="Arial"/>
          <w:sz w:val="22"/>
          <w:szCs w:val="22"/>
          <w:u w:val="single" w:color="auto"/>
          <w:color w:val="auto"/>
          <w:vertAlign w:val="superscript"/>
        </w:rPr>
        <w:t>2</w:t>
      </w:r>
      <w:r>
        <w:rPr>
          <w:sz w:val="20"/>
          <w:szCs w:val="20"/>
          <w:color w:val="auto"/>
        </w:rPr>
        <w:tab/>
      </w:r>
      <w:r>
        <w:rPr>
          <w:rFonts w:ascii="Arial" w:cs="Arial" w:eastAsia="Arial" w:hAnsi="Arial"/>
          <w:sz w:val="11"/>
          <w:szCs w:val="11"/>
          <w:u w:val="single" w:color="auto"/>
          <w:color w:val="auto"/>
        </w:rPr>
        <w:t>Interest Period</w:t>
      </w:r>
      <w:r>
        <w:rPr>
          <w:rFonts w:ascii="Arial" w:cs="Arial" w:eastAsia="Arial" w:hAnsi="Arial"/>
          <w:sz w:val="17"/>
          <w:szCs w:val="17"/>
          <w:u w:val="single" w:color="auto"/>
          <w:color w:val="auto"/>
          <w:vertAlign w:val="superscript"/>
        </w:rPr>
        <w:t>3</w:t>
      </w:r>
    </w:p>
    <w:p>
      <w:pPr>
        <w:sectPr>
          <w:pgSz w:w="11900" w:h="16838" w:orient="portrait"/>
          <w:cols w:equalWidth="0" w:num="1">
            <w:col w:w="11260"/>
          </w:cols>
          <w:pgMar w:left="240" w:top="28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886"/>
        <w:spacing w:after="0"/>
        <w:tabs>
          <w:tab w:leader="none" w:pos="3286" w:val="left"/>
          <w:tab w:leader="none" w:pos="10046" w:val="left"/>
        </w:tabs>
        <w:rPr>
          <w:sz w:val="20"/>
          <w:szCs w:val="20"/>
          <w:color w:val="auto"/>
        </w:rPr>
      </w:pPr>
      <w:r>
        <w:rPr>
          <w:rFonts w:ascii="Arial" w:cs="Arial" w:eastAsia="Arial" w:hAnsi="Arial"/>
          <w:sz w:val="18"/>
          <w:szCs w:val="18"/>
          <w:color w:val="auto"/>
        </w:rPr>
        <w:t>, 20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-126365</wp:posOffset>
            </wp:positionV>
            <wp:extent cx="666369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68" w:lineRule="exact"/>
        <w:rPr>
          <w:sz w:val="20"/>
          <w:szCs w:val="20"/>
          <w:color w:val="auto"/>
        </w:rPr>
      </w:pPr>
    </w:p>
    <w:p>
      <w:pPr>
        <w:ind w:left="446" w:hanging="446"/>
        <w:spacing w:after="0"/>
        <w:tabs>
          <w:tab w:leader="none" w:pos="44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Borrower’s Credit Rating, as applicable, as of the date hereof is:</w:t>
      </w:r>
    </w:p>
    <w:p>
      <w:pPr>
        <w:spacing w:after="0" w:line="90" w:lineRule="exact"/>
        <w:rPr>
          <w:sz w:val="20"/>
          <w:szCs w:val="20"/>
          <w:color w:val="auto"/>
        </w:rPr>
      </w:pPr>
    </w:p>
    <w:p>
      <w:pPr>
        <w:ind w:left="1606"/>
        <w:spacing w:after="0"/>
        <w:rPr>
          <w:sz w:val="20"/>
          <w:szCs w:val="20"/>
          <w:color w:val="auto"/>
        </w:rPr>
      </w:pPr>
      <w:r>
        <w:rPr>
          <w:rFonts w:ascii="Arial" w:cs="Arial" w:eastAsia="Arial" w:hAnsi="Arial"/>
          <w:sz w:val="18"/>
          <w:szCs w:val="18"/>
          <w:color w:val="auto"/>
        </w:rPr>
        <w:t>S&amp;P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-13970</wp:posOffset>
            </wp:positionV>
            <wp:extent cx="33464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left="1606"/>
        <w:spacing w:after="0"/>
        <w:rPr>
          <w:sz w:val="20"/>
          <w:szCs w:val="20"/>
          <w:color w:val="auto"/>
        </w:rPr>
      </w:pPr>
      <w:r>
        <w:rPr>
          <w:rFonts w:ascii="Arial" w:cs="Arial" w:eastAsia="Arial" w:hAnsi="Arial"/>
          <w:sz w:val="18"/>
          <w:szCs w:val="18"/>
          <w:color w:val="auto"/>
        </w:rPr>
        <w:t>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75565</wp:posOffset>
            </wp:positionV>
            <wp:extent cx="7289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-17780</wp:posOffset>
            </wp:positionV>
            <wp:extent cx="33464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1" w:lineRule="exact"/>
        <w:rPr>
          <w:sz w:val="20"/>
          <w:szCs w:val="20"/>
          <w:color w:val="auto"/>
        </w:rPr>
      </w:pPr>
    </w:p>
    <w:p>
      <w:pPr>
        <w:ind w:left="6"/>
        <w:spacing w:after="0"/>
        <w:rPr>
          <w:sz w:val="20"/>
          <w:szCs w:val="20"/>
          <w:color w:val="auto"/>
        </w:rPr>
      </w:pPr>
      <w:r>
        <w:rPr>
          <w:rFonts w:ascii="Arial" w:cs="Arial" w:eastAsia="Arial" w:hAnsi="Arial"/>
          <w:sz w:val="18"/>
          <w:szCs w:val="18"/>
          <w:color w:val="auto"/>
        </w:rPr>
        <w:t>Minimum amount of $5,000,000 or larger multiple of $1,000,000.</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8"/>
          <w:szCs w:val="18"/>
          <w:color w:val="auto"/>
        </w:rPr>
        <w:t>Insert either Absolute Rate (for Absolute Rate Loan) or LIBOR Margin (for LIBOR Margin Loan).</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Must be not less than 7 and no more than 180 days.</w:t>
      </w:r>
    </w:p>
    <w:p>
      <w:pPr>
        <w:spacing w:after="0" w:line="151" w:lineRule="exact"/>
        <w:rPr>
          <w:sz w:val="20"/>
          <w:szCs w:val="20"/>
          <w:color w:val="auto"/>
        </w:rPr>
      </w:pPr>
    </w:p>
    <w:p>
      <w:pPr>
        <w:jc w:val="center"/>
        <w:ind w:right="294"/>
        <w:spacing w:after="0"/>
        <w:rPr>
          <w:sz w:val="20"/>
          <w:szCs w:val="20"/>
          <w:color w:val="auto"/>
        </w:rPr>
      </w:pPr>
      <w:r>
        <w:rPr>
          <w:rFonts w:ascii="Arial" w:cs="Arial" w:eastAsia="Arial" w:hAnsi="Arial"/>
          <w:sz w:val="18"/>
          <w:szCs w:val="18"/>
          <w:color w:val="auto"/>
        </w:rPr>
        <w:t>L-200</w:t>
      </w:r>
    </w:p>
    <w:p>
      <w:pPr>
        <w:sectPr>
          <w:pgSz w:w="11900" w:h="16838" w:orient="portrait"/>
          <w:cols w:equalWidth="0" w:num="2">
            <w:col w:w="60" w:space="394"/>
            <w:col w:w="10806"/>
          </w:cols>
          <w:pgMar w:left="240" w:top="280" w:right="399" w:bottom="1440" w:gutter="0" w:footer="0" w:header="0"/>
          <w:type w:val="continuous"/>
        </w:sectPr>
      </w:pPr>
    </w:p>
    <w:bookmarkStart w:id="210" w:name="page211"/>
    <w:bookmarkEnd w:id="210"/>
    <w:p>
      <w:pPr>
        <w:ind w:left="900" w:hanging="446"/>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proceeds of this Bid Rate borrowing will be used for the following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122555</wp:posOffset>
            </wp:positionV>
            <wp:extent cx="228536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285365" cy="8890"/>
                    </a:xfrm>
                    <a:prstGeom prst="rect">
                      <a:avLst/>
                    </a:prstGeom>
                    <a:noFill/>
                  </pic:spPr>
                </pic:pic>
              </a:graphicData>
            </a:graphic>
          </wp:anchor>
        </w:drawing>
      </w:r>
    </w:p>
    <w:p>
      <w:pPr>
        <w:spacing w:after="0" w:line="20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-13970</wp:posOffset>
            </wp:positionV>
            <wp:extent cx="262001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620010" cy="8890"/>
                    </a:xfrm>
                    <a:prstGeom prst="rect">
                      <a:avLst/>
                    </a:prstGeom>
                    <a:noFill/>
                  </pic:spPr>
                </pic:pic>
              </a:graphicData>
            </a:graphic>
          </wp:anchor>
        </w:drawing>
      </w:r>
    </w:p>
    <w:p>
      <w:pPr>
        <w:spacing w:after="0" w:line="70" w:lineRule="exact"/>
        <w:rPr>
          <w:sz w:val="20"/>
          <w:szCs w:val="20"/>
          <w:color w:val="auto"/>
        </w:rPr>
      </w:pPr>
    </w:p>
    <w:p>
      <w:pPr>
        <w:ind w:left="460"/>
        <w:spacing w:after="0"/>
        <w:tabs>
          <w:tab w:leader="none" w:pos="880" w:val="left"/>
          <w:tab w:leader="none" w:pos="1030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After giving effect to the Bid Rate Borrowing requested herein, the total amount of Bid Rate Loans outstanding shall be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5996305</wp:posOffset>
            </wp:positionH>
            <wp:positionV relativeFrom="paragraph">
              <wp:posOffset>0</wp:posOffset>
            </wp:positionV>
            <wp:extent cx="55753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7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Borrower hereby certifies to the Administrative Agent and the Lenders that as of the date hereof, as of the date of the making of the requested Bid Rate Loans, and after making such Bid Rate Loans, (a) no Default or Event of Default exists or shall exist, and none of the limits specified in Section 2.15. of the Credit Agreement have been violated or shall be violated; and (b) the representations and warranties made or deemed made by the Borrower and each other Loan Party in the Loan Documents to which any of them is a party, are and shall be true and correct in all material respects (except in the case of a representation or warranty qualified by materiality, in which case such representation or warranty is and shall be true and correct in all respects)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under the Credit Agreement. In addition, the Borrower certifies to the Administrative Agent and the Lenders that all conditions to the making of the requested Bid Rate Loans contained in Article V. of the Credit Agreement will have been satisfied (or waived in accordance with the terms of the Credit Agreement) at the time such Bid Rate Loans are made.</w:t>
      </w:r>
    </w:p>
    <w:p>
      <w:pPr>
        <w:spacing w:after="0" w:line="1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10795</wp:posOffset>
            </wp:positionV>
            <wp:extent cx="22555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10795</wp:posOffset>
            </wp:positionV>
            <wp:extent cx="22555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L-201</w:t>
      </w:r>
    </w:p>
    <w:p>
      <w:pPr>
        <w:sectPr>
          <w:pgSz w:w="11900" w:h="16838" w:orient="portrait"/>
          <w:cols w:equalWidth="0" w:num="1">
            <w:col w:w="11400"/>
          </w:cols>
          <w:pgMar w:left="240" w:top="280" w:right="259" w:bottom="1440" w:gutter="0" w:footer="0" w:header="0"/>
        </w:sectPr>
      </w:pPr>
    </w:p>
    <w:bookmarkStart w:id="211" w:name="page212"/>
    <w:bookmarkEnd w:id="211"/>
    <w:p>
      <w:pPr>
        <w:ind w:left="52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M</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FORM OF BID RATE QUOTE</w:t>
      </w:r>
    </w:p>
    <w:p>
      <w:pPr>
        <w:spacing w:after="0" w:line="17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-13970</wp:posOffset>
            </wp:positionV>
            <wp:extent cx="83629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1753 Pinnacle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McLean, VA 22102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 M. Freeman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July 7, 2011, by and among Federal Realty Investment Trust, a real estate investment trust formed under the laws of the State of Maryland (“Borrower”), the financial institutions party thereto and their permitted assignees under Section 12.6. thereof, Wells Fargo Bank, National Association (together with its successors and permitted assigns, the “Administrative Agent”), PNC Bank, National Association, as Syndication Agent, and each of Wells Fargo Securities, LLC, and PNC Capital Markets LLC, as a Lead Arranger and Book Manager.</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ind w:left="460"/>
              <w:spacing w:after="0"/>
              <w:rPr>
                <w:sz w:val="20"/>
                <w:szCs w:val="20"/>
                <w:color w:val="auto"/>
              </w:rPr>
            </w:pPr>
            <w:r>
              <w:rPr>
                <w:rFonts w:ascii="Arial" w:cs="Arial" w:eastAsia="Arial" w:hAnsi="Arial"/>
                <w:sz w:val="18"/>
                <w:szCs w:val="18"/>
                <w:color w:val="auto"/>
                <w:w w:val="88"/>
              </w:rPr>
              <w:t>In response to the Borrower’s Bid Rate Quote Request dated</w:t>
            </w:r>
          </w:p>
        </w:tc>
        <w:tc>
          <w:tcPr>
            <w:tcW w:w="880" w:type="dxa"/>
            <w:vAlign w:val="bottom"/>
          </w:tcPr>
          <w:p>
            <w:pPr>
              <w:spacing w:after="0"/>
              <w:rPr>
                <w:sz w:val="17"/>
                <w:szCs w:val="17"/>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w w:val="89"/>
              </w:rPr>
              <w:t>, 20  , the undersigned hereby makes the following Bid Rate Quote(s) on the</w:t>
            </w:r>
          </w:p>
        </w:tc>
      </w:tr>
      <w:tr>
        <w:trPr>
          <w:trHeight w:val="235"/>
        </w:trPr>
        <w:tc>
          <w:tcPr>
            <w:tcW w:w="4760" w:type="dxa"/>
            <w:vAlign w:val="bottom"/>
          </w:tcPr>
          <w:p>
            <w:pPr>
              <w:spacing w:after="0"/>
              <w:rPr>
                <w:sz w:val="20"/>
                <w:szCs w:val="20"/>
                <w:color w:val="auto"/>
              </w:rPr>
            </w:pPr>
            <w:r>
              <w:rPr>
                <w:rFonts w:ascii="Arial" w:cs="Arial" w:eastAsia="Arial" w:hAnsi="Arial"/>
                <w:sz w:val="18"/>
                <w:szCs w:val="18"/>
                <w:color w:val="auto"/>
              </w:rPr>
              <w:t>following terms:</w:t>
            </w: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000" w:type="dxa"/>
            <w:vAlign w:val="bottom"/>
          </w:tcPr>
          <w:p>
            <w:pPr>
              <w:spacing w:after="0"/>
              <w:rPr>
                <w:sz w:val="20"/>
                <w:szCs w:val="20"/>
                <w:color w:val="auto"/>
              </w:rPr>
            </w:pPr>
          </w:p>
        </w:tc>
      </w:tr>
    </w:tbl>
    <w:p>
      <w:pPr>
        <w:spacing w:after="0" w:line="75" w:lineRule="exact"/>
        <w:rPr>
          <w:sz w:val="20"/>
          <w:szCs w:val="20"/>
          <w:color w:val="auto"/>
        </w:rPr>
      </w:pPr>
    </w:p>
    <w:p>
      <w:pPr>
        <w:ind w:left="900" w:hanging="446"/>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Quoting Lender: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Person to contact at quoting Lender:</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undersigned offers to make Bid Rate Loan(s) in the following principal amount(s), for the following Interest Period(s) and at the following Bid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1311275</wp:posOffset>
            </wp:positionH>
            <wp:positionV relativeFrom="paragraph">
              <wp:posOffset>-553720</wp:posOffset>
            </wp:positionV>
            <wp:extent cx="169989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699895"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-364490</wp:posOffset>
            </wp:positionV>
            <wp:extent cx="169989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56"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260" w:type="dxa"/>
            <w:vAlign w:val="bottom"/>
          </w:tcPr>
          <w:p>
            <w:pPr>
              <w:spacing w:after="0"/>
              <w:rPr>
                <w:sz w:val="21"/>
                <w:szCs w:val="21"/>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w w:val="91"/>
              </w:rPr>
              <w:t>Borrowing Date</w:t>
            </w: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4"/>
                <w:szCs w:val="14"/>
                <w:color w:val="auto"/>
                <w:w w:val="83"/>
              </w:rPr>
              <w:t>Amount</w:t>
            </w:r>
            <w:r>
              <w:rPr>
                <w:rFonts w:ascii="Arial" w:cs="Arial" w:eastAsia="Arial" w:hAnsi="Arial"/>
                <w:sz w:val="22"/>
                <w:szCs w:val="22"/>
                <w:color w:val="auto"/>
                <w:w w:val="83"/>
                <w:vertAlign w:val="superscript"/>
              </w:rPr>
              <w:t>11</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color w:val="auto"/>
                <w:w w:val="80"/>
              </w:rPr>
              <w:t>Type</w:t>
            </w:r>
            <w:r>
              <w:rPr>
                <w:rFonts w:ascii="Arial" w:cs="Arial" w:eastAsia="Arial" w:hAnsi="Arial"/>
                <w:sz w:val="22"/>
                <w:szCs w:val="22"/>
                <w:color w:val="auto"/>
                <w:w w:val="80"/>
                <w:vertAlign w:val="superscript"/>
              </w:rPr>
              <w:t>12</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380" w:type="dxa"/>
            <w:vAlign w:val="bottom"/>
            <w:gridSpan w:val="4"/>
          </w:tcPr>
          <w:p>
            <w:pPr>
              <w:spacing w:after="0"/>
              <w:rPr>
                <w:sz w:val="20"/>
                <w:szCs w:val="20"/>
                <w:color w:val="auto"/>
              </w:rPr>
            </w:pPr>
            <w:r>
              <w:rPr>
                <w:rFonts w:ascii="Arial" w:cs="Arial" w:eastAsia="Arial" w:hAnsi="Arial"/>
                <w:sz w:val="14"/>
                <w:szCs w:val="14"/>
                <w:color w:val="auto"/>
              </w:rPr>
              <w:t>Interest Period</w:t>
            </w:r>
            <w:r>
              <w:rPr>
                <w:rFonts w:ascii="Arial" w:cs="Arial" w:eastAsia="Arial" w:hAnsi="Arial"/>
                <w:sz w:val="22"/>
                <w:szCs w:val="22"/>
                <w:color w:val="auto"/>
                <w:vertAlign w:val="superscript"/>
              </w:rPr>
              <w:t>13</w:t>
            </w:r>
          </w:p>
        </w:tc>
        <w:tc>
          <w:tcPr>
            <w:tcW w:w="820" w:type="dxa"/>
            <w:vAlign w:val="bottom"/>
            <w:gridSpan w:val="4"/>
          </w:tcPr>
          <w:p>
            <w:pPr>
              <w:jc w:val="right"/>
              <w:ind w:right="320"/>
              <w:spacing w:after="0"/>
              <w:rPr>
                <w:sz w:val="20"/>
                <w:szCs w:val="20"/>
                <w:color w:val="auto"/>
              </w:rPr>
            </w:pPr>
            <w:r>
              <w:rPr>
                <w:rFonts w:ascii="Arial" w:cs="Arial" w:eastAsia="Arial" w:hAnsi="Arial"/>
                <w:sz w:val="14"/>
                <w:szCs w:val="14"/>
                <w:color w:val="auto"/>
                <w:w w:val="89"/>
              </w:rPr>
              <w:t>Bid Rate</w:t>
            </w:r>
          </w:p>
        </w:tc>
      </w:tr>
      <w:tr>
        <w:trPr>
          <w:trHeight w:val="102"/>
        </w:trPr>
        <w:tc>
          <w:tcPr>
            <w:tcW w:w="2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176"/>
        </w:trPr>
        <w:tc>
          <w:tcPr>
            <w:tcW w:w="880" w:type="dxa"/>
            <w:vAlign w:val="bottom"/>
            <w:gridSpan w:val="2"/>
            <w:shd w:val="clear" w:color="auto" w:fill="CCEEFF"/>
          </w:tcPr>
          <w:p>
            <w:pPr>
              <w:spacing w:after="0"/>
              <w:rPr>
                <w:sz w:val="15"/>
                <w:szCs w:val="15"/>
                <w:color w:val="auto"/>
              </w:rPr>
            </w:pPr>
          </w:p>
        </w:tc>
        <w:tc>
          <w:tcPr>
            <w:tcW w:w="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 20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days</w:t>
            </w:r>
          </w:p>
        </w:tc>
        <w:tc>
          <w:tcPr>
            <w:tcW w:w="6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r>
      <w:tr>
        <w:trPr>
          <w:trHeight w:val="21"/>
        </w:trPr>
        <w:tc>
          <w:tcPr>
            <w:tcW w:w="26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284"/>
        </w:trPr>
        <w:tc>
          <w:tcPr>
            <w:tcW w:w="880" w:type="dxa"/>
            <w:vAlign w:val="bottom"/>
            <w:gridSpan w:val="2"/>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 20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days</w:t>
            </w:r>
          </w:p>
        </w:tc>
        <w:tc>
          <w:tcPr>
            <w:tcW w:w="60" w:type="dxa"/>
            <w:vAlign w:val="bottom"/>
          </w:tcPr>
          <w:p>
            <w:pPr>
              <w:spacing w:after="0"/>
              <w:rPr>
                <w:sz w:val="24"/>
                <w:szCs w:val="2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129"/>
        </w:trPr>
        <w:tc>
          <w:tcPr>
            <w:tcW w:w="2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r>
      <w:tr>
        <w:trPr>
          <w:trHeight w:val="176"/>
        </w:trPr>
        <w:tc>
          <w:tcPr>
            <w:tcW w:w="11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 20</w:t>
            </w:r>
          </w:p>
        </w:tc>
        <w:tc>
          <w:tcPr>
            <w:tcW w:w="4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days</w:t>
            </w:r>
          </w:p>
        </w:tc>
        <w:tc>
          <w:tcPr>
            <w:tcW w:w="82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w:t>
            </w:r>
          </w:p>
        </w:tc>
      </w:tr>
      <w:tr>
        <w:trPr>
          <w:trHeight w:val="21"/>
        </w:trPr>
        <w:tc>
          <w:tcPr>
            <w:tcW w:w="26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89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2"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22"/>
          <w:szCs w:val="22"/>
          <w:color w:val="auto"/>
          <w:vertAlign w:val="superscript"/>
        </w:rPr>
      </w:pPr>
      <w:r>
        <w:rPr>
          <w:rFonts w:ascii="Arial" w:cs="Arial" w:eastAsia="Arial" w:hAnsi="Arial"/>
          <w:sz w:val="18"/>
          <w:szCs w:val="18"/>
          <w:color w:val="auto"/>
        </w:rPr>
        <w:t>Minimum amount of $5,000,000 or larger multiple of $1,000,000.</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62"/>
        </w:numPr>
        <w:rPr>
          <w:rFonts w:ascii="Arial" w:cs="Arial" w:eastAsia="Arial" w:hAnsi="Arial"/>
          <w:sz w:val="22"/>
          <w:szCs w:val="22"/>
          <w:color w:val="auto"/>
          <w:vertAlign w:val="superscript"/>
        </w:rPr>
      </w:pPr>
      <w:r>
        <w:rPr>
          <w:rFonts w:ascii="Arial" w:cs="Arial" w:eastAsia="Arial" w:hAnsi="Arial"/>
          <w:sz w:val="18"/>
          <w:szCs w:val="18"/>
          <w:color w:val="auto"/>
        </w:rPr>
        <w:t>Insert either Absolute Rate (for Absolute Rate Loan) or LIBOR Margin (for LIBOR Margin Loan).</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162"/>
        </w:numPr>
        <w:rPr>
          <w:rFonts w:ascii="Arial" w:cs="Arial" w:eastAsia="Arial" w:hAnsi="Arial"/>
          <w:sz w:val="22"/>
          <w:szCs w:val="22"/>
          <w:color w:val="auto"/>
          <w:vertAlign w:val="superscript"/>
        </w:rPr>
      </w:pPr>
      <w:r>
        <w:rPr>
          <w:rFonts w:ascii="Arial" w:cs="Arial" w:eastAsia="Arial" w:hAnsi="Arial"/>
          <w:sz w:val="18"/>
          <w:szCs w:val="18"/>
          <w:color w:val="auto"/>
        </w:rPr>
        <w:t>No less than 7 days and no more than 180 days.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M-202</w:t>
      </w:r>
    </w:p>
    <w:p>
      <w:pPr>
        <w:sectPr>
          <w:pgSz w:w="11900" w:h="16838" w:orient="portrait"/>
          <w:cols w:equalWidth="0" w:num="1">
            <w:col w:w="11260"/>
          </w:cols>
          <w:pgMar w:left="240" w:top="280" w:right="399" w:bottom="1440" w:gutter="0" w:footer="0" w:header="0"/>
        </w:sectPr>
      </w:pPr>
    </w:p>
    <w:bookmarkStart w:id="212" w:name="page213"/>
    <w:bookmarkEnd w:id="212"/>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undersigned understands and agrees that the offer(s) set forth above, subject to satisfaction of the applicable conditions set forth in the Credit Agreement, irrevocably obligate[s] the undersigned to make the Bid Rate Loan(s) for which any offer(s) </w:t>
      </w:r>
      <w:r>
        <w:rPr>
          <w:rFonts w:ascii="Arial" w:cs="Arial" w:eastAsia="Arial" w:hAnsi="Arial"/>
          <w:sz w:val="16"/>
          <w:szCs w:val="16"/>
          <w:b w:val="1"/>
          <w:bCs w:val="1"/>
          <w:color w:val="auto"/>
        </w:rPr>
        <w:t>[is/are]</w:t>
      </w:r>
      <w:r>
        <w:rPr>
          <w:rFonts w:ascii="Arial" w:cs="Arial" w:eastAsia="Arial" w:hAnsi="Arial"/>
          <w:sz w:val="16"/>
          <w:szCs w:val="16"/>
          <w:color w:val="auto"/>
        </w:rPr>
        <w:t xml:space="preserve"> accepted,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222250</wp:posOffset>
            </wp:positionV>
            <wp:extent cx="289877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10795</wp:posOffset>
            </wp:positionV>
            <wp:extent cx="22555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10795</wp:posOffset>
            </wp:positionV>
            <wp:extent cx="22555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M-203</w:t>
      </w:r>
    </w:p>
    <w:p>
      <w:pPr>
        <w:sectPr>
          <w:pgSz w:w="11900" w:h="16838" w:orient="portrait"/>
          <w:cols w:equalWidth="0" w:num="1">
            <w:col w:w="10680"/>
          </w:cols>
          <w:pgMar w:left="240" w:top="280" w:right="979" w:bottom="1440" w:gutter="0" w:footer="0" w:header="0"/>
        </w:sectPr>
      </w:pPr>
    </w:p>
    <w:bookmarkStart w:id="213" w:name="page214"/>
    <w:bookmarkEnd w:id="213"/>
    <w:p>
      <w:pPr>
        <w:ind w:left="5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N</w:t>
      </w:r>
    </w:p>
    <w:p>
      <w:pPr>
        <w:spacing w:after="0" w:line="17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FORM OF BID RATE QUOTE ACCEPTANCE</w:t>
      </w:r>
    </w:p>
    <w:p>
      <w:pPr>
        <w:spacing w:after="0" w:line="17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-13970</wp:posOffset>
            </wp:positionV>
            <wp:extent cx="83629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1753 Pinnacle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McLean, VA 22102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 M. Freeman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Reference is made to that certain Credit Agreement dated as of July 7, 2011, by and among Federal Realty Investment Trust, a real estate investment trust formed under the laws of the State of Maryland (“Borrower”), the financial institutions party thereto and their permitted assignees under Section 12.6. thereof, Wells Fargo Bank, National Association (together with its successors and permitted assigns, the “Administrative Agent”), PNC Bank, National Association, as Syndication Agent, and each of Wells Fargo Securities, LLC, and PNC Capital Markets LLC, as a Lead Arranger and Book Manager.</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7940" w:type="dxa"/>
            <w:vAlign w:val="bottom"/>
            <w:gridSpan w:val="12"/>
          </w:tcPr>
          <w:p>
            <w:pPr>
              <w:spacing w:after="0"/>
              <w:rPr>
                <w:sz w:val="20"/>
                <w:szCs w:val="20"/>
                <w:color w:val="auto"/>
              </w:rPr>
            </w:pPr>
            <w:r>
              <w:rPr>
                <w:rFonts w:ascii="Arial" w:cs="Arial" w:eastAsia="Arial" w:hAnsi="Arial"/>
                <w:sz w:val="18"/>
                <w:szCs w:val="18"/>
                <w:color w:val="auto"/>
                <w:w w:val="89"/>
              </w:rPr>
              <w:t>The Borrower hereby accepts the following offer(s) of Bid Rate Quotes to be made available to the Borrower on</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gridSpan w:val="5"/>
            <w:vMerge w:val="restart"/>
          </w:tcPr>
          <w:p>
            <w:pPr>
              <w:ind w:left="20"/>
              <w:spacing w:after="0"/>
              <w:rPr>
                <w:sz w:val="20"/>
                <w:szCs w:val="20"/>
                <w:color w:val="auto"/>
              </w:rPr>
            </w:pPr>
            <w:r>
              <w:rPr>
                <w:rFonts w:ascii="Arial" w:cs="Arial" w:eastAsia="Arial" w:hAnsi="Arial"/>
                <w:sz w:val="14"/>
                <w:szCs w:val="14"/>
                <w:color w:val="auto"/>
              </w:rPr>
              <w:t>Quote Date</w:t>
            </w: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5"/>
            <w:vMerge w:val="continue"/>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color w:val="auto"/>
                <w:w w:val="91"/>
              </w:rPr>
              <w:t>Quoting Lender</w:t>
            </w:r>
          </w:p>
        </w:tc>
        <w:tc>
          <w:tcPr>
            <w:tcW w:w="194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color w:val="auto"/>
              </w:rPr>
              <w:t>Type</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4"/>
          </w:tcPr>
          <w:p>
            <w:pPr>
              <w:ind w:left="20"/>
              <w:spacing w:after="0"/>
              <w:rPr>
                <w:sz w:val="20"/>
                <w:szCs w:val="20"/>
                <w:color w:val="auto"/>
              </w:rPr>
            </w:pPr>
            <w:r>
              <w:rPr>
                <w:rFonts w:ascii="Arial" w:cs="Arial" w:eastAsia="Arial" w:hAnsi="Arial"/>
                <w:sz w:val="14"/>
                <w:szCs w:val="14"/>
                <w:color w:val="auto"/>
                <w:w w:val="97"/>
              </w:rPr>
              <w:t>Amount Accepted</w:t>
            </w:r>
          </w:p>
        </w:tc>
        <w:tc>
          <w:tcPr>
            <w:tcW w:w="0" w:type="dxa"/>
            <w:vAlign w:val="bottom"/>
          </w:tcPr>
          <w:p>
            <w:pPr>
              <w:spacing w:after="0"/>
              <w:rPr>
                <w:sz w:val="1"/>
                <w:szCs w:val="1"/>
                <w:color w:val="auto"/>
              </w:rPr>
            </w:pPr>
          </w:p>
        </w:tc>
      </w:tr>
      <w:tr>
        <w:trPr>
          <w:trHeight w:val="95"/>
        </w:trPr>
        <w:tc>
          <w:tcPr>
            <w:tcW w:w="46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60" w:type="dxa"/>
            <w:vAlign w:val="bottom"/>
            <w:vMerge w:val="continue"/>
          </w:tcPr>
          <w:p>
            <w:pPr>
              <w:spacing w:after="0"/>
              <w:rPr>
                <w:sz w:val="15"/>
                <w:szCs w:val="15"/>
                <w:color w:val="auto"/>
              </w:rPr>
            </w:pPr>
          </w:p>
        </w:tc>
        <w:tc>
          <w:tcPr>
            <w:tcW w:w="880" w:type="dxa"/>
            <w:vAlign w:val="bottom"/>
            <w:gridSpan w:val="2"/>
            <w:shd w:val="clear" w:color="auto" w:fill="CCEEFF"/>
          </w:tcPr>
          <w:p>
            <w:pPr>
              <w:spacing w:after="0"/>
              <w:rPr>
                <w:sz w:val="15"/>
                <w:szCs w:val="15"/>
                <w:color w:val="auto"/>
              </w:rPr>
            </w:pPr>
          </w:p>
        </w:tc>
        <w:tc>
          <w:tcPr>
            <w:tcW w:w="440" w:type="dxa"/>
            <w:vAlign w:val="bottom"/>
            <w:gridSpan w:val="3"/>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w w:val="79"/>
              </w:rPr>
              <w:t>, 20</w:t>
            </w:r>
          </w:p>
        </w:tc>
        <w:tc>
          <w:tcPr>
            <w:tcW w:w="1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6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w w:val="79"/>
              </w:rPr>
              <w:t>, 20</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vMerge w:val="restart"/>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9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60" w:type="dxa"/>
            <w:vAlign w:val="bottom"/>
            <w:vMerge w:val="continue"/>
          </w:tcPr>
          <w:p>
            <w:pPr>
              <w:spacing w:after="0"/>
              <w:rPr>
                <w:sz w:val="15"/>
                <w:szCs w:val="15"/>
                <w:color w:val="auto"/>
              </w:rPr>
            </w:pPr>
          </w:p>
        </w:tc>
        <w:tc>
          <w:tcPr>
            <w:tcW w:w="1320" w:type="dxa"/>
            <w:vAlign w:val="bottom"/>
            <w:gridSpan w:val="5"/>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 20</w:t>
            </w:r>
          </w:p>
        </w:tc>
        <w:tc>
          <w:tcPr>
            <w:tcW w:w="1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Borrower hereby certifies to the Administrative Agent and the Lenders that as of the date hereof, as of the date of the making of the requested Bid Rate Loans, and after making such Bid Rate Loans, (a) no Default or Event of Default exists or shall exist, and none of the limits specified in Section 2.15. of the Credit Agreement have been violated or shall be violated; and (b) the representations and warranties made or deemed made by the Borrower and each other Loan Party in the Loan Documents to which any of them is a party, are and shall be true and correct in all material respects (except in the case of a representation or warranty qualified by materiality, in which case such representation or warranty is and shall be true and correct in all respects)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under the Credit Agreement. In addition, the Borrower certifies to the Administrative Agent and the Lenders that all conditions to the making of the requested Bid Rate Loans contained in Article V. of the Credit Agreement will have been satisfied (or waived in accordance with the terms of the Credit Agreement) at the time such Bid Rate Loans are made.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N-204</w:t>
      </w:r>
    </w:p>
    <w:p>
      <w:pPr>
        <w:sectPr>
          <w:pgSz w:w="11900" w:h="16838" w:orient="portrait"/>
          <w:cols w:equalWidth="0" w:num="1">
            <w:col w:w="11400"/>
          </w:cols>
          <w:pgMar w:left="240" w:top="280" w:right="25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on next page]</w:t>
      </w:r>
    </w:p>
    <w:p>
      <w:pPr>
        <w:sectPr>
          <w:pgSz w:w="11900" w:h="16838" w:orient="portrait"/>
          <w:cols w:equalWidth="0" w:num="1">
            <w:col w:w="9019"/>
          </w:cols>
          <w:pgMar w:left="1440" w:top="280"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N-205</w:t>
      </w:r>
    </w:p>
    <w:p>
      <w:pPr>
        <w:sectPr>
          <w:pgSz w:w="11900" w:h="16838" w:orient="portrait"/>
          <w:cols w:equalWidth="0" w:num="1">
            <w:col w:w="9019"/>
          </w:cols>
          <w:pgMar w:left="1440" w:top="280" w:right="1440" w:bottom="1440" w:gutter="0" w:footer="0" w:header="0"/>
          <w:type w:val="continuous"/>
        </w:sectPr>
      </w:pPr>
    </w:p>
    <w:bookmarkStart w:id="215" w:name="page216"/>
    <w:bookmarkEnd w:id="21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10795</wp:posOffset>
            </wp:positionV>
            <wp:extent cx="22555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10795</wp:posOffset>
            </wp:positionV>
            <wp:extent cx="22555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N-206</w:t>
      </w:r>
    </w:p>
    <w:p>
      <w:pPr>
        <w:sectPr>
          <w:pgSz w:w="11900" w:h="16838" w:orient="portrait"/>
          <w:cols w:equalWidth="0" w:num="1">
            <w:col w:w="9019"/>
          </w:cols>
          <w:pgMar w:left="1440" w:top="280" w:right="1440"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OPINION OF COUNSEL TO THE BORROWER AND GUARANTORS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[BORROWER’S COUNSEL TO PROVIDE]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O-207</w:t>
      </w:r>
    </w:p>
    <w:p>
      <w:pPr>
        <w:sectPr>
          <w:pgSz w:w="11900" w:h="16838" w:orient="portrait"/>
          <w:cols w:equalWidth="0" w:num="1">
            <w:col w:w="9019"/>
          </w:cols>
          <w:pgMar w:left="1440" w:top="280" w:right="1440"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P</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COMPLIANCE CERTIFICATE</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Reference is made to that certain Credit Agreement dated as of July 7, 2011, by and among Federal Realty Investment Trust, a real estate investment trust formed under the laws of the State of Maryland (“Borrower”), the financial institutions party thereto and their permitted assignees under Section 12.6. thereof, Wells Fargo Bank, National Association (together with its successors and permitted assigns, the “Administrative Agent”), PNC Bank, National Association, as Syndication Agent, and each of Wells Fargo Securities, LLC, and PNC Capital Markets LLC, as a Lead Arranger and Book Manager. Capitalized terms used herein, and not otherwise defined herein, have their respective meanings given to them in the Credit Agreement.</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Section 8.3 of the Credit Agreement, the undersigned hereby certifies to the Administrative Agent and the Lenders, in his or her capacity as the [Chief Accounting Officer] [Chief Financial Officer] that:</w:t>
      </w:r>
    </w:p>
    <w:p>
      <w:pPr>
        <w:spacing w:after="0" w:line="132" w:lineRule="exact"/>
        <w:rPr>
          <w:sz w:val="20"/>
          <w:szCs w:val="20"/>
          <w:color w:val="auto"/>
        </w:rPr>
      </w:pPr>
    </w:p>
    <w:p>
      <w:pPr>
        <w:ind w:right="460" w:firstLine="464"/>
        <w:spacing w:after="0" w:line="268" w:lineRule="auto"/>
        <w:tabs>
          <w:tab w:leader="none" w:pos="63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undersigned examined the books and records of the Borrower and has conducted such other examinations and investigations as are reasonably necessary to provide this Compliance Certificate.</w:t>
      </w:r>
    </w:p>
    <w:p>
      <w:pPr>
        <w:spacing w:after="0" w:line="131" w:lineRule="exact"/>
        <w:rPr>
          <w:rFonts w:ascii="Arial" w:cs="Arial" w:eastAsia="Arial" w:hAnsi="Arial"/>
          <w:sz w:val="18"/>
          <w:szCs w:val="18"/>
          <w:color w:val="auto"/>
        </w:rPr>
      </w:pPr>
    </w:p>
    <w:p>
      <w:pPr>
        <w:ind w:right="720" w:firstLine="464"/>
        <w:spacing w:after="0" w:line="268" w:lineRule="auto"/>
        <w:tabs>
          <w:tab w:leader="none" w:pos="63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Schedule 1 attached hereto accurately and completely sets forth the calculations required to establish compliance with Section 9.1 of the Credit Agreement on the date of the financial statements for the accounting period set forth above.</w:t>
      </w:r>
    </w:p>
    <w:p>
      <w:pPr>
        <w:spacing w:after="0" w:line="131" w:lineRule="exact"/>
        <w:rPr>
          <w:rFonts w:ascii="Arial" w:cs="Arial" w:eastAsia="Arial" w:hAnsi="Arial"/>
          <w:sz w:val="18"/>
          <w:szCs w:val="18"/>
          <w:color w:val="auto"/>
        </w:rPr>
      </w:pPr>
    </w:p>
    <w:p>
      <w:pPr>
        <w:ind w:right="100" w:firstLine="464"/>
        <w:spacing w:after="0" w:line="259" w:lineRule="auto"/>
        <w:tabs>
          <w:tab w:leader="none" w:pos="63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To the best of the undersigned’s knowledge, information and belief after due inquiry, no Default or Event of Default exists </w:t>
      </w:r>
      <w:r>
        <w:rPr>
          <w:rFonts w:ascii="Arial" w:cs="Arial" w:eastAsia="Arial" w:hAnsi="Arial"/>
          <w:sz w:val="18"/>
          <w:szCs w:val="18"/>
          <w:i w:val="1"/>
          <w:iCs w:val="1"/>
          <w:color w:val="auto"/>
        </w:rPr>
        <w:t>[if such is not the case,</w:t>
      </w:r>
      <w:r>
        <w:rPr>
          <w:rFonts w:ascii="Arial" w:cs="Arial" w:eastAsia="Arial" w:hAnsi="Arial"/>
          <w:sz w:val="18"/>
          <w:szCs w:val="18"/>
          <w:color w:val="auto"/>
        </w:rPr>
        <w:t xml:space="preserve"> </w:t>
      </w:r>
      <w:r>
        <w:rPr>
          <w:rFonts w:ascii="Arial" w:cs="Arial" w:eastAsia="Arial" w:hAnsi="Arial"/>
          <w:sz w:val="18"/>
          <w:szCs w:val="18"/>
          <w:i w:val="1"/>
          <w:iCs w:val="1"/>
          <w:color w:val="auto"/>
        </w:rPr>
        <w:t>specify such Default or Event of Default on Exhibit A, attached hereto, and its nature, when it occurred and whether it is continuing and the steps being taken by the Borrower with respect to such event, condition or failure].</w:t>
      </w:r>
    </w:p>
    <w:p>
      <w:pPr>
        <w:spacing w:after="0" w:line="140" w:lineRule="exact"/>
        <w:rPr>
          <w:rFonts w:ascii="Arial" w:cs="Arial" w:eastAsia="Arial" w:hAnsi="Arial"/>
          <w:sz w:val="18"/>
          <w:szCs w:val="18"/>
          <w:color w:val="auto"/>
        </w:rPr>
      </w:pPr>
    </w:p>
    <w:p>
      <w:pPr>
        <w:ind w:firstLine="464"/>
        <w:spacing w:after="0" w:line="289" w:lineRule="auto"/>
        <w:tabs>
          <w:tab w:leader="none" w:pos="63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(a) No Default or event of Default exists; and (b) the representations and warranties made or deemed made by the Borrower and each other Loan Party in the Loan Documents to which any of them is a party, are and shall be true and correct in all material respects (except in the case of a representation or warranty qualified by materiality, in which case such representation or warranty is and shall be true and correct in all respects)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under the Credit Agreement </w:t>
      </w:r>
      <w:r>
        <w:rPr>
          <w:rFonts w:ascii="Arial" w:cs="Arial" w:eastAsia="Arial" w:hAnsi="Arial"/>
          <w:sz w:val="16"/>
          <w:szCs w:val="16"/>
          <w:i w:val="1"/>
          <w:iCs w:val="1"/>
          <w:color w:val="auto"/>
        </w:rPr>
        <w:t>[if such is not the case, specify which representation or warranty is not true or correct on Exhibit A, attached hereto, and describe</w:t>
      </w:r>
      <w:r>
        <w:rPr>
          <w:rFonts w:ascii="Arial" w:cs="Arial" w:eastAsia="Arial" w:hAnsi="Arial"/>
          <w:sz w:val="16"/>
          <w:szCs w:val="16"/>
          <w:color w:val="auto"/>
        </w:rPr>
        <w:t xml:space="preserve"> </w:t>
      </w:r>
      <w:r>
        <w:rPr>
          <w:rFonts w:ascii="Arial" w:cs="Arial" w:eastAsia="Arial" w:hAnsi="Arial"/>
          <w:sz w:val="16"/>
          <w:szCs w:val="16"/>
          <w:i w:val="1"/>
          <w:iCs w:val="1"/>
          <w:color w:val="auto"/>
        </w:rPr>
        <w:t>why that is the case]</w:t>
      </w:r>
      <w:r>
        <w:rPr>
          <w:rFonts w:ascii="Arial" w:cs="Arial" w:eastAsia="Arial" w:hAnsi="Arial"/>
          <w:sz w:val="16"/>
          <w:szCs w:val="16"/>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on next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P-208</w:t>
      </w:r>
    </w:p>
    <w:p>
      <w:pPr>
        <w:sectPr>
          <w:pgSz w:w="11900" w:h="16838" w:orient="portrait"/>
          <w:cols w:equalWidth="0" w:num="1">
            <w:col w:w="11400"/>
          </w:cols>
          <w:pgMar w:left="240" w:top="280" w:right="259" w:bottom="1440" w:gutter="0" w:footer="0" w:header="0"/>
        </w:sectPr>
      </w:pPr>
    </w:p>
    <w:bookmarkStart w:id="218" w:name="page219"/>
    <w:bookmarkEnd w:id="21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signed this Compliance Certificate on and as of the date first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FEDERAL REALTY INVESTMENT TRUST</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4704080</wp:posOffset>
            </wp:positionH>
            <wp:positionV relativeFrom="paragraph">
              <wp:posOffset>10795</wp:posOffset>
            </wp:positionV>
            <wp:extent cx="22555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4704080</wp:posOffset>
            </wp:positionH>
            <wp:positionV relativeFrom="paragraph">
              <wp:posOffset>10795</wp:posOffset>
            </wp:positionV>
            <wp:extent cx="22555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P-209</w:t>
      </w:r>
    </w:p>
    <w:p>
      <w:pPr>
        <w:sectPr>
          <w:pgSz w:w="11900" w:h="16838" w:orient="portrait"/>
          <w:cols w:equalWidth="0" w:num="1">
            <w:col w:w="9759"/>
          </w:cols>
          <w:pgMar w:left="700" w:top="280" w:right="1440" w:bottom="1440" w:gutter="0" w:footer="0" w:header="0"/>
        </w:sectPr>
      </w:pPr>
    </w:p>
    <w:bookmarkStart w:id="219" w:name="page220"/>
    <w:bookmarkEnd w:id="21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ectPr>
          <w:pgSz w:w="11900" w:h="16838" w:orient="portrait"/>
          <w:cols w:equalWidth="0" w:num="1">
            <w:col w:w="9019"/>
          </w:cols>
          <w:pgMar w:left="1440" w:top="274"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P-210</w:t>
      </w:r>
    </w:p>
    <w:sectPr>
      <w:pgSz w:w="11900" w:h="16838" w:orient="portrait"/>
      <w:cols w:equalWidth="0" w:num="1">
        <w:col w:w="9019"/>
      </w:cols>
      <w:pgMar w:left="1440" w:top="27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330624"/>
    <w:multiLevelType w:val="hybridMultilevel"/>
    <w:lvl w:ilvl="0">
      <w:lvlJc w:val="left"/>
      <w:lvlText w:val="☐"/>
      <w:numFmt w:val="bullet"/>
      <w:start w:val="1"/>
    </w:lvl>
  </w:abstractNum>
  <w:abstractNum w:abstractNumId="1">
    <w:nsid w:val="7FFFCA11"/>
    <w:multiLevelType w:val="hybridMultilevel"/>
    <w:lvl w:ilvl="0">
      <w:lvlJc w:val="left"/>
      <w:lvlText w:val="(%1)"/>
      <w:numFmt w:val="lowerLetter"/>
      <w:start w:val="4"/>
    </w:lvl>
  </w:abstractNum>
  <w:abstractNum w:abstractNumId="2">
    <w:nsid w:val="1A27709E"/>
    <w:multiLevelType w:val="hybridMultilevel"/>
    <w:lvl w:ilvl="0">
      <w:lvlJc w:val="left"/>
      <w:lvlText w:val="(%1)"/>
      <w:numFmt w:val="lowerRoman"/>
      <w:start w:val="2"/>
    </w:lvl>
  </w:abstractNum>
  <w:abstractNum w:abstractNumId="3">
    <w:nsid w:val="71EA1109"/>
    <w:multiLevelType w:val="hybridMultilevel"/>
    <w:lvl w:ilvl="0">
      <w:lvlJc w:val="left"/>
      <w:lvlText w:val="(%1)"/>
      <w:numFmt w:val="lowerRoman"/>
      <w:start w:val="2"/>
    </w:lvl>
  </w:abstractNum>
  <w:abstractNum w:abstractNumId="4">
    <w:nsid w:val="100F59DC"/>
    <w:multiLevelType w:val="hybridMultilevel"/>
    <w:lvl w:ilvl="0">
      <w:lvlJc w:val="left"/>
      <w:lvlText w:val="(%1)"/>
      <w:numFmt w:val="lowerRoman"/>
      <w:start w:val="2"/>
    </w:lvl>
  </w:abstractNum>
  <w:abstractNum w:abstractNumId="5">
    <w:nsid w:val="7FB7E0AA"/>
    <w:multiLevelType w:val="hybridMultilevel"/>
    <w:lvl w:ilvl="0">
      <w:lvlJc w:val="left"/>
      <w:lvlText w:val="(%1)"/>
      <w:numFmt w:val="lowerLetter"/>
      <w:start w:val="1"/>
    </w:lvl>
  </w:abstractNum>
  <w:abstractNum w:abstractNumId="6">
    <w:nsid w:val="6EB5BD4"/>
    <w:multiLevelType w:val="hybridMultilevel"/>
    <w:lvl w:ilvl="0">
      <w:lvlJc w:val="left"/>
      <w:lvlText w:val="(%1)"/>
      <w:numFmt w:val="lowerLetter"/>
      <w:start w:val="3"/>
    </w:lvl>
  </w:abstractNum>
  <w:abstractNum w:abstractNumId="7">
    <w:nsid w:val="6F6DD9AC"/>
    <w:multiLevelType w:val="hybridMultilevel"/>
    <w:lvl w:ilvl="0">
      <w:lvlJc w:val="left"/>
      <w:lvlText w:val="(%1)"/>
      <w:numFmt w:val="lowerLetter"/>
      <w:start w:val="3"/>
    </w:lvl>
    <w:lvl w:ilvl="1">
      <w:lvlJc w:val="left"/>
      <w:lvlText w:val="-"/>
      <w:numFmt w:val="bullet"/>
      <w:start w:val="1"/>
    </w:lvl>
  </w:abstractNum>
  <w:abstractNum w:abstractNumId="8">
    <w:nsid w:val="94211F2"/>
    <w:multiLevelType w:val="hybridMultilevel"/>
    <w:lvl w:ilvl="0">
      <w:lvlJc w:val="left"/>
      <w:lvlText w:val="(%1)"/>
      <w:numFmt w:val="lowerLetter"/>
      <w:start w:val="1"/>
    </w:lvl>
  </w:abstractNum>
  <w:abstractNum w:abstractNumId="9">
    <w:nsid w:val="885E1B"/>
    <w:multiLevelType w:val="hybridMultilevel"/>
    <w:lvl w:ilvl="0">
      <w:lvlJc w:val="left"/>
      <w:lvlText w:val="(%1)"/>
      <w:numFmt w:val="lowerRoman"/>
      <w:start w:val="1"/>
    </w:lvl>
  </w:abstractNum>
  <w:abstractNum w:abstractNumId="10">
    <w:nsid w:val="76272110"/>
    <w:multiLevelType w:val="hybridMultilevel"/>
    <w:lvl w:ilvl="0">
      <w:lvlJc w:val="left"/>
      <w:lvlText w:val="(%1)"/>
      <w:numFmt w:val="lowerRoman"/>
      <w:start w:val="1"/>
    </w:lvl>
  </w:abstractNum>
  <w:abstractNum w:abstractNumId="11">
    <w:nsid w:val="4C04A8AF"/>
    <w:multiLevelType w:val="hybridMultilevel"/>
    <w:lvl w:ilvl="0">
      <w:lvlJc w:val="left"/>
      <w:lvlText w:val="(%1)"/>
      <w:numFmt w:val="lowerRoman"/>
      <w:start w:val="3"/>
    </w:lvl>
  </w:abstractNum>
  <w:abstractNum w:abstractNumId="12">
    <w:nsid w:val="1716703B"/>
    <w:multiLevelType w:val="hybridMultilevel"/>
    <w:lvl w:ilvl="0">
      <w:lvlJc w:val="left"/>
      <w:lvlText w:val="(%1)"/>
      <w:numFmt w:val="lowerLetter"/>
      <w:start w:val="1"/>
    </w:lvl>
    <w:lvl w:ilvl="1">
      <w:lvlJc w:val="left"/>
      <w:lvlText w:val="-"/>
      <w:numFmt w:val="bullet"/>
      <w:start w:val="1"/>
    </w:lvl>
  </w:abstractNum>
  <w:abstractNum w:abstractNumId="13">
    <w:nsid w:val="14E17E3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4">
    <w:nsid w:val="3222E7CD"/>
    <w:multiLevelType w:val="hybridMultilevel"/>
    <w:lvl w:ilvl="0">
      <w:lvlJc w:val="left"/>
      <w:lvlText w:val="(%1)"/>
      <w:numFmt w:val="lowerRoman"/>
      <w:start w:val="2"/>
    </w:lvl>
  </w:abstractNum>
  <w:abstractNum w:abstractNumId="15">
    <w:nsid w:val="74DE0EE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6">
    <w:nsid w:val="68EBC550"/>
    <w:multiLevelType w:val="hybridMultilevel"/>
    <w:lvl w:ilvl="0">
      <w:lvlJc w:val="left"/>
      <w:lvlText w:val="(%1)"/>
      <w:numFmt w:val="upperLetter"/>
      <w:start w:val="4"/>
    </w:lvl>
  </w:abstractNum>
  <w:abstractNum w:abstractNumId="17">
    <w:nsid w:val="2DF6D64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8">
    <w:nsid w:val="46B7D44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5"/>
    </w:lvl>
  </w:abstractNum>
  <w:abstractNum w:abstractNumId="19">
    <w:nsid w:val="4A2AC315"/>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0">
    <w:nsid w:val="39EE015C"/>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21">
    <w:nsid w:val="57FC4FBB"/>
    <w:multiLevelType w:val="hybridMultilevel"/>
    <w:lvl w:ilvl="0">
      <w:lvlJc w:val="left"/>
      <w:lvlText w:val="(%1)"/>
      <w:numFmt w:val="lowerLetter"/>
      <w:start w:val="1"/>
    </w:lvl>
    <w:lvl w:ilvl="1">
      <w:lvlJc w:val="left"/>
      <w:lvlText w:val="-"/>
      <w:numFmt w:val="bullet"/>
      <w:start w:val="1"/>
    </w:lvl>
  </w:abstractNum>
  <w:abstractNum w:abstractNumId="22">
    <w:nsid w:val="CC1016F"/>
    <w:multiLevelType w:val="hybridMultilevel"/>
    <w:lvl w:ilvl="0">
      <w:lvlJc w:val="left"/>
      <w:lvlText w:val="(%1)"/>
      <w:numFmt w:val="decimal"/>
      <w:start w:val="30"/>
    </w:lvl>
    <w:lvl w:ilvl="1">
      <w:lvlJc w:val="left"/>
      <w:lvlText w:val="(%2)"/>
      <w:numFmt w:val="lowerLetter"/>
      <w:start w:val="3"/>
    </w:lvl>
    <w:lvl w:ilvl="2">
      <w:lvlJc w:val="left"/>
      <w:lvlText w:val="-"/>
      <w:numFmt w:val="bullet"/>
      <w:start w:val="1"/>
    </w:lvl>
  </w:abstractNum>
  <w:abstractNum w:abstractNumId="23">
    <w:nsid w:val="43F18422"/>
    <w:multiLevelType w:val="hybridMultilevel"/>
    <w:lvl w:ilvl="0">
      <w:lvlJc w:val="left"/>
      <w:lvlText w:val="(%1)"/>
      <w:numFmt w:val="lowerLetter"/>
      <w:start w:val="5"/>
    </w:lvl>
    <w:lvl w:ilvl="1">
      <w:lvlJc w:val="left"/>
      <w:lvlText w:val="-"/>
      <w:numFmt w:val="bullet"/>
      <w:start w:val="1"/>
    </w:lvl>
  </w:abstractNum>
  <w:abstractNum w:abstractNumId="24">
    <w:nsid w:val="60EF0119"/>
    <w:multiLevelType w:val="hybridMultilevel"/>
    <w:lvl w:ilvl="0">
      <w:lvlJc w:val="left"/>
      <w:lvlText w:val="(%1)"/>
      <w:numFmt w:val="lowerLetter"/>
      <w:start w:val="8"/>
    </w:lvl>
    <w:lvl w:ilvl="1">
      <w:lvlJc w:val="left"/>
      <w:lvlText w:val="-"/>
      <w:numFmt w:val="bullet"/>
      <w:start w:val="1"/>
    </w:lvl>
  </w:abstractNum>
  <w:abstractNum w:abstractNumId="25">
    <w:nsid w:val="26F324BA"/>
    <w:multiLevelType w:val="hybridMultilevel"/>
    <w:lvl w:ilvl="0">
      <w:lvlJc w:val="left"/>
      <w:lvlText w:val="%1"/>
      <w:numFmt w:val="lowerLetter"/>
      <w:start w:val="1"/>
    </w:lvl>
    <w:lvl w:ilvl="1">
      <w:lvlJc w:val="left"/>
      <w:lvlText w:val="(%2)"/>
      <w:numFmt w:val="lowerLetter"/>
      <w:start w:val="10"/>
    </w:lvl>
  </w:abstractNum>
  <w:abstractNum w:abstractNumId="26">
    <w:nsid w:val="7F01579B"/>
    <w:multiLevelType w:val="hybridMultilevel"/>
    <w:lvl w:ilvl="0">
      <w:lvlJc w:val="left"/>
      <w:lvlText w:val="(%1)"/>
      <w:numFmt w:val="lowerLetter"/>
      <w:start w:val="5"/>
    </w:lvl>
    <w:lvl w:ilvl="1">
      <w:lvlJc w:val="left"/>
      <w:lvlText w:val="(%2)"/>
      <w:numFmt w:val="lowerLetter"/>
      <w:start w:val="11"/>
    </w:lvl>
  </w:abstractNum>
  <w:abstractNum w:abstractNumId="27">
    <w:nsid w:val="49DA307D"/>
    <w:multiLevelType w:val="hybridMultilevel"/>
    <w:lvl w:ilvl="0">
      <w:lvlJc w:val="left"/>
      <w:lvlText w:val="(%1)"/>
      <w:numFmt w:val="lowerLetter"/>
      <w:start w:val="1"/>
    </w:lvl>
    <w:lvl w:ilvl="1">
      <w:lvlJc w:val="left"/>
      <w:lvlText w:val="-"/>
      <w:numFmt w:val="bullet"/>
      <w:start w:val="1"/>
    </w:lvl>
  </w:abstractNum>
  <w:abstractNum w:abstractNumId="28">
    <w:nsid w:val="7055A5F5"/>
    <w:multiLevelType w:val="hybridMultilevel"/>
    <w:lvl w:ilvl="0">
      <w:lvlJc w:val="left"/>
      <w:lvlText w:val="(%1)"/>
      <w:numFmt w:val="lowerLetter"/>
      <w:start w:val="2"/>
    </w:lvl>
    <w:lvl w:ilvl="1">
      <w:lvlJc w:val="left"/>
      <w:lvlText w:val="-"/>
      <w:numFmt w:val="bullet"/>
      <w:start w:val="1"/>
    </w:lvl>
  </w:abstractNum>
  <w:abstractNum w:abstractNumId="29">
    <w:nsid w:val="5FB8370B"/>
    <w:multiLevelType w:val="hybridMultilevel"/>
    <w:lvl w:ilvl="0">
      <w:lvlJc w:val="left"/>
      <w:lvlText w:val="(%1)"/>
      <w:numFmt w:val="lowerRoman"/>
      <w:start w:val="2"/>
    </w:lvl>
  </w:abstractNum>
  <w:abstractNum w:abstractNumId="30">
    <w:nsid w:val="50801EE1"/>
    <w:multiLevelType w:val="hybridMultilevel"/>
    <w:lvl w:ilvl="0">
      <w:lvlJc w:val="left"/>
      <w:lvlText w:val="(%1)"/>
      <w:numFmt w:val="lowerRoman"/>
      <w:start w:val="5"/>
    </w:lvl>
  </w:abstractNum>
  <w:abstractNum w:abstractNumId="31">
    <w:nsid w:val="488AC1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2">
    <w:nsid w:val="5FB8011C"/>
    <w:multiLevelType w:val="hybridMultilevel"/>
    <w:lvl w:ilvl="0">
      <w:lvlJc w:val="left"/>
      <w:lvlText w:val="(%1)"/>
      <w:numFmt w:val="lowerRoman"/>
      <w:start w:val="3"/>
    </w:lvl>
  </w:abstractNum>
  <w:abstractNum w:abstractNumId="33">
    <w:nsid w:val="6AA78F7F"/>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34">
    <w:nsid w:val="7672BD23"/>
    <w:multiLevelType w:val="hybridMultilevel"/>
    <w:lvl w:ilvl="0">
      <w:lvlJc w:val="left"/>
      <w:lvlText w:val="(%1)"/>
      <w:numFmt w:val="lowerRoman"/>
      <w:start w:val="3"/>
    </w:lvl>
  </w:abstractNum>
  <w:abstractNum w:abstractNumId="35">
    <w:nsid w:val="6FC75AF8"/>
    <w:multiLevelType w:val="hybridMultilevel"/>
    <w:lvl w:ilvl="0">
      <w:lvlJc w:val="left"/>
      <w:lvlText w:val="(%1)"/>
      <w:numFmt w:val="lowerLetter"/>
      <w:start w:val="1"/>
    </w:lvl>
  </w:abstractNum>
  <w:abstractNum w:abstractNumId="36">
    <w:nsid w:val="6A5F7029"/>
    <w:multiLevelType w:val="hybridMultilevel"/>
    <w:lvl w:ilvl="0">
      <w:lvlJc w:val="left"/>
      <w:lvlText w:val="(%1)"/>
      <w:numFmt w:val="lowerLetter"/>
      <w:start w:val="1"/>
    </w:lvl>
  </w:abstractNum>
  <w:abstractNum w:abstractNumId="37">
    <w:nsid w:val="7D5E18F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8">
    <w:nsid w:val="5F3534A4"/>
    <w:multiLevelType w:val="hybridMultilevel"/>
    <w:lvl w:ilvl="0">
      <w:lvlJc w:val="left"/>
      <w:lvlText w:val="(%1)"/>
      <w:numFmt w:val="lowerRoman"/>
      <w:start w:val="2"/>
    </w:lvl>
  </w:abstractNum>
  <w:abstractNum w:abstractNumId="39">
    <w:nsid w:val="73A1821B"/>
    <w:multiLevelType w:val="hybridMultilevel"/>
    <w:lvl w:ilvl="0">
      <w:lvlJc w:val="left"/>
      <w:lvlText w:val="(%1)"/>
      <w:numFmt w:val="lowerLetter"/>
      <w:start w:val="1"/>
    </w:lvl>
  </w:abstractNum>
  <w:abstractNum w:abstractNumId="40">
    <w:nsid w:val="7DE67713"/>
    <w:multiLevelType w:val="hybridMultilevel"/>
    <w:lvl w:ilvl="0">
      <w:lvlJc w:val="left"/>
      <w:lvlText w:val="(%1)"/>
      <w:numFmt w:val="lowerLetter"/>
      <w:start w:val="1"/>
    </w:lvl>
    <w:lvl w:ilvl="1">
      <w:lvlJc w:val="left"/>
      <w:lvlText w:val="-"/>
      <w:numFmt w:val="bullet"/>
      <w:start w:val="1"/>
    </w:lvl>
  </w:abstractNum>
  <w:abstractNum w:abstractNumId="41">
    <w:nsid w:val="555C55B5"/>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42">
    <w:nsid w:val="3FA62ACA"/>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43">
    <w:nsid w:val="14FCE74E"/>
    <w:multiLevelType w:val="hybridMultilevel"/>
    <w:lvl w:ilvl="0">
      <w:lvlJc w:val="left"/>
      <w:lvlText w:val="(%1)"/>
      <w:numFmt w:val="lowerLetter"/>
      <w:start w:val="1"/>
    </w:lvl>
  </w:abstractNum>
  <w:abstractNum w:abstractNumId="44">
    <w:nsid w:val="6A3DD3E8"/>
    <w:multiLevelType w:val="hybridMultilevel"/>
    <w:lvl w:ilvl="0">
      <w:lvlJc w:val="left"/>
      <w:lvlText w:val="(%1)"/>
      <w:numFmt w:val="lowerLetter"/>
      <w:start w:val="1"/>
    </w:lvl>
    <w:lvl w:ilvl="1">
      <w:lvlJc w:val="left"/>
      <w:lvlText w:val="-"/>
      <w:numFmt w:val="bullet"/>
      <w:start w:val="1"/>
    </w:lvl>
  </w:abstractNum>
  <w:abstractNum w:abstractNumId="45">
    <w:nsid w:val="71C91298"/>
    <w:multiLevelType w:val="hybridMultilevel"/>
    <w:lvl w:ilvl="0">
      <w:lvlJc w:val="left"/>
      <w:lvlText w:val="(%1)"/>
      <w:numFmt w:val="lowerLetter"/>
      <w:start w:val="1"/>
    </w:lvl>
    <w:lvl w:ilvl="1">
      <w:lvlJc w:val="left"/>
      <w:lvlText w:val="-"/>
      <w:numFmt w:val="bullet"/>
      <w:start w:val="1"/>
    </w:lvl>
  </w:abstractNum>
  <w:abstractNum w:abstractNumId="46">
    <w:nsid w:val="9DAF632"/>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47">
    <w:nsid w:val="53299938"/>
    <w:multiLevelType w:val="hybridMultilevel"/>
    <w:lvl w:ilvl="0">
      <w:lvlJc w:val="left"/>
      <w:lvlText w:val="%1"/>
      <w:numFmt w:val="lowerLetter"/>
      <w:start w:val="1"/>
    </w:lvl>
    <w:lvl w:ilvl="1">
      <w:lvlJc w:val="left"/>
      <w:lvlText w:val="(%2)"/>
      <w:numFmt w:val="lowerLetter"/>
      <w:start w:val="61"/>
    </w:lvl>
  </w:abstractNum>
  <w:abstractNum w:abstractNumId="48">
    <w:nsid w:val="1FBFE8E0"/>
    <w:multiLevelType w:val="hybridMultilevel"/>
    <w:lvl w:ilvl="0">
      <w:lvlJc w:val="left"/>
      <w:lvlText w:val="(%1)"/>
      <w:numFmt w:val="lowerLetter"/>
      <w:start w:val="4"/>
    </w:lvl>
    <w:lvl w:ilvl="1">
      <w:lvlJc w:val="left"/>
      <w:lvlText w:val="(%2)"/>
      <w:numFmt w:val="lowerLetter"/>
      <w:start w:val="9"/>
    </w:lvl>
  </w:abstractNum>
  <w:abstractNum w:abstractNumId="49">
    <w:nsid w:val="5092CA79"/>
    <w:multiLevelType w:val="hybridMultilevel"/>
    <w:lvl w:ilvl="0">
      <w:lvlJc w:val="left"/>
      <w:lvlText w:val="(%1)"/>
      <w:numFmt w:val="lowerRoman"/>
      <w:start w:val="2"/>
    </w:lvl>
    <w:lvl w:ilvl="1">
      <w:lvlJc w:val="left"/>
      <w:lvlText w:val="-"/>
      <w:numFmt w:val="bullet"/>
      <w:start w:val="1"/>
    </w:lvl>
  </w:abstractNum>
  <w:abstractNum w:abstractNumId="50">
    <w:nsid w:val="1D545C4D"/>
    <w:multiLevelType w:val="hybridMultilevel"/>
    <w:lvl w:ilvl="0">
      <w:lvlJc w:val="left"/>
      <w:lvlText w:val="%1"/>
      <w:numFmt w:val="lowerLetter"/>
      <w:start w:val="1"/>
    </w:lvl>
    <w:lvl w:ilvl="1">
      <w:lvlJc w:val="left"/>
      <w:lvlText w:val="(%2)"/>
      <w:numFmt w:val="lowerRoman"/>
      <w:start w:val="4"/>
    </w:lvl>
  </w:abstractNum>
  <w:abstractNum w:abstractNumId="51">
    <w:nsid w:val="59ADEA3D"/>
    <w:multiLevelType w:val="hybridMultilevel"/>
    <w:lvl w:ilvl="0">
      <w:lvlJc w:val="left"/>
      <w:lvlText w:val="(%1)"/>
      <w:numFmt w:val="lowerLetter"/>
      <w:start w:val="6"/>
    </w:lvl>
    <w:lvl w:ilvl="1">
      <w:lvlJc w:val="left"/>
      <w:lvlText w:val="%2"/>
      <w:numFmt w:val="lowerRoman"/>
      <w:start w:val="1"/>
    </w:lvl>
  </w:abstractNum>
  <w:abstractNum w:abstractNumId="52">
    <w:nsid w:val="288F1A34"/>
    <w:multiLevelType w:val="hybridMultilevel"/>
    <w:lvl w:ilvl="0">
      <w:lvlJc w:val="left"/>
      <w:lvlText w:val="(%1)"/>
      <w:numFmt w:val="lowerLetter"/>
      <w:start w:val="1"/>
    </w:lvl>
    <w:lvl w:ilvl="1">
      <w:lvlJc w:val="left"/>
      <w:lvlText w:val="-"/>
      <w:numFmt w:val="bullet"/>
      <w:start w:val="1"/>
    </w:lvl>
  </w:abstractNum>
  <w:abstractNum w:abstractNumId="53">
    <w:nsid w:val="2A155DBC"/>
    <w:multiLevelType w:val="hybridMultilevel"/>
    <w:lvl w:ilvl="0">
      <w:lvlJc w:val="left"/>
      <w:lvlText w:val="%1"/>
      <w:numFmt w:val="lowerRoman"/>
      <w:start w:val="1"/>
    </w:lvl>
    <w:lvl w:ilvl="1">
      <w:lvlJc w:val="left"/>
      <w:lvlText w:val="(%2)"/>
      <w:numFmt w:val="lowerRoman"/>
      <w:start w:val="1"/>
    </w:lvl>
  </w:abstractNum>
  <w:abstractNum w:abstractNumId="54">
    <w:nsid w:val="1D9F6E5F"/>
    <w:multiLevelType w:val="hybridMultilevel"/>
    <w:lvl w:ilvl="0">
      <w:lvlJc w:val="left"/>
      <w:lvlText w:val="(%1)"/>
      <w:numFmt w:val="lowerRoman"/>
      <w:start w:val="1"/>
    </w:lvl>
    <w:lvl w:ilvl="1">
      <w:lvlJc w:val="left"/>
      <w:lvlText w:val="(%2)"/>
      <w:numFmt w:val="lowerRoman"/>
      <w:start w:val="3"/>
    </w:lvl>
  </w:abstractNum>
  <w:abstractNum w:abstractNumId="55">
    <w:nsid w:val="97E1B4E"/>
    <w:multiLevelType w:val="hybridMultilevel"/>
    <w:lvl w:ilvl="0">
      <w:lvlJc w:val="left"/>
      <w:lvlText w:val="(%1)"/>
      <w:numFmt w:val="lowerLetter"/>
      <w:start w:val="2"/>
    </w:lvl>
    <w:lvl w:ilvl="1">
      <w:lvlJc w:val="left"/>
      <w:lvlText w:val="-"/>
      <w:numFmt w:val="bullet"/>
      <w:start w:val="1"/>
    </w:lvl>
  </w:abstractNum>
  <w:abstractNum w:abstractNumId="56">
    <w:nsid w:val="51088277"/>
    <w:multiLevelType w:val="hybridMultilevel"/>
    <w:lvl w:ilvl="0">
      <w:lvlJc w:val="left"/>
      <w:lvlText w:val="(%1)"/>
      <w:numFmt w:val="lowerLetter"/>
      <w:start w:val="4"/>
    </w:lvl>
  </w:abstractNum>
  <w:abstractNum w:abstractNumId="57">
    <w:nsid w:val="1CA0C5FA"/>
    <w:multiLevelType w:val="hybridMultilevel"/>
    <w:lvl w:ilvl="0">
      <w:lvlJc w:val="left"/>
      <w:lvlText w:val="(%1)"/>
      <w:numFmt w:val="lowerLetter"/>
      <w:start w:val="1"/>
    </w:lvl>
    <w:lvl w:ilvl="1">
      <w:lvlJc w:val="left"/>
      <w:lvlText w:val="-"/>
      <w:numFmt w:val="bullet"/>
      <w:start w:val="1"/>
    </w:lvl>
  </w:abstractNum>
  <w:abstractNum w:abstractNumId="58">
    <w:nsid w:val="53584BCB"/>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59">
    <w:nsid w:val="415E286C"/>
    <w:multiLevelType w:val="hybridMultilevel"/>
    <w:lvl w:ilvl="0">
      <w:lvlJc w:val="left"/>
      <w:lvlText w:val="(%1)"/>
      <w:numFmt w:val="lowerLetter"/>
      <w:start w:val="1"/>
    </w:lvl>
    <w:lvl w:ilvl="1">
      <w:lvlJc w:val="left"/>
      <w:lvlText w:val="(%2)"/>
      <w:numFmt w:val="lowerLetter"/>
      <w:start w:val="4"/>
    </w:lvl>
    <w:lvl w:ilvl="2">
      <w:lvlJc w:val="left"/>
      <w:lvlText w:val="-"/>
      <w:numFmt w:val="bullet"/>
      <w:start w:val="1"/>
    </w:lvl>
  </w:abstractNum>
  <w:abstractNum w:abstractNumId="60">
    <w:nsid w:val="7C58FD05"/>
    <w:multiLevelType w:val="hybridMultilevel"/>
    <w:lvl w:ilvl="0">
      <w:lvlJc w:val="left"/>
      <w:lvlText w:val="(%1)"/>
      <w:numFmt w:val="lowerLetter"/>
      <w:start w:val="5"/>
    </w:lvl>
  </w:abstractNum>
  <w:abstractNum w:abstractNumId="61">
    <w:nsid w:val="23D86AAC"/>
    <w:multiLevelType w:val="hybridMultilevel"/>
    <w:lvl w:ilvl="0">
      <w:lvlJc w:val="left"/>
      <w:lvlText w:val="(%1)"/>
      <w:numFmt w:val="lowerLetter"/>
      <w:start w:val="1"/>
    </w:lvl>
    <w:lvl w:ilvl="1">
      <w:lvlJc w:val="left"/>
      <w:lvlText w:val="-"/>
      <w:numFmt w:val="bullet"/>
      <w:start w:val="1"/>
    </w:lvl>
  </w:abstractNum>
  <w:abstractNum w:abstractNumId="62">
    <w:nsid w:val="45E6D486"/>
    <w:multiLevelType w:val="hybridMultilevel"/>
    <w:lvl w:ilvl="0">
      <w:lvlJc w:val="left"/>
      <w:lvlText w:val="(%1)"/>
      <w:numFmt w:val="lowerLetter"/>
      <w:start w:val="3"/>
    </w:lvl>
  </w:abstractNum>
  <w:abstractNum w:abstractNumId="63">
    <w:nsid w:val="5C10FE21"/>
    <w:multiLevelType w:val="hybridMultilevel"/>
    <w:lvl w:ilvl="0">
      <w:lvlJc w:val="left"/>
      <w:lvlText w:val="(%1)"/>
      <w:numFmt w:val="lowerRoman"/>
      <w:start w:val="2"/>
    </w:lvl>
  </w:abstractNum>
  <w:abstractNum w:abstractNumId="64">
    <w:nsid w:val="E7FFA2B"/>
    <w:multiLevelType w:val="hybridMultilevel"/>
    <w:lvl w:ilvl="0">
      <w:lvlJc w:val="left"/>
      <w:lvlText w:val="(%1)"/>
      <w:numFmt w:val="lowerLetter"/>
      <w:start w:val="1"/>
    </w:lvl>
  </w:abstractNum>
  <w:abstractNum w:abstractNumId="65">
    <w:nsid w:val="3C5991AA"/>
    <w:multiLevelType w:val="hybridMultilevel"/>
    <w:lvl w:ilvl="0">
      <w:lvlJc w:val="left"/>
      <w:lvlText w:val="(%1)"/>
      <w:numFmt w:val="lowerLetter"/>
      <w:start w:val="1"/>
    </w:lvl>
    <w:lvl w:ilvl="1">
      <w:lvlJc w:val="left"/>
      <w:lvlText w:val="(%2)"/>
      <w:numFmt w:val="lowerRoman"/>
      <w:start w:val="1"/>
    </w:lvl>
  </w:abstractNum>
  <w:abstractNum w:abstractNumId="66">
    <w:nsid w:val="4BD8591A"/>
    <w:multiLevelType w:val="hybridMultilevel"/>
    <w:lvl w:ilvl="0">
      <w:lvlJc w:val="left"/>
      <w:lvlText w:val="(%1)"/>
      <w:numFmt w:val="lowerLetter"/>
      <w:start w:val="2"/>
    </w:lvl>
  </w:abstractNum>
  <w:abstractNum w:abstractNumId="67">
    <w:nsid w:val="78DF6A5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8">
    <w:nsid w:val="39B7AAA2"/>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69">
    <w:nsid w:val="2B0D8DBE"/>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70">
    <w:nsid w:val="6C80EC70"/>
    <w:multiLevelType w:val="hybridMultilevel"/>
    <w:lvl w:ilvl="0">
      <w:lvlJc w:val="left"/>
      <w:lvlText w:val="%1"/>
      <w:numFmt w:val="upperLetter"/>
      <w:start w:val="1"/>
    </w:lvl>
    <w:lvl w:ilvl="1">
      <w:lvlJc w:val="left"/>
      <w:lvlText w:val="(%2)"/>
      <w:numFmt w:val="lowerRoman"/>
      <w:start w:val="1"/>
    </w:lvl>
  </w:abstractNum>
  <w:abstractNum w:abstractNumId="71">
    <w:nsid w:val="379E21B5"/>
    <w:multiLevelType w:val="hybridMultilevel"/>
    <w:lvl w:ilvl="0">
      <w:lvlJc w:val="left"/>
      <w:lvlText w:val="(%1)"/>
      <w:numFmt w:val="upperLetter"/>
      <w:start w:val="1"/>
    </w:lvl>
    <w:lvl w:ilvl="1">
      <w:lvlJc w:val="left"/>
      <w:lvlText w:val="(%2)"/>
      <w:numFmt w:val="lowerRoman"/>
      <w:start w:val="4"/>
    </w:lvl>
  </w:abstractNum>
  <w:abstractNum w:abstractNumId="72">
    <w:nsid w:val="69E373"/>
    <w:multiLevelType w:val="hybridMultilevel"/>
    <w:lvl w:ilvl="0">
      <w:lvlJc w:val="left"/>
      <w:lvlText w:val="(%1)"/>
      <w:numFmt w:val="lowerLetter"/>
      <w:start w:val="1"/>
    </w:lvl>
    <w:lvl w:ilvl="1">
      <w:lvlJc w:val="left"/>
      <w:lvlText w:val="-"/>
      <w:numFmt w:val="bullet"/>
      <w:start w:val="1"/>
    </w:lvl>
  </w:abstractNum>
  <w:abstractNum w:abstractNumId="73">
    <w:nsid w:val="2C27173B"/>
    <w:multiLevelType w:val="hybridMultilevel"/>
    <w:lvl w:ilvl="0">
      <w:lvlJc w:val="left"/>
      <w:lvlText w:val="(%1)"/>
      <w:numFmt w:val="lowerLetter"/>
      <w:start w:val="4"/>
    </w:lvl>
    <w:lvl w:ilvl="1">
      <w:lvlJc w:val="left"/>
      <w:lvlText w:val="-"/>
      <w:numFmt w:val="bullet"/>
      <w:start w:val="1"/>
    </w:lvl>
  </w:abstractNum>
  <w:abstractNum w:abstractNumId="74">
    <w:nsid w:val="4C9B0904"/>
    <w:multiLevelType w:val="hybridMultilevel"/>
    <w:lvl w:ilvl="0">
      <w:lvlJc w:val="left"/>
      <w:lvlText w:val="(%1)"/>
      <w:numFmt w:val="lowerLetter"/>
      <w:start w:val="10"/>
    </w:lvl>
    <w:lvl w:ilvl="1">
      <w:lvlJc w:val="left"/>
      <w:lvlText w:val="(%2)"/>
      <w:numFmt w:val="lowerRoman"/>
      <w:start w:val="1"/>
    </w:lvl>
    <w:lvl w:ilvl="2">
      <w:lvlJc w:val="left"/>
      <w:lvlText w:val="-"/>
      <w:numFmt w:val="bullet"/>
      <w:start w:val="1"/>
    </w:lvl>
  </w:abstractNum>
  <w:abstractNum w:abstractNumId="75">
    <w:nsid w:val="6AA7B75C"/>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76">
    <w:nsid w:val="1DF029D3"/>
    <w:multiLevelType w:val="hybridMultilevel"/>
    <w:lvl w:ilvl="0">
      <w:lvlJc w:val="left"/>
      <w:lvlText w:val="(%1)"/>
      <w:numFmt w:val="lowerLetter"/>
      <w:start w:val="14"/>
    </w:lvl>
    <w:lvl w:ilvl="1">
      <w:lvlJc w:val="left"/>
      <w:lvlText w:val="%2"/>
      <w:numFmt w:val="lowerRoman"/>
      <w:start w:val="1"/>
    </w:lvl>
    <w:lvl w:ilvl="2">
      <w:lvlJc w:val="left"/>
      <w:lvlText w:val="-"/>
      <w:numFmt w:val="bullet"/>
      <w:start w:val="1"/>
    </w:lvl>
  </w:abstractNum>
  <w:abstractNum w:abstractNumId="77">
    <w:nsid w:val="5675FF36"/>
    <w:multiLevelType w:val="hybridMultilevel"/>
    <w:lvl w:ilvl="0">
      <w:lvlJc w:val="left"/>
      <w:lvlText w:val="(%1)"/>
      <w:numFmt w:val="lowerLetter"/>
      <w:start w:val="16"/>
    </w:lvl>
    <w:lvl w:ilvl="1">
      <w:lvlJc w:val="left"/>
      <w:lvlText w:val="-"/>
      <w:numFmt w:val="bullet"/>
      <w:start w:val="1"/>
    </w:lvl>
  </w:abstractNum>
  <w:abstractNum w:abstractNumId="78">
    <w:nsid w:val="3DD15094"/>
    <w:multiLevelType w:val="hybridMultilevel"/>
    <w:lvl w:ilvl="0">
      <w:lvlJc w:val="left"/>
      <w:lvlText w:val="(%1)"/>
      <w:numFmt w:val="lowerLetter"/>
      <w:start w:val="21"/>
    </w:lvl>
    <w:lvl w:ilvl="1">
      <w:lvlJc w:val="left"/>
      <w:lvlText w:val="-"/>
      <w:numFmt w:val="bullet"/>
      <w:start w:val="1"/>
    </w:lvl>
  </w:abstractNum>
  <w:abstractNum w:abstractNumId="79">
    <w:nsid w:val="3DB012B3"/>
    <w:multiLevelType w:val="hybridMultilevel"/>
    <w:lvl w:ilvl="0">
      <w:lvlJc w:val="left"/>
      <w:lvlText w:val="(%1)"/>
      <w:numFmt w:val="lowerLetter"/>
      <w:start w:val="25"/>
    </w:lvl>
  </w:abstractNum>
  <w:abstractNum w:abstractNumId="80">
    <w:nsid w:val="2708C9AF"/>
    <w:multiLevelType w:val="hybridMultilevel"/>
    <w:lvl w:ilvl="0">
      <w:lvlJc w:val="left"/>
      <w:lvlText w:val="(%1)"/>
      <w:numFmt w:val="lowerLetter"/>
      <w:start w:val="1"/>
    </w:lvl>
    <w:lvl w:ilvl="1">
      <w:lvlJc w:val="left"/>
      <w:lvlText w:val="-"/>
      <w:numFmt w:val="bullet"/>
      <w:start w:val="1"/>
    </w:lvl>
  </w:abstractNum>
  <w:abstractNum w:abstractNumId="81">
    <w:nsid w:val="5B25ACE2"/>
    <w:multiLevelType w:val="hybridMultilevel"/>
    <w:lvl w:ilvl="0">
      <w:lvlJc w:val="left"/>
      <w:lvlText w:val="(%1)"/>
      <w:numFmt w:val="lowerLetter"/>
      <w:start w:val="1"/>
    </w:lvl>
    <w:lvl w:ilvl="1">
      <w:lvlJc w:val="left"/>
      <w:lvlText w:val="-"/>
      <w:numFmt w:val="bullet"/>
      <w:start w:val="1"/>
    </w:lvl>
  </w:abstractNum>
  <w:abstractNum w:abstractNumId="82">
    <w:nsid w:val="175DFCF0"/>
    <w:multiLevelType w:val="hybridMultilevel"/>
    <w:lvl w:ilvl="0">
      <w:lvlJc w:val="left"/>
      <w:lvlText w:val="%1"/>
      <w:numFmt w:val="lowerLetter"/>
      <w:start w:val="1"/>
    </w:lvl>
    <w:lvl w:ilvl="1">
      <w:lvlJc w:val="left"/>
      <w:lvlText w:val="(%2)"/>
      <w:numFmt w:val="lowerLetter"/>
      <w:start w:val="6"/>
    </w:lvl>
    <w:lvl w:ilvl="2">
      <w:lvlJc w:val="left"/>
      <w:lvlText w:val="-"/>
      <w:numFmt w:val="bullet"/>
      <w:start w:val="1"/>
    </w:lvl>
  </w:abstractNum>
  <w:abstractNum w:abstractNumId="83">
    <w:nsid w:val="4F97E3E4"/>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84">
    <w:nsid w:val="53B0A9E"/>
    <w:multiLevelType w:val="hybridMultilevel"/>
    <w:lvl w:ilvl="0">
      <w:lvlJc w:val="left"/>
      <w:lvlText w:val="(%1)"/>
      <w:numFmt w:val="lowerLetter"/>
      <w:start w:val="18"/>
    </w:lvl>
  </w:abstractNum>
  <w:abstractNum w:abstractNumId="85">
    <w:nsid w:val="34FD6B4F"/>
    <w:multiLevelType w:val="hybridMultilevel"/>
    <w:lvl w:ilvl="0">
      <w:lvlJc w:val="left"/>
      <w:lvlText w:val="(%1)"/>
      <w:numFmt w:val="lowerLetter"/>
      <w:start w:val="1"/>
    </w:lvl>
    <w:lvl w:ilvl="1">
      <w:lvlJc w:val="left"/>
      <w:lvlText w:val="-"/>
      <w:numFmt w:val="bullet"/>
      <w:start w:val="1"/>
    </w:lvl>
  </w:abstractNum>
  <w:abstractNum w:abstractNumId="86">
    <w:nsid w:val="5915FF32"/>
    <w:multiLevelType w:val="hybridMultilevel"/>
    <w:lvl w:ilvl="0">
      <w:lvlJc w:val="left"/>
      <w:lvlText w:val="(%1)"/>
      <w:numFmt w:val="lowerLetter"/>
      <w:start w:val="1"/>
    </w:lvl>
    <w:lvl w:ilvl="1">
      <w:lvlJc w:val="left"/>
      <w:lvlText w:val="-"/>
      <w:numFmt w:val="bullet"/>
      <w:start w:val="1"/>
    </w:lvl>
  </w:abstractNum>
  <w:abstractNum w:abstractNumId="87">
    <w:nsid w:val="56438D15"/>
    <w:multiLevelType w:val="hybridMultilevel"/>
    <w:lvl w:ilvl="0">
      <w:lvlJc w:val="left"/>
      <w:lvlText w:val="(%1)"/>
      <w:numFmt w:val="lowerLetter"/>
      <w:start w:val="4"/>
    </w:lvl>
    <w:lvl w:ilvl="1">
      <w:lvlJc w:val="left"/>
      <w:lvlText w:val="(%2)"/>
      <w:numFmt w:val="lowerRoman"/>
      <w:start w:val="1"/>
    </w:lvl>
  </w:abstractNum>
  <w:abstractNum w:abstractNumId="88">
    <w:nsid w:val="519E3149"/>
    <w:multiLevelType w:val="hybridMultilevel"/>
    <w:lvl w:ilvl="0">
      <w:lvlJc w:val="left"/>
      <w:lvlText w:val="(%1)"/>
      <w:numFmt w:val="lowerLetter"/>
      <w:start w:val="22"/>
    </w:lvl>
    <w:lvl w:ilvl="1">
      <w:lvlJc w:val="left"/>
      <w:lvlText w:val="(%2)"/>
      <w:numFmt w:val="lowerLetter"/>
      <w:start w:val="8"/>
    </w:lvl>
    <w:lvl w:ilvl="2">
      <w:lvlJc w:val="left"/>
      <w:lvlText w:val="-"/>
      <w:numFmt w:val="bullet"/>
      <w:start w:val="1"/>
    </w:lvl>
  </w:abstractNum>
  <w:abstractNum w:abstractNumId="89">
    <w:nsid w:val="2C6E4AFD"/>
    <w:multiLevelType w:val="hybridMultilevel"/>
    <w:lvl w:ilvl="0">
      <w:lvlJc w:val="left"/>
      <w:lvlText w:val="(%1)"/>
      <w:numFmt w:val="lowerLetter"/>
      <w:start w:val="1"/>
    </w:lvl>
  </w:abstractNum>
  <w:abstractNum w:abstractNumId="90">
    <w:nsid w:val="17A1B582"/>
    <w:multiLevelType w:val="hybridMultilevel"/>
    <w:lvl w:ilvl="0">
      <w:lvlJc w:val="left"/>
      <w:lvlText w:val="(%1)"/>
      <w:numFmt w:val="lowerLetter"/>
      <w:start w:val="1"/>
    </w:lvl>
    <w:lvl w:ilvl="1">
      <w:lvlJc w:val="left"/>
      <w:lvlText w:val="-"/>
      <w:numFmt w:val="bullet"/>
      <w:start w:val="1"/>
    </w:lvl>
  </w:abstractNum>
  <w:abstractNum w:abstractNumId="91">
    <w:nsid w:val="4DF72E4E"/>
    <w:multiLevelType w:val="hybridMultilevel"/>
    <w:lvl w:ilvl="0">
      <w:lvlJc w:val="left"/>
      <w:lvlText w:val="(%1)"/>
      <w:numFmt w:val="lowerLetter"/>
      <w:start w:val="2"/>
    </w:lvl>
    <w:lvl w:ilvl="1">
      <w:lvlJc w:val="left"/>
      <w:lvlText w:val="(%2)"/>
      <w:numFmt w:val="upperLetter"/>
      <w:start w:val="2"/>
    </w:lvl>
    <w:lvl w:ilvl="2">
      <w:lvlJc w:val="left"/>
      <w:lvlText w:val="(%3)"/>
      <w:numFmt w:val="lowerRoman"/>
      <w:start w:val="1"/>
    </w:lvl>
    <w:lvl w:ilvl="3">
      <w:lvlJc w:val="left"/>
      <w:lvlText w:val="-"/>
      <w:numFmt w:val="bullet"/>
      <w:start w:val="1"/>
    </w:lvl>
  </w:abstractNum>
  <w:abstractNum w:abstractNumId="92">
    <w:nsid w:val="5046B5A9"/>
    <w:multiLevelType w:val="hybridMultilevel"/>
    <w:lvl w:ilvl="0">
      <w:lvlJc w:val="left"/>
      <w:lvlText w:val="(%1)"/>
      <w:numFmt w:val="lowerRoman"/>
      <w:start w:val="2"/>
    </w:lvl>
  </w:abstractNum>
  <w:abstractNum w:abstractNumId="93">
    <w:nsid w:val="5D888A0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94">
    <w:nsid w:val="2A082C70"/>
    <w:multiLevelType w:val="hybridMultilevel"/>
    <w:lvl w:ilvl="0">
      <w:lvlJc w:val="left"/>
      <w:lvlText w:val="(%1)"/>
      <w:numFmt w:val="lowerRoman"/>
      <w:start w:val="10"/>
    </w:lvl>
  </w:abstractNum>
  <w:abstractNum w:abstractNumId="95">
    <w:nsid w:val="5EC6AFD4"/>
    <w:multiLevelType w:val="hybridMultilevel"/>
    <w:lvl w:ilvl="0">
      <w:lvlJc w:val="left"/>
      <w:lvlText w:val="(%1)"/>
      <w:numFmt w:val="lowerLetter"/>
      <w:start w:val="3"/>
    </w:lvl>
    <w:lvl w:ilvl="1">
      <w:lvlJc w:val="left"/>
      <w:lvlText w:val="(%2)"/>
      <w:numFmt w:val="lowerRoman"/>
      <w:start w:val="1"/>
    </w:lvl>
  </w:abstractNum>
  <w:abstractNum w:abstractNumId="96">
    <w:nsid w:val="19E21BB2"/>
    <w:multiLevelType w:val="hybridMultilevel"/>
    <w:lvl w:ilvl="0">
      <w:lvlJc w:val="left"/>
      <w:lvlText w:val="(%1)"/>
      <w:numFmt w:val="lowerLetter"/>
      <w:start w:val="5"/>
    </w:lvl>
    <w:lvl w:ilvl="1">
      <w:lvlJc w:val="left"/>
      <w:lvlText w:val="-"/>
      <w:numFmt w:val="bullet"/>
      <w:start w:val="1"/>
    </w:lvl>
  </w:abstractNum>
  <w:abstractNum w:abstractNumId="97">
    <w:nsid w:val="75E0858A"/>
    <w:multiLevelType w:val="hybridMultilevel"/>
    <w:lvl w:ilvl="0">
      <w:lvlJc w:val="left"/>
      <w:lvlText w:val="(%1)"/>
      <w:numFmt w:val="lowerLetter"/>
      <w:start w:val="6"/>
    </w:lvl>
    <w:lvl w:ilvl="1">
      <w:lvlJc w:val="left"/>
      <w:lvlText w:val="-"/>
      <w:numFmt w:val="bullet"/>
      <w:start w:val="1"/>
    </w:lvl>
  </w:abstractNum>
  <w:abstractNum w:abstractNumId="98">
    <w:nsid w:val="57A61A29"/>
    <w:multiLevelType w:val="hybridMultilevel"/>
    <w:lvl w:ilvl="0">
      <w:lvlJc w:val="left"/>
      <w:lvlText w:val="%1"/>
      <w:numFmt w:val="lowerLetter"/>
      <w:start w:val="1"/>
    </w:lvl>
    <w:lvl w:ilvl="1">
      <w:lvlJc w:val="left"/>
      <w:lvlText w:val="(%2)"/>
      <w:numFmt w:val="lowerRoman"/>
      <w:start w:val="1"/>
    </w:lvl>
  </w:abstractNum>
  <w:abstractNum w:abstractNumId="99">
    <w:nsid w:val="5399C654"/>
    <w:multiLevelType w:val="hybridMultilevel"/>
    <w:lvl w:ilvl="0">
      <w:lvlJc w:val="left"/>
      <w:lvlText w:val="(%1)"/>
      <w:numFmt w:val="lowerLetter"/>
      <w:start w:val="11"/>
    </w:lvl>
    <w:lvl w:ilvl="1">
      <w:lvlJc w:val="left"/>
      <w:lvlText w:val="(%2)"/>
      <w:numFmt w:val="lowerRoman"/>
      <w:start w:val="1"/>
    </w:lvl>
  </w:abstractNum>
  <w:abstractNum w:abstractNumId="100">
    <w:nsid w:val="20EE134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1">
    <w:nsid w:val="4427069A"/>
    <w:multiLevelType w:val="hybridMultilevel"/>
    <w:lvl w:ilvl="0">
      <w:lvlJc w:val="left"/>
      <w:lvlText w:val="(%1)"/>
      <w:numFmt w:val="lowerLetter"/>
      <w:start w:val="2"/>
    </w:lvl>
  </w:abstractNum>
  <w:abstractNum w:abstractNumId="102">
    <w:nsid w:val="B37E80A"/>
    <w:multiLevelType w:val="hybridMultilevel"/>
    <w:lvl w:ilvl="0">
      <w:lvlJc w:val="left"/>
      <w:lvlText w:val="(%1)"/>
      <w:numFmt w:val="lowerLetter"/>
      <w:start w:val="1"/>
    </w:lvl>
  </w:abstractNum>
  <w:abstractNum w:abstractNumId="103">
    <w:nsid w:val="2157F6BC"/>
    <w:multiLevelType w:val="hybridMultilevel"/>
    <w:lvl w:ilvl="0">
      <w:lvlJc w:val="left"/>
      <w:lvlText w:val="(%1)"/>
      <w:numFmt w:val="lowerLetter"/>
      <w:start w:val="1"/>
    </w:lvl>
    <w:lvl w:ilvl="1">
      <w:lvlJc w:val="left"/>
      <w:lvlText w:val="-"/>
      <w:numFmt w:val="bullet"/>
      <w:start w:val="1"/>
    </w:lvl>
  </w:abstractNum>
  <w:abstractNum w:abstractNumId="104">
    <w:nsid w:val="704E1DD5"/>
    <w:multiLevelType w:val="hybridMultilevel"/>
    <w:lvl w:ilvl="0">
      <w:lvlJc w:val="left"/>
      <w:lvlText w:val="(%1)"/>
      <w:numFmt w:val="lowerLetter"/>
      <w:start w:val="2"/>
    </w:lvl>
  </w:abstractNum>
  <w:abstractNum w:abstractNumId="105">
    <w:nsid w:val="57D2F10E"/>
    <w:multiLevelType w:val="hybridMultilevel"/>
    <w:lvl w:ilvl="0">
      <w:lvlJc w:val="left"/>
      <w:lvlText w:val="(%1)"/>
      <w:numFmt w:val="lowerLetter"/>
      <w:start w:val="1"/>
    </w:lvl>
    <w:lvl w:ilvl="1">
      <w:lvlJc w:val="left"/>
      <w:lvlText w:val="-"/>
      <w:numFmt w:val="bullet"/>
      <w:start w:val="1"/>
    </w:lvl>
  </w:abstractNum>
  <w:abstractNum w:abstractNumId="106">
    <w:nsid w:val="BFFAE1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07">
    <w:nsid w:val="E3E47A8"/>
    <w:multiLevelType w:val="hybridMultilevel"/>
    <w:lvl w:ilvl="0">
      <w:lvlJc w:val="left"/>
      <w:lvlText w:val="(%1)"/>
      <w:numFmt w:val="lowerRoman"/>
      <w:start w:val="3"/>
    </w:lvl>
    <w:lvl w:ilvl="1">
      <w:lvlJc w:val="left"/>
      <w:lvlText w:val="(%2)"/>
      <w:numFmt w:val="upperLetter"/>
      <w:start w:val="1"/>
    </w:lvl>
  </w:abstractNum>
  <w:abstractNum w:abstractNumId="108">
    <w:nsid w:val="2E48F044"/>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109">
    <w:nsid w:val="49D0FEAC"/>
    <w:multiLevelType w:val="hybridMultilevel"/>
    <w:lvl w:ilvl="0">
      <w:lvlJc w:val="left"/>
      <w:lvlText w:val="(%1)"/>
      <w:numFmt w:val="lowerLetter"/>
      <w:start w:val="25"/>
    </w:lvl>
    <w:lvl w:ilvl="1">
      <w:lvlJc w:val="left"/>
      <w:lvlText w:val="%2"/>
      <w:numFmt w:val="lowerLetter"/>
      <w:start w:val="1"/>
    </w:lvl>
    <w:lvl w:ilvl="2">
      <w:lvlJc w:val="left"/>
      <w:lvlText w:val="-"/>
      <w:numFmt w:val="bullet"/>
      <w:start w:val="1"/>
    </w:lvl>
  </w:abstractNum>
  <w:abstractNum w:abstractNumId="110">
    <w:nsid w:val="4BEE5A5B"/>
    <w:multiLevelType w:val="hybridMultilevel"/>
    <w:lvl w:ilvl="0">
      <w:lvlJc w:val="left"/>
      <w:lvlText w:val="(%1)"/>
      <w:numFmt w:val="lowerLetter"/>
      <w:start w:val="5"/>
    </w:lvl>
    <w:lvl w:ilvl="1">
      <w:lvlJc w:val="left"/>
      <w:lvlText w:val="-"/>
      <w:numFmt w:val="bullet"/>
      <w:start w:val="1"/>
    </w:lvl>
  </w:abstractNum>
  <w:abstractNum w:abstractNumId="111">
    <w:nsid w:val="5551B9F3"/>
    <w:multiLevelType w:val="hybridMultilevel"/>
    <w:lvl w:ilvl="0">
      <w:lvlJc w:val="left"/>
      <w:lvlText w:val="(%1)"/>
      <w:numFmt w:val="lowerLetter"/>
      <w:start w:val="25"/>
    </w:lvl>
  </w:abstractNum>
  <w:abstractNum w:abstractNumId="112">
    <w:nsid w:val="24F6AB8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13">
    <w:nsid w:val="634C574C"/>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14">
    <w:nsid w:val="24E99DD7"/>
    <w:multiLevelType w:val="hybridMultilevel"/>
    <w:lvl w:ilvl="0">
      <w:lvlJc w:val="left"/>
      <w:lvlText w:val="%1"/>
      <w:numFmt w:val="lowerLetter"/>
      <w:start w:val="1"/>
    </w:lvl>
    <w:lvl w:ilvl="1">
      <w:lvlJc w:val="left"/>
      <w:lvlText w:val="(%2)"/>
      <w:numFmt w:val="lowerRoman"/>
      <w:start w:val="6"/>
    </w:lvl>
  </w:abstractNum>
  <w:abstractNum w:abstractNumId="115">
    <w:nsid w:val="2A31B62D"/>
    <w:multiLevelType w:val="hybridMultilevel"/>
    <w:lvl w:ilvl="0">
      <w:lvlJc w:val="left"/>
      <w:lvlText w:val="(%1)"/>
      <w:numFmt w:val="lowerLetter"/>
      <w:start w:val="4"/>
    </w:lvl>
    <w:lvl w:ilvl="1">
      <w:lvlJc w:val="left"/>
      <w:lvlText w:val="%2"/>
      <w:numFmt w:val="lowerRoman"/>
      <w:start w:val="1"/>
    </w:lvl>
  </w:abstractNum>
  <w:abstractNum w:abstractNumId="116">
    <w:nsid w:val="1849C29B"/>
    <w:multiLevelType w:val="hybridMultilevel"/>
    <w:lvl w:ilvl="0">
      <w:lvlJc w:val="left"/>
      <w:lvlText w:val="(%1)"/>
      <w:numFmt w:val="lowerLetter"/>
      <w:start w:val="1"/>
    </w:lvl>
    <w:lvl w:ilvl="1">
      <w:lvlJc w:val="left"/>
      <w:lvlText w:val="-"/>
      <w:numFmt w:val="bullet"/>
      <w:start w:val="1"/>
    </w:lvl>
  </w:abstractNum>
  <w:abstractNum w:abstractNumId="117">
    <w:nsid w:val="7DFF9D09"/>
    <w:multiLevelType w:val="hybridMultilevel"/>
    <w:lvl w:ilvl="0">
      <w:lvlJc w:val="left"/>
      <w:lvlText w:val="(%1)"/>
      <w:numFmt w:val="lowerLetter"/>
      <w:start w:val="2"/>
    </w:lvl>
    <w:lvl w:ilvl="1">
      <w:lvlJc w:val="left"/>
      <w:lvlText w:val="-"/>
      <w:numFmt w:val="bullet"/>
      <w:start w:val="1"/>
    </w:lvl>
  </w:abstractNum>
  <w:abstractNum w:abstractNumId="118">
    <w:nsid w:val="754342"/>
    <w:multiLevelType w:val="hybridMultilevel"/>
    <w:lvl w:ilvl="0">
      <w:lvlJc w:val="left"/>
      <w:lvlText w:val="(%1)"/>
      <w:numFmt w:val="lowerLetter"/>
      <w:start w:val="4"/>
    </w:lvl>
  </w:abstractNum>
  <w:abstractNum w:abstractNumId="119">
    <w:nsid w:val="69E7F3E5"/>
    <w:multiLevelType w:val="hybridMultilevel"/>
    <w:lvl w:ilvl="0">
      <w:lvlJc w:val="left"/>
      <w:lvlText w:val="%1."/>
      <w:numFmt w:val="decimal"/>
      <w:start w:val="1"/>
    </w:lvl>
  </w:abstractNum>
  <w:abstractNum w:abstractNumId="120">
    <w:nsid w:val="2A6DE806"/>
    <w:multiLevelType w:val="hybridMultilevel"/>
    <w:lvl w:ilvl="0">
      <w:lvlJc w:val="left"/>
      <w:lvlText w:val="%1."/>
      <w:numFmt w:val="decimal"/>
      <w:start w:val="22"/>
    </w:lvl>
  </w:abstractNum>
  <w:abstractNum w:abstractNumId="121">
    <w:nsid w:val="1816F8C4"/>
    <w:multiLevelType w:val="hybridMultilevel"/>
    <w:lvl w:ilvl="0">
      <w:lvlJc w:val="left"/>
      <w:lvlText w:val="1"/>
      <w:numFmt w:val="bullet"/>
      <w:start w:val="1"/>
    </w:lvl>
  </w:abstractNum>
  <w:abstractNum w:abstractNumId="122">
    <w:nsid w:val="37DF2233"/>
    <w:multiLevelType w:val="hybridMultilevel"/>
    <w:lvl w:ilvl="0">
      <w:lvlJc w:val="left"/>
      <w:lvlText w:val="•"/>
      <w:numFmt w:val="bullet"/>
      <w:start w:val="1"/>
    </w:lvl>
  </w:abstractNum>
  <w:abstractNum w:abstractNumId="123">
    <w:nsid w:val="7AB49DAF"/>
    <w:multiLevelType w:val="hybridMultilevel"/>
    <w:lvl w:ilvl="0">
      <w:lvlJc w:val="left"/>
      <w:lvlText w:val="•"/>
      <w:numFmt w:val="bullet"/>
      <w:start w:val="1"/>
    </w:lvl>
  </w:abstractNum>
  <w:abstractNum w:abstractNumId="124">
    <w:nsid w:val="759F82CD"/>
    <w:multiLevelType w:val="hybridMultilevel"/>
    <w:lvl w:ilvl="0">
      <w:lvlJc w:val="left"/>
      <w:lvlText w:val="(%1)"/>
      <w:numFmt w:val="lowerLetter"/>
      <w:start w:val="1"/>
    </w:lvl>
  </w:abstractNum>
  <w:abstractNum w:abstractNumId="125">
    <w:nsid w:val="61E74EA3"/>
    <w:multiLevelType w:val="hybridMultilevel"/>
    <w:lvl w:ilvl="0">
      <w:lvlJc w:val="left"/>
      <w:lvlText w:val="(%1)"/>
      <w:numFmt w:val="lowerLetter"/>
      <w:start w:val="4"/>
    </w:lvl>
  </w:abstractNum>
  <w:abstractNum w:abstractNumId="126">
    <w:nsid w:val="597B4D84"/>
    <w:multiLevelType w:val="hybridMultilevel"/>
    <w:lvl w:ilvl="0">
      <w:lvlJc w:val="left"/>
      <w:lvlText w:val="%1."/>
      <w:numFmt w:val="decimal"/>
      <w:start w:val="1"/>
    </w:lvl>
  </w:abstractNum>
  <w:abstractNum w:abstractNumId="127">
    <w:nsid w:val="F819E7F"/>
    <w:multiLevelType w:val="hybridMultilevel"/>
    <w:lvl w:ilvl="0">
      <w:lvlJc w:val="left"/>
      <w:lvlText w:val="[%1]"/>
      <w:numFmt w:val="decimal"/>
      <w:start w:val="1"/>
    </w:lvl>
  </w:abstractNum>
  <w:abstractNum w:abstractNumId="128">
    <w:nsid w:val="57C7D42D"/>
    <w:multiLevelType w:val="hybridMultilevel"/>
    <w:lvl w:ilvl="0">
      <w:lvlJc w:val="left"/>
      <w:lvlText w:val="%1."/>
      <w:numFmt w:val="decimal"/>
      <w:start w:val="1"/>
    </w:lvl>
  </w:abstractNum>
  <w:abstractNum w:abstractNumId="129">
    <w:nsid w:val="312167AD"/>
    <w:multiLevelType w:val="hybridMultilevel"/>
    <w:lvl w:ilvl="0">
      <w:lvlJc w:val="left"/>
      <w:lvlText w:val="%1."/>
      <w:numFmt w:val="decimal"/>
      <w:start w:val="6"/>
    </w:lvl>
  </w:abstractNum>
  <w:abstractNum w:abstractNumId="130">
    <w:nsid w:val="631B64D4"/>
    <w:multiLevelType w:val="hybridMultilevel"/>
    <w:lvl w:ilvl="0">
      <w:lvlJc w:val="left"/>
      <w:lvlText w:val="6"/>
      <w:numFmt w:val="bullet"/>
      <w:start w:val="1"/>
    </w:lvl>
  </w:abstractNum>
  <w:abstractNum w:abstractNumId="131">
    <w:nsid w:val="78B5E776"/>
    <w:multiLevelType w:val="hybridMultilevel"/>
    <w:lvl w:ilvl="0">
      <w:lvlJc w:val="left"/>
      <w:lvlText w:val="7"/>
      <w:numFmt w:val="bullet"/>
      <w:start w:val="1"/>
    </w:lvl>
  </w:abstractNum>
  <w:abstractNum w:abstractNumId="132">
    <w:nsid w:val="75486E47"/>
    <w:multiLevelType w:val="hybridMultilevel"/>
    <w:lvl w:ilvl="0">
      <w:lvlJc w:val="left"/>
      <w:lvlText w:val="8"/>
      <w:numFmt w:val="bullet"/>
      <w:start w:val="1"/>
    </w:lvl>
  </w:abstractNum>
  <w:abstractNum w:abstractNumId="133">
    <w:nsid w:val="6E534CDE"/>
    <w:multiLevelType w:val="hybridMultilevel"/>
    <w:lvl w:ilvl="0">
      <w:lvlJc w:val="left"/>
      <w:lvlText w:val="%1."/>
      <w:numFmt w:val="decimal"/>
      <w:start w:val="1"/>
    </w:lvl>
  </w:abstractNum>
  <w:abstractNum w:abstractNumId="134">
    <w:nsid w:val="1A0DDE32"/>
    <w:multiLevelType w:val="hybridMultilevel"/>
    <w:lvl w:ilvl="0">
      <w:lvlJc w:val="left"/>
      <w:lvlText w:val="(%1)"/>
      <w:numFmt w:val="lowerRoman"/>
      <w:start w:val="2"/>
    </w:lvl>
  </w:abstractNum>
  <w:abstractNum w:abstractNumId="135">
    <w:nsid w:val="65968C1C"/>
    <w:multiLevelType w:val="hybridMultilevel"/>
    <w:lvl w:ilvl="0">
      <w:lvlJc w:val="left"/>
      <w:lvlText w:val="(%1)"/>
      <w:numFmt w:val="lowerRoman"/>
      <w:start w:val="4"/>
    </w:lvl>
  </w:abstractNum>
  <w:abstractNum w:abstractNumId="136">
    <w:nsid w:val="46263DEC"/>
    <w:multiLevelType w:val="hybridMultilevel"/>
    <w:lvl w:ilvl="0">
      <w:lvlJc w:val="left"/>
      <w:lvlText w:val="(%1)"/>
      <w:numFmt w:val="lowerLetter"/>
      <w:start w:val="2"/>
    </w:lvl>
    <w:lvl w:ilvl="1">
      <w:lvlJc w:val="left"/>
      <w:lvlText w:val="%2"/>
      <w:numFmt w:val="decimal"/>
      <w:start w:val="1"/>
    </w:lvl>
  </w:abstractNum>
  <w:abstractNum w:abstractNumId="137">
    <w:nsid w:val="260D8C4A"/>
    <w:multiLevelType w:val="hybridMultilevel"/>
    <w:lvl w:ilvl="0">
      <w:lvlJc w:val="left"/>
      <w:lvlText w:val="(%1)"/>
      <w:numFmt w:val="lowerLetter"/>
      <w:start w:val="35"/>
    </w:lvl>
    <w:lvl w:ilvl="1">
      <w:lvlJc w:val="left"/>
      <w:lvlText w:val="%2."/>
      <w:numFmt w:val="decimal"/>
      <w:start w:val="2"/>
    </w:lvl>
  </w:abstractNum>
  <w:abstractNum w:abstractNumId="138">
    <w:nsid w:val="73D4D3C4"/>
    <w:multiLevelType w:val="hybridMultilevel"/>
    <w:lvl w:ilvl="0">
      <w:lvlJc w:val="left"/>
      <w:lvlText w:val="%1."/>
      <w:numFmt w:val="decimal"/>
      <w:start w:val="3"/>
    </w:lvl>
  </w:abstractNum>
  <w:abstractNum w:abstractNumId="139">
    <w:nsid w:val="746F2E30"/>
    <w:multiLevelType w:val="hybridMultilevel"/>
    <w:lvl w:ilvl="0">
      <w:lvlJc w:val="left"/>
      <w:lvlText w:val="(%1)"/>
      <w:numFmt w:val="lowerRoman"/>
      <w:start w:val="2"/>
    </w:lvl>
  </w:abstractNum>
  <w:abstractNum w:abstractNumId="140">
    <w:nsid w:val="6FDE8AF6"/>
    <w:multiLevelType w:val="hybridMultilevel"/>
    <w:lvl w:ilvl="0">
      <w:lvlJc w:val="left"/>
      <w:lvlText w:val="(%1)"/>
      <w:numFmt w:val="lowerLetter"/>
      <w:start w:val="1"/>
    </w:lvl>
  </w:abstractNum>
  <w:abstractNum w:abstractNumId="141">
    <w:nsid w:val="3FC32E20"/>
    <w:multiLevelType w:val="hybridMultilevel"/>
    <w:lvl w:ilvl="0">
      <w:lvlJc w:val="left"/>
      <w:lvlText w:val="(%1)"/>
      <w:numFmt w:val="lowerLetter"/>
      <w:start w:val="2"/>
    </w:lvl>
  </w:abstractNum>
  <w:abstractNum w:abstractNumId="142">
    <w:nsid w:val="49C0E823"/>
    <w:multiLevelType w:val="hybridMultilevel"/>
    <w:lvl w:ilvl="0">
      <w:lvlJc w:val="left"/>
      <w:lvlText w:val="(%1)"/>
      <w:numFmt w:val="lowerLetter"/>
      <w:start w:val="1"/>
    </w:lvl>
  </w:abstractNum>
  <w:abstractNum w:abstractNumId="143">
    <w:nsid w:val="14D53685"/>
    <w:multiLevelType w:val="hybridMultilevel"/>
    <w:lvl w:ilvl="0">
      <w:lvlJc w:val="left"/>
      <w:lvlText w:val="(%1)"/>
      <w:numFmt w:val="lowerLetter"/>
      <w:start w:val="2"/>
    </w:lvl>
  </w:abstractNum>
  <w:abstractNum w:abstractNumId="144">
    <w:nsid w:val="230F856C"/>
    <w:multiLevelType w:val="hybridMultilevel"/>
    <w:lvl w:ilvl="0">
      <w:lvlJc w:val="left"/>
      <w:lvlText w:val="(%1)"/>
      <w:numFmt w:val="lowerRoman"/>
      <w:start w:val="2"/>
    </w:lvl>
  </w:abstractNum>
  <w:abstractNum w:abstractNumId="145">
    <w:nsid w:val="6EAA85FB"/>
    <w:multiLevelType w:val="hybridMultilevel"/>
    <w:lvl w:ilvl="0">
      <w:lvlJc w:val="left"/>
      <w:lvlText w:val="(%1)"/>
      <w:numFmt w:val="lowerLetter"/>
      <w:start w:val="2"/>
    </w:lvl>
  </w:abstractNum>
  <w:abstractNum w:abstractNumId="146">
    <w:nsid w:val="3F06ECB2"/>
    <w:multiLevelType w:val="hybridMultilevel"/>
    <w:lvl w:ilvl="0">
      <w:lvlJc w:val="left"/>
      <w:lvlText w:val="(%1)"/>
      <w:numFmt w:val="lowerLetter"/>
      <w:start w:val="1"/>
    </w:lvl>
  </w:abstractNum>
  <w:abstractNum w:abstractNumId="147">
    <w:nsid w:val="3B594807"/>
    <w:multiLevelType w:val="hybridMultilevel"/>
    <w:lvl w:ilvl="0">
      <w:lvlJc w:val="left"/>
      <w:lvlText w:val="%1."/>
      <w:numFmt w:val="decimal"/>
      <w:start w:val="1"/>
    </w:lvl>
  </w:abstractNum>
  <w:abstractNum w:abstractNumId="148">
    <w:nsid w:val="6CAA2304"/>
    <w:multiLevelType w:val="hybridMultilevel"/>
    <w:lvl w:ilvl="0">
      <w:lvlJc w:val="left"/>
      <w:lvlText w:val="%1."/>
      <w:numFmt w:val="decimal"/>
      <w:start w:val="3"/>
    </w:lvl>
  </w:abstractNum>
  <w:abstractNum w:abstractNumId="149">
    <w:nsid w:val="3F7C2FF4"/>
    <w:multiLevelType w:val="hybridMultilevel"/>
    <w:lvl w:ilvl="0">
      <w:lvlJc w:val="left"/>
      <w:lvlText w:val="☐"/>
      <w:numFmt w:val="bullet"/>
      <w:start w:val="1"/>
    </w:lvl>
    <w:lvl w:ilvl="1">
      <w:lvlJc w:val="left"/>
      <w:lvlText w:val="☐"/>
      <w:numFmt w:val="bullet"/>
      <w:start w:val="1"/>
    </w:lvl>
  </w:abstractNum>
  <w:abstractNum w:abstractNumId="150">
    <w:nsid w:val="25413BEC"/>
    <w:multiLevelType w:val="hybridMultilevel"/>
    <w:lvl w:ilvl="0">
      <w:lvlJc w:val="left"/>
      <w:lvlText w:val="%1."/>
      <w:numFmt w:val="decimal"/>
      <w:start w:val="4"/>
    </w:lvl>
    <w:lvl w:ilvl="1">
      <w:lvlJc w:val="left"/>
      <w:lvlText w:val="☐"/>
      <w:numFmt w:val="bullet"/>
      <w:start w:val="1"/>
    </w:lvl>
  </w:abstractNum>
  <w:abstractNum w:abstractNumId="151">
    <w:nsid w:val="17180B0B"/>
    <w:multiLevelType w:val="hybridMultilevel"/>
    <w:lvl w:ilvl="0">
      <w:lvlJc w:val="left"/>
      <w:lvlText w:val="%1."/>
      <w:numFmt w:val="decimal"/>
      <w:start w:val="2"/>
    </w:lvl>
    <w:lvl w:ilvl="1">
      <w:lvlJc w:val="left"/>
      <w:lvlText w:val="☐"/>
      <w:numFmt w:val="bullet"/>
      <w:start w:val="1"/>
    </w:lvl>
  </w:abstractNum>
  <w:abstractNum w:abstractNumId="152">
    <w:nsid w:val="579328B9"/>
    <w:multiLevelType w:val="hybridMultilevel"/>
    <w:lvl w:ilvl="0">
      <w:lvlJc w:val="left"/>
      <w:lvlText w:val="%1."/>
      <w:numFmt w:val="decimal"/>
      <w:start w:val="4"/>
    </w:lvl>
    <w:lvl w:ilvl="1">
      <w:lvlJc w:val="left"/>
      <w:lvlText w:val="☐"/>
      <w:numFmt w:val="bullet"/>
      <w:start w:val="1"/>
    </w:lvl>
  </w:abstractNum>
  <w:abstractNum w:abstractNumId="153">
    <w:nsid w:val="5D205E20"/>
    <w:multiLevelType w:val="hybridMultilevel"/>
    <w:lvl w:ilvl="0">
      <w:lvlJc w:val="left"/>
      <w:lvlText w:val="☐"/>
      <w:numFmt w:val="bullet"/>
      <w:start w:val="1"/>
    </w:lvl>
  </w:abstractNum>
  <w:abstractNum w:abstractNumId="154">
    <w:nsid w:val="11CCA8BA"/>
    <w:multiLevelType w:val="hybridMultilevel"/>
    <w:lvl w:ilvl="0">
      <w:lvlJc w:val="left"/>
      <w:lvlText w:val="9"/>
      <w:numFmt w:val="bullet"/>
      <w:start w:val="1"/>
    </w:lvl>
  </w:abstractNum>
  <w:abstractNum w:abstractNumId="155">
    <w:nsid w:val="4D32AB86"/>
    <w:multiLevelType w:val="hybridMultilevel"/>
    <w:lvl w:ilvl="0">
      <w:lvlJc w:val="left"/>
      <w:lvlText w:val="%1."/>
      <w:numFmt w:val="decimal"/>
      <w:start w:val="1"/>
    </w:lvl>
  </w:abstractNum>
  <w:abstractNum w:abstractNumId="156">
    <w:nsid w:val="3F07ACC3"/>
    <w:multiLevelType w:val="hybridMultilevel"/>
    <w:lvl w:ilvl="0">
      <w:lvlJc w:val="left"/>
      <w:lvlText w:val="1"/>
      <w:numFmt w:val="bullet"/>
      <w:start w:val="1"/>
    </w:lvl>
  </w:abstractNum>
  <w:abstractNum w:abstractNumId="157">
    <w:nsid w:val="6B47F63E"/>
    <w:multiLevelType w:val="hybridMultilevel"/>
    <w:lvl w:ilvl="0">
      <w:lvlJc w:val="left"/>
      <w:lvlText w:val="%1."/>
      <w:numFmt w:val="decimal"/>
      <w:start w:val="1"/>
    </w:lvl>
  </w:abstractNum>
  <w:abstractNum w:abstractNumId="158">
    <w:nsid w:val="5CB44A05"/>
    <w:multiLevelType w:val="hybridMultilevel"/>
    <w:lvl w:ilvl="0">
      <w:lvlJc w:val="left"/>
      <w:lvlText w:val="%1."/>
      <w:numFmt w:val="decimal"/>
      <w:start w:val="2"/>
    </w:lvl>
  </w:abstractNum>
  <w:abstractNum w:abstractNumId="159">
    <w:nsid w:val="16CF80F1"/>
    <w:multiLevelType w:val="hybridMultilevel"/>
    <w:lvl w:ilvl="0">
      <w:lvlJc w:val="left"/>
      <w:lvlText w:val="%1."/>
      <w:numFmt w:val="decimal"/>
      <w:start w:val="3"/>
    </w:lvl>
  </w:abstractNum>
  <w:abstractNum w:abstractNumId="160">
    <w:nsid w:val="1C695DEC"/>
    <w:multiLevelType w:val="hybridMultilevel"/>
    <w:lvl w:ilvl="0">
      <w:lvlJc w:val="left"/>
      <w:lvlText w:val="%1."/>
      <w:numFmt w:val="decimal"/>
      <w:start w:val="1"/>
    </w:lvl>
  </w:abstractNum>
  <w:abstractNum w:abstractNumId="161">
    <w:nsid w:val="3FCFAED9"/>
    <w:multiLevelType w:val="hybridMultilevel"/>
    <w:lvl w:ilvl="0">
      <w:lvlJc w:val="left"/>
      <w:lvlText w:val="%1"/>
      <w:numFmt w:val="decimal"/>
      <w:start w:val="11"/>
    </w:lvl>
  </w:abstractNum>
  <w:abstractNum w:abstractNumId="162">
    <w:nsid w:val="F8568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2019-12-10T00:45:17Z</dcterms:created>
  <dcterms:modified xsi:type="dcterms:W3CDTF">2019-12-10T00:45:17Z</dcterms:modified>
</cp:coreProperties>
</file>