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333-203999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24"/>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4"/>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vMerge w:val="restart"/>
          </w:tcPr>
          <w:p>
            <w:pPr>
              <w:jc w:val="center"/>
              <w:ind w:left="21"/>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ind w:left="680"/>
              <w:spacing w:after="0" w:line="149" w:lineRule="exact"/>
              <w:rPr>
                <w:sz w:val="20"/>
                <w:szCs w:val="20"/>
                <w:color w:val="auto"/>
              </w:rPr>
            </w:pPr>
            <w:r>
              <w:rPr>
                <w:rFonts w:ascii="Arial" w:cs="Arial" w:eastAsia="Arial" w:hAnsi="Arial"/>
                <w:sz w:val="14"/>
                <w:szCs w:val="14"/>
                <w:b w:val="1"/>
                <w:bCs w:val="1"/>
                <w:color w:val="auto"/>
              </w:rPr>
              <w:t>to be</w:t>
            </w: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5"/>
              </w:rPr>
              <w:t>Offering</w:t>
            </w: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4"/>
              </w:rPr>
              <w:t>Aggregate Offering</w:t>
            </w:r>
          </w:p>
        </w:tc>
        <w:tc>
          <w:tcPr>
            <w:tcW w:w="1560" w:type="dxa"/>
            <w:vAlign w:val="bottom"/>
          </w:tcPr>
          <w:p>
            <w:pPr>
              <w:jc w:val="center"/>
              <w:ind w:left="1"/>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5"/>
              </w:rPr>
              <w:t>Price Per Unit</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3"/>
              </w:rPr>
              <w:t>Price</w:t>
            </w:r>
          </w:p>
        </w:tc>
        <w:tc>
          <w:tcPr>
            <w:tcW w:w="1560" w:type="dxa"/>
            <w:vAlign w:val="bottom"/>
            <w:tcBorders>
              <w:bottom w:val="single" w:sz="8" w:color="auto"/>
            </w:tcBorders>
          </w:tcPr>
          <w:p>
            <w:pPr>
              <w:jc w:val="center"/>
              <w:ind w:left="1"/>
              <w:spacing w:after="0"/>
              <w:rPr>
                <w:sz w:val="20"/>
                <w:szCs w:val="20"/>
                <w:color w:val="auto"/>
              </w:rPr>
            </w:pPr>
            <w:r>
              <w:rPr>
                <w:rFonts w:ascii="Arial" w:cs="Arial" w:eastAsia="Arial" w:hAnsi="Arial"/>
                <w:sz w:val="14"/>
                <w:szCs w:val="14"/>
                <w:b w:val="1"/>
                <w:bCs w:val="1"/>
                <w:color w:val="auto"/>
                <w:w w:val="92"/>
              </w:rPr>
              <w:t>Fee</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3.25% Notes due 2027</w:t>
            </w:r>
          </w:p>
        </w:tc>
        <w:tc>
          <w:tcPr>
            <w:tcW w:w="160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90"/>
              </w:rPr>
              <w:t>$300,000,000</w:t>
            </w:r>
          </w:p>
        </w:tc>
        <w:tc>
          <w:tcPr>
            <w:tcW w:w="1560" w:type="dxa"/>
            <w:vAlign w:val="bottom"/>
            <w:tcBorders>
              <w:bottom w:val="single" w:sz="8" w:color="auto"/>
            </w:tcBorders>
          </w:tcPr>
          <w:p>
            <w:pPr>
              <w:jc w:val="center"/>
              <w:ind w:left="21"/>
              <w:spacing w:after="0"/>
              <w:rPr>
                <w:sz w:val="20"/>
                <w:szCs w:val="20"/>
                <w:color w:val="auto"/>
              </w:rPr>
            </w:pPr>
            <w:r>
              <w:rPr>
                <w:rFonts w:ascii="Arial" w:cs="Arial" w:eastAsia="Arial" w:hAnsi="Arial"/>
                <w:sz w:val="18"/>
                <w:szCs w:val="18"/>
                <w:color w:val="auto"/>
                <w:w w:val="89"/>
              </w:rPr>
              <w:t>$34,770</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4.50% Notes due 2044</w:t>
            </w:r>
          </w:p>
        </w:tc>
        <w:tc>
          <w:tcPr>
            <w:tcW w:w="160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90"/>
              </w:rPr>
              <w:t>$100,000,000</w:t>
            </w:r>
          </w:p>
        </w:tc>
        <w:tc>
          <w:tcPr>
            <w:tcW w:w="1560" w:type="dxa"/>
            <w:vAlign w:val="bottom"/>
            <w:tcBorders>
              <w:bottom w:val="single" w:sz="8" w:color="auto"/>
            </w:tcBorders>
          </w:tcPr>
          <w:p>
            <w:pPr>
              <w:jc w:val="center"/>
              <w:ind w:left="21"/>
              <w:spacing w:after="0"/>
              <w:rPr>
                <w:sz w:val="20"/>
                <w:szCs w:val="20"/>
                <w:color w:val="auto"/>
              </w:rPr>
            </w:pPr>
            <w:r>
              <w:rPr>
                <w:rFonts w:ascii="Arial" w:cs="Arial" w:eastAsia="Arial" w:hAnsi="Arial"/>
                <w:sz w:val="18"/>
                <w:szCs w:val="18"/>
                <w:color w:val="auto"/>
                <w:w w:val="89"/>
              </w:rPr>
              <w:t>$11,590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460" w:right="480" w:hanging="452"/>
        <w:spacing w:after="0" w:line="286"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filing fee is calculated in accordance with Rule 457(r) under the Securities Act of 1933, as amended (the “Securities Act”), and relates to the Registration Statement on Form S-3 (No. 333-203999) filed on May 8, 2015 (the “Registration Statement”). In accordance with Rules 456(b) and 457(r) under the Securities Act, the registrant deferred payment of the registration fee for the Registration Statement.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MAY 8, 2015)</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100965</wp:posOffset>
            </wp:positionV>
            <wp:extent cx="2186940" cy="866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60"/>
        <w:spacing w:after="0"/>
        <w:rPr>
          <w:sz w:val="20"/>
          <w:szCs w:val="20"/>
          <w:color w:val="auto"/>
        </w:rPr>
      </w:pPr>
      <w:r>
        <w:rPr>
          <w:rFonts w:ascii="Arial" w:cs="Arial" w:eastAsia="Arial" w:hAnsi="Arial"/>
          <w:sz w:val="24"/>
          <w:szCs w:val="24"/>
          <w:b w:val="1"/>
          <w:bCs w:val="1"/>
          <w:color w:val="auto"/>
        </w:rPr>
        <w:t>$300,000,000 3.25% Notes due 2027</w:t>
      </w:r>
    </w:p>
    <w:p>
      <w:pPr>
        <w:spacing w:after="0" w:line="36" w:lineRule="exact"/>
        <w:rPr>
          <w:sz w:val="20"/>
          <w:szCs w:val="20"/>
          <w:color w:val="auto"/>
        </w:rPr>
      </w:pPr>
    </w:p>
    <w:p>
      <w:pPr>
        <w:ind w:left="3860"/>
        <w:spacing w:after="0"/>
        <w:rPr>
          <w:sz w:val="20"/>
          <w:szCs w:val="20"/>
          <w:color w:val="auto"/>
        </w:rPr>
      </w:pPr>
      <w:r>
        <w:rPr>
          <w:rFonts w:ascii="Arial" w:cs="Arial" w:eastAsia="Arial" w:hAnsi="Arial"/>
          <w:sz w:val="24"/>
          <w:szCs w:val="24"/>
          <w:b w:val="1"/>
          <w:bCs w:val="1"/>
          <w:color w:val="auto"/>
        </w:rPr>
        <w:t>$100,000,000 4.50% Notes due 2044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0"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Federal Realty Investment Trust is offering $400,000,000 aggregate principal amount of notes in two separate series. We are offering: (i) $300,000,000 aggregate principal amount of 3.25% Notes due 2027 (the “2027 Notes”); and (ii) $100,000,000 aggregate principal amount of 4.50% Notes due 2044 (the “2044 Notes” and, together with the 2027 Notes, the “notes”). The 2027 Notes will bear interest at the rate of 3.25% per year, and the 2044 Notes will bear interest at the rate of 4.50% per year. Interest on the 2027 Notes will be payable semi-annually in arrears on January 15 and July 15 of each year, beginning on January 15, 2018, and interest on the 2044 Notes will be payable semi-annually in arrears on June 1 and December 1 of each year, beginning on December 1, 2017. The 2027 Notes will mature on July 15, 2027, and the 2044 Notes will mature on December 1, 2044. We may redeem some or all of the notes at any time before maturity at the applicable redemption price discussed under the caption “Description of Notes — Optional Redemption.”</w:t>
      </w:r>
    </w:p>
    <w:p>
      <w:pPr>
        <w:spacing w:after="0" w:line="31"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color w:val="auto"/>
        </w:rPr>
        <w:t>The notes will be our senior unsecured obligations and will rank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w:t>
      </w:r>
    </w:p>
    <w:p>
      <w:pPr>
        <w:spacing w:after="0" w:line="51"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The 2027 Notes are a new issue of securities with no established trading market. The 2044 Notes offered hereby will become part of the same series as our outstanding 4.50% Notes due 2044, $250,000,000 of which were originally issued on November 14, 2014 and $200,000,000 of which were subsequently issued on March 16, 2015, for all purposes, and the term 2044 Notes refers to the 2044 Notes offered hereby together with such outstanding notes. We do not intend to apply to list the notes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2" w:lineRule="exact"/>
        <w:rPr>
          <w:sz w:val="20"/>
          <w:szCs w:val="20"/>
          <w:color w:val="auto"/>
        </w:rPr>
      </w:pPr>
    </w:p>
    <w:p>
      <w:pPr>
        <w:ind w:right="340"/>
        <w:spacing w:after="0" w:line="274" w:lineRule="auto"/>
        <w:rPr>
          <w:rFonts w:ascii="Arial" w:cs="Arial" w:eastAsia="Arial" w:hAnsi="Arial"/>
          <w:sz w:val="20"/>
          <w:szCs w:val="20"/>
          <w:b w:val="1"/>
          <w:bCs w:val="1"/>
          <w:color w:val="auto"/>
        </w:rPr>
      </w:pPr>
      <w:r>
        <w:rPr>
          <w:rFonts w:ascii="Arial" w:cs="Arial" w:eastAsia="Arial" w:hAnsi="Arial"/>
          <w:sz w:val="20"/>
          <w:szCs w:val="20"/>
          <w:b w:val="1"/>
          <w:bCs w:val="1"/>
          <w:color w:val="auto"/>
        </w:rPr>
        <w:t>Investing in the notes involves risks. See “</w:t>
      </w:r>
      <w:hyperlink w:anchor="page10">
        <w:r>
          <w:rPr>
            <w:rFonts w:ascii="Arial" w:cs="Arial" w:eastAsia="Arial" w:hAnsi="Arial"/>
            <w:sz w:val="20"/>
            <w:szCs w:val="20"/>
            <w:b w:val="1"/>
            <w:bCs w:val="1"/>
            <w:u w:val="single" w:color="auto"/>
            <w:color w:val="0000EE"/>
          </w:rPr>
          <w:t>Risk Factors</w:t>
        </w:r>
      </w:hyperlink>
      <w:r>
        <w:rPr>
          <w:rFonts w:ascii="Arial" w:cs="Arial" w:eastAsia="Arial" w:hAnsi="Arial"/>
          <w:sz w:val="20"/>
          <w:szCs w:val="20"/>
          <w:b w:val="1"/>
          <w:bCs w:val="1"/>
          <w:color w:val="auto"/>
        </w:rPr>
        <w:t>” beginning on page S-6 of this prospectus supplement, on page 3 of the accompanying prospectus and in our Annual Report on Form 10-K for the year ended December 31, 2016, filed with the Securities and Exchange Commission, or the SEC, on February 13, 2017.</w:t>
      </w:r>
    </w:p>
    <w:p>
      <w:pPr>
        <w:spacing w:after="0" w:line="1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Per 2027 Note</w:t>
            </w:r>
          </w:p>
        </w:tc>
        <w:tc>
          <w:tcPr>
            <w:tcW w:w="26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Total 2027 Notes</w:t>
            </w: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2044 Note</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5"/>
              </w:rPr>
              <w:t>Total 2044 Notes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06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Public Offering Price (1)(2)</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99.083%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297,249,000</w:t>
            </w:r>
          </w:p>
        </w:tc>
        <w:tc>
          <w:tcPr>
            <w:tcW w:w="5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105.760%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3"/>
              </w:rPr>
              <w:t>105,760,000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Underwriting Discount</w:t>
            </w: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0.650%</w:t>
            </w:r>
          </w:p>
        </w:tc>
        <w:tc>
          <w:tcPr>
            <w:tcW w:w="3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1,950,000</w:t>
            </w:r>
          </w:p>
        </w:tc>
        <w:tc>
          <w:tcPr>
            <w:tcW w:w="520" w:type="dxa"/>
            <w:vAlign w:val="bottom"/>
          </w:tcPr>
          <w:p>
            <w:pPr>
              <w:spacing w:after="0"/>
              <w:rPr>
                <w:sz w:val="17"/>
                <w:szCs w:val="17"/>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7"/>
                <w:szCs w:val="17"/>
                <w:color w:val="auto"/>
              </w:rPr>
              <w:t>0.875%</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875,000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us (2)</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98.433%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295,299,000</w:t>
            </w:r>
          </w:p>
        </w:tc>
        <w:tc>
          <w:tcPr>
            <w:tcW w:w="5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104.885%</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3"/>
              </w:rPr>
              <w:t>104,885,000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Plus accrued interest with respect to the 2027 Notes from June 23, 2017, if settlement occurs after that date.</w:t>
      </w:r>
    </w:p>
    <w:p>
      <w:pPr>
        <w:spacing w:after="0" w:line="20" w:lineRule="exact"/>
        <w:rPr>
          <w:rFonts w:ascii="Arial" w:cs="Arial" w:eastAsia="Arial" w:hAnsi="Arial"/>
          <w:sz w:val="17"/>
          <w:szCs w:val="17"/>
          <w:color w:val="auto"/>
        </w:rPr>
      </w:pPr>
    </w:p>
    <w:p>
      <w:pPr>
        <w:ind w:left="460" w:right="580" w:hanging="452"/>
        <w:spacing w:after="0" w:line="257"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Plus accrued interest with respect to the 2044 Notes from and including June 1, 2017 to, but not including, June 23, 2017 in the amount of $275,000.00. Accrued interest must be paid by purchasers of the 2044 Notes.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The underwriters expect to deliver the notes to purchasers in book-entry only form through the facilities of The Depository Trust Company on or about June 23, 2017.</w:t>
      </w:r>
    </w:p>
    <w:p>
      <w:pPr>
        <w:spacing w:after="0" w:line="132" w:lineRule="exact"/>
        <w:rPr>
          <w:sz w:val="20"/>
          <w:szCs w:val="20"/>
          <w:color w:val="auto"/>
        </w:rPr>
      </w:pPr>
    </w:p>
    <w:p>
      <w:pPr>
        <w:ind w:right="380"/>
        <w:spacing w:after="0" w:line="281" w:lineRule="auto"/>
        <w:rPr>
          <w:sz w:val="20"/>
          <w:szCs w:val="20"/>
          <w:color w:val="auto"/>
        </w:rPr>
      </w:pPr>
      <w:r>
        <w:rPr>
          <w:rFonts w:ascii="Arial" w:cs="Arial" w:eastAsia="Arial" w:hAnsi="Arial"/>
          <w:sz w:val="17"/>
          <w:szCs w:val="17"/>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101600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420"/>
          </w:cols>
          <w:pgMar w:left="240" w:top="459" w:right="239" w:bottom="1440" w:gutter="0" w:footer="0" w:header="0"/>
        </w:sectPr>
      </w:pP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Citigroup</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jc w:val="center"/>
        <w:ind w:right="1440"/>
        <w:spacing w:after="0"/>
        <w:rPr>
          <w:sz w:val="20"/>
          <w:szCs w:val="20"/>
          <w:color w:val="auto"/>
        </w:rPr>
      </w:pPr>
      <w:r>
        <w:rPr>
          <w:rFonts w:ascii="Arial" w:cs="Arial" w:eastAsia="Arial" w:hAnsi="Arial"/>
          <w:sz w:val="16"/>
          <w:szCs w:val="16"/>
          <w:b w:val="1"/>
          <w:bCs w:val="1"/>
          <w:color w:val="auto"/>
        </w:rPr>
        <w:t>Deutsche Bank Securities</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J.P. Morgan</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Wells Fargo Securities</w:t>
      </w:r>
    </w:p>
    <w:p>
      <w:pPr>
        <w:spacing w:after="0" w:line="134" w:lineRule="exact"/>
        <w:rPr>
          <w:sz w:val="20"/>
          <w:szCs w:val="20"/>
          <w:color w:val="auto"/>
        </w:rPr>
      </w:pPr>
    </w:p>
    <w:p>
      <w:pPr>
        <w:sectPr>
          <w:pgSz w:w="11900" w:h="16838" w:orient="portrait"/>
          <w:cols w:equalWidth="0" w:num="4">
            <w:col w:w="2240" w:space="720"/>
            <w:col w:w="3580" w:space="720"/>
            <w:col w:w="1540" w:space="720"/>
            <w:col w:w="190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1420"/>
          </w:cols>
          <w:pgMar w:left="240" w:top="459" w:right="239" w:bottom="1440" w:gutter="0" w:footer="0" w:header="0"/>
          <w:type w:val="continuous"/>
        </w:sectPr>
      </w:pP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PNC Capital Markets LLC</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Regions Securities LLC</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SunTrust Robinson Humphrey</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TD Securities</w:t>
      </w:r>
    </w:p>
    <w:p>
      <w:pPr>
        <w:spacing w:after="0" w:line="135" w:lineRule="exact"/>
        <w:rPr>
          <w:sz w:val="20"/>
          <w:szCs w:val="20"/>
          <w:color w:val="auto"/>
        </w:rPr>
      </w:pPr>
    </w:p>
    <w:p>
      <w:pPr>
        <w:sectPr>
          <w:pgSz w:w="11900" w:h="16838" w:orient="portrait"/>
          <w:cols w:equalWidth="0" w:num="4">
            <w:col w:w="2320" w:space="640"/>
            <w:col w:w="2300" w:space="720"/>
            <w:col w:w="3580" w:space="720"/>
            <w:col w:w="114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The date of this prospectus supplement is June 20, 2017.</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0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700" w:type="dxa"/>
            <w:vAlign w:val="bottom"/>
            <w:gridSpan w:val="3"/>
          </w:tcPr>
          <w:p>
            <w:pPr>
              <w:jc w:val="right"/>
              <w:ind w:right="4760"/>
              <w:spacing w:after="0"/>
              <w:rPr>
                <w:sz w:val="20"/>
                <w:szCs w:val="20"/>
                <w:color w:val="auto"/>
              </w:rPr>
            </w:pPr>
            <w:r>
              <w:rPr>
                <w:rFonts w:ascii="Arial" w:cs="Arial" w:eastAsia="Arial" w:hAnsi="Arial"/>
                <w:sz w:val="18"/>
                <w:szCs w:val="18"/>
                <w:b w:val="1"/>
                <w:bCs w:val="1"/>
                <w:color w:val="auto"/>
                <w:w w:val="93"/>
              </w:rPr>
              <w:t>Prospectus Supplement</w:t>
            </w:r>
          </w:p>
        </w:tc>
        <w:tc>
          <w:tcPr>
            <w:tcW w:w="0" w:type="dxa"/>
            <w:vAlign w:val="bottom"/>
          </w:tcPr>
          <w:p>
            <w:pPr>
              <w:spacing w:after="0"/>
              <w:rPr>
                <w:sz w:val="1"/>
                <w:szCs w:val="1"/>
                <w:color w:val="auto"/>
              </w:rPr>
            </w:pPr>
          </w:p>
        </w:tc>
      </w:tr>
      <w:tr>
        <w:trPr>
          <w:trHeight w:val="392"/>
        </w:trPr>
        <w:tc>
          <w:tcPr>
            <w:tcW w:w="2500" w:type="dxa"/>
            <w:vAlign w:val="bottom"/>
            <w:gridSpan w:val="7"/>
            <w:vMerge w:val="restart"/>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 Supplement</w:t>
              </w:r>
            </w:hyperlink>
          </w:p>
        </w:tc>
        <w:tc>
          <w:tcPr>
            <w:tcW w:w="2180" w:type="dxa"/>
            <w:vAlign w:val="bottom"/>
            <w:gridSpan w:val="4"/>
            <w:vMerge w:val="restart"/>
          </w:tcPr>
          <w:p>
            <w:pPr>
              <w:spacing w:after="0"/>
              <w:rPr>
                <w:sz w:val="24"/>
                <w:szCs w:val="24"/>
                <w:color w:val="auto"/>
              </w:rPr>
            </w:pPr>
          </w:p>
        </w:tc>
        <w:tc>
          <w:tcPr>
            <w:tcW w:w="63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2500" w:type="dxa"/>
            <w:vAlign w:val="bottom"/>
            <w:tcBorders>
              <w:bottom w:val="single" w:sz="8" w:color="0000EE"/>
            </w:tcBorders>
            <w:gridSpan w:val="7"/>
            <w:vMerge w:val="continue"/>
          </w:tcPr>
          <w:p>
            <w:pPr>
              <w:spacing w:after="0"/>
              <w:rPr>
                <w:sz w:val="13"/>
                <w:szCs w:val="13"/>
                <w:color w:val="auto"/>
              </w:rPr>
            </w:pPr>
          </w:p>
        </w:tc>
        <w:tc>
          <w:tcPr>
            <w:tcW w:w="2180" w:type="dxa"/>
            <w:vAlign w:val="bottom"/>
            <w:gridSpan w:val="4"/>
            <w:vMerge w:val="continue"/>
          </w:tcPr>
          <w:p>
            <w:pPr>
              <w:spacing w:after="0"/>
              <w:rPr>
                <w:sz w:val="13"/>
                <w:szCs w:val="13"/>
                <w:color w:val="auto"/>
              </w:rPr>
            </w:pPr>
          </w:p>
        </w:tc>
        <w:tc>
          <w:tcPr>
            <w:tcW w:w="638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Cautionary Statement Concerning Forward-Looking Statements</w:t>
              </w:r>
            </w:hyperlink>
          </w:p>
        </w:tc>
        <w:tc>
          <w:tcPr>
            <w:tcW w:w="6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Prospectus Supplement Summary</w:t>
              </w:r>
            </w:hyperlink>
          </w:p>
        </w:tc>
        <w:tc>
          <w:tcPr>
            <w:tcW w:w="2240" w:type="dxa"/>
            <w:vAlign w:val="bottom"/>
            <w:gridSpan w:val="5"/>
          </w:tcPr>
          <w:p>
            <w:pPr>
              <w:spacing w:after="0"/>
              <w:rPr>
                <w:sz w:val="17"/>
                <w:szCs w:val="17"/>
                <w:color w:val="auto"/>
              </w:rPr>
            </w:pPr>
          </w:p>
        </w:tc>
        <w:tc>
          <w:tcPr>
            <w:tcW w:w="63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Risk Factors</w:t>
              </w:r>
            </w:hyperlink>
          </w:p>
        </w:tc>
        <w:tc>
          <w:tcPr>
            <w:tcW w:w="3760" w:type="dxa"/>
            <w:vAlign w:val="bottom"/>
            <w:gridSpan w:val="9"/>
          </w:tcPr>
          <w:p>
            <w:pPr>
              <w:spacing w:after="0"/>
              <w:rPr>
                <w:sz w:val="17"/>
                <w:szCs w:val="17"/>
                <w:color w:val="auto"/>
              </w:rPr>
            </w:pPr>
          </w:p>
        </w:tc>
        <w:tc>
          <w:tcPr>
            <w:tcW w:w="63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S-6</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Use of Proceeds</w:t>
              </w:r>
            </w:hyperlink>
          </w:p>
        </w:tc>
        <w:tc>
          <w:tcPr>
            <w:tcW w:w="3500" w:type="dxa"/>
            <w:vAlign w:val="bottom"/>
            <w:gridSpan w:val="7"/>
          </w:tcPr>
          <w:p>
            <w:pPr>
              <w:spacing w:after="0"/>
              <w:rPr>
                <w:sz w:val="17"/>
                <w:szCs w:val="17"/>
                <w:color w:val="auto"/>
              </w:rPr>
            </w:pPr>
          </w:p>
        </w:tc>
        <w:tc>
          <w:tcPr>
            <w:tcW w:w="63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S-8</w:t>
            </w:r>
          </w:p>
        </w:tc>
        <w:tc>
          <w:tcPr>
            <w:tcW w:w="0" w:type="dxa"/>
            <w:vAlign w:val="bottom"/>
          </w:tcPr>
          <w:p>
            <w:pPr>
              <w:spacing w:after="0"/>
              <w:rPr>
                <w:sz w:val="1"/>
                <w:szCs w:val="1"/>
                <w:color w:val="auto"/>
              </w:rPr>
            </w:pPr>
          </w:p>
        </w:tc>
      </w:tr>
      <w:tr>
        <w:trPr>
          <w:trHeight w:val="196"/>
        </w:trPr>
        <w:tc>
          <w:tcPr>
            <w:tcW w:w="4680" w:type="dxa"/>
            <w:vAlign w:val="bottom"/>
            <w:gridSpan w:val="1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Description of Notes</w:t>
              </w:r>
            </w:hyperlink>
          </w:p>
        </w:tc>
        <w:tc>
          <w:tcPr>
            <w:tcW w:w="63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gridSpan w:val="1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Additional Material Federal Income Tax Considerations</w:t>
              </w:r>
            </w:hyperlink>
          </w:p>
        </w:tc>
        <w:tc>
          <w:tcPr>
            <w:tcW w:w="63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56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9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60" w:type="dxa"/>
            <w:vAlign w:val="bottom"/>
            <w:tcBorders>
              <w:top w:val="single" w:sz="8" w:color="0000EE"/>
            </w:tcBorders>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0"/>
        </w:trPr>
        <w:tc>
          <w:tcPr>
            <w:tcW w:w="4680" w:type="dxa"/>
            <w:vAlign w:val="bottom"/>
            <w:gridSpan w:val="11"/>
          </w:tcPr>
          <w:p>
            <w:pPr>
              <w:spacing w:after="0" w:line="190" w:lineRule="exact"/>
              <w:rPr>
                <w:rFonts w:ascii="Arial" w:cs="Arial" w:eastAsia="Arial" w:hAnsi="Arial"/>
                <w:sz w:val="18"/>
                <w:szCs w:val="18"/>
                <w:color w:val="0000EE"/>
              </w:rPr>
            </w:pPr>
            <w:hyperlink w:anchor="page28">
              <w:r>
                <w:rPr>
                  <w:rFonts w:ascii="Arial" w:cs="Arial" w:eastAsia="Arial" w:hAnsi="Arial"/>
                  <w:sz w:val="18"/>
                  <w:szCs w:val="18"/>
                  <w:color w:val="0000EE"/>
                </w:rPr>
                <w:t>Underwriting (Conflicts of Interest)</w:t>
              </w:r>
            </w:hyperlink>
          </w:p>
        </w:tc>
        <w:tc>
          <w:tcPr>
            <w:tcW w:w="6380" w:type="dxa"/>
            <w:vAlign w:val="bottom"/>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56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9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0"/>
        </w:trPr>
        <w:tc>
          <w:tcPr>
            <w:tcW w:w="4680" w:type="dxa"/>
            <w:vAlign w:val="bottom"/>
            <w:gridSpan w:val="11"/>
          </w:tcPr>
          <w:p>
            <w:pPr>
              <w:spacing w:after="0" w:line="190" w:lineRule="exact"/>
              <w:rPr>
                <w:rFonts w:ascii="Arial" w:cs="Arial" w:eastAsia="Arial" w:hAnsi="Arial"/>
                <w:sz w:val="18"/>
                <w:szCs w:val="18"/>
                <w:color w:val="0000EE"/>
              </w:rPr>
            </w:pPr>
            <w:hyperlink w:anchor="page31">
              <w:r>
                <w:rPr>
                  <w:rFonts w:ascii="Arial" w:cs="Arial" w:eastAsia="Arial" w:hAnsi="Arial"/>
                  <w:sz w:val="18"/>
                  <w:szCs w:val="18"/>
                  <w:color w:val="0000EE"/>
                </w:rPr>
                <w:t>Experts</w:t>
              </w:r>
            </w:hyperlink>
          </w:p>
        </w:tc>
        <w:tc>
          <w:tcPr>
            <w:tcW w:w="6380" w:type="dxa"/>
            <w:vAlign w:val="bottom"/>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560" w:type="dxa"/>
            <w:vAlign w:val="bottom"/>
            <w:tcBorders>
              <w:top w:val="single" w:sz="8" w:color="0000EE"/>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0"/>
        </w:trPr>
        <w:tc>
          <w:tcPr>
            <w:tcW w:w="4680" w:type="dxa"/>
            <w:vAlign w:val="bottom"/>
            <w:gridSpan w:val="11"/>
          </w:tcPr>
          <w:p>
            <w:pPr>
              <w:spacing w:after="0" w:line="190" w:lineRule="exact"/>
              <w:rPr>
                <w:rFonts w:ascii="Arial" w:cs="Arial" w:eastAsia="Arial" w:hAnsi="Arial"/>
                <w:sz w:val="18"/>
                <w:szCs w:val="18"/>
                <w:color w:val="0000EE"/>
              </w:rPr>
            </w:pPr>
            <w:hyperlink w:anchor="page31">
              <w:r>
                <w:rPr>
                  <w:rFonts w:ascii="Arial" w:cs="Arial" w:eastAsia="Arial" w:hAnsi="Arial"/>
                  <w:sz w:val="18"/>
                  <w:szCs w:val="18"/>
                  <w:color w:val="0000EE"/>
                </w:rPr>
                <w:t>Legal Matters</w:t>
              </w:r>
            </w:hyperlink>
          </w:p>
        </w:tc>
        <w:tc>
          <w:tcPr>
            <w:tcW w:w="6380" w:type="dxa"/>
            <w:vAlign w:val="bottom"/>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37"/>
        </w:trPr>
        <w:tc>
          <w:tcPr>
            <w:tcW w:w="56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120" w:type="dxa"/>
            <w:vAlign w:val="bottom"/>
            <w:gridSpan w:val="3"/>
          </w:tcPr>
          <w:p>
            <w:pPr>
              <w:jc w:val="right"/>
              <w:ind w:right="524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92"/>
        </w:trPr>
        <w:tc>
          <w:tcPr>
            <w:tcW w:w="4260" w:type="dxa"/>
            <w:vAlign w:val="bottom"/>
            <w:gridSpan w:val="12"/>
            <w:vMerge w:val="restart"/>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About this Prospectus</w:t>
              </w:r>
            </w:hyperlink>
          </w:p>
        </w:tc>
        <w:tc>
          <w:tcPr>
            <w:tcW w:w="68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4260" w:type="dxa"/>
            <w:vAlign w:val="bottom"/>
            <w:gridSpan w:val="12"/>
            <w:vMerge w:val="continue"/>
          </w:tcPr>
          <w:p>
            <w:pPr>
              <w:spacing w:after="0"/>
              <w:rPr>
                <w:sz w:val="13"/>
                <w:szCs w:val="13"/>
                <w:color w:val="auto"/>
              </w:rPr>
            </w:pPr>
          </w:p>
        </w:tc>
        <w:tc>
          <w:tcPr>
            <w:tcW w:w="68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Forward-Looking Statements</w:t>
              </w:r>
            </w:hyperlink>
          </w:p>
        </w:tc>
        <w:tc>
          <w:tcPr>
            <w:tcW w:w="712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17"/>
                <w:szCs w:val="17"/>
                <w:color w:val="auto"/>
              </w:rPr>
            </w:pPr>
          </w:p>
        </w:tc>
        <w:tc>
          <w:tcPr>
            <w:tcW w:w="2140" w:type="dxa"/>
            <w:vAlign w:val="bottom"/>
            <w:gridSpan w:val="5"/>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Risk Factors</w:t>
              </w:r>
            </w:hyperlink>
          </w:p>
        </w:tc>
        <w:tc>
          <w:tcPr>
            <w:tcW w:w="3340" w:type="dxa"/>
            <w:vAlign w:val="bottom"/>
            <w:gridSpan w:val="10"/>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Use of Proceeds</w:t>
              </w:r>
            </w:hyperlink>
          </w:p>
        </w:tc>
        <w:tc>
          <w:tcPr>
            <w:tcW w:w="3080" w:type="dxa"/>
            <w:vAlign w:val="bottom"/>
            <w:gridSpan w:val="8"/>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Description of Debt Securities</w:t>
              </w:r>
            </w:hyperlink>
          </w:p>
        </w:tc>
        <w:tc>
          <w:tcPr>
            <w:tcW w:w="2060" w:type="dxa"/>
            <w:vAlign w:val="bottom"/>
            <w:gridSpan w:val="4"/>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48">
              <w:r>
                <w:rPr>
                  <w:rFonts w:ascii="Arial" w:cs="Arial" w:eastAsia="Arial" w:hAnsi="Arial"/>
                  <w:sz w:val="18"/>
                  <w:szCs w:val="18"/>
                  <w:color w:val="0000EE"/>
                  <w:w w:val="91"/>
                </w:rPr>
                <w:t>Description of Shares of Beneficial Interest</w:t>
              </w:r>
            </w:hyperlink>
          </w:p>
        </w:tc>
        <w:tc>
          <w:tcPr>
            <w:tcW w:w="1120" w:type="dxa"/>
            <w:vAlign w:val="bottom"/>
            <w:gridSpan w:val="2"/>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260" w:type="dxa"/>
            <w:vAlign w:val="bottom"/>
            <w:gridSpan w:val="12"/>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Material Federal Income Tax Considerations</w:t>
              </w:r>
            </w:hyperlink>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79">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17"/>
                <w:szCs w:val="17"/>
                <w:color w:val="auto"/>
              </w:rPr>
            </w:pPr>
          </w:p>
        </w:tc>
        <w:tc>
          <w:tcPr>
            <w:tcW w:w="1040" w:type="dxa"/>
            <w:vAlign w:val="bottom"/>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Legal Matters</w:t>
              </w:r>
            </w:hyperlink>
          </w:p>
        </w:tc>
        <w:tc>
          <w:tcPr>
            <w:tcW w:w="3240" w:type="dxa"/>
            <w:vAlign w:val="bottom"/>
            <w:gridSpan w:val="9"/>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Experts</w:t>
              </w:r>
            </w:hyperlink>
          </w:p>
        </w:tc>
        <w:tc>
          <w:tcPr>
            <w:tcW w:w="3700" w:type="dxa"/>
            <w:vAlign w:val="bottom"/>
            <w:gridSpan w:val="11"/>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Where You Can Find More Information</w:t>
              </w:r>
            </w:hyperlink>
          </w:p>
        </w:tc>
        <w:tc>
          <w:tcPr>
            <w:tcW w:w="1380" w:type="dxa"/>
            <w:vAlign w:val="bottom"/>
            <w:gridSpan w:val="3"/>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You should carefully read this prospectus supplement along with the accompanying prospectus, as well as the information incorporated by reference herein and therein,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167"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It is important for you to read and consider all information contained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166"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 respective dates of such documents or such other dates as may be specified therein. Our business, financial condition, liquidity, results of operations and prospects may have changed since those dates.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contained on page S-6 of this prospectus supplement, on page 3 of the accompanying prospectus and in our Annual Report on Form 10-K for the year ended December 31, 2016, filed with the SEC on February 13, 2017,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100" w:lineRule="exact"/>
        <w:rPr>
          <w:sz w:val="20"/>
          <w:szCs w:val="20"/>
          <w:color w:val="auto"/>
        </w:rPr>
      </w:pPr>
    </w:p>
    <w:p>
      <w:pPr>
        <w:ind w:left="900" w:right="2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86"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real estate investment trust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372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5372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39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200" w:right="80"/>
        <w:spacing w:after="0" w:line="293" w:lineRule="auto"/>
        <w:rPr>
          <w:sz w:val="20"/>
          <w:szCs w:val="20"/>
          <w:color w:val="auto"/>
        </w:rPr>
      </w:pPr>
      <w:r>
        <w:rPr>
          <w:rFonts w:ascii="Arial" w:cs="Arial" w:eastAsia="Arial" w:hAnsi="Arial"/>
          <w:sz w:val="16"/>
          <w:szCs w:val="16"/>
          <w:color w:val="auto"/>
        </w:rPr>
        <w:t>Federal Realty Investment Trust is an equity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March 31, 2017, we owned or had a majority interest in community and neighborhood shopping centers and mixed-use properties which are operated as 98 predominantly retail real estate projects comprising approximately 23.1 million square feet. In total, the real estate projects were 94.6% leased and 93.1% occupied at March 31, 2017. We have paid quarterly dividends to our shareholders continuously since our founding in 1962 and have increased our dividends per common share for 49 consecutive years.</w:t>
      </w:r>
    </w:p>
    <w:p>
      <w:pPr>
        <w:spacing w:after="0" w:line="165"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We were founded in 1962 as a REIT under the laws of the District of Columbia and re-formed as a REIT in the state of Maryland in 1999. We operate in a manner intended to qualify as a REIT for tax purposes pursuant to provisions of the Internal Revenue Code of 1986, as amended (the “Code”). Our principal executive offices are located at 1626 East Jefferson Street, Rockville, Maryland 20852. Our telephone number is (301) 998-8100. Our website address is www.federalrealty.com. The information contained on our website is not a part of this prospectus supplement or the accompanying prospectus and is not incorporated herein or therein by reference.</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Ratios of Earnings to Fixed Charges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our historical ratios of earnings to fixed charges for the periods indicated: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For the Three Months</w:t>
            </w:r>
          </w:p>
        </w:tc>
        <w:tc>
          <w:tcPr>
            <w:tcW w:w="300" w:type="dxa"/>
            <w:vAlign w:val="bottom"/>
          </w:tcPr>
          <w:p>
            <w:pPr>
              <w:spacing w:after="0"/>
              <w:rPr>
                <w:sz w:val="14"/>
                <w:szCs w:val="14"/>
                <w:color w:val="auto"/>
              </w:rPr>
            </w:pPr>
          </w:p>
        </w:tc>
        <w:tc>
          <w:tcPr>
            <w:tcW w:w="2140" w:type="dxa"/>
            <w:vAlign w:val="bottom"/>
            <w:gridSpan w:val="7"/>
            <w:vMerge w:val="restart"/>
          </w:tcPr>
          <w:p>
            <w:pPr>
              <w:spacing w:after="0"/>
              <w:rPr>
                <w:sz w:val="20"/>
                <w:szCs w:val="20"/>
                <w:color w:val="auto"/>
              </w:rPr>
            </w:pPr>
            <w:r>
              <w:rPr>
                <w:rFonts w:ascii="Arial" w:cs="Arial" w:eastAsia="Arial" w:hAnsi="Arial"/>
                <w:sz w:val="14"/>
                <w:szCs w:val="14"/>
                <w:b w:val="1"/>
                <w:bCs w:val="1"/>
                <w:color w:val="auto"/>
                <w:w w:val="91"/>
              </w:rPr>
              <w:t>For the Years Ended December 31,</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Ended March 31,</w:t>
            </w:r>
          </w:p>
        </w:tc>
        <w:tc>
          <w:tcPr>
            <w:tcW w:w="300" w:type="dxa"/>
            <w:vAlign w:val="bottom"/>
          </w:tcPr>
          <w:p>
            <w:pPr>
              <w:spacing w:after="0"/>
              <w:rPr>
                <w:sz w:val="14"/>
                <w:szCs w:val="14"/>
                <w:color w:val="auto"/>
              </w:rPr>
            </w:pPr>
          </w:p>
        </w:tc>
        <w:tc>
          <w:tcPr>
            <w:tcW w:w="2140" w:type="dxa"/>
            <w:vAlign w:val="bottom"/>
            <w:gridSpan w:val="7"/>
            <w:vMerge w:val="continue"/>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380" w:type="dxa"/>
            <w:vAlign w:val="bottom"/>
            <w:tcBorders>
              <w:top w:val="single" w:sz="8" w:color="auto"/>
            </w:tcBorders>
          </w:tcPr>
          <w:p>
            <w:pPr>
              <w:jc w:val="right"/>
              <w:ind w:right="464"/>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Ratios of earnings to fixed charges</w:t>
            </w:r>
          </w:p>
        </w:tc>
        <w:tc>
          <w:tcPr>
            <w:tcW w:w="1380" w:type="dxa"/>
            <w:vAlign w:val="bottom"/>
            <w:tcBorders>
              <w:top w:val="single" w:sz="8" w:color="auto"/>
            </w:tcBorders>
            <w:shd w:val="clear" w:color="auto" w:fill="CCEEFF"/>
          </w:tcPr>
          <w:p>
            <w:pPr>
              <w:jc w:val="right"/>
              <w:ind w:right="504"/>
              <w:spacing w:after="0"/>
              <w:rPr>
                <w:sz w:val="20"/>
                <w:szCs w:val="20"/>
                <w:color w:val="auto"/>
              </w:rPr>
            </w:pPr>
            <w:r>
              <w:rPr>
                <w:rFonts w:ascii="Arial" w:cs="Arial" w:eastAsia="Arial" w:hAnsi="Arial"/>
                <w:sz w:val="18"/>
                <w:szCs w:val="18"/>
                <w:color w:val="auto"/>
              </w:rPr>
              <w:t>2.7</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ratio of earnings to fixed charges is computed by dividing earnings by fixed charges. In computing the ratio of earnings to fixed charges:</w:t>
      </w:r>
    </w:p>
    <w:p>
      <w:pPr>
        <w:spacing w:after="0" w:line="35" w:lineRule="exact"/>
        <w:rPr>
          <w:sz w:val="20"/>
          <w:szCs w:val="20"/>
          <w:color w:val="auto"/>
        </w:rPr>
      </w:pPr>
    </w:p>
    <w:p>
      <w:pPr>
        <w:ind w:left="200" w:right="120" w:hanging="4"/>
        <w:spacing w:after="0" w:line="254" w:lineRule="auto"/>
        <w:tabs>
          <w:tab w:leader="none" w:pos="445"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616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66160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i w:val="1"/>
          <w:iCs w:val="1"/>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ectPr>
          <w:pgSz w:w="11900" w:h="16838" w:orient="portrait"/>
          <w:cols w:equalWidth="0" w:num="1">
            <w:col w:w="11220"/>
          </w:cols>
          <w:pgMar w:left="240" w:top="459" w:right="439" w:bottom="1440" w:gutter="0" w:footer="0" w:header="0"/>
        </w:sectPr>
      </w:pPr>
    </w:p>
    <w:p>
      <w:pPr>
        <w:spacing w:after="0" w:line="20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Federal Realty Investment Trust.</w:t>
      </w:r>
    </w:p>
    <w:p>
      <w:pPr>
        <w:spacing w:after="0" w:line="140" w:lineRule="exact"/>
        <w:rPr>
          <w:sz w:val="20"/>
          <w:szCs w:val="20"/>
          <w:color w:val="auto"/>
        </w:rPr>
      </w:pPr>
    </w:p>
    <w:p>
      <w:pPr>
        <w:sectPr>
          <w:pgSz w:w="11900" w:h="16838" w:orient="portrait"/>
          <w:cols w:equalWidth="0" w:num="2">
            <w:col w:w="3780" w:space="720"/>
            <w:col w:w="67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Securities offered</w:t>
      </w:r>
    </w:p>
    <w:p>
      <w:pPr>
        <w:spacing w:after="0" w:line="20" w:lineRule="exact"/>
        <w:rPr>
          <w:sz w:val="20"/>
          <w:szCs w:val="20"/>
          <w:color w:val="auto"/>
        </w:rPr>
      </w:pPr>
      <w:r>
        <w:rPr>
          <w:sz w:val="20"/>
          <w:szCs w:val="20"/>
          <w:color w:val="auto"/>
        </w:rPr>
        <w:br w:type="column"/>
      </w:r>
    </w:p>
    <w:p>
      <w:pPr>
        <w:ind w:right="620"/>
        <w:spacing w:after="0" w:line="277" w:lineRule="auto"/>
        <w:rPr>
          <w:sz w:val="20"/>
          <w:szCs w:val="20"/>
          <w:color w:val="auto"/>
        </w:rPr>
      </w:pPr>
      <w:r>
        <w:rPr>
          <w:rFonts w:ascii="Arial" w:cs="Arial" w:eastAsia="Arial" w:hAnsi="Arial"/>
          <w:sz w:val="18"/>
          <w:szCs w:val="18"/>
          <w:color w:val="auto"/>
        </w:rPr>
        <w:t>$300 million aggregate principal amount of 3.25% Notes due 2027 and $100 million aggregate principal amount of 4.50% Notes due 2044.</w:t>
      </w:r>
    </w:p>
    <w:p>
      <w:pPr>
        <w:spacing w:after="0" w:line="76" w:lineRule="exact"/>
        <w:rPr>
          <w:sz w:val="20"/>
          <w:szCs w:val="20"/>
          <w:color w:val="auto"/>
        </w:rPr>
      </w:pPr>
    </w:p>
    <w:p>
      <w:pPr>
        <w:sectPr>
          <w:pgSz w:w="11900" w:h="16838" w:orient="portrait"/>
          <w:cols w:equalWidth="0" w:num="2">
            <w:col w:w="3780" w:space="720"/>
            <w:col w:w="67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Maturities</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Unless redeemed prior to maturity as described below, the 2027 Notes will mature on July 15, 2027 and the 2044 Notes will mature on December 1, 2044.</w:t>
      </w:r>
    </w:p>
    <w:p>
      <w:pPr>
        <w:spacing w:after="0" w:line="62" w:lineRule="exact"/>
        <w:rPr>
          <w:sz w:val="20"/>
          <w:szCs w:val="20"/>
          <w:color w:val="auto"/>
        </w:rPr>
      </w:pPr>
    </w:p>
    <w:p>
      <w:pPr>
        <w:sectPr>
          <w:pgSz w:w="11900" w:h="16838" w:orient="portrait"/>
          <w:cols w:equalWidth="0" w:num="2">
            <w:col w:w="3780" w:space="720"/>
            <w:col w:w="67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ind w:right="40"/>
        <w:spacing w:after="0" w:line="293" w:lineRule="auto"/>
        <w:rPr>
          <w:sz w:val="20"/>
          <w:szCs w:val="20"/>
          <w:color w:val="auto"/>
        </w:rPr>
      </w:pPr>
      <w:r>
        <w:rPr>
          <w:rFonts w:ascii="Arial" w:cs="Arial" w:eastAsia="Arial" w:hAnsi="Arial"/>
          <w:sz w:val="16"/>
          <w:szCs w:val="16"/>
          <w:color w:val="auto"/>
        </w:rPr>
        <w:t>Interest on the 2027 Notes will be payable semi-annually in arrears on January 15 and July 15 of each year, beginning on January 15, 2018, and at maturity (or any earlier redemption date). Interest on the 2044 Notes will accrue from June 1, 2017, the last date on which interest was paid on the notes of the same series previously issued. Interest on the 2044 Notes will be payable semi-annually in arrears on June 1 and December 1 of each year, beginning on December 1, 2017, and at maturity (or any earlier redemption date).</w:t>
      </w:r>
    </w:p>
    <w:p>
      <w:pPr>
        <w:spacing w:after="0" w:line="70" w:lineRule="exact"/>
        <w:rPr>
          <w:sz w:val="20"/>
          <w:szCs w:val="20"/>
          <w:color w:val="auto"/>
        </w:rPr>
      </w:pPr>
    </w:p>
    <w:p>
      <w:pPr>
        <w:sectPr>
          <w:pgSz w:w="11900" w:h="16838" w:orient="portrait"/>
          <w:cols w:equalWidth="0" w:num="2">
            <w:col w:w="3780" w:space="720"/>
            <w:col w:w="67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ind w:right="20"/>
        <w:spacing w:after="0" w:line="285" w:lineRule="auto"/>
        <w:rPr>
          <w:sz w:val="20"/>
          <w:szCs w:val="20"/>
          <w:color w:val="auto"/>
        </w:rPr>
      </w:pPr>
      <w:r>
        <w:rPr>
          <w:rFonts w:ascii="Arial" w:cs="Arial" w:eastAsia="Arial" w:hAnsi="Arial"/>
          <w:sz w:val="16"/>
          <w:szCs w:val="16"/>
          <w:color w:val="auto"/>
        </w:rPr>
        <w:t xml:space="preserve">The notes will be our senior unsecured obligations and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 At March 31, 2017, we had outstanding approximately $465 million (excluding net unamortized premium and debt issuance costs) of secured indebtedness, which was issued by our subsidiaries and is collateralized by all or parts of 9 properties, and which will rank senior to the notes to the extent of the securing collateral and will also be structurally senior to the notes, approximately $5 million (excluding net unamortized debt issuance costs) of unsecured indebtedness issued by our subsidiaries, which will be structurally senior to the notes, and approximately $2,486 million of unsecured indebtedness (excluding net unamortized discount and debt issuance costs), which will rank equally with the notes. Since March 31, 2017, $50 million of secured indebtedness was repaid with the proceeds of borrowings under our unsecured revolving credit facility and via contributions from our partners in the related partnership; accordingly, and taking into account regular payments of principal with respect to our secured indebtedness, as of June 19, 2017, we had outstanding approximately $413 million (excluding net unamortized premium and debt issuance costs) of secured indebtedness.</w:t>
      </w:r>
    </w:p>
    <w:p>
      <w:pPr>
        <w:spacing w:after="0" w:line="65" w:lineRule="exact"/>
        <w:rPr>
          <w:sz w:val="20"/>
          <w:szCs w:val="20"/>
          <w:color w:val="auto"/>
        </w:rPr>
      </w:pPr>
    </w:p>
    <w:p>
      <w:pPr>
        <w:sectPr>
          <w:pgSz w:w="11900" w:h="16838" w:orient="portrait"/>
          <w:cols w:equalWidth="0" w:num="2">
            <w:col w:w="3780" w:space="720"/>
            <w:col w:w="67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We intend to use the net proceeds from this offering to pay down the outstanding balance under our revolving credit facility and for general corporate purposes. See “Use of Proceeds” on page S-8 for more information.</w:t>
      </w:r>
    </w:p>
    <w:p>
      <w:pPr>
        <w:spacing w:after="0" w:line="87" w:lineRule="exact"/>
        <w:rPr>
          <w:sz w:val="20"/>
          <w:szCs w:val="20"/>
          <w:color w:val="auto"/>
        </w:rPr>
      </w:pPr>
    </w:p>
    <w:p>
      <w:pPr>
        <w:sectPr>
          <w:pgSz w:w="11900" w:h="16838" w:orient="portrait"/>
          <w:cols w:equalWidth="0" w:num="2">
            <w:col w:w="3780" w:space="720"/>
            <w:col w:w="6720"/>
          </w:cols>
          <w:pgMar w:left="240" w:top="459" w:right="439" w:bottom="1440" w:gutter="0" w:footer="0" w:header="0"/>
          <w:type w:val="continuous"/>
        </w:sectPr>
      </w:pPr>
    </w:p>
    <w:p>
      <w:pPr>
        <w:ind w:left="4500" w:right="140"/>
        <w:spacing w:after="0" w:line="259" w:lineRule="auto"/>
        <w:rPr>
          <w:sz w:val="20"/>
          <w:szCs w:val="20"/>
          <w:color w:val="auto"/>
        </w:rPr>
      </w:pPr>
      <w:r>
        <w:rPr>
          <w:rFonts w:ascii="Arial" w:cs="Arial" w:eastAsia="Arial" w:hAnsi="Arial"/>
          <w:sz w:val="18"/>
          <w:szCs w:val="18"/>
          <w:color w:val="auto"/>
        </w:rPr>
        <w:t>We expect that the sales of the 2027 Notes and the 2044 Notes will take place concurrently. However, the sales of the 2027 Notes and the 2044 Notes are not conditioned upon each other, and we may consummate the sale of one series and not the other, or consummate the sales at different times.</w:t>
      </w:r>
    </w:p>
    <w:p>
      <w:pPr>
        <w:sectPr>
          <w:pgSz w:w="11900" w:h="16838" w:orient="portrait"/>
          <w:cols w:equalWidth="0" w:num="1">
            <w:col w:w="1122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S-3</w:t>
      </w:r>
    </w:p>
    <w:p>
      <w:pPr>
        <w:sectPr>
          <w:pgSz w:w="11900" w:h="16838" w:orient="portrait"/>
          <w:cols w:equalWidth="0" w:num="1">
            <w:col w:w="11220"/>
          </w:cols>
          <w:pgMar w:left="240" w:top="459"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838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683895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00"/>
        <w:spacing w:after="0"/>
        <w:tabs>
          <w:tab w:leader="none" w:pos="4480" w:val="left"/>
        </w:tabs>
        <w:rPr>
          <w:sz w:val="20"/>
          <w:szCs w:val="20"/>
          <w:color w:val="auto"/>
        </w:rPr>
      </w:pPr>
      <w:r>
        <w:rPr>
          <w:rFonts w:ascii="Arial" w:cs="Arial" w:eastAsia="Arial" w:hAnsi="Arial"/>
          <w:sz w:val="18"/>
          <w:szCs w:val="18"/>
          <w:color w:val="auto"/>
        </w:rPr>
        <w:t>Limitations on incurrence of debt</w:t>
      </w:r>
      <w:r>
        <w:rPr>
          <w:sz w:val="20"/>
          <w:szCs w:val="20"/>
          <w:color w:val="auto"/>
        </w:rPr>
        <w:tab/>
      </w:r>
      <w:r>
        <w:rPr>
          <w:rFonts w:ascii="Arial" w:cs="Arial" w:eastAsia="Arial" w:hAnsi="Arial"/>
          <w:sz w:val="16"/>
          <w:szCs w:val="16"/>
          <w:color w:val="auto"/>
        </w:rPr>
        <w:t>The notes contain various covenants, including the following:</w:t>
      </w:r>
    </w:p>
    <w:p>
      <w:pPr>
        <w:spacing w:after="0" w:line="117" w:lineRule="exact"/>
        <w:rPr>
          <w:sz w:val="20"/>
          <w:szCs w:val="20"/>
          <w:color w:val="auto"/>
        </w:rPr>
      </w:pPr>
    </w:p>
    <w:p>
      <w:pPr>
        <w:ind w:left="4500" w:firstLine="5"/>
        <w:spacing w:after="0" w:line="268" w:lineRule="auto"/>
        <w:tabs>
          <w:tab w:leader="none" w:pos="475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will not, and will not permit any subsidiary to, incur any Debt if, immediately after 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(a) Total Assets as of the end of the calendar quarter covered in our Annual Report on Form 10-K or Quarterly Report on Form 10-Q, as the case may be, most recently filed with the SEC (or, if such filing is not permitted under the Exchange Act, with U.S. Bank National Association,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77" w:lineRule="exact"/>
        <w:rPr>
          <w:rFonts w:ascii="Arial" w:cs="Arial" w:eastAsia="Arial" w:hAnsi="Arial"/>
          <w:sz w:val="17"/>
          <w:szCs w:val="17"/>
          <w:color w:val="auto"/>
        </w:rPr>
      </w:pPr>
    </w:p>
    <w:p>
      <w:pPr>
        <w:ind w:left="4500" w:right="20" w:firstLine="5"/>
        <w:spacing w:after="0" w:line="267" w:lineRule="auto"/>
        <w:tabs>
          <w:tab w:leader="none" w:pos="4755"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for purposes of this limitation, the amount of obligations under capital leases</w:t>
      </w:r>
      <w:r>
        <w:rPr>
          <w:rFonts w:ascii="Arial" w:cs="Arial" w:eastAsia="Arial" w:hAnsi="Arial"/>
          <w:sz w:val="17"/>
          <w:szCs w:val="17"/>
          <w:i w:val="1"/>
          <w:iCs w:val="1"/>
          <w:color w:val="auto"/>
        </w:rPr>
        <w:t xml:space="preserve"> </w:t>
      </w:r>
      <w:r>
        <w:rPr>
          <w:rFonts w:ascii="Arial" w:cs="Arial" w:eastAsia="Arial" w:hAnsi="Arial"/>
          <w:sz w:val="17"/>
          <w:szCs w:val="17"/>
          <w:color w:val="auto"/>
        </w:rPr>
        <w:t>shown as a liability on our consolidated balance sheet shall be deducted from Debt and from Total Assets;</w:t>
      </w:r>
    </w:p>
    <w:p>
      <w:pPr>
        <w:spacing w:after="0" w:line="83" w:lineRule="exact"/>
        <w:rPr>
          <w:rFonts w:ascii="Arial" w:cs="Arial" w:eastAsia="Arial" w:hAnsi="Arial"/>
          <w:sz w:val="17"/>
          <w:szCs w:val="17"/>
          <w:color w:val="auto"/>
        </w:rPr>
      </w:pPr>
    </w:p>
    <w:p>
      <w:pPr>
        <w:ind w:left="4500" w:firstLine="5"/>
        <w:spacing w:after="0" w:line="284" w:lineRule="auto"/>
        <w:tabs>
          <w:tab w:leader="none" w:pos="4755"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(a) such Debt and any other Debt incurred by us and our subsidiaries since the first day of such four-quarter period and the application of the proceeds therefrom, including to refinance other Debt, had occurred at the beginning of such period;</w:t>
      </w:r>
    </w:p>
    <w:p>
      <w:pPr>
        <w:spacing w:after="0" w:line="1" w:lineRule="exact"/>
        <w:rPr>
          <w:rFonts w:ascii="Arial" w:cs="Arial" w:eastAsia="Arial" w:hAnsi="Arial"/>
          <w:sz w:val="16"/>
          <w:szCs w:val="16"/>
          <w:color w:val="auto"/>
        </w:rPr>
      </w:pPr>
    </w:p>
    <w:p>
      <w:pPr>
        <w:ind w:left="4500" w:right="220"/>
        <w:spacing w:after="0" w:line="295" w:lineRule="auto"/>
        <w:rPr>
          <w:rFonts w:ascii="Arial" w:cs="Arial" w:eastAsia="Arial" w:hAnsi="Arial"/>
          <w:sz w:val="16"/>
          <w:szCs w:val="16"/>
          <w:color w:val="auto"/>
        </w:rPr>
      </w:pPr>
      <w:r>
        <w:rPr>
          <w:rFonts w:ascii="Arial" w:cs="Arial" w:eastAsia="Arial" w:hAnsi="Arial"/>
          <w:sz w:val="16"/>
          <w:szCs w:val="16"/>
          <w:color w:val="auto"/>
        </w:rPr>
        <w:t>(b)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7130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713041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Material federal income tax considerations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such period); (c)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(d)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 and</w:t>
      </w:r>
    </w:p>
    <w:p>
      <w:pPr>
        <w:spacing w:after="0" w:line="59" w:lineRule="exact"/>
        <w:rPr>
          <w:sz w:val="20"/>
          <w:szCs w:val="20"/>
          <w:color w:val="auto"/>
        </w:rPr>
      </w:pPr>
    </w:p>
    <w:p>
      <w:pPr>
        <w:ind w:right="100" w:firstLine="5"/>
        <w:spacing w:after="0" w:line="264"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together with our subsidiaries, will maintain an Unencumbered Total Asset Value in an amount not less than 150% of the aggregate outstanding principal amount of all of our and our subsidiaries’ unsecured Debt, taken as a whole.</w:t>
      </w:r>
    </w:p>
    <w:p>
      <w:pPr>
        <w:spacing w:after="0" w:line="7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2027 Notes will be redeemable at any time at our option, in whole or in part. If the 2027 Notes are redeemed before April 15, 2027 (three months prior to the stated maturity date), the redemption price will be equal to the greater of (1) 100% of the principal amount of the 2027 Notes being redeemed, or (2) the sum of the present values of the remaining scheduled payments of principal and interest thereon, discounted to the redemption date on a semi-annual basis at the Adjusted Treasury Rate plus 20 basis points (0.20%), plus, in each case, accrued and unpaid interest thereon to, but excluding, the redemption date. If the 2027 Notes are redeemed on or after April 15, 2027 (three months prior to the maturity date), the redemption price will be equal to 100% of the principal amount of the 2027 Notes being redeemed plus accrued and unpaid interest thereon to, but excluding, the redemption date.</w:t>
      </w:r>
    </w:p>
    <w:p>
      <w:pPr>
        <w:spacing w:after="0" w:line="6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2044 Notes are redeemable at any time at our option, in whole or in part. If the 2044 Notes are redeemed before June 1, 2044 (six months prior to the stated maturity date), the redemption price will be equal to the greater of (1) 100% of the principal amount of the 2044 Notes being redeemed, or (2) the sum of the present values of the remaining scheduled payments of principal and interest thereon, discounted to the redemption date on a semi-annual basis at the Adjusted Treasury Rate plus 25 basis points (0.25%), plus, in each case, accrued and unpaid interest thereon to, but excluding, the redemption date. If the 2044 Notes are redeemed on or after June 1, 2044, the redemption price will be equal to 100% of the principal amount of the 2044 Notes being redeemed plus accrued and unpaid interest thereon to, but excluding, the redemption date.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See “Description of Notes — Optional Redemption” for more information.</w:t>
      </w:r>
    </w:p>
    <w:p>
      <w:pPr>
        <w:spacing w:after="0" w:line="13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For a description of the material U.S. federal income tax considerations of an investment in the notes, please review the disclosure in this prospectus supplement under “Additional Material Federal Income Tax Considerations” and in the accompanying prospectus under “Material Federal Income Tax Considerations.”</w:t>
      </w:r>
    </w:p>
    <w:p>
      <w:pPr>
        <w:spacing w:after="0" w:line="6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Investing in the notes involves risks. Please review the risk factors discussed beginning on page S-6 of this prospectus supplement, on page 3 of the accompanying prospectus and in our Annual Report on Form 10-K for the year ended December 31, 2016, filed with the SEC on February 13, 2017, and the other information contained or incorporated by reference in this prospectus supplement and the accompanying prospectus for a discussion of factors you should consider before deciding to invest in the notes. You may obtain a copy of our Annual Report on Form 10-K and the other documents incorporated by reference in this prospectus supplement and the accompanying prospectus by following the procedures described under “Where You Can Find More Information” on page 47 of the accompanying prospectus.</w:t>
      </w:r>
    </w:p>
    <w:p>
      <w:pPr>
        <w:spacing w:after="0" w:line="200" w:lineRule="exact"/>
        <w:rPr>
          <w:sz w:val="20"/>
          <w:szCs w:val="20"/>
          <w:color w:val="auto"/>
        </w:rPr>
      </w:pPr>
    </w:p>
    <w:p>
      <w:pPr>
        <w:sectPr>
          <w:pgSz w:w="11900" w:h="16838" w:orient="portrait"/>
          <w:cols w:equalWidth="0" w:num="2">
            <w:col w:w="3780" w:space="720"/>
            <w:col w:w="6700"/>
          </w:cols>
          <w:pgMar w:left="240" w:top="459" w:right="45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S-5</w:t>
      </w:r>
    </w:p>
    <w:p>
      <w:pPr>
        <w:sectPr>
          <w:pgSz w:w="11900" w:h="16838" w:orient="portrait"/>
          <w:cols w:equalWidth="0" w:num="1">
            <w:col w:w="11200"/>
          </w:cols>
          <w:pgMar w:left="240" w:top="459" w:right="4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3 of the accompanying prospectus and the risk factors included in our Annual Report on Form 10-K for the year ended December 31, 2016 filed with the SEC on February 13, 2017 before you decide to purchase the notes. The risks and uncertainties described below and in the incorporated Form 10-K for the year ended December 31, 2016 are not the only ones we may confront. Additional risks and uncertainties not currently known to us or that we currently deem immaterial also may impair our business operations. If any of those risks actually occur, our financial condition, operating results, liquidity and prospects could be materially adversely affected. This section contains forward-looking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structurally subordinated to the claims of our subsidiaries’ creditors and our subsidiaries’ preferred equity holders.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Because the notes will not be guaranteed by our subsidiaries, the notes will be effectively subordinated in right of payment to all of our subsidiaries’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March 31, 2017, our subsidiaries had approximately $470 million of total secured and unsecured debt outstanding (excluding net unamortized premium and debt issuance costs),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unsecured and are effectively subordinated to our secured indebtedness.</w:t>
      </w:r>
    </w:p>
    <w:p>
      <w:pPr>
        <w:spacing w:after="0" w:line="12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Because the notes will be unsecured, they will be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March 31, 2017, we had approximately $465 million (excluding net unamortized premium and debt issuance costs) of secured debt outstanding, all of which was effectively senior to the notes to the extent of the value of the securing collateral. Since March 31, 2017, $50 million of secured indebtedness was repaid with the proceeds of borrowings under our unsecured revolving credit facility and via contributions from our partners in the related partnership; accordingly, and taking into account regular payments of principal with respect to our secured indebtedness, as of June 19, 2017, we had outstanding approximately $413 million (excluding net unamortized premium and debt issuance costs) of secured indebtedness.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2027 Notes will be a new issue of securities with no established trading market. Although the 2044 Notes offered hereby will become part of the same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series as our outstanding 4.50% Notes due 2044 ($450,000,000 aggregate principal amount of which are outstanding prior to giving effect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$100,000,000 aggregate principal amount of 2044 Notes offered hereby) we cannot assure you that there will be an active trading market for the 2044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do not intend to apply to list the notes on any securities exchange. The underwriters have advised us that they intend to make a market in the notes after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offering is completed. They are not obligated to do this, however, and may discontinue market-making at any time without notice.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13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net proceeds to us from the issuance and sale of the notes offered by this prospectus supplement are estimated to be approximately $399.4 million after deducting the underwriting discount and other estimated expenses of this offering payable by us (and not including the amount of accrued interest paid by the purchasers of the 2044 Notes). We intend to use these net proceeds to pay down the outstanding balance under our revolving credit facility and for general corporate purposes. Pending application of the net proceeds, we may invest the net proceeds in short-term income-producing investments.</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$800 million revolving credit facility matures on April 20, 2020, subject to two six-month extensions at our option. LIBOR loans outstanding under our revolving credit facility bear interest at seven day, one month, three month or six month LIBOR, at our election, plus a spread of 82.5 basis points, subject to adjustment based on our credit rating. In addition, we have an option (subject to the approval of the lenders under our revolving credit facility) to increase our revolving credit facility through an accordion feature to $1.5 billion. As of March 31, 2017, we had $217.0 million outstanding under our revolving credit facility ($344 million as of June 19, 2017).</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Affiliates of certain of the underwriters are lenders under our revolving credit facility and will receive a pro rata portion of the net proceeds used to repay amounts outstanding under our revolving credit facility. See “Underwriting (Conflicts of Interest) — Conflicts of Interest.”</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expect that the sales of the 2027 Notes and the 2044 Notes will take place concurrently. However, the sales of the 2027 Notes and the 2044 Notes are not conditioned upon each other, and we may consummate the sale of one series and not the other, or consummate the sales at different times.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are offering $400,000,000 aggregate principal amount of notes in two separate series. We are offering $300,000,000 aggregate principal amount of 2027 Notes and $100,000,000 aggregate principal amount of 2044 Notes. The 2027 Notes will mature on July 15, 2027 (unless redeemed prior to such date in accordance with their terms) and the 2044 Notes will mature on December 1, 2044 (unless redeemed prior to such date in accordance with their terms).</w:t>
      </w:r>
    </w:p>
    <w:p>
      <w:pPr>
        <w:spacing w:after="0" w:line="14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2044 Notes offered hereby will be an additional issuance of our outstanding 4.50% Notes due 2044 ($250,000,000 of which were originally issued on November 14, 2014 and $200,000,000 of which were subsequently issued on March 16, 2015). The terms of the 2044 Notes offered hereby, other than their issue date, initial interest accrual date, initial interest payment date and issue price, will be identical to the terms of and will be part of the same series as the $450,000,000 aggregate principal amount of our outstanding 4.50% Notes due 2044. The 2044 Notes offered hereby will have the same CUSIP number as the currently outstanding 2044 Notes and will trade interchangeably with such notes immediately upon settlement. Upon consummation of this offering, the aggregate principal amount outstanding of our 4.50% Notes due 2044, including the 2044 Notes offered hereby, will be $550,000,000.</w:t>
      </w:r>
    </w:p>
    <w:p>
      <w:pPr>
        <w:spacing w:after="0" w:line="16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will pay interest on the 2027 Notes semi-annually in arrears at an annual rate of 3.25% on January 15 and July 15 of each year, beginning on January 15, 2018, to the registered holders of the 2027 Notes on the preceding January 1 and July 1. We will pay interest on the 2044 Notes semi-annually in arrears at an annual rate of 4.50% on June 1 and December 1 of each year, beginning on December 1, 2017, to the registered holders of the 2044 Notes on the preceding May 15 and November 15. Unless previously redeemed, the 2027 Notes will mature on July 15, 2027, and the 2044 Notes will mature on December 1, 2044. Interest will be computed and paid on the basis of a 360-day year consisting of twelve 30-day months. If any interest payment date, redemption date or maturity date falls on a day that is not a business day, the payment will be made on the next succeeding business day, and no interest shall accrue on the amount of interest due on such date for the period from and after such interest payment date, redemption date or maturity date to the next succeeding business day.</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2027 Notes will be issued only in registered form in denominations of $2,000 and integral multiples of $1,000 in excess thereof. The 2044 Notes will be issued only in registered form in denominations of $1,000 and any integral multiple thereof.</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will not be entitled to the benefit of any sinking fund.</w:t>
      </w:r>
    </w:p>
    <w:p>
      <w:pPr>
        <w:spacing w:after="0" w:line="24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The 2027 Notes will be issued in an initial aggregate principal amount of $300,000,000. We may from time to time, without the consent of existing holders, create and issue further notes having the same terms and conditions as the 2027 Notes or the 2044 Notes being offered hereby in all respects, except for the issue date, the issue price and, if applicable, the first payment of interest thereon and the initial interest accrual date. Additional notes issued in this manner will be consolidated with, and will form a single series with, the applicable previously outstanding 2027 Notes or 2044 Notes. We also may issue from time to time other series of debt securities under the indenture consisting of notes or other unsecured evidences of indebtedness.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notes will be our senior unsecured obligations and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 and unsubordinated indebtedness.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notes will be effectively subordinated to the prior claims of each secured mortgage lender to any specific property that secures such lender’s mortgage and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 of the unsecured indebtedness of our subsidiaries. At March 31, 2017, we had outstanding approximately $465 million (excluding net unamortized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premium and debt issuance costs) of secured indebtedness, which was issued by our subsidiaries and is collateralized by all or parts of 9 properties, and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ranks senior to the notes to the extent of securing collateral and will also be structurally senior to the notes, approximately $5 million (excluding net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unamortized debt issuance costs) of unsecured indebtedness issued by our subsidiaries, which will be structurally senior to the notes, and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$2,486 million of unsecured indebtedness (excluding net unamortized discount and debt issuance costs), which will rank equally. Since March 31, 2017, $50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of secured indebtedness was repaid with the proceeds of borrowings under our unsecured revolving credit facility and via contributions from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partners in the related partnership; accordingly, and taking into account regular payments of principal with respect to our secured indebtedness, as of June 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2017, we had outstanding approximately $413 million (excluding net unamortized premium and debt issuance costs) of secured indebtedness.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2027 Notes</w:t>
      </w:r>
      <w:r>
        <w:rPr>
          <w:rFonts w:ascii="Arial" w:cs="Arial" w:eastAsia="Arial" w:hAnsi="Arial"/>
          <w:sz w:val="18"/>
          <w:szCs w:val="18"/>
          <w:color w:val="auto"/>
        </w:rPr>
        <w:t>.</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2027 Notes will be redeemable at any time at our option, in whole or in part. If the 2027 Notes are redeemed before April 15, 2027 (three months prior to the stated maturity date) (the “2027 Notes Par Call Date”), the redemption price will be equal to the greater of (1) 100% of the principal amount of the 2027 Notes being redeemed, or (2) as determined by the Quotation Agent (as defined below), the sum of the present values of the remaining scheduled payments of principal and interest (not including any portion of such payments of interest accrued to the applicable redemption date) on the 2027 Notes to be redeemed, assuming that such 2027 Notes matured, and that interest on such 2027 Notes was payable on, the 2027 Notes Par Call Date, discounted to such redemption date on a semi-annual basis (assuming a 360-day year consisting of twelve 30-day months) at the Adjusted Treasury Rate (as defined below) plus 20 basis points (0.20%), plus, in each case, accrued and unpaid interest thereon to, but excluding, the redemption date. If the 2027 Notes are redeemed on or after the 2027 Notes Par Call Date, the redemption price will be equal to 100% of the principal amount of the 2027 Notes being redeemed plus accrued and unpaid interest thereon to, but excluding, the redemption date.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with respect to the 2027 Notes: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2027 Notes to be redeemed (assuming for this purpose that such 2027 Notes matured on the 2027 Notes Par Call Date) that would be utilized, at the time of selection and in accordance with customary financial practice, in pricing new issues of corporate debt securities of comparable maturity to the remaining term of such 2027 Notes.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five such Reference Treasury Dealer Quotations, the average of all such Quotations.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each of (1) Citigroup Global Markets Inc., Deutsche Bank Securities Inc., J.P. Morgan Securities LLC and Wells Fargo Securities, LLC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of the Reference Treasury Dealers ceases to be a primary U.S. Government securities dealer, or a Primary Treasury Dealer, we will substitute therefor another Primary Treasury Dealer; and (2) any three other Primary Treasury Dealers selected by us.</w:t>
      </w:r>
    </w:p>
    <w:p>
      <w:pPr>
        <w:spacing w:after="0" w:line="18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2044 Notes.</w:t>
      </w:r>
    </w:p>
    <w:p>
      <w:pPr>
        <w:spacing w:after="0" w:line="11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2044 Notes are redeemable at any time at our option, in whole or in part. If the 2044 Notes are redeemed before June 1, 2044 (six months prior to the stated maturity date), the redemption price will be equal to the greater of (1) 100% of the principal amount of the 2044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25 basis points (0.25%), plus, in each case, accrued and unpaid interest thereon to, but excluding, the redemption date. If the 2044 Notes are redeemed on or after June 1, 2044, the redemption price will be equal to 100% of the principal amount of the 2044 Notes being redeemed plus accrued and unpaid interest thereon to, but excluding, the redemption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with respect to the 2044 Notes: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2044 Notes to be redeemed that would be utilized, at the time of selection and in accordance with customary financial practice, in pricing new issues of corporate debt securities of comparable maturity to the remaining term of such 2044 Notes.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five such Reference Treasury Dealer Quotations, the average of all such Quotations.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each of (1) a Primary Treasury Dealer (as defined below) selected by Wells Fargo Securities, LLC, Merrill Lynch, Pierce, Fenner &amp; Smith Incorporated and Deutsche Bank Securities Inc.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of the Reference Treasury Dealers ceases to be a primary U.S. Government securities dealer, or a Primary Treasury Dealer, we will substitute therefor another Primary Treasury Dealer; and (2) any two other Primary Treasury Dealers selected by us.</w:t>
      </w:r>
    </w:p>
    <w:p>
      <w:pPr>
        <w:spacing w:after="0" w:line="18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Notice of any redemption of the 2027 Notes will be mailed at least 15 days but not more than 60 days before the redemption date to each holder of the notes to be redeemed. Notice of any redemption of the 2044 Notes will be mailed at least 20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Limitations on Incurrence of Debt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will provide that we will not, and will not permit any subsidiary to, incur any Debt if, immediately after giving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w:t>
      </w:r>
    </w:p>
    <w:p>
      <w:pPr>
        <w:spacing w:after="0" w:line="2" w:lineRule="exact"/>
        <w:rPr>
          <w:sz w:val="20"/>
          <w:szCs w:val="20"/>
          <w:color w:val="auto"/>
        </w:rPr>
      </w:pPr>
    </w:p>
    <w:p>
      <w:pPr>
        <w:ind w:right="40" w:firstLine="8"/>
        <w:spacing w:after="0" w:line="271" w:lineRule="auto"/>
        <w:tabs>
          <w:tab w:leader="none" w:pos="252" w:val="left"/>
        </w:tabs>
        <w:numPr>
          <w:ilvl w:val="0"/>
          <w:numId w:val="8"/>
        </w:numPr>
        <w:rPr>
          <w:rFonts w:ascii="Arial" w:cs="Arial" w:eastAsia="Arial" w:hAnsi="Arial"/>
          <w:sz w:val="17"/>
          <w:szCs w:val="17"/>
          <w:color w:val="auto"/>
        </w:rPr>
      </w:pPr>
      <w:r>
        <w:rPr>
          <w:rFonts w:ascii="Arial" w:cs="Arial" w:eastAsia="Arial" w:hAnsi="Arial"/>
          <w:sz w:val="17"/>
          <w:szCs w:val="17"/>
          <w:color w:val="auto"/>
        </w:rPr>
        <w:t>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for purposes of this limitation, the amount of obligations under capital leases shown as a liability on our consolidated balance sheet shall be deducted from Debt and from Total Assets.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84"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i w:val="1"/>
          <w:iCs w:val="1"/>
          <w:color w:val="auto"/>
        </w:rPr>
        <w:t>Maintenance of Unencumbered Total Asset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will provide that we, together with our subsidiaries, will at all times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Unencumbered Total Asset Value in an amount not less than 150% of the aggregate outstanding principal amount of all our and our subsidiaries’ unsecured Debt, taken as a whole.</w:t>
      </w:r>
    </w:p>
    <w:p>
      <w:pPr>
        <w:spacing w:after="0" w:line="176" w:lineRule="exact"/>
        <w:rPr>
          <w:sz w:val="20"/>
          <w:szCs w:val="20"/>
          <w:color w:val="auto"/>
        </w:rPr>
      </w:pPr>
    </w:p>
    <w:p>
      <w:pPr>
        <w:jc w:val="both"/>
        <w:ind w:right="80"/>
        <w:spacing w:after="0" w:line="277" w:lineRule="auto"/>
        <w:rPr>
          <w:sz w:val="20"/>
          <w:szCs w:val="20"/>
          <w:color w:val="auto"/>
        </w:rPr>
      </w:pPr>
      <w:r>
        <w:rPr>
          <w:rFonts w:ascii="Arial" w:cs="Arial" w:eastAsia="Arial" w:hAnsi="Arial"/>
          <w:sz w:val="17"/>
          <w:szCs w:val="17"/>
          <w:b w:val="1"/>
          <w:bCs w:val="1"/>
          <w:i w:val="1"/>
          <w:iCs w:val="1"/>
          <w:color w:val="auto"/>
        </w:rPr>
        <w:t>Insurance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notes will provide that we will, and will cause each of our subsidiaries to, maintain insurance with financially sound and reputable insurance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against such risks and in such amounts as is customarily maintained by persons engaged in similar businesses or as may be required by applicable law, and that we will from time to time deliver to the Administrative Agent (as defined in our credit agreement dated as of July 7, 2011,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87"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Undepreciated Real Estate Assets</w:t>
      </w:r>
      <w:r>
        <w:rPr>
          <w:rFonts w:ascii="Arial" w:cs="Arial" w:eastAsia="Arial" w:hAnsi="Arial"/>
          <w:sz w:val="16"/>
          <w:szCs w:val="16"/>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“Unencumbered Total Asset Value” </w:t>
      </w:r>
      <w:r>
        <w:rPr>
          <w:rFonts w:ascii="Arial" w:cs="Arial" w:eastAsia="Arial" w:hAnsi="Arial"/>
          <w:sz w:val="16"/>
          <w:szCs w:val="16"/>
          <w:color w:val="auto"/>
        </w:rPr>
        <w:t>as of any date means the sum of (a) those Undepreciated Real Estate Assets not encumbered by any mortgage, lien,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determining Unencumbered Total Asset Value for purposes of the covenant set forth above in “— Maintenance of Unencumbered Total Asset Value,” all investments by us and 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See “Description of Debt Securities — Certain Covenants” in the accompanying prospectus for a description of additional covenants applicable to us.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The notes will be subject to the following events of default:</w:t>
      </w:r>
    </w:p>
    <w:p>
      <w:pPr>
        <w:spacing w:after="0" w:line="117" w:lineRule="exact"/>
        <w:rPr>
          <w:sz w:val="20"/>
          <w:szCs w:val="20"/>
          <w:color w:val="auto"/>
        </w:rPr>
      </w:pPr>
    </w:p>
    <w:p>
      <w:pPr>
        <w:ind w:right="560" w:firstLine="8"/>
        <w:spacing w:after="0" w:line="27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62" w:lineRule="exact"/>
        <w:rPr>
          <w:rFonts w:ascii="Arial" w:cs="Arial" w:eastAsia="Arial" w:hAnsi="Arial"/>
          <w:sz w:val="18"/>
          <w:szCs w:val="18"/>
          <w:color w:val="auto"/>
        </w:rPr>
      </w:pPr>
    </w:p>
    <w:p>
      <w:pPr>
        <w:ind w:right="720" w:firstLine="8"/>
        <w:spacing w:after="0" w:line="27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62"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117"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(7) hereof) if such default or breach continues for a period of 60 days after written notice has been given, by registered or certified mail:</w:t>
      </w:r>
    </w:p>
    <w:p>
      <w:pPr>
        <w:spacing w:after="0" w:line="73"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117" w:lineRule="exact"/>
        <w:rPr>
          <w:sz w:val="20"/>
          <w:szCs w:val="20"/>
          <w:color w:val="auto"/>
        </w:rPr>
      </w:pPr>
    </w:p>
    <w:p>
      <w:pPr>
        <w:ind w:firstLine="8"/>
        <w:spacing w:after="0" w:line="271"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70" w:lineRule="exact"/>
        <w:rPr>
          <w:rFonts w:ascii="Arial" w:cs="Arial" w:eastAsia="Arial" w:hAnsi="Arial"/>
          <w:sz w:val="17"/>
          <w:szCs w:val="17"/>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117" w:lineRule="exact"/>
        <w:rPr>
          <w:sz w:val="20"/>
          <w:szCs w:val="20"/>
          <w:color w:val="auto"/>
        </w:rPr>
      </w:pPr>
    </w:p>
    <w:p>
      <w:pPr>
        <w:ind w:left="5540" w:right="5180" w:hanging="5532"/>
        <w:spacing w:after="0" w:line="536" w:lineRule="auto"/>
        <w:tabs>
          <w:tab w:leader="none" w:pos="2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is for relief against us or any of our significant subsidiaries in an involuntary case, S-13</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orders our liquidation or the liquidation of any of our significant subsidiaries, and the order or decree remains unstayed and in effect for 90 days.</w:t>
      </w:r>
    </w:p>
    <w:p>
      <w:pPr>
        <w:spacing w:after="0" w:line="1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7. We or any of our significant subsidiaries do any of the following:</w:t>
      </w:r>
    </w:p>
    <w:p>
      <w:pPr>
        <w:spacing w:after="0" w:line="117" w:lineRule="exact"/>
        <w:rPr>
          <w:rFonts w:ascii="Arial" w:cs="Arial" w:eastAsia="Arial" w:hAnsi="Arial"/>
          <w:sz w:val="17"/>
          <w:szCs w:val="17"/>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sz w:val="20"/>
          <w:szCs w:val="20"/>
          <w:color w:val="auto"/>
        </w:rPr>
      </w:pPr>
    </w:p>
    <w:p>
      <w:pPr>
        <w:ind w:right="340" w:firstLine="8"/>
        <w:spacing w:after="0" w:line="277"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128" w:lineRule="exact"/>
        <w:rPr>
          <w:rFonts w:ascii="Arial" w:cs="Arial" w:eastAsia="Arial" w:hAnsi="Arial"/>
          <w:sz w:val="17"/>
          <w:szCs w:val="17"/>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Form</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securities certificates. Direct participants of the Depositary, or Direct Participants, include 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173"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79"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 a discussion of the material federal income tax issues that you may consider relevant relating to our taxation as a REIT, see “Material Federal Income Tax Considerations” beginning on page 28 of the accompanying prospectus, as modified by the discussion below under “— Recent Legislation Affecting Taxation of Our Company.” For a general discussion of the material U.S. federal income tax considerations applicable to the acquisition, ownership and disposition of the notes, see below under “— Taxation of Holders of the Notes.” These discussions apply only to initial beneficial owners of the notes who purchase notes in this offering at their public offering price and who hold the notes as capital assets (generally property held for investment) within the meaning of Section 1221 of the Internal Revenue Code of 1986, as amended (the “Code”). These discussions are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These discussions are general in nature and are not exhaustive of all possible tax considerations, nor do they address any state, local or foreign tax considerations or any U.S. tax considerations (e.g., estate generation-skipping or gift tax) other than U.S. federal income tax considerations, that may be applicable to particular holders. These discussions do not address all the tax consequences that may be relevant to specific holders in light of their particular circumstances (including holders that are directly or indirectly related to us)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Except as specifically provided below with respect to Non-U.S. Holders (as defined below), these discussions are limited to beneficial owners of notes that are U.S. Holders.</w:t>
      </w:r>
    </w:p>
    <w:p>
      <w:pPr>
        <w:spacing w:after="0" w:line="17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PROSPECTIVE INVESTORS SHOULD CONSULT THEIR TAX ADVISORS REGARDING THE U.S. FEDERAL, STATE, LOCAL, FOREIGN AND OTHER TAX CONSEQUENCES OF THE ACQUISITION, OWNERSHIP AND DISPOSITION OF THE NOTES.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Legislation Affecting Taxation of Our Company</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This discussion supplements and updates the discussion contained in the prospectus under the heading “Material Federal Income Tax Considerations,” and supersedes such discussion to the extent inconsistent with such discussion. As supplemented and updated by this summary, investors should review the discussion in the prospectus under the heading “Material Federal Income Tax Considerations” for a more detailed summary of the federal income tax consequences of our election to be subject to federal income tax as a REIT.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Path Act Modification of Certain Rules Applicable to REITs</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December 18, 2015, President Obama signed into law the Consolidated Appropriations Act, 2016, an omnibus spending bill, with a division referred to as the Protecting Americans from Tax Hikes Act of 2015 (the “PATH Act”). The PATH Act modified a number of important rules regarding the taxation of REITs and their shareholders, including, among others, the following rules described below. The rules in the PATH Act were enacted with different effective dates, some of which are retroactive. Prospective investors are urged to consult their tax advisors regarding the implications of the PATH Act.</w:t>
      </w:r>
    </w:p>
    <w:p>
      <w:pPr>
        <w:spacing w:after="0" w:line="15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i w:val="1"/>
          <w:iCs w:val="1"/>
          <w:color w:val="auto"/>
        </w:rPr>
        <w:t xml:space="preserve">Reduction in Built-in Gains Period. </w:t>
      </w:r>
      <w:r>
        <w:rPr>
          <w:rFonts w:ascii="Arial" w:cs="Arial" w:eastAsia="Arial" w:hAnsi="Arial"/>
          <w:sz w:val="16"/>
          <w:szCs w:val="16"/>
          <w:color w:val="auto"/>
        </w:rPr>
        <w:t>For taxable years beginning in 2015 and later, the “built-in gains” period (i.e., the period during which gains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 or disposition of property acquired by a REIT from a C corporation in a tax-free merger or other carryover basis transaction is subject to C corporation tax) is reduced from ten years to five years. Subsequent to the enactment of the PATH Act the IRS enacted temporary Treasury regulations that extended the “built-in gains” period with respect to REITs from five years back to 10 years, applicable to acquisitions of assets in which a REIT’s basis in an asset is determined by reference to the basis of the assets in the hands of the transferor C corporation that occur on or after August 8, 2016 and on or before February 17, 2017. Pursuant to recently finalized Treasury regulations, the five-year recognition period applies to transactions that occur after February 17, 2017, and taxpayers may also apply the five-year recognition period to transactions that occurred on or after August 8, 2016 and on or before February 17, 2017.</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Reduction in Permissible Holdings of the Securities of Taxable REIT Subsidiaries. </w:t>
      </w:r>
      <w:r>
        <w:rPr>
          <w:rFonts w:ascii="Arial" w:cs="Arial" w:eastAsia="Arial" w:hAnsi="Arial"/>
          <w:sz w:val="18"/>
          <w:szCs w:val="18"/>
          <w:color w:val="auto"/>
        </w:rPr>
        <w:t>For taxable years beginning after 2017, the percentage of our total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may be represented by securities of one or more taxable REIT subsidiaries is reduced from 25% to 20%.</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i w:val="1"/>
          <w:iCs w:val="1"/>
          <w:color w:val="auto"/>
        </w:rPr>
        <w:t>Prohibited Transaction Safe Harbors</w:t>
      </w:r>
      <w:r>
        <w:rPr>
          <w:rFonts w:ascii="Arial" w:cs="Arial" w:eastAsia="Arial" w:hAnsi="Arial"/>
          <w:sz w:val="16"/>
          <w:szCs w:val="16"/>
          <w:color w:val="auto"/>
        </w:rPr>
        <w:t>. We are subject to a 100% tax on net income from “prohibited transactions,” i.e., sales of dealer property (other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“foreclosure property”). These rules also contain safe harbors under which certain sales of real estate assets will not be treated as prohibited transactions. Included among the requirements for the pre-PATH Act safe harbors is that (I) we do not make more than seven sales of property (subject to specified exceptions) during the taxable year at issue, (II) the aggregate adjusted bases (as determined for purposes of computing earnings and profits) of property (other than excepted property) sold during the taxable year does not exceed 10% of the aggregate bases in our assets as of the beginning of the taxable year, or</w:t>
      </w:r>
    </w:p>
    <w:p>
      <w:pPr>
        <w:spacing w:after="0" w:line="2" w:lineRule="exact"/>
        <w:rPr>
          <w:sz w:val="20"/>
          <w:szCs w:val="20"/>
          <w:color w:val="auto"/>
        </w:rPr>
      </w:pPr>
    </w:p>
    <w:p>
      <w:pPr>
        <w:jc w:val="both"/>
        <w:ind w:right="260" w:firstLine="8"/>
        <w:spacing w:after="0" w:line="302" w:lineRule="auto"/>
        <w:tabs>
          <w:tab w:leader="none" w:pos="34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fair market value of property (other than excepted property) sold during the taxable year does not exceed 10% of the fair market value of our total assets as of the beginning of the taxable year. If we rely on clause (II) or (III), substantially all of the marketing and certain development expenditures with respect to the properties sold must be made through an independent contractor. The PATH Act made the following changes to these safe harbors:</w:t>
      </w:r>
    </w:p>
    <w:p>
      <w:pPr>
        <w:spacing w:after="0" w:line="60" w:lineRule="exact"/>
        <w:rPr>
          <w:rFonts w:ascii="Arial" w:cs="Arial" w:eastAsia="Arial" w:hAnsi="Arial"/>
          <w:sz w:val="16"/>
          <w:szCs w:val="16"/>
          <w:color w:val="auto"/>
        </w:rPr>
      </w:pPr>
    </w:p>
    <w:p>
      <w:pPr>
        <w:ind w:left="900" w:right="380" w:hanging="325"/>
        <w:spacing w:after="0" w:line="31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For taxable years beginning after December 18, 2015, clauses (II) and (III) are liberalized to permit us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w:t>
      </w:r>
    </w:p>
    <w:p>
      <w:pPr>
        <w:spacing w:after="0" w:line="52" w:lineRule="exact"/>
        <w:rPr>
          <w:rFonts w:ascii="Arial" w:cs="Arial" w:eastAsia="Arial" w:hAnsi="Arial"/>
          <w:sz w:val="16"/>
          <w:szCs w:val="16"/>
          <w:color w:val="auto"/>
        </w:rPr>
      </w:pPr>
    </w:p>
    <w:p>
      <w:pPr>
        <w:ind w:left="900" w:right="100" w:hanging="325"/>
        <w:spacing w:after="0" w:line="308" w:lineRule="auto"/>
        <w:tabs>
          <w:tab w:leader="none" w:pos="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For taxable years beginning after 2015, if we rely on clauses (II) or (III), marketing and development expenditures made through a taxable REIT subsidiary, as well as those made through an independent contractor, are included in the “substantially all” test described above.</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TRS Operation of Foreclosure Property. </w:t>
      </w:r>
      <w:r>
        <w:rPr>
          <w:rFonts w:ascii="Arial" w:cs="Arial" w:eastAsia="Arial" w:hAnsi="Arial"/>
          <w:sz w:val="18"/>
          <w:szCs w:val="18"/>
          <w:color w:val="auto"/>
        </w:rPr>
        <w:t>For taxable years beginning after 2015, a taxable REIT subsidiary may operate property on which we have made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foreclosure property election without loss of foreclosure property status.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 xml:space="preserve">Modification to Preferential Dividend Rules. </w:t>
      </w:r>
      <w:r>
        <w:rPr>
          <w:rFonts w:ascii="Arial" w:cs="Arial" w:eastAsia="Arial" w:hAnsi="Arial"/>
          <w:sz w:val="18"/>
          <w:szCs w:val="18"/>
          <w:color w:val="auto"/>
        </w:rPr>
        <w:t>For distributions in taxable years beginning after 2014, the preferential dividend rules do not apply to “publicly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REITs” A “publicly offered REIT” means a REIT that is required to file annual and periodic reports with the Securities and Exchange Commission under the Securities Exchange Act of 1934. We are a publicly offered REIT.</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i w:val="1"/>
          <w:iCs w:val="1"/>
          <w:color w:val="auto"/>
        </w:rPr>
        <w:t xml:space="preserve">Limitations on Designation of Dividends by REITs. </w:t>
      </w:r>
      <w:r>
        <w:rPr>
          <w:rFonts w:ascii="Arial" w:cs="Arial" w:eastAsia="Arial" w:hAnsi="Arial"/>
          <w:sz w:val="16"/>
          <w:szCs w:val="16"/>
          <w:color w:val="auto"/>
        </w:rPr>
        <w:t>The aggregate amount of dividends that we may designate as qualified dividend income or as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gain dividends with respect to any taxable year beginning after 2015 cannot exceed the dividends actually paid by us during such year. In addition, the Secretary of the Treasury is authorized to prescribe regulations or other guidance requiring proportionality of the designation of particular types of dividends.</w:t>
      </w:r>
    </w:p>
    <w:p>
      <w:pPr>
        <w:spacing w:after="0" w:line="14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b w:val="1"/>
          <w:bCs w:val="1"/>
          <w:i w:val="1"/>
          <w:iCs w:val="1"/>
          <w:color w:val="auto"/>
        </w:rPr>
        <w:t xml:space="preserve">Debt Instruments of Publicly Offered REITs and Mortgages Treated as Real Estate Assets. </w:t>
      </w:r>
      <w:r>
        <w:rPr>
          <w:rFonts w:ascii="Arial" w:cs="Arial" w:eastAsia="Arial" w:hAnsi="Arial"/>
          <w:sz w:val="16"/>
          <w:szCs w:val="16"/>
          <w:color w:val="auto"/>
        </w:rPr>
        <w:t>The PATH Act provides that debt instruments issued by publicly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offered REITs (as defined above) are treated as real estate assets for purposes of the 75% asset test. Income from such debt instruments is qualifying income for purposes of the 95% gross income test, but is not qualifying income for purposes of the 75% gross income test, unless they would otherwise be treated as real estate assets. Under a new asset test, not more than 25% of the value of our assets can consist of debt instruments of publicly offered REITs unless they would otherwise be treated as real estate assets. These provisions are effective for taxable years beginning after 2015.</w:t>
      </w:r>
    </w:p>
    <w:p>
      <w:pPr>
        <w:spacing w:after="0" w:line="15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 xml:space="preserve">Asset and Income Test Clarification Regarding Ancillary Personal Property. </w:t>
      </w:r>
      <w:r>
        <w:rPr>
          <w:rFonts w:ascii="Arial" w:cs="Arial" w:eastAsia="Arial" w:hAnsi="Arial"/>
          <w:sz w:val="16"/>
          <w:szCs w:val="16"/>
          <w:color w:val="auto"/>
        </w:rPr>
        <w:t>Rent attributable to personal property which is leased under, or in connection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a lease of real property, is treated as rents from real property for purposes of the 95% and 75% gross income tests if the rent attributable to the personal property for the taxable year does not exceed 15% of the total rent for the year for such real and personal property. The PATH Act extends this treatment to the 75% asset test by providing that, for taxable years beginning after 2015, personal property leased in connection with a lease of real property is treated as a real estate asset for purposes of the 75% asset test to the extent that rent attributable to such personal property meets the 15% test described above. In addition, for taxable years beginning after 2015, debt secured by a mortgage on both real and personal property qualifies as a real estate asset for purposes of the 75% asset test, and interest on such debt is qualifying income for purposes of both the 95% and 75% gross income tests, if the fair market value of the personal property securing the debt does not exceed 15% of the total fair market value of all property securing the debt.</w:t>
      </w:r>
    </w:p>
    <w:p>
      <w:pPr>
        <w:spacing w:after="0" w:line="166"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i w:val="1"/>
          <w:iCs w:val="1"/>
          <w:color w:val="auto"/>
        </w:rPr>
        <w:t xml:space="preserve">Hedging Provisions. </w:t>
      </w:r>
      <w:r>
        <w:rPr>
          <w:rFonts w:ascii="Arial" w:cs="Arial" w:eastAsia="Arial" w:hAnsi="Arial"/>
          <w:sz w:val="16"/>
          <w:szCs w:val="16"/>
          <w:color w:val="auto"/>
        </w:rPr>
        <w:t>Income from hedging transactions that hedge certain REIT liabilities and currency risks is disregarded in applying the gross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tests. The PATH Act provides that for taxable years beginning after 2015, certain income from hedging transactions entered into to hedge existing hedging positions after any portion of the hedged indebtedness or property is disposed of will also be disregarded for purposes of the 95% and 75% gross income tests.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b w:val="1"/>
          <w:bCs w:val="1"/>
          <w:i w:val="1"/>
          <w:iCs w:val="1"/>
          <w:color w:val="auto"/>
        </w:rPr>
        <w:t xml:space="preserve">Modification of REIT Earnings and Profits Calculation. </w:t>
      </w:r>
      <w:r>
        <w:rPr>
          <w:rFonts w:ascii="Arial" w:cs="Arial" w:eastAsia="Arial" w:hAnsi="Arial"/>
          <w:sz w:val="16"/>
          <w:szCs w:val="16"/>
          <w:color w:val="auto"/>
        </w:rPr>
        <w:t>The PATH Act modified the special earnings and profits rules in the Code to ensure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for taxable years after 2015, will not be treated as receiving taxable dividends from us that exceed our earnings and profits.</w:t>
      </w:r>
    </w:p>
    <w:p>
      <w:pPr>
        <w:spacing w:after="0" w:line="12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 xml:space="preserve">Treatment of Certain Services Provided by Taxable REIT Subsidiaries. </w:t>
      </w:r>
      <w:r>
        <w:rPr>
          <w:rFonts w:ascii="Arial" w:cs="Arial" w:eastAsia="Arial" w:hAnsi="Arial"/>
          <w:sz w:val="17"/>
          <w:szCs w:val="17"/>
          <w:color w:val="auto"/>
        </w:rPr>
        <w:t>For taxable years beginning after 2015, a 100% excise tax is imposed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“redetermined TRS service income,” which is income of a taxable REIT subsidiary attributable to services provided to, or on behalf of, us and which would otherwise be increased on distribution, apportionment, or allocation under the Code (i.e., as a result of a determination that the income was not arm’s length), except to the extent income is attributable to services provided to a tenant (which were already subject to the 100% excise tax).</w:t>
      </w:r>
    </w:p>
    <w:p>
      <w:pPr>
        <w:spacing w:after="0" w:line="171"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 xml:space="preserve">Exceptions from FIRPTA for Certain REIT Stock Gains and Distributions. </w:t>
      </w:r>
      <w:r>
        <w:rPr>
          <w:rFonts w:ascii="Arial" w:cs="Arial" w:eastAsia="Arial" w:hAnsi="Arial"/>
          <w:sz w:val="16"/>
          <w:szCs w:val="16"/>
          <w:color w:val="auto"/>
        </w:rPr>
        <w:t>On or after December 18, 2015, the disposition of stock of a publicly traded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is not treated, under the Foreign Investment in Real Property Tax Act (“FIRPTA”), as a United States real property interest in the hands of a person who has not held more than 10% (increased from 5% under prior law) of the stock of such REIT during the applicable testing period. Similarly, on or after December 18, 2015, a distribution by a publicly traded REIT is not treated, under FIRPTA, as gain from the disposition of a United States real property interest for a person who has not held more than 10% (increased from 5% under prior law) of the stock of such REIT during the applicable testing period.</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Stock of a REIT held (directly or through partnerships) by a “qualified shareholder” will not be a United States real property interest, and capital gain dividends from such a REIT will not be treated as gain from the sale of a United States real property interest, unless a person (other than a qualified shareholder) that holds an interest (other than an interest solely as a creditor) in such qualified shareholder owns, taking into account applicable constructive ownership rules, more than 10% of the stock of the REIT (an “applicable investor”). If the qualified shareholder has such an applicable investor, gains and REIT distributions allocable to the portion of REIT stock held by the qualified shareholder indirectly owned through the qualified shareholder by the applicable investor will be treated as gains from the sale of United States real property interests. For these purposes, a “qualified shareholder” is a foreign person which is in a treaty jurisdiction and satisfies certain publicly traded requirements, is a “qualified collective investment vehicle,” and maintains records on the identity of certain 5% owners. A “qualified collective investment vehicle” is a foreign person that is eligible for a reduced withholding rate with respect to ordinary REIT dividends even if such person holds more than 10% of the REIT’s stock, a publicly traded partnership that is a withholding foreign partnership that would be a United States real property holding corporation if it were a United States corporation, or is designated as a qualified collective investment vehicle by the Secretary of the Treasury and is either fiscally transparent within the meaning of the Code or required to include dividends in its gross income but entitled to a deduction for distributions to its investors. Finally, capital gain dividends and non-dividend redemption and liquidating distributions to a qualified shareholder that are not allocable to an applicable investor will be treated as ordinary dividends. These changes apply to dispositions and distributions on or after December 18, 2015.</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Determination of Domestically Controlled REIT Status. </w:t>
      </w:r>
      <w:r>
        <w:rPr>
          <w:rFonts w:ascii="Arial" w:cs="Arial" w:eastAsia="Arial" w:hAnsi="Arial"/>
          <w:sz w:val="17"/>
          <w:szCs w:val="17"/>
          <w:color w:val="auto"/>
        </w:rPr>
        <w:t>In determining whether we are domestically controlled for purposes of the exception to FIRPTA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dispositions of domestically controlled REIT stock, we may presume that holders of less than 5% of a class of stock regularly traded on an established securities market in the United States are U.S. persons throughout the testing period, except to the extent that we have actual knowledge to the contrary. In addition, the PATH Act provides that any stock in a REIT held by another REIT that is publicly traded will be treated as held by a non-U.S. person unless the other REIT is domestically controlled, in which case the stock will be treated as held by a U.S. person. Finally, any stock in a REIT held by another REIT that is not publicly traded will only be treated as held by a U.S. person to the extent that U.S. persons hold (or are treated as holding under the new rules) the other REIT’s stock. These provisions were effective as of December 18, 2015.</w:t>
      </w:r>
    </w:p>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i w:val="1"/>
          <w:iCs w:val="1"/>
          <w:color w:val="auto"/>
        </w:rPr>
        <w:t xml:space="preserve">FIRPTA Exception for Interests Held by Foreign Retirement or Pension Funds. </w:t>
      </w:r>
      <w:r>
        <w:rPr>
          <w:rFonts w:ascii="Arial" w:cs="Arial" w:eastAsia="Arial" w:hAnsi="Arial"/>
          <w:sz w:val="17"/>
          <w:szCs w:val="17"/>
          <w:color w:val="auto"/>
        </w:rPr>
        <w:t>“Qualified foreign pension funds” and entities that are wholly owned by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foreign pension fund are exempted from FIRPTA and FIRPTA withholding. For these purposes, a “qualified foreign pension fund” is any trust, corporation, or other organization or arrangement if (i) it was created or organized under foreign law, (ii) it was established to provide retirement or pension benefits to participants or beneficiaries that are current or former employees (or persons designated by such employees) of one or more employers in consideration for services rendered, (iii) it does not have a single participant or beneficiary with a right to more than 5% of its assets or income, (iv) it is subject to government regulation and provides annual information reporting about its beneficiaries to the relevant tax authorities in the country in which it is established or operates, and (v) under the laws of the country in which it is established or operates, either contributions to such fund which would otherwise be subject to tax under such laws are deductible or excluded from the gross income of such fund or taxed at a reduced rate, or taxation of any investment income of such fund is deferred or such income is taxed at a reduced rate. This provision is effective for dispositions and distributions occurring after December 18, 2015.</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Increase in Rate of FIRPTA Withholding. </w:t>
      </w:r>
      <w:r>
        <w:rPr>
          <w:rFonts w:ascii="Arial" w:cs="Arial" w:eastAsia="Arial" w:hAnsi="Arial"/>
          <w:sz w:val="18"/>
          <w:szCs w:val="18"/>
          <w:color w:val="auto"/>
        </w:rPr>
        <w:t>For sales of United States real property interests occurring after February 16, 2016, the FIRPTA withholding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dispositions of United States real property interests and certain distributions increases from 10% to 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Bipartisan Budget Act Alteration of Rules Concerning Liability for Partnership Audit Adjustments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November 2, 2015, President Obama signed into law the Bipartisan Budget Act of 2015 (the “Budget Act.”) Among other things, the Budget Act changed the rules applicable to federal income tax audits of partnerships (including partnerships in which we are a partner) and the collection of any tax resulting from such audits or other tax proceedings. Under the new rules, the partnership itself must pay any “imputed underpayments,” consisting of delinquent taxes, interest, and penalties deemed to arise out of an audit of the partnership, unless certain alternative methods are available and the partnership elects to utilize them.</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new rule generally does not apply to audits of taxable years beginning before January 1, 2018. The Treasury has recently issued proposed regulations providing details of the new audit provisions. However, the timing and content of final regulations remains uncertain. Therefore, it is not clear at this time what effect this new legislation will have on us or our partnerships. However, it is possible that in the future, we and/or any partnership in which we are a partner could be subject to, or otherwise bear the economic burden of, federal income tax, interest, and penalties resulting from a federal income tax audit as a result of the changes enacted by the Budget Act.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Holders of the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w:t>
      </w:r>
    </w:p>
    <w:p>
      <w:pPr>
        <w:spacing w:after="0" w:line="13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“Non-U.S. Holder” means any beneficial owner of a note that is neither a U.S. Holder nor an entity or arrangement treated as a partnership for U.S. federal income tax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Qualified Reopening of 2044 Notes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U.S. federal income tax purposes, we currently intend to treat the 2044 Notes offered hereby (the “reopened notes”) as being issued in a “qualified reopening” of the currently outstanding 4.50% Notes due 2044 (the “existing notes”). For U.S. federal income tax purposes, debt instruments issued in a qualified reopening are deemed to be part of the same issue as the original debt instruments. Under the treatment described in this paragraph, the reopened notes offered hereby will have the same issue date and the same issue price as the existing notes for U.S. federal income tax purposes. The issue price of the existing notes was $988.60 per $1,000 face amount and the issue date of the existing notes was November 14, 2014. The remainder of this discussion assumes the correctness of the treatment described in this paragraph.</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i w:val="1"/>
          <w:iCs w:val="1"/>
          <w:color w:val="auto"/>
        </w:rPr>
        <w:t xml:space="preserve">Pre-Acquisition Accrued Interest on Reopened Notes. </w:t>
      </w:r>
      <w:r>
        <w:rPr>
          <w:rFonts w:ascii="Arial" w:cs="Arial" w:eastAsia="Arial" w:hAnsi="Arial"/>
          <w:sz w:val="18"/>
          <w:szCs w:val="18"/>
          <w:color w:val="auto"/>
        </w:rPr>
        <w:t>A portion of the price paid for the reopened notes is attributable to the amount of interest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June 1, 2017 (“pre-acquisition accrued interest”). To the extent a portion of a U.S. Holder’s purchase price of a reopened note is allocable to pre-acquisition accrued interest, a portion of the first stated interest payment equal to the amount of such pre-acquisition accrued interest may be treated as a nontaxable return of such pre-acquisition accrued interest to the U.S. Holder. If so, the amount treated as a return of pre-acquisition accrued interest will reduce a U.S. Holder’s adjusted tax basis in the reopened note by a corresponding amount. You are urged to consult your own tax advisors regarding the tax treatment of pre-acquisition accrued interest.</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Stated Interest on the Notes. </w:t>
      </w:r>
      <w:r>
        <w:rPr>
          <w:rFonts w:ascii="Arial" w:cs="Arial" w:eastAsia="Arial" w:hAnsi="Arial"/>
          <w:sz w:val="18"/>
          <w:szCs w:val="18"/>
          <w:color w:val="auto"/>
        </w:rPr>
        <w:t>A 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generally will be required to include stated interest earned on the notes (other than pre-acquisition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on reopened notes) as ordinary income when received or accrued in accordance with the U.S. Holder’s regular method of tax accounting to the extent such interest is “qualified stated interest.” Stated interest is qualified stated interest if it is unconditionally payable in cash at least annually. The stated interest on the notes will be qualified stated interest.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 xml:space="preserve">OID and Issue Price of the Notes. </w:t>
      </w:r>
      <w:r>
        <w:rPr>
          <w:rFonts w:ascii="Arial" w:cs="Arial" w:eastAsia="Arial" w:hAnsi="Arial"/>
          <w:sz w:val="16"/>
          <w:szCs w:val="16"/>
          <w:color w:val="auto"/>
        </w:rPr>
        <w:t>A debt instrument generally has original issue discount, or OID, if its “stated redemption price at maturity” exceeds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“issue price” by an amount that is equal to or greater than a statutory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A debt instrument’s stated redemption price at maturity includes all principal and interest payable over the term of the debt instrument, other than qualified stated interest. The issue price of the 2027 Notes is the first price at which a substantial amount of the 2027 Notes are sold to the public (excluding bond houses, brokers, or similar persons or organizations acting in the capacity of underwriters, placement agents, or wholesalers). It is expected, and this discussion assumes, that the 2027 Notes will not be issued with OID.</w:t>
      </w:r>
    </w:p>
    <w:p>
      <w:pPr>
        <w:spacing w:after="0" w:line="15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 xml:space="preserve">The stated redemption price of the existing notes at maturity did not exceed their issue price by more than the statutory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Accordingly, the existing notes do not have OID. As discussed above, under the qualified reopening rules the issue price of the reopened notes offered hereby will be deemed to be the same as the issue price of the existing notes. As a result, the reopened notes will also not have OID.</w:t>
      </w:r>
    </w:p>
    <w:p>
      <w:pPr>
        <w:spacing w:after="0" w:line="16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i w:val="1"/>
          <w:iCs w:val="1"/>
          <w:color w:val="auto"/>
        </w:rPr>
        <w:t xml:space="preserve">Amortizable Bond Premium on Reopened Notes. </w:t>
      </w:r>
      <w:r>
        <w:rPr>
          <w:rFonts w:ascii="Arial" w:cs="Arial" w:eastAsia="Arial" w:hAnsi="Arial"/>
          <w:sz w:val="16"/>
          <w:szCs w:val="16"/>
          <w:color w:val="auto"/>
        </w:rPr>
        <w:t>If a reopened note is purchased at a price in excess of such reopened note’s stated principal amount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(excluding any amounts that are treated as pre-acquisition accrued interest as described above under “Pre-Acquisition Accrued Interest on Reopened Notes”), a U.S. Holder will have bond premium with respect to that reopened note in an amount equal to such excess. A U.S. Holder generally may elect to amortize bond premium using the constant yield method over the remaining term of the reopened note and may offset stated interest income otherwise required to be included in respect of the reopened note during any taxable year by the amortized amount of bond premium for the taxable year. However, because we may call the reopened notes under certain circumstances at a price in excess of their stated principal amount, such amortization may be reduced and/or deferred.</w:t>
      </w:r>
    </w:p>
    <w:p>
      <w:pPr>
        <w:spacing w:after="0" w:line="16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 U.S. Holder’s election to amortize bond premium on a constant yield method, once made, will also apply to all other debt obligations with bond premium (other than obligations the interest on which is excludible from gross income) that a U.S. Holder holds at the beginning of or acquires in or after the first taxable year to which the election applies and may not be revoked without the consent of the IRS. If a U.S. Holder does not elect to amortize the bond premium, the bond premium will decrease the gain or increase the loss such holder would otherwise recognize on the disposition of the reopened note. You are urged to consult your own tax advisors with respect to the rules relating to amortizable bond premium and the application to your particular circumstances.</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Sale, Exchange, Redemption, or Other Taxable Disposition of the Notes. </w:t>
      </w:r>
      <w:r>
        <w:rPr>
          <w:rFonts w:ascii="Arial" w:cs="Arial" w:eastAsia="Arial" w:hAnsi="Arial"/>
          <w:sz w:val="17"/>
          <w:szCs w:val="17"/>
          <w:color w:val="auto"/>
        </w:rPr>
        <w:t>Unless a non-recognition provision applies, upon the sale, exchange, redemption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reduced by the amount of any payments previously received by the U.S. Holder (other than qualified stated interest) and any amortized bond premium.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17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Unearned Income Medicare Contribution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U.S. Holders that are individuals, estates or trusts are subject to a 3.8% Medicare tax on all or a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 xml:space="preserve">U.S. Holders Holding Notes Through Foreign Accounts or Intermediaries. </w:t>
      </w:r>
      <w:r>
        <w:rPr>
          <w:rFonts w:ascii="Arial" w:cs="Arial" w:eastAsia="Arial" w:hAnsi="Arial"/>
          <w:sz w:val="18"/>
          <w:szCs w:val="18"/>
          <w:color w:val="auto"/>
        </w:rPr>
        <w:t>U.S. Holders holding their notes through foreign accounts or intermediaries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should refer to ‘‘—Non-U.S. Holders—FATCA Regime’’ below.</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general, information reporting will apply to a U.S. Holder (other than an “exempt recipient,” including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and certain other persons who, when required, demonstrate their exempt status) with respect to:</w:t>
      </w:r>
    </w:p>
    <w:p>
      <w:pPr>
        <w:spacing w:after="0" w:line="7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payments made of principal of, premium, if any, and interest on, the notes;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payment of the proceeds of a sale or other disposition of the notes.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Interest on the Notes. </w:t>
      </w:r>
      <w:r>
        <w:rPr>
          <w:rFonts w:ascii="Arial" w:cs="Arial" w:eastAsia="Arial" w:hAnsi="Arial"/>
          <w:sz w:val="16"/>
          <w:szCs w:val="16"/>
          <w:color w:val="auto"/>
        </w:rPr>
        <w:t>Subject to the rules described below under “— Information Reporting and Backup Withholding” and “— FATCA Regime,” a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 generally will not be subject to U.S. federal income or withholding tax on payments of interest on a note, provided that:</w:t>
      </w:r>
    </w:p>
    <w:p>
      <w:pPr>
        <w:spacing w:after="0" w:line="11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Non-U.S. Holder is not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direct or indirect owner of 10% or more of our voting stock;</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controlled foreign corporation related to us through stock ownership;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bank whose receipt of interest on a note is pursuant to a loan agreement entered into in the ordinary course of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such interest payments are not effectively connected with the conduct by the Non-U.S. Holder of a trade or business within the United States; and</w:t>
      </w:r>
    </w:p>
    <w:p>
      <w:pPr>
        <w:spacing w:after="0" w:line="153" w:lineRule="exact"/>
        <w:rPr>
          <w:rFonts w:ascii="Arial" w:cs="Arial" w:eastAsia="Arial" w:hAnsi="Arial"/>
          <w:sz w:val="16"/>
          <w:szCs w:val="16"/>
          <w:color w:val="auto"/>
        </w:rPr>
      </w:pPr>
    </w:p>
    <w:p>
      <w:pPr>
        <w:ind w:left="900" w:right="3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 Non-U.S. Holder that is not exempt from tax under these rules generally will be subject to U.S. federal income tax withholding at a rate of 30% unless:</w:t>
      </w:r>
    </w:p>
    <w:p>
      <w:pPr>
        <w:spacing w:after="0" w:line="142" w:lineRule="exact"/>
        <w:rPr>
          <w:sz w:val="20"/>
          <w:szCs w:val="20"/>
          <w:color w:val="auto"/>
        </w:rPr>
      </w:pPr>
    </w:p>
    <w:p>
      <w:pPr>
        <w:ind w:left="900" w:right="58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75"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Non-U.S. Holder is entitled to the benefits of an applicable income tax treaty, which provides for a lower rate of, or exemption from, withholding tax.</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actual or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in the case of an individual and IRS Form W-8BEN-E in the case of an entity). These forms may be required to be periodically updated.</w:t>
      </w:r>
    </w:p>
    <w:p>
      <w:pPr>
        <w:spacing w:after="0" w:line="16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Subject to the rules described below under “— Information Reporting and Backup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Withholding” and “— FATCA Regime,” a Non-U.S. Holder generally will not be subject to U.S. federal income or withholding tax on gain from the sale, exchange, redemption or other taxable disposition of a note unless:</w:t>
      </w:r>
    </w:p>
    <w:p>
      <w:pPr>
        <w:spacing w:after="0" w:line="87" w:lineRule="exact"/>
        <w:rPr>
          <w:sz w:val="20"/>
          <w:szCs w:val="20"/>
          <w:color w:val="auto"/>
        </w:rPr>
      </w:pPr>
    </w:p>
    <w:p>
      <w:pPr>
        <w:ind w:left="900" w:right="40" w:hanging="325"/>
        <w:spacing w:after="0" w:line="308"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51" w:lineRule="exact"/>
        <w:rPr>
          <w:rFonts w:ascii="Arial" w:cs="Arial" w:eastAsia="Arial" w:hAnsi="Arial"/>
          <w:sz w:val="17"/>
          <w:szCs w:val="17"/>
          <w:color w:val="auto"/>
        </w:rPr>
      </w:pPr>
    </w:p>
    <w:p>
      <w:pPr>
        <w:ind w:left="900" w:right="46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the branch profits tax described above. If such gains are realized by a Non-U.S. Holder who is an individual present in the United States for 183 days or more in the taxable year, then, except to the extent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 Interest on the Notes.” Non-U.S. Holders should consult their tax advisors on the treatment of any accrued but unpaid interest on the notes.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Payments to a Non-U.S. Holder of interest on a note generally will be reported to the IRS and to the 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U.S. person for U.S. federal income tax purposes, as described under the heading “ — Interest on the Notes” above, has been received or an exemption has otherwise been established provided that neither we nor our paying agent have actual knowledge or reason to know that the Non-U.S. Holder is a U.S. person or that the conditions of any other exemption are not, in fact, satisfied.</w:t>
      </w:r>
    </w:p>
    <w:p>
      <w:pPr>
        <w:spacing w:after="0" w:line="18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87"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a foreign partnership, if at any time during its tax year more than 50% of its income or capital interest are held by U.S. persons or if it is engaged in the conduct of a trade or business in the U.S.;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a U.S. branch of a foreign bank or insurance company that is treated as a U.S. person,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FATCA Regime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sections 1471 through 1474 of the Code, Treasury regulations and related guidance (commonly referred to as “FATCA”), a 30%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withholding tax will be imposed in certain circumstances on payments of (i) interest on the notes and (ii) gross proceeds from a sale or other disposition of the notes (which includes redemption and retirement of the notes) occurring after December 31, 2018.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identifies any “substantial” U.S. owner (generally, any specified U.S. person that directly or indirectly owns more than a specified percentage of such entity). If a note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interest on the notes or payments in retirement or redemption of the notes,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notes.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intend to offer the notes through the underwriters named below, for whom Citigroup Global Markets Inc., Deutsche Bank Securities Inc., J.P. Morgan Securities LLC and Wells Fargo Securities, LLC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7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34"/>
              <w:spacing w:after="0"/>
              <w:rPr>
                <w:sz w:val="20"/>
                <w:szCs w:val="20"/>
                <w:color w:val="auto"/>
              </w:rPr>
            </w:pPr>
            <w:r>
              <w:rPr>
                <w:rFonts w:ascii="Arial" w:cs="Arial" w:eastAsia="Arial" w:hAnsi="Arial"/>
                <w:sz w:val="14"/>
                <w:szCs w:val="14"/>
                <w:b w:val="1"/>
                <w:bCs w:val="1"/>
                <w:color w:val="auto"/>
              </w:rPr>
              <w:t>Principal</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rPr>
              <w:t>Amount of</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94"/>
              <w:spacing w:after="0"/>
              <w:rPr>
                <w:sz w:val="20"/>
                <w:szCs w:val="20"/>
                <w:color w:val="auto"/>
              </w:rPr>
            </w:pPr>
            <w:r>
              <w:rPr>
                <w:rFonts w:ascii="Arial" w:cs="Arial" w:eastAsia="Arial" w:hAnsi="Arial"/>
                <w:sz w:val="14"/>
                <w:szCs w:val="14"/>
                <w:b w:val="1"/>
                <w:bCs w:val="1"/>
                <w:color w:val="auto"/>
                <w:w w:val="97"/>
              </w:rPr>
              <w:t>2027 Notes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2044 Notes</w:t>
            </w:r>
          </w:p>
        </w:tc>
        <w:tc>
          <w:tcPr>
            <w:tcW w:w="0" w:type="dxa"/>
            <w:vAlign w:val="bottom"/>
          </w:tcPr>
          <w:p>
            <w:pPr>
              <w:spacing w:after="0"/>
              <w:rPr>
                <w:sz w:val="1"/>
                <w:szCs w:val="1"/>
                <w:color w:val="auto"/>
              </w:rPr>
            </w:pPr>
          </w:p>
        </w:tc>
      </w:tr>
      <w:tr>
        <w:trPr>
          <w:trHeight w:val="210"/>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Citigroup</w:t>
            </w: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Global Markets Inc.</w:t>
            </w:r>
          </w:p>
        </w:tc>
        <w:tc>
          <w:tcPr>
            <w:tcW w:w="1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60,000,000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60,000,000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60,000,000</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20,000,000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60,000,000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15,000,000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15,000,000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15,000,000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1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15,000,000</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300,000,000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underwriters must purchase all of the 2027 Notes or the 2044 Notes, respectively, if they purchase any of the 2027 Notes or the 2044 Notes. However, the sales of the 2027 Notes and the 2044 Notes are not conditioned upon each other, and we may consummate the sale of one or the other series of notes and not the other series of notes, or consummate the sales at different times. If an underwriter defaults, the underwriting agreement provides that the purchase commitments of the nondefaulting underwriters may be increased or the underwriting agreement may be terminated.</w:t>
      </w:r>
    </w:p>
    <w:p>
      <w:pPr>
        <w:spacing w:after="0" w:line="17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$500,000.</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The notes sold by the underwriters to the public will initially be offered at the public offering prices set forth on the cover of this prospectus supplement and may be offered to certain dealers at these prices less a concession not in excess of (i) 0.400% of the aggregate principal amount of the 2027 Notes or (ii) 0.500% of the aggregate principal amount of the 2044 Notes. The underwriters may allow, and those dealers may reallow, a discount not in excess of</w:t>
      </w:r>
    </w:p>
    <w:p>
      <w:pPr>
        <w:ind w:right="80" w:firstLine="8"/>
        <w:spacing w:after="0" w:line="290" w:lineRule="auto"/>
        <w:tabs>
          <w:tab w:leader="none" w:pos="2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0.250% of the aggregate principal amount of the 2027 Notes or (ii) 0.300% of the aggregate principal amount of the 2044 Notes to certain other dealers. If all the notes are not sold at the initial public offering prices, the underwriters may change the prices to the public and the other selling terms.</w:t>
      </w:r>
    </w:p>
    <w:p>
      <w:pPr>
        <w:spacing w:after="0" w:line="1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53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Paid by Us</w:t>
            </w:r>
          </w:p>
        </w:tc>
      </w:tr>
      <w:tr>
        <w:trPr>
          <w:trHeight w:val="210"/>
        </w:trPr>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2027 Note</w:t>
            </w:r>
          </w:p>
        </w:tc>
        <w:tc>
          <w:tcPr>
            <w:tcW w:w="46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Per 2044 Note</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0.875%</w:t>
            </w:r>
          </w:p>
        </w:tc>
        <w:tc>
          <w:tcPr>
            <w:tcW w:w="60" w:type="dxa"/>
            <w:vAlign w:val="bottom"/>
          </w:tcPr>
          <w:p>
            <w:pPr>
              <w:spacing w:after="0"/>
              <w:rPr>
                <w:sz w:val="20"/>
                <w:szCs w:val="20"/>
                <w:color w:val="auto"/>
              </w:rPr>
            </w:pPr>
          </w:p>
        </w:tc>
      </w:tr>
      <w:tr>
        <w:trPr>
          <w:trHeight w:val="350"/>
        </w:trPr>
        <w:tc>
          <w:tcPr>
            <w:tcW w:w="2380" w:type="dxa"/>
            <w:vAlign w:val="bottom"/>
          </w:tcPr>
          <w:p>
            <w:pPr>
              <w:spacing w:after="0"/>
              <w:rPr>
                <w:sz w:val="24"/>
                <w:szCs w:val="24"/>
                <w:color w:val="auto"/>
              </w:rPr>
            </w:pPr>
          </w:p>
        </w:tc>
        <w:tc>
          <w:tcPr>
            <w:tcW w:w="5380" w:type="dxa"/>
            <w:vAlign w:val="bottom"/>
            <w:gridSpan w:val="3"/>
          </w:tcPr>
          <w:p>
            <w:pPr>
              <w:ind w:left="1320"/>
              <w:spacing w:after="0"/>
              <w:rPr>
                <w:sz w:val="20"/>
                <w:szCs w:val="20"/>
                <w:color w:val="auto"/>
              </w:rPr>
            </w:pPr>
            <w:r>
              <w:rPr>
                <w:rFonts w:ascii="Arial" w:cs="Arial" w:eastAsia="Arial" w:hAnsi="Arial"/>
                <w:sz w:val="18"/>
                <w:szCs w:val="18"/>
                <w:color w:val="auto"/>
              </w:rPr>
              <w:t>S-24</w:t>
            </w: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Reopening and New Issue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2044 Notes will be a further issuance of, are fungible with and are consolidated and form a single series with, our outstanding 4.50% Notes due 2044, $250,000,000 of which were originally issued on November 14, 2014 and $200,000,000 of which were subsequently issued on March 16, 2015. The 2027 Notes will be a new issue of securities with no established trading market. The notes will not be listed on any securities exchange or included in any automated quotation system. We have been advised by the underwriters that the underwriters intend to make a market in each series of the notes, but they are not obligated to do so and may discontinue market making at any time without notice. No assurance can be given as to the liquidity of any trading markets for the notes.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193"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2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Affiliates of certain of the underwriters are lenders under our revolving credit facility and will receive a pro rata portion of the net proceeds used to repay amounts outstanding under our revolving credit facility.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commercial banking and other commercial dealings in the ordinary course of business with us or our affiliates.</w:t>
      </w:r>
    </w:p>
    <w:p>
      <w:pPr>
        <w:spacing w:after="0" w:line="170"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(i) who have professional experience in matters relating to investments falling within Article 19 (5) of the Financial Services and Markets Act 2000 (Financial Promotion) Order 2005, as amended (the “Order”) and/or (ii) who are persons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only engaged in with, relevant persons.</w:t>
      </w:r>
    </w:p>
    <w:p>
      <w:pPr>
        <w:spacing w:after="0" w:line="19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No invitation or inducement to engage in investment activity (within the meaning of Section 21 of the Financial Services and Markets Act 2000 (“FSMA”)) received by the underwriters in connection with the issue or sale of the notes may be communicated or caused to be communicated except in circumstances in which Section 21(1) of the FSMA does not apply to the issuer. All applicable provisions of the FSMA must be complied with respect to anything done or to be done by the underwriters in relation to any notes in, from or otherwise involving the United Kingdom.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8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audited consolidated financial statements, schedules and management’s assessment of the effectiveness of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LLP, New York, New York, will act as counsel to the underwriters.</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300"/>
          </w:cols>
          <w:pgMar w:left="24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172085</wp:posOffset>
            </wp:positionV>
            <wp:extent cx="2255520" cy="909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555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131"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193040</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46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May 8, 2015.</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gridSpan w:val="12"/>
            <w:vMerge w:val="restart"/>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3980" w:type="dxa"/>
            <w:vAlign w:val="bottom"/>
            <w:gridSpan w:val="12"/>
            <w:vMerge w:val="continue"/>
          </w:tcPr>
          <w:p>
            <w:pPr>
              <w:spacing w:after="0"/>
              <w:rPr>
                <w:sz w:val="13"/>
                <w:szCs w:val="13"/>
                <w:color w:val="auto"/>
              </w:rPr>
            </w:pPr>
          </w:p>
        </w:tc>
        <w:tc>
          <w:tcPr>
            <w:tcW w:w="708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980" w:type="dxa"/>
            <w:vAlign w:val="bottom"/>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Forward-Looking Statements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24"/>
                <w:szCs w:val="24"/>
                <w:color w:val="auto"/>
              </w:rPr>
            </w:pPr>
          </w:p>
        </w:tc>
        <w:tc>
          <w:tcPr>
            <w:tcW w:w="1860" w:type="dxa"/>
            <w:vAlign w:val="bottom"/>
            <w:gridSpan w:val="5"/>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Risk Factors</w:t>
              </w:r>
            </w:hyperlink>
          </w:p>
        </w:tc>
        <w:tc>
          <w:tcPr>
            <w:tcW w:w="3060" w:type="dxa"/>
            <w:vAlign w:val="bottom"/>
            <w:gridSpan w:val="10"/>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Use of Proceeds</w:t>
              </w:r>
            </w:hyperlink>
          </w:p>
        </w:tc>
        <w:tc>
          <w:tcPr>
            <w:tcW w:w="2800" w:type="dxa"/>
            <w:vAlign w:val="bottom"/>
            <w:gridSpan w:val="8"/>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Description of Debt Securities</w:t>
              </w:r>
            </w:hyperlink>
          </w:p>
        </w:tc>
        <w:tc>
          <w:tcPr>
            <w:tcW w:w="1780" w:type="dxa"/>
            <w:vAlign w:val="bottom"/>
            <w:gridSpan w:val="4"/>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31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Description of Shares of Beneficial Interest</w:t>
              </w:r>
            </w:hyperlink>
          </w:p>
        </w:tc>
        <w:tc>
          <w:tcPr>
            <w:tcW w:w="840" w:type="dxa"/>
            <w:vAlign w:val="bottom"/>
            <w:gridSpan w:val="2"/>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Material Federal Income Tax Considerations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79">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24"/>
                <w:szCs w:val="24"/>
                <w:color w:val="auto"/>
              </w:rPr>
            </w:pPr>
          </w:p>
        </w:tc>
        <w:tc>
          <w:tcPr>
            <w:tcW w:w="760" w:type="dxa"/>
            <w:vAlign w:val="bottom"/>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Legal Matters</w:t>
              </w:r>
            </w:hyperlink>
          </w:p>
        </w:tc>
        <w:tc>
          <w:tcPr>
            <w:tcW w:w="2960" w:type="dxa"/>
            <w:vAlign w:val="bottom"/>
            <w:gridSpan w:val="9"/>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80">
              <w:r>
                <w:rPr>
                  <w:rFonts w:ascii="Arial" w:cs="Arial" w:eastAsia="Arial" w:hAnsi="Arial"/>
                  <w:sz w:val="18"/>
                  <w:szCs w:val="18"/>
                  <w:color w:val="0000EE"/>
                  <w:w w:val="88"/>
                </w:rPr>
                <w:t>Experts</w:t>
              </w:r>
            </w:hyperlink>
          </w:p>
        </w:tc>
        <w:tc>
          <w:tcPr>
            <w:tcW w:w="3420" w:type="dxa"/>
            <w:vAlign w:val="bottom"/>
            <w:gridSpan w:val="11"/>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288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80">
              <w:r>
                <w:rPr>
                  <w:rFonts w:ascii="Arial" w:cs="Arial" w:eastAsia="Arial" w:hAnsi="Arial"/>
                  <w:sz w:val="18"/>
                  <w:szCs w:val="18"/>
                  <w:color w:val="0000EE"/>
                  <w:w w:val="92"/>
                </w:rPr>
                <w:t>Where You Can Find More Information</w:t>
              </w:r>
            </w:hyperlink>
          </w:p>
        </w:tc>
        <w:tc>
          <w:tcPr>
            <w:tcW w:w="1100" w:type="dxa"/>
            <w:vAlign w:val="bottom"/>
            <w:gridSpan w:val="3"/>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2015, we owned or had a majority interest in community and neighborhood shopping centers and mixed-use properties which are operated as 90 predominantly retail real estate projects comprising approximately 20.7 million square feet. In total, the real estate projects were 95.4% leased and 94.5% occupied at March 31, 2015. A joint venture in which we own a 30% interest owned six retail real estate projects totaling approximately 0.8 million square feet as of March 31, 2015. In total, the joint venture properties in which we own an interest were 85.8% leased and 85.4% occupied at March 31, 2015. We have paid quarterly dividends to our shareholders continuously since our founding in 1962 and have increased our dividends per common share for 47 consecutive years.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244"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For the Three Months</w:t>
      </w:r>
    </w:p>
    <w:p>
      <w:pPr>
        <w:spacing w:after="0" w:line="4" w:lineRule="exact"/>
        <w:rPr>
          <w:sz w:val="20"/>
          <w:szCs w:val="20"/>
          <w:color w:val="auto"/>
        </w:rPr>
      </w:pPr>
    </w:p>
    <w:p>
      <w:pPr>
        <w:ind w:left="7400"/>
        <w:spacing w:after="0"/>
        <w:tabs>
          <w:tab w:leader="none" w:pos="9020" w:val="left"/>
        </w:tabs>
        <w:rPr>
          <w:sz w:val="20"/>
          <w:szCs w:val="20"/>
          <w:color w:val="auto"/>
        </w:rPr>
      </w:pPr>
      <w:r>
        <w:rPr>
          <w:rFonts w:ascii="Arial" w:cs="Arial" w:eastAsia="Arial" w:hAnsi="Arial"/>
          <w:sz w:val="14"/>
          <w:szCs w:val="14"/>
          <w:b w:val="1"/>
          <w:bCs w:val="1"/>
          <w:color w:val="auto"/>
        </w:rPr>
        <w:t>Ended March 31,</w:t>
      </w:r>
      <w:r>
        <w:rPr>
          <w:sz w:val="20"/>
          <w:szCs w:val="20"/>
          <w:color w:val="auto"/>
        </w:rPr>
        <w:tab/>
      </w:r>
      <w:r>
        <w:rPr>
          <w:rFonts w:ascii="Arial" w:cs="Arial" w:eastAsia="Arial" w:hAnsi="Arial"/>
          <w:sz w:val="12"/>
          <w:szCs w:val="12"/>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-3175</wp:posOffset>
            </wp:positionV>
            <wp:extent cx="26155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7780"/>
        <w:spacing w:after="0"/>
        <w:tabs>
          <w:tab w:leader="none" w:pos="8860" w:val="left"/>
          <w:tab w:leader="none" w:pos="9400" w:val="left"/>
          <w:tab w:leader="none" w:pos="9960" w:val="left"/>
          <w:tab w:leader="none" w:pos="10520" w:val="left"/>
          <w:tab w:leader="none" w:pos="110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2"/>
          <w:szCs w:val="12"/>
          <w:b w:val="1"/>
          <w:bCs w:val="1"/>
          <w:color w:val="auto"/>
        </w:rPr>
        <w:t>2010</w:t>
      </w:r>
    </w:p>
    <w:tbl>
      <w:tblPr>
        <w:tblLayout w:type="fixed"/>
        <w:tblInd w:w="0" w:type="dxa"/>
        <w:tblCellMar>
          <w:top w:w="0" w:type="dxa"/>
          <w:left w:w="0" w:type="dxa"/>
          <w:bottom w:w="0" w:type="dxa"/>
          <w:right w:w="0" w:type="dxa"/>
        </w:tblCellMar>
      </w:tblP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share dividends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0"/>
                <w:szCs w:val="2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ratio of earnings to fixed charges is computed by dividing earnings by fixed charges. In computing the ratio of earnings to fixed charges:</w:t>
      </w:r>
    </w:p>
    <w:p>
      <w:pPr>
        <w:spacing w:after="0" w:line="35" w:lineRule="exact"/>
        <w:rPr>
          <w:sz w:val="20"/>
          <w:szCs w:val="20"/>
          <w:color w:val="auto"/>
        </w:rPr>
      </w:pPr>
    </w:p>
    <w:p>
      <w:pPr>
        <w:ind w:right="200" w:firstLine="8"/>
        <w:spacing w:after="0" w:line="254"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9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2014,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7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4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87"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130" w:lineRule="exact"/>
        <w:rPr>
          <w:rFonts w:ascii="Arial" w:cs="Arial" w:eastAsia="Arial" w:hAnsi="Arial"/>
          <w:sz w:val="18"/>
          <w:szCs w:val="18"/>
          <w:color w:val="auto"/>
        </w:rPr>
      </w:pPr>
    </w:p>
    <w:p>
      <w:pPr>
        <w:ind w:left="900" w:right="520" w:hanging="446"/>
        <w:spacing w:after="0" w:line="34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 may be surrendered for registration of transfer or exchange.</w:t>
      </w:r>
    </w:p>
    <w:p>
      <w:pPr>
        <w:spacing w:after="0" w:line="75" w:lineRule="exact"/>
        <w:rPr>
          <w:rFonts w:ascii="Arial" w:cs="Arial" w:eastAsia="Arial" w:hAnsi="Arial"/>
          <w:sz w:val="18"/>
          <w:szCs w:val="18"/>
          <w:color w:val="auto"/>
        </w:rPr>
      </w:pPr>
    </w:p>
    <w:p>
      <w:pPr>
        <w:jc w:val="both"/>
        <w:ind w:left="900" w:right="100" w:hanging="446"/>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86" w:lineRule="exact"/>
        <w:rPr>
          <w:rFonts w:ascii="Arial" w:cs="Arial" w:eastAsia="Arial" w:hAnsi="Arial"/>
          <w:sz w:val="18"/>
          <w:szCs w:val="18"/>
          <w:color w:val="auto"/>
        </w:rPr>
      </w:pPr>
    </w:p>
    <w:p>
      <w:pPr>
        <w:ind w:left="900" w:right="360" w:hanging="446"/>
        <w:spacing w:after="0" w:line="279"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Mandatory Redemption. </w:t>
      </w:r>
      <w:r>
        <w:rPr>
          <w:rFonts w:ascii="Arial" w:cs="Arial" w:eastAsia="Arial" w:hAnsi="Arial"/>
          <w:sz w:val="17"/>
          <w:szCs w:val="17"/>
          <w:color w:val="auto"/>
        </w:rPr>
        <w:t>The obligation, if any, we have to redeem or repurchase the offered debt securities pursuant to any sinking fund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92"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index or pursuant to a formula or other method, the manner in which such amounts will be determined.</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Special Rights. </w:t>
      </w:r>
      <w:r>
        <w:rPr>
          <w:rFonts w:ascii="Arial" w:cs="Arial" w:eastAsia="Arial" w:hAnsi="Arial"/>
          <w:sz w:val="17"/>
          <w:szCs w:val="17"/>
          <w:color w:val="auto"/>
        </w:rPr>
        <w:t>Provisions, if any, granting special rights to the holders of the offered debt securities if certain specified events occur.</w:t>
      </w:r>
    </w:p>
    <w:p>
      <w:pPr>
        <w:spacing w:after="0" w:line="142" w:lineRule="exact"/>
        <w:rPr>
          <w:rFonts w:ascii="Arial" w:cs="Arial" w:eastAsia="Arial" w:hAnsi="Arial"/>
          <w:sz w:val="17"/>
          <w:szCs w:val="17"/>
          <w:color w:val="auto"/>
        </w:rPr>
      </w:pPr>
    </w:p>
    <w:p>
      <w:pPr>
        <w:ind w:left="900" w:right="6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taxes, assessments or similar charges.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900" w:right="22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92" w:lineRule="exact"/>
        <w:rPr>
          <w:rFonts w:ascii="Arial" w:cs="Arial" w:eastAsia="Arial" w:hAnsi="Arial"/>
          <w:sz w:val="18"/>
          <w:szCs w:val="18"/>
          <w:color w:val="auto"/>
        </w:rPr>
      </w:pPr>
    </w:p>
    <w:p>
      <w:pPr>
        <w:ind w:left="900" w:right="180" w:hanging="446"/>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6" w:lineRule="exact"/>
        <w:rPr>
          <w:rFonts w:ascii="Arial" w:cs="Arial" w:eastAsia="Arial" w:hAnsi="Arial"/>
          <w:sz w:val="18"/>
          <w:szCs w:val="18"/>
          <w:color w:val="auto"/>
        </w:rPr>
      </w:pPr>
    </w:p>
    <w:p>
      <w:pPr>
        <w:ind w:left="900" w:right="440" w:hanging="446"/>
        <w:spacing w:after="0" w:line="308"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Payees. </w:t>
      </w:r>
      <w:r>
        <w:rPr>
          <w:rFonts w:ascii="Arial" w:cs="Arial" w:eastAsia="Arial" w:hAnsi="Arial"/>
          <w:sz w:val="17"/>
          <w:szCs w:val="17"/>
          <w:color w:val="auto"/>
        </w:rPr>
        <w:t>If other than as provided in the applicable indenture, the person to whom any interest on any registered security of the series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the manner in which, or the person to whom, any interest on any bearer securities of the series will be payable.</w:t>
      </w:r>
    </w:p>
    <w:p>
      <w:pPr>
        <w:spacing w:after="0" w:line="51" w:lineRule="exact"/>
        <w:rPr>
          <w:rFonts w:ascii="Arial" w:cs="Arial" w:eastAsia="Arial" w:hAnsi="Arial"/>
          <w:sz w:val="17"/>
          <w:szCs w:val="17"/>
          <w:color w:val="auto"/>
        </w:rPr>
      </w:pPr>
    </w:p>
    <w:p>
      <w:pPr>
        <w:ind w:left="900" w:right="320" w:hanging="446"/>
        <w:spacing w:after="0" w:line="308"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Definitions. </w:t>
      </w:r>
      <w:r>
        <w:rPr>
          <w:rFonts w:ascii="Arial" w:cs="Arial" w:eastAsia="Arial" w:hAnsi="Arial"/>
          <w:sz w:val="17"/>
          <w:szCs w:val="17"/>
          <w:color w:val="auto"/>
        </w:rPr>
        <w:t>Any definitions for the offered debt securities of that series that are different from or in addition to the definitions included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indenture, including, without limitation, the definition of “unrestricted subsidiary” to be used for such series.</w:t>
      </w:r>
    </w:p>
    <w:p>
      <w:pPr>
        <w:spacing w:after="0" w:line="51"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29"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75" w:lineRule="exact"/>
        <w:rPr>
          <w:rFonts w:ascii="Arial" w:cs="Arial" w:eastAsia="Arial" w:hAnsi="Arial"/>
          <w:sz w:val="18"/>
          <w:szCs w:val="18"/>
          <w:color w:val="auto"/>
        </w:rPr>
      </w:pPr>
    </w:p>
    <w:p>
      <w:pPr>
        <w:jc w:val="both"/>
        <w:ind w:left="900" w:right="180" w:hanging="446"/>
        <w:spacing w:after="0" w:line="286"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Conversion. </w:t>
      </w:r>
      <w:r>
        <w:rPr>
          <w:rFonts w:ascii="Arial" w:cs="Arial" w:eastAsia="Arial" w:hAnsi="Arial"/>
          <w:sz w:val="17"/>
          <w:szCs w:val="17"/>
          <w:color w:val="auto"/>
        </w:rPr>
        <w:t>The terms, if any, upon which the offered debt securities may be converted or exchanged into or for our common shares,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900" w:right="38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jc w:val="both"/>
        <w:ind w:left="900" w:right="40" w:hanging="446"/>
        <w:spacing w:after="0" w:line="31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225"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debt securities is U.S. Bank National Association, 214 North Tryon Street, 27</w:t>
      </w:r>
      <w:r>
        <w:rPr>
          <w:rFonts w:ascii="Arial" w:cs="Arial" w:eastAsia="Arial" w:hAnsi="Arial"/>
          <w:sz w:val="14"/>
          <w:szCs w:val="14"/>
          <w:color w:val="auto"/>
        </w:rPr>
        <w:t>th</w:t>
      </w:r>
      <w:r>
        <w:rPr>
          <w:rFonts w:ascii="Arial" w:cs="Arial" w:eastAsia="Arial" w:hAnsi="Arial"/>
          <w:sz w:val="17"/>
          <w:szCs w:val="17"/>
          <w:color w:val="auto"/>
        </w:rPr>
        <w:t xml:space="preserve"> Floor, Charlotte, North Carolina 28202. We will notify you of any change in the office’s location. At our option, however, we may make any interest payments on debt securities issued in registered form by:</w:t>
      </w:r>
    </w:p>
    <w:p>
      <w:pPr>
        <w:spacing w:after="0" w:line="71"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131"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Existence. </w:t>
      </w:r>
      <w:r>
        <w:rPr>
          <w:rFonts w:ascii="Arial" w:cs="Arial" w:eastAsia="Arial" w:hAnsi="Arial"/>
          <w:sz w:val="17"/>
          <w:szCs w:val="17"/>
          <w:color w:val="auto"/>
        </w:rPr>
        <w:t>Except as permitted under “Consolidation, Merger or Sale of Assets,” we will do or cause to be done all things necessary to preserve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131"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7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29" w:lineRule="exact"/>
        <w:rPr>
          <w:sz w:val="20"/>
          <w:szCs w:val="20"/>
          <w:color w:val="auto"/>
        </w:rPr>
      </w:pPr>
    </w:p>
    <w:p>
      <w:pPr>
        <w:jc w:val="both"/>
        <w:ind w:left="900" w:right="200" w:hanging="446"/>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6"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460" w:right="140" w:hanging="547"/>
        <w:spacing w:after="0" w:line="264" w:lineRule="auto"/>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7"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900" w:right="80" w:hanging="446"/>
        <w:spacing w:after="0" w:line="308"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51"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460" w:right="60" w:hanging="547"/>
        <w:spacing w:after="0" w:line="312" w:lineRule="auto"/>
        <w:tabs>
          <w:tab w:leader="none" w:pos="14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52" w:lineRule="exact"/>
        <w:rPr>
          <w:rFonts w:ascii="Arial" w:cs="Arial" w:eastAsia="Arial" w:hAnsi="Arial"/>
          <w:sz w:val="16"/>
          <w:szCs w:val="16"/>
          <w:color w:val="auto"/>
        </w:rPr>
      </w:pPr>
    </w:p>
    <w:p>
      <w:pPr>
        <w:ind w:left="1460" w:right="80" w:hanging="547"/>
        <w:spacing w:after="0" w:line="277" w:lineRule="auto"/>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there will be no restrictions in any subordinated indenture upon the creation of additional senior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76"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must resume payment on our subordinated debt securities, and make any payments we have missed, when one of the following has occurred:</w:t>
      </w:r>
    </w:p>
    <w:p>
      <w:pPr>
        <w:spacing w:after="0" w:line="142"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7"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70" w:lineRule="exact"/>
        <w:rPr>
          <w:sz w:val="20"/>
          <w:szCs w:val="20"/>
          <w:color w:val="auto"/>
        </w:rPr>
      </w:pPr>
    </w:p>
    <w:p>
      <w:pPr>
        <w:ind w:right="140" w:firstLine="464"/>
        <w:spacing w:after="0" w:line="277" w:lineRule="auto"/>
        <w:tabs>
          <w:tab w:leader="none" w:pos="62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right="280" w:firstLine="464"/>
        <w:spacing w:after="0" w:line="277" w:lineRule="auto"/>
        <w:tabs>
          <w:tab w:leader="none" w:pos="62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firstLine="464"/>
        <w:spacing w:after="0" w:line="264" w:lineRule="auto"/>
        <w:tabs>
          <w:tab w:leader="none" w:pos="62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81" w:lineRule="exact"/>
        <w:rPr>
          <w:sz w:val="20"/>
          <w:szCs w:val="20"/>
          <w:color w:val="auto"/>
        </w:rPr>
      </w:pPr>
    </w:p>
    <w:p>
      <w:pPr>
        <w:ind w:left="700" w:hanging="23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right="20" w:firstLine="464"/>
        <w:spacing w:after="0" w:line="271" w:lineRule="auto"/>
        <w:tabs>
          <w:tab w:leader="none" w:pos="633"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 is for relief against us or any of our significant subsidiaries in an involuntary case,</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 appoints a receiver in respect of us or any of our significant subsidiaries or for all or substantially all of the property of any of us; or</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(c) orders our liquidation or the liquidation of any of our significant subsidiaries, and the order or decree remains unstayed and in effect for 90 days.</w:t>
      </w:r>
    </w:p>
    <w:p>
      <w:pPr>
        <w:spacing w:after="0" w:line="248" w:lineRule="exact"/>
        <w:rPr>
          <w:rFonts w:ascii="Arial" w:cs="Arial" w:eastAsia="Arial" w:hAnsi="Arial"/>
          <w:sz w:val="18"/>
          <w:szCs w:val="18"/>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225" w:lineRule="exact"/>
        <w:rPr>
          <w:sz w:val="20"/>
          <w:szCs w:val="20"/>
          <w:color w:val="auto"/>
        </w:rPr>
      </w:pPr>
    </w:p>
    <w:p>
      <w:pPr>
        <w:ind w:left="700" w:hanging="23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Any other event of default provided with respect to the debt securities of that series.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76"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5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460" w:right="660" w:hanging="547"/>
        <w:spacing w:after="0" w:line="277" w:lineRule="auto"/>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series and any related coupons,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460" w:right="120" w:hanging="547"/>
        <w:spacing w:after="0" w:line="277" w:lineRule="auto"/>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Notices of Default. </w:t>
      </w:r>
      <w:r>
        <w:rPr>
          <w:rFonts w:ascii="Arial" w:cs="Arial" w:eastAsia="Arial" w:hAnsi="Arial"/>
          <w:sz w:val="17"/>
          <w:szCs w:val="17"/>
          <w:color w:val="auto"/>
        </w:rPr>
        <w:t>Unless we say otherwise in a prospectus supplement, we are required to deliver to the trustee, on or before a date not more than 120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78"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 securities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 powers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66"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66"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7" w:lineRule="exact"/>
        <w:rPr>
          <w:sz w:val="20"/>
          <w:szCs w:val="20"/>
          <w:color w:val="auto"/>
        </w:rPr>
      </w:pPr>
    </w:p>
    <w:p>
      <w:pPr>
        <w:ind w:left="900" w:right="22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series:</w:t>
      </w:r>
    </w:p>
    <w:p>
      <w:pPr>
        <w:spacing w:after="0" w:line="76"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46" w:lineRule="exact"/>
        <w:rPr>
          <w:rFonts w:ascii="Arial" w:cs="Arial" w:eastAsia="Arial" w:hAnsi="Arial"/>
          <w:sz w:val="16"/>
          <w:szCs w:val="16"/>
          <w:color w:val="auto"/>
        </w:rPr>
      </w:pPr>
    </w:p>
    <w:p>
      <w:pPr>
        <w:ind w:left="900" w:right="160"/>
        <w:spacing w:after="0" w:line="261" w:lineRule="auto"/>
        <w:rPr>
          <w:rFonts w:ascii="Arial" w:cs="Arial" w:eastAsia="Arial" w:hAnsi="Arial"/>
          <w:sz w:val="16"/>
          <w:szCs w:val="16"/>
          <w:color w:val="auto"/>
        </w:rPr>
      </w:pPr>
      <w:r>
        <w:rPr>
          <w:rFonts w:ascii="Arial" w:cs="Arial" w:eastAsia="Arial" w:hAnsi="Arial"/>
          <w:sz w:val="18"/>
          <w:szCs w:val="18"/>
          <w:color w:val="auto"/>
        </w:rPr>
        <w:t>(i) currency, currencies or currency units in which those debt securities are then specified as payable at maturity, (ii) government obligations (as defined in the applicable indenture) or (iii) any combination thereof, as will be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92"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7" w:lineRule="exact"/>
        <w:rPr>
          <w:sz w:val="20"/>
          <w:szCs w:val="20"/>
          <w:color w:val="auto"/>
        </w:rPr>
      </w:pPr>
    </w:p>
    <w:p>
      <w:pPr>
        <w:ind w:left="900" w:right="240" w:hanging="446"/>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6"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900" w:right="40" w:hanging="446"/>
        <w:spacing w:after="0" w:line="286"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2"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3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6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6"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900" w:right="14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30"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7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78"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6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Our declaration of trust allows us to issue up to 100,000,000 common shares of beneficial interest, par value $0.01 per share, and 15,000,000 preferred shares of beneficial interest, par value $0.01 per share. As of May 4, 2015, we had issued and outstanding 68,682,443 common shares, and 399,896 preferred shares, which are designated as 5.417% Series 1 Cumulative Convertible Preferred Shares, which we refer to as the Series 1 preferred shares.</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 the following actions without approval by you or any shareholder:</w:t>
      </w:r>
    </w:p>
    <w:p>
      <w:pPr>
        <w:spacing w:after="0" w:line="76" w:lineRule="exact"/>
        <w:rPr>
          <w:sz w:val="20"/>
          <w:szCs w:val="20"/>
          <w:color w:val="auto"/>
        </w:rPr>
      </w:pPr>
    </w:p>
    <w:p>
      <w:pPr>
        <w:ind w:left="900" w:right="28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 “—Authorized Shares,” our outstanding Series 1 preferred shares rank prior to our common shares with respect to the payment of dividends and as to the distribution of assets in the event of our liquidation, dissolution or winding up.</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7" w:lineRule="exact"/>
        <w:rPr>
          <w:sz w:val="20"/>
          <w:szCs w:val="20"/>
          <w:color w:val="auto"/>
        </w:rPr>
      </w:pPr>
    </w:p>
    <w:p>
      <w:pPr>
        <w:jc w:val="both"/>
        <w:ind w:left="900" w:right="120" w:hanging="446"/>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9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92"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70"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1"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8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i w:val="1"/>
          <w:iCs w:val="1"/>
          <w:color w:val="auto"/>
        </w:rPr>
        <w:t xml:space="preserve">Rank. </w:t>
      </w:r>
      <w:r>
        <w:rPr>
          <w:rFonts w:ascii="Arial" w:cs="Arial" w:eastAsia="Arial" w:hAnsi="Arial"/>
          <w:sz w:val="17"/>
          <w:szCs w:val="17"/>
          <w:color w:val="auto"/>
        </w:rPr>
        <w:t>The Series 1 preferred shares rank prior to the common shares with respect to the payment of dividends and the distribution of assets upon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7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purpose, cumulative preferential dividends payable in cash at a rate of 5.417% of the liquidation price of $25, which is equivalent to $1.35425 per annum.</w:t>
      </w:r>
    </w:p>
    <w:p>
      <w:pPr>
        <w:spacing w:after="0" w:line="124"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In the event of our liquidation, dissolution or winding up, the holders of Series 1 preferred shares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 per share, plus all accrued and unpaid dividends, before any distribution shall be made with respect to the common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Subject to other applicable provisions within the articles supplementary for the Series 1 preferred shares, from the date of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Series 1 preferred shares shall be convertible, at the option of each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8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54"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rights upon our liquidation, dissolution or winding up, rank:</w:t>
      </w:r>
    </w:p>
    <w:p>
      <w:pPr>
        <w:spacing w:after="0" w:line="76"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Subject to any preferential rights of any outstanding shares or series of shares and to the provisions of our declaration of trust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As to any liquidation preference applicable to preferred shares offered through this prospectus, the applicable supplement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prospectus supplement relating to the offering of those preferred shares. These terms typically will include:</w:t>
      </w:r>
    </w:p>
    <w:p>
      <w:pPr>
        <w:spacing w:after="0" w:line="76"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8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8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51" w:lineRule="exact"/>
        <w:rPr>
          <w:rFonts w:ascii="Arial" w:cs="Arial" w:eastAsia="Arial" w:hAnsi="Arial"/>
          <w:sz w:val="17"/>
          <w:szCs w:val="17"/>
          <w:color w:val="auto"/>
        </w:rPr>
      </w:pPr>
    </w:p>
    <w:p>
      <w:pPr>
        <w:ind w:left="900" w:right="74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76" w:lineRule="exact"/>
        <w:rPr>
          <w:sz w:val="20"/>
          <w:szCs w:val="20"/>
          <w:color w:val="auto"/>
        </w:rPr>
      </w:pPr>
    </w:p>
    <w:p>
      <w:pPr>
        <w:ind w:left="900" w:right="20" w:hanging="446"/>
        <w:spacing w:after="0" w:line="31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52"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7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460" w:right="580" w:hanging="547"/>
        <w:spacing w:after="0" w:line="277" w:lineRule="auto"/>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or preferred shares. If we offer warrants, we will describe the terms in a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90" w:lineRule="exact"/>
        <w:rPr>
          <w:sz w:val="20"/>
          <w:szCs w:val="20"/>
          <w:color w:val="auto"/>
        </w:rPr>
      </w:pPr>
    </w:p>
    <w:p>
      <w:pPr>
        <w:ind w:left="5620" w:right="2940" w:hanging="5166"/>
        <w:spacing w:after="0" w:line="449" w:lineRule="auto"/>
        <w:tabs>
          <w:tab w:leader="none" w:pos="896"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 24</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8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Number of Trustees. </w:t>
      </w:r>
      <w:r>
        <w:rPr>
          <w:rFonts w:ascii="Arial" w:cs="Arial" w:eastAsia="Arial" w:hAnsi="Arial"/>
          <w:sz w:val="18"/>
          <w:szCs w:val="18"/>
          <w:color w:val="auto"/>
        </w:rPr>
        <w:t>The number of trustees may be increased or decreased pursuant to the bylaws, provided that the total number of trustees may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less than five or more than 10. Under Maryland law and our declaration of trust, trustees are elected for one-year terms.</w:t>
      </w:r>
    </w:p>
    <w:p>
      <w:pPr>
        <w:spacing w:after="0" w:line="166"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86" w:lineRule="exact"/>
        <w:rPr>
          <w:sz w:val="20"/>
          <w:szCs w:val="20"/>
          <w:color w:val="auto"/>
        </w:rPr>
      </w:pPr>
    </w:p>
    <w:p>
      <w:pPr>
        <w:ind w:left="900" w:right="2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66"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80" w:lineRule="exact"/>
        <w:rPr>
          <w:sz w:val="20"/>
          <w:szCs w:val="20"/>
          <w:color w:val="auto"/>
        </w:rPr>
      </w:pPr>
    </w:p>
    <w:p>
      <w:pPr>
        <w:ind w:right="140" w:firstLine="456"/>
        <w:spacing w:after="0" w:line="281" w:lineRule="auto"/>
        <w:rPr>
          <w:sz w:val="20"/>
          <w:szCs w:val="20"/>
          <w:color w:val="auto"/>
        </w:rPr>
      </w:pPr>
      <w:r>
        <w:rPr>
          <w:rFonts w:ascii="Arial" w:cs="Arial" w:eastAsia="Arial" w:hAnsi="Arial"/>
          <w:sz w:val="17"/>
          <w:szCs w:val="17"/>
          <w:b w:val="1"/>
          <w:bCs w:val="1"/>
          <w:i w:val="1"/>
          <w:iCs w:val="1"/>
          <w:color w:val="auto"/>
        </w:rPr>
        <w:t>Meetings of Shareholders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provide for an annual meeting of shareholders, to be held in May after delivery of the annual report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6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5"/>
          <w:szCs w:val="15"/>
          <w:color w:val="auto"/>
        </w:rPr>
        <w:t>th</w:t>
      </w:r>
      <w:r>
        <w:rPr>
          <w:rFonts w:ascii="Arial" w:cs="Arial" w:eastAsia="Arial" w:hAnsi="Arial"/>
          <w:sz w:val="18"/>
          <w:szCs w:val="18"/>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9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7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b w:val="1"/>
          <w:bCs w:val="1"/>
          <w:i w:val="1"/>
          <w:iCs w:val="1"/>
          <w:color w:val="auto"/>
        </w:rPr>
        <w:t xml:space="preserve">Shareholder Liability and Indemnification. </w:t>
      </w:r>
      <w:r>
        <w:rPr>
          <w:rFonts w:ascii="Arial" w:cs="Arial" w:eastAsia="Arial" w:hAnsi="Arial"/>
          <w:sz w:val="17"/>
          <w:szCs w:val="17"/>
          <w:color w:val="auto"/>
        </w:rPr>
        <w:t>Under Maryland law, you will not be personally liable for any obligation of ours solely because you are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7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4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72"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2014;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8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7" w:lineRule="exact"/>
        <w:rPr>
          <w:sz w:val="20"/>
          <w:szCs w:val="20"/>
          <w:color w:val="auto"/>
        </w:rPr>
      </w:pPr>
    </w:p>
    <w:p>
      <w:pPr>
        <w:ind w:left="900" w:right="34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we may be subject to the “alternative minimum tax” on any items of tax preference that we do not distribute or allocate to our shareholders;</w:t>
      </w:r>
    </w:p>
    <w:p>
      <w:pPr>
        <w:spacing w:after="0" w:line="142" w:lineRule="exact"/>
        <w:rPr>
          <w:rFonts w:ascii="Arial" w:cs="Arial" w:eastAsia="Arial" w:hAnsi="Arial"/>
          <w:sz w:val="17"/>
          <w:szCs w:val="17"/>
          <w:color w:val="auto"/>
        </w:rPr>
      </w:pPr>
    </w:p>
    <w:p>
      <w:pPr>
        <w:jc w:val="both"/>
        <w:ind w:left="900" w:right="60" w:hanging="446"/>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“—Requirements for REIT Qualification</w:t>
      </w:r>
    </w:p>
    <w:p>
      <w:pPr>
        <w:spacing w:after="0" w:line="46" w:lineRule="exact"/>
        <w:rPr>
          <w:rFonts w:ascii="Arial" w:cs="Arial" w:eastAsia="Arial" w:hAnsi="Arial"/>
          <w:sz w:val="16"/>
          <w:szCs w:val="16"/>
          <w:color w:val="auto"/>
        </w:rPr>
      </w:pPr>
    </w:p>
    <w:p>
      <w:pPr>
        <w:ind w:left="9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5"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92" w:lineRule="exact"/>
        <w:rPr>
          <w:rFonts w:ascii="Arial" w:cs="Arial" w:eastAsia="Arial" w:hAnsi="Arial"/>
          <w:sz w:val="18"/>
          <w:szCs w:val="18"/>
          <w:color w:val="auto"/>
        </w:rPr>
      </w:pPr>
    </w:p>
    <w:p>
      <w:pPr>
        <w:ind w:left="900" w:right="160" w:hanging="446"/>
        <w:spacing w:after="0" w:line="286" w:lineRule="auto"/>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9"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900" w:right="160" w:hanging="446"/>
        <w:spacing w:after="0" w:line="255"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900" w:right="94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900" w:right="80" w:hanging="446"/>
        <w:spacing w:after="0" w:line="293"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70" w:lineRule="exact"/>
        <w:rPr>
          <w:rFonts w:ascii="Arial" w:cs="Arial" w:eastAsia="Arial" w:hAnsi="Arial"/>
          <w:sz w:val="16"/>
          <w:szCs w:val="16"/>
          <w:color w:val="auto"/>
        </w:rPr>
      </w:pPr>
    </w:p>
    <w:p>
      <w:pPr>
        <w:ind w:left="900" w:right="100" w:hanging="446"/>
        <w:spacing w:after="0" w:line="279"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7" w:lineRule="exact"/>
        <w:rPr>
          <w:sz w:val="20"/>
          <w:szCs w:val="20"/>
          <w:color w:val="auto"/>
        </w:rPr>
      </w:pPr>
    </w:p>
    <w:p>
      <w:pPr>
        <w:ind w:left="900" w:hanging="446"/>
        <w:spacing w:after="0" w:line="297"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63" w:lineRule="exact"/>
        <w:rPr>
          <w:rFonts w:ascii="Arial" w:cs="Arial" w:eastAsia="Arial" w:hAnsi="Arial"/>
          <w:sz w:val="16"/>
          <w:szCs w:val="16"/>
          <w:color w:val="auto"/>
        </w:rPr>
      </w:pPr>
    </w:p>
    <w:p>
      <w:pPr>
        <w:ind w:left="900" w:hanging="446"/>
        <w:spacing w:after="0" w:line="269"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85" w:lineRule="exact"/>
        <w:rPr>
          <w:rFonts w:ascii="Arial" w:cs="Arial" w:eastAsia="Arial" w:hAnsi="Arial"/>
          <w:sz w:val="17"/>
          <w:szCs w:val="17"/>
          <w:color w:val="auto"/>
        </w:rPr>
      </w:pPr>
    </w:p>
    <w:p>
      <w:pPr>
        <w:ind w:left="900" w:right="100" w:hanging="446"/>
        <w:spacing w:after="0" w:line="273"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83" w:lineRule="exact"/>
        <w:rPr>
          <w:rFonts w:ascii="Arial" w:cs="Arial" w:eastAsia="Arial" w:hAnsi="Arial"/>
          <w:sz w:val="17"/>
          <w:szCs w:val="17"/>
          <w:color w:val="auto"/>
        </w:rPr>
      </w:pPr>
    </w:p>
    <w:p>
      <w:pPr>
        <w:ind w:left="900" w:right="60" w:hanging="446"/>
        <w:spacing w:after="0" w:line="272"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83" w:lineRule="exact"/>
        <w:rPr>
          <w:rFonts w:ascii="Arial" w:cs="Arial" w:eastAsia="Arial" w:hAnsi="Arial"/>
          <w:sz w:val="17"/>
          <w:szCs w:val="17"/>
          <w:color w:val="auto"/>
        </w:rPr>
      </w:pPr>
    </w:p>
    <w:p>
      <w:pPr>
        <w:ind w:left="900" w:right="140" w:hanging="446"/>
        <w:spacing w:after="0" w:line="270"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or unless, in either instance, we have determined or we determine in our discretion that the amount of disqualified rent resulting from such services will not jeopardize our status as a REIT.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66"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Our share of any dividends received from any corporation (including any taxable REIT subsidiary, but excluding any REIT) in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 an equity interest will qualify for purposes of the 95% gross income test but not for purposes of the 75% gross income test. Our share of any dividends received from any other REIT in which we own an equity interest will be qualifying income for purposes of both gross income tests.</w:t>
      </w:r>
    </w:p>
    <w:p>
      <w:pPr>
        <w:spacing w:after="0" w:line="166"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900" w:right="120" w:hanging="446"/>
        <w:spacing w:after="0" w:line="308"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7" w:lineRule="exact"/>
        <w:rPr>
          <w:sz w:val="20"/>
          <w:szCs w:val="20"/>
          <w:color w:val="auto"/>
        </w:rPr>
      </w:pPr>
    </w:p>
    <w:p>
      <w:pPr>
        <w:ind w:left="900" w:right="16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308"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900" w:right="140" w:hanging="446"/>
        <w:spacing w:after="0" w:line="264"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Tax on Prohibited Transactions. </w:t>
      </w:r>
      <w:r>
        <w:rPr>
          <w:rFonts w:ascii="Arial" w:cs="Arial" w:eastAsia="Arial" w:hAnsi="Arial"/>
          <w:sz w:val="18"/>
          <w:szCs w:val="18"/>
          <w:color w:val="auto"/>
        </w:rPr>
        <w:t>A REIT will incur a 100% tax on net income (taking into account foreign currency gains and losses) derived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8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and Treasury regulations,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tests.</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900" w:right="40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75" w:lineRule="exact"/>
        <w:rPr>
          <w:rFonts w:ascii="Arial" w:cs="Arial" w:eastAsia="Arial" w:hAnsi="Arial"/>
          <w:sz w:val="18"/>
          <w:szCs w:val="18"/>
          <w:color w:val="auto"/>
        </w:rPr>
      </w:pPr>
    </w:p>
    <w:p>
      <w:pPr>
        <w:ind w:left="1460" w:right="260" w:hanging="547"/>
        <w:spacing w:after="0" w:line="277" w:lineRule="auto"/>
        <w:tabs>
          <w:tab w:leader="none" w:pos="14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our properties qualify as real estate assets.</w:t>
      </w:r>
    </w:p>
    <w:p>
      <w:pPr>
        <w:spacing w:after="0" w:line="75" w:lineRule="exact"/>
        <w:rPr>
          <w:rFonts w:ascii="Arial" w:cs="Arial" w:eastAsia="Arial" w:hAnsi="Arial"/>
          <w:sz w:val="18"/>
          <w:szCs w:val="18"/>
          <w:color w:val="auto"/>
        </w:rPr>
      </w:pPr>
    </w:p>
    <w:p>
      <w:pPr>
        <w:jc w:val="both"/>
        <w:ind w:left="1460" w:right="80" w:hanging="547"/>
        <w:spacing w:after="0" w:line="264" w:lineRule="auto"/>
        <w:tabs>
          <w:tab w:leader="none" w:pos="14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6" w:lineRule="exact"/>
        <w:rPr>
          <w:rFonts w:ascii="Arial" w:cs="Arial" w:eastAsia="Arial" w:hAnsi="Arial"/>
          <w:sz w:val="18"/>
          <w:szCs w:val="18"/>
          <w:color w:val="auto"/>
        </w:rPr>
      </w:pPr>
    </w:p>
    <w:p>
      <w:pPr>
        <w:ind w:left="1460" w:right="180" w:hanging="547"/>
        <w:spacing w:after="0" w:line="277" w:lineRule="auto"/>
        <w:tabs>
          <w:tab w:leader="none" w:pos="14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75"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property on the date the REIT acquires the loan, or (ii) the fair market value of the loan.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ind w:right="300" w:firstLine="8"/>
        <w:spacing w:after="0" w:line="261" w:lineRule="auto"/>
        <w:tabs>
          <w:tab w:leader="none" w:pos="265" w:val="left"/>
        </w:tabs>
        <w:numPr>
          <w:ilvl w:val="0"/>
          <w:numId w:val="88"/>
        </w:numPr>
        <w:rPr>
          <w:rFonts w:ascii="Arial" w:cs="Arial" w:eastAsia="Arial" w:hAnsi="Arial"/>
          <w:sz w:val="18"/>
          <w:szCs w:val="18"/>
          <w:color w:val="auto"/>
        </w:rPr>
      </w:pPr>
      <w:r>
        <w:rPr>
          <w:rFonts w:ascii="Arial" w:cs="Arial" w:eastAsia="Arial" w:hAnsi="Arial"/>
          <w:sz w:val="18"/>
          <w:szCs w:val="18"/>
          <w:color w:val="auto"/>
        </w:rPr>
        <w:t>of the preceding sentence, we still could avoid disqualification as a REIT by eliminating any discrepancy within 30 days after the close of the calendar quarter in which the discrepancy arose.</w:t>
      </w:r>
    </w:p>
    <w:p>
      <w:pPr>
        <w:spacing w:after="0" w:line="1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Asset Tests. </w:t>
      </w:r>
      <w:r>
        <w:rPr>
          <w:rFonts w:ascii="Arial" w:cs="Arial" w:eastAsia="Arial" w:hAnsi="Arial"/>
          <w:sz w:val="16"/>
          <w:szCs w:val="16"/>
          <w:color w:val="auto"/>
        </w:rPr>
        <w:t>If we fail to satisfy one or more of the asset tests for any quarter of a taxable year,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shares or debt securities.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In addition, the IRS previously issued a revenue procedure authorizing publicly traded REITs to make elective cash/share dividends, but that revenue procedure’s effectiveness has expired and does not apply to our current and future taxable years. Accordingly, it is unclear whether and to what extent we will be able to make taxable dividends payable in cash and shares. We have no current intention to make a taxable dividend payable in our shares or debt securities.</w:t>
      </w:r>
    </w:p>
    <w:p>
      <w:pPr>
        <w:spacing w:after="0" w:line="17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900" w:right="400" w:hanging="446"/>
        <w:spacing w:after="0" w:line="308" w:lineRule="auto"/>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and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78"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i w:val="1"/>
          <w:iCs w:val="1"/>
          <w:color w:val="auto"/>
        </w:rPr>
        <w:t xml:space="preserve">Taxation of Taxable U.S. Shareholders on the Disposition of Our Shares. </w:t>
      </w:r>
      <w:r>
        <w:rPr>
          <w:rFonts w:ascii="Arial" w:cs="Arial" w:eastAsia="Arial" w:hAnsi="Arial"/>
          <w:sz w:val="17"/>
          <w:szCs w:val="17"/>
          <w:color w:val="auto"/>
        </w:rPr>
        <w:t>In general, a taxable U.S. shareholder must treat any gain or loss 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b w:val="1"/>
          <w:bCs w:val="1"/>
          <w:i w:val="1"/>
          <w:iCs w:val="1"/>
          <w:color w:val="auto"/>
        </w:rPr>
        <w:t xml:space="preserve">Capital Gains and Losses. </w:t>
      </w:r>
      <w:r>
        <w:rPr>
          <w:rFonts w:ascii="Arial" w:cs="Arial" w:eastAsia="Arial" w:hAnsi="Arial"/>
          <w:sz w:val="17"/>
          <w:szCs w:val="17"/>
          <w:color w:val="auto"/>
        </w:rPr>
        <w:t>A taxpayer generally must hold a capital asset for more than one year for gain or loss derived from its sale or exchange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w:t>
      </w:r>
    </w:p>
    <w:p>
      <w:pPr>
        <w:spacing w:after="0" w:line="2" w:lineRule="exact"/>
        <w:rPr>
          <w:sz w:val="20"/>
          <w:szCs w:val="20"/>
          <w:color w:val="auto"/>
        </w:rPr>
      </w:pPr>
    </w:p>
    <w:p>
      <w:pPr>
        <w:ind w:firstLine="8"/>
        <w:spacing w:after="0" w:line="269" w:lineRule="auto"/>
        <w:tabs>
          <w:tab w:leader="none" w:pos="215"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66"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6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9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6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54"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Medicare Tax on Unearned Income. </w:t>
      </w:r>
      <w:r>
        <w:rPr>
          <w:rFonts w:ascii="Arial" w:cs="Arial" w:eastAsia="Arial" w:hAnsi="Arial"/>
          <w:sz w:val="17"/>
          <w:szCs w:val="17"/>
          <w:color w:val="auto"/>
        </w:rPr>
        <w:t>Certain taxable U.S. shareholders who are individuals, estates or trusts are subject to a 3.8% Medicare tax on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Current Tax Rates. </w:t>
      </w:r>
      <w:r>
        <w:rPr>
          <w:rFonts w:ascii="Arial" w:cs="Arial" w:eastAsia="Arial" w:hAnsi="Arial"/>
          <w:sz w:val="18"/>
          <w:szCs w:val="18"/>
          <w:color w:val="auto"/>
        </w:rPr>
        <w:t>The maximum tax rate on the long-term capital gains of domestic non-corporate taxpayers is 20%. The maximum tax rate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lower qualified dividend income/capital gains tax rate (at a maximum of 20%) does generally apply to:</w:t>
      </w:r>
    </w:p>
    <w:p>
      <w:pPr>
        <w:spacing w:after="0" w:line="99"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Taxable U.S. shareholders that are “exempt recipients” (such as corporations) generally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87"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900" w:right="280" w:hanging="446"/>
        <w:spacing w:after="0" w:line="308"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Ordinary Dividends. </w:t>
      </w:r>
      <w:r>
        <w:rPr>
          <w:rFonts w:ascii="Arial" w:cs="Arial" w:eastAsia="Arial" w:hAnsi="Arial"/>
          <w:sz w:val="17"/>
          <w:szCs w:val="17"/>
          <w:color w:val="auto"/>
        </w:rPr>
        <w:t>A non-U.S. shareholder that receives a distribution that is not attributable to gain from our sale or exchange of “U.S. real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b w:val="1"/>
          <w:bCs w:val="1"/>
          <w:i w:val="1"/>
          <w:iCs w:val="1"/>
          <w:color w:val="auto"/>
        </w:rPr>
        <w:t>Return of Capital</w:t>
      </w:r>
      <w:r>
        <w:rPr>
          <w:rFonts w:ascii="Arial" w:cs="Arial" w:eastAsia="Arial" w:hAnsi="Arial"/>
          <w:sz w:val="17"/>
          <w:szCs w:val="17"/>
          <w:color w:val="auto"/>
        </w:rPr>
        <w:t>. A non-U.S. shareholder will not incur tax on a distribution to the extent it exceeds our current and accumulated earnings and profits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we are treated as a “United States real property holding corporation,” we will be required to withhold 10% of any distribution that exceeds our current and accumulated earnings and profits. Consequently, although we intend to withhold at a rate of 30% on the entire amount of any distribution, to the extent we do not do so, we may withhold at a rate of 10% on any portion of a distribution not subject to withholding at a rate of 30%.</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 xml:space="preserve">Capital Gain Dividends. </w:t>
      </w:r>
      <w:r>
        <w:rPr>
          <w:rFonts w:ascii="Arial" w:cs="Arial" w:eastAsia="Arial" w:hAnsi="Arial"/>
          <w:sz w:val="17"/>
          <w:szCs w:val="17"/>
          <w:color w:val="auto"/>
        </w:rPr>
        <w:t>Provided that a particular class of our shares is “regularly traded” on an established securities market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5%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7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Retention of Net Capital Gains. </w:t>
      </w:r>
      <w:r>
        <w:rPr>
          <w:rFonts w:ascii="Arial" w:cs="Arial" w:eastAsia="Arial" w:hAnsi="Arial"/>
          <w:sz w:val="17"/>
          <w:szCs w:val="17"/>
          <w:color w:val="auto"/>
        </w:rPr>
        <w:t>Although the law is not clear on the matter, it appears that amounts we designate as retained capital gains in respect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i w:val="1"/>
          <w:iCs w:val="1"/>
          <w:color w:val="auto"/>
        </w:rPr>
        <w:t>Sale of Shares</w:t>
      </w:r>
      <w:r>
        <w:rPr>
          <w:rFonts w:ascii="Arial" w:cs="Arial" w:eastAsia="Arial" w:hAnsi="Arial"/>
          <w:sz w:val="17"/>
          <w:szCs w:val="17"/>
          <w:color w:val="auto"/>
        </w:rPr>
        <w:t>. A non-U.S. shareholder generally will not incur tax under FIRPTA on gain from the sale of its common or preferred shares as long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However, even if we are not, or cease to be, a domestically controlled REIT, a non-U.S. shareholder that owns, actually or constructively, 5% or less of a class of our of outstanding shares at all times during a specified testing period will not incur tax under FIRPTA on a sale of such shares if shares of such class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70"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Certain foreign financial institutions and non-financial foreign entities are subject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2016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 xml:space="preserve">State and Local Taxes. </w:t>
      </w:r>
      <w:r>
        <w:rPr>
          <w:rFonts w:ascii="Arial" w:cs="Arial" w:eastAsia="Arial" w:hAnsi="Arial"/>
          <w:sz w:val="16"/>
          <w:szCs w:val="16"/>
          <w:color w:val="auto"/>
        </w:rPr>
        <w:t>We and/or you may be subject to state and local tax in various states and localities, including those states and localities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46" w:lineRule="exact"/>
        <w:rPr>
          <w:sz w:val="20"/>
          <w:szCs w:val="20"/>
          <w:color w:val="auto"/>
        </w:rPr>
      </w:pPr>
    </w:p>
    <w:p>
      <w:pPr>
        <w:ind w:left="260" w:hanging="252"/>
        <w:spacing w:after="0"/>
        <w:tabs>
          <w:tab w:leader="none" w:pos="2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through agents; (3) in “at the market offerings” to or through a market maker or into an existing trading market or securities exchange or otherwise;</w:t>
      </w:r>
    </w:p>
    <w:p>
      <w:pPr>
        <w:spacing w:after="0" w:line="20" w:lineRule="exact"/>
        <w:rPr>
          <w:rFonts w:ascii="Arial" w:cs="Arial" w:eastAsia="Arial" w:hAnsi="Arial"/>
          <w:sz w:val="17"/>
          <w:szCs w:val="17"/>
          <w:color w:val="auto"/>
        </w:rPr>
      </w:pPr>
    </w:p>
    <w:p>
      <w:pPr>
        <w:ind w:right="20" w:firstLine="8"/>
        <w:spacing w:after="0" w:line="273" w:lineRule="auto"/>
        <w:tabs>
          <w:tab w:leader="none" w:pos="255" w:val="left"/>
        </w:tabs>
        <w:numPr>
          <w:ilvl w:val="0"/>
          <w:numId w:val="95"/>
        </w:numPr>
        <w:rPr>
          <w:rFonts w:ascii="Arial" w:cs="Arial" w:eastAsia="Arial" w:hAnsi="Arial"/>
          <w:sz w:val="17"/>
          <w:szCs w:val="17"/>
          <w:color w:val="auto"/>
        </w:rPr>
      </w:pPr>
      <w:r>
        <w:rPr>
          <w:rFonts w:ascii="Arial" w:cs="Arial" w:eastAsia="Arial" w:hAnsi="Arial"/>
          <w:sz w:val="17"/>
          <w:szCs w:val="17"/>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900" w:right="8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purchases by a dealer as principal and resale by such dealer for its account pursuant to this prospectus or any prospectus supplement;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6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7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24"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If underwriters or dealers are used in the sale, until the distribution of the securities is completed, SEC rules may limit the ability of any such underwriters and selling group members to bid for and purchase the securities. As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00"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2014, filed with the SEC on February 10,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Definitive Proxy Statement for our 2015 Annual Meeting of Shareholders, filed with the SEC on March 27,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2015, filed with the SEC on May 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Our Current Reports on Form 8-K filed with the SEC on February 10, 2015 (with disclosures under Item 5.02) and March 17, 2015;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8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Copies of our SEC filings are available at no cost at our website, </w:t>
      </w:r>
      <w:r>
        <w:rPr>
          <w:rFonts w:ascii="Arial" w:cs="Arial" w:eastAsia="Arial" w:hAnsi="Arial"/>
          <w:sz w:val="17"/>
          <w:szCs w:val="17"/>
          <w:i w:val="1"/>
          <w:iCs w:val="1"/>
          <w:color w:val="auto"/>
        </w:rPr>
        <w:t>www.federalrealty.com</w:t>
      </w:r>
      <w:r>
        <w:rPr>
          <w:rFonts w:ascii="Arial" w:cs="Arial" w:eastAsia="Arial" w:hAnsi="Arial"/>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20"/>
        <w:spacing w:after="0"/>
        <w:rPr>
          <w:sz w:val="20"/>
          <w:szCs w:val="20"/>
          <w:color w:val="auto"/>
        </w:rPr>
      </w:pPr>
      <w:r>
        <w:rPr>
          <w:rFonts w:ascii="Arial" w:cs="Arial" w:eastAsia="Arial" w:hAnsi="Arial"/>
          <w:sz w:val="29"/>
          <w:szCs w:val="29"/>
          <w:b w:val="1"/>
          <w:bCs w:val="1"/>
          <w:color w:val="auto"/>
        </w:rPr>
        <w:t>$400,000,000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340360</wp:posOffset>
            </wp:positionV>
            <wp:extent cx="2195195" cy="8661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9519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$300,000,000 3.25% Notes due 2027</w:t>
      </w:r>
    </w:p>
    <w:p>
      <w:pPr>
        <w:spacing w:after="0" w:line="72"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$100,000,000 4.50% Notes due 2044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410845</wp:posOffset>
            </wp:positionV>
            <wp:extent cx="15176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Citigroup</w:t>
      </w:r>
    </w:p>
    <w:p>
      <w:pPr>
        <w:spacing w:after="0" w:line="118"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Deutsche Bank Securities</w:t>
      </w:r>
    </w:p>
    <w:p>
      <w:pPr>
        <w:spacing w:after="0" w:line="118"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J.P. Morgan</w:t>
      </w:r>
    </w:p>
    <w:p>
      <w:pPr>
        <w:spacing w:after="0" w:line="118"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Wells Fargo Securities</w:t>
      </w:r>
    </w:p>
    <w:p>
      <w:pPr>
        <w:spacing w:after="0" w:line="118"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PNC Capital Markets LLC</w:t>
      </w:r>
    </w:p>
    <w:p>
      <w:pPr>
        <w:spacing w:after="0" w:line="118"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Regions Securities LLC</w:t>
      </w:r>
    </w:p>
    <w:p>
      <w:pPr>
        <w:spacing w:after="0" w:line="118"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SunTrust Robinson Humphrey</w:t>
      </w:r>
    </w:p>
    <w:p>
      <w:pPr>
        <w:spacing w:after="0" w:line="118"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TD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406400</wp:posOffset>
            </wp:positionV>
            <wp:extent cx="15176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1)"/>
      <w:numFmt w:val="decimal"/>
      <w:start w:val="1"/>
    </w:lvl>
  </w:abstractNum>
  <w:abstractNum w:abstractNumId="1">
    <w:nsid w:val="579478FE"/>
    <w:multiLevelType w:val="hybridMultilevel"/>
    <w:lvl w:ilvl="0">
      <w:lvlJc w:val="left"/>
      <w:lvlText w:val="(%1)"/>
      <w:numFmt w:val="decimal"/>
      <w:start w:val="1"/>
    </w:lvl>
  </w:abstractNum>
  <w:abstractNum w:abstractNumId="2">
    <w:nsid w:val="749ABB43"/>
    <w:multiLevelType w:val="hybridMultilevel"/>
    <w:lvl w:ilvl="0">
      <w:lvlJc w:val="left"/>
      <w:lvlText w:val="•"/>
      <w:numFmt w:val="bullet"/>
      <w:start w:val="1"/>
    </w:lvl>
    <w:lvl w:ilvl="1">
      <w:lvlJc w:val="left"/>
      <w:lvlText w:val="•"/>
      <w:numFmt w:val="bullet"/>
      <w:start w:val="1"/>
    </w:lvl>
  </w:abstractNum>
  <w:abstractNum w:abstractNumId="3">
    <w:nsid w:val="3DC240FB"/>
    <w:multiLevelType w:val="hybridMultilevel"/>
    <w:lvl w:ilvl="0">
      <w:lvlJc w:val="left"/>
      <w:lvlText w:val="(%1)"/>
      <w:numFmt w:val="lowerLetter"/>
      <w:start w:val="1"/>
    </w:lvl>
  </w:abstractNum>
  <w:abstractNum w:abstractNumId="4">
    <w:nsid w:val="1BA026FA"/>
    <w:multiLevelType w:val="hybridMultilevel"/>
    <w:lvl w:ilvl="0">
      <w:lvlJc w:val="left"/>
      <w:lvlText w:val="(%1)"/>
      <w:numFmt w:val="decimal"/>
      <w:start w:val="1"/>
    </w:lvl>
  </w:abstractNum>
  <w:abstractNum w:abstractNumId="5">
    <w:nsid w:val="79A1DEAA"/>
    <w:multiLevelType w:val="hybridMultilevel"/>
    <w:lvl w:ilvl="0">
      <w:lvlJc w:val="left"/>
      <w:lvlText w:val="(%1)"/>
      <w:numFmt w:val="decimal"/>
      <w:start w:val="4"/>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1)"/>
      <w:numFmt w:val="decimal"/>
      <w:start w:val="1"/>
    </w:lvl>
  </w:abstractNum>
  <w:abstractNum w:abstractNumId="8">
    <w:nsid w:val="70C6A529"/>
    <w:multiLevelType w:val="hybridMultilevel"/>
    <w:lvl w:ilvl="0">
      <w:lvlJc w:val="left"/>
      <w:lvlText w:val="%1."/>
      <w:numFmt w:val="decimal"/>
      <w:start w:val="1"/>
    </w:lvl>
  </w:abstractNum>
  <w:abstractNum w:abstractNumId="9">
    <w:nsid w:val="520EEDD1"/>
    <w:multiLevelType w:val="hybridMultilevel"/>
    <w:lvl w:ilvl="0">
      <w:lvlJc w:val="left"/>
      <w:lvlText w:val="(%1)"/>
      <w:numFmt w:val="lowerLetter"/>
      <w:start w:val="1"/>
    </w:lvl>
  </w:abstractNum>
  <w:abstractNum w:abstractNumId="10">
    <w:nsid w:val="374A3FE6"/>
    <w:multiLevelType w:val="hybridMultilevel"/>
    <w:lvl w:ilvl="0">
      <w:lvlJc w:val="left"/>
      <w:lvlText w:val="%1."/>
      <w:numFmt w:val="decimal"/>
      <w:start w:val="5"/>
    </w:lvl>
  </w:abstractNum>
  <w:abstractNum w:abstractNumId="11">
    <w:nsid w:val="4F4EF005"/>
    <w:multiLevelType w:val="hybridMultilevel"/>
    <w:lvl w:ilvl="0">
      <w:lvlJc w:val="left"/>
      <w:lvlText w:val="(%1)"/>
      <w:numFmt w:val="lowerLetter"/>
      <w:start w:val="1"/>
    </w:lvl>
  </w:abstractNum>
  <w:abstractNum w:abstractNumId="12">
    <w:nsid w:val="23F9C13C"/>
    <w:multiLevelType w:val="hybridMultilevel"/>
    <w:lvl w:ilvl="0">
      <w:lvlJc w:val="left"/>
      <w:lvlText w:val="(%1)"/>
      <w:numFmt w:val="lowerLetter"/>
      <w:start w:val="2"/>
    </w:lvl>
  </w:abstractNum>
  <w:abstractNum w:abstractNumId="13">
    <w:nsid w:val="649BB77C"/>
    <w:multiLevelType w:val="hybridMultilevel"/>
    <w:lvl w:ilvl="0">
      <w:lvlJc w:val="left"/>
      <w:lvlText w:val="(%1)"/>
      <w:numFmt w:val="lowerLetter"/>
      <w:start w:val="1"/>
    </w:lvl>
  </w:abstractNum>
  <w:abstractNum w:abstractNumId="14">
    <w:nsid w:val="275AC794"/>
    <w:multiLevelType w:val="hybridMultilevel"/>
    <w:lvl w:ilvl="0">
      <w:lvlJc w:val="left"/>
      <w:lvlText w:val="(%1)"/>
      <w:numFmt w:val="lowerLetter"/>
      <w:start w:val="2"/>
    </w:lvl>
  </w:abstractNum>
  <w:abstractNum w:abstractNumId="15">
    <w:nsid w:val="39386575"/>
    <w:multiLevelType w:val="hybridMultilevel"/>
    <w:lvl w:ilvl="0">
      <w:lvlJc w:val="left"/>
      <w:lvlText w:val="(%1)"/>
      <w:numFmt w:val="upperLetter"/>
      <w:start w:val="61"/>
    </w:lvl>
    <w:lvl w:ilvl="1">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lvl w:ilvl="1">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1)"/>
      <w:numFmt w:val="lowerRoman"/>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1)"/>
      <w:numFmt w:val="lowerLetter"/>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lvl w:ilvl="1">
      <w:lvlJc w:val="left"/>
      <w:lvlText w:val="•"/>
      <w:numFmt w:val="bullet"/>
      <w:start w:val="1"/>
    </w:lvl>
  </w:abstractNum>
  <w:abstractNum w:abstractNumId="38">
    <w:nsid w:val="5DB70AE5"/>
    <w:multiLevelType w:val="hybridMultilevel"/>
    <w:lvl w:ilvl="0">
      <w:lvlJc w:val="left"/>
      <w:lvlText w:val="•"/>
      <w:numFmt w:val="bullet"/>
      <w:start w:val="1"/>
    </w:lvl>
    <w:lvl w:ilvl="1">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1."/>
      <w:numFmt w:val="decimal"/>
      <w:start w:val="1"/>
    </w:lvl>
  </w:abstractNum>
  <w:abstractNum w:abstractNumId="44">
    <w:nsid w:val="799D0247"/>
    <w:multiLevelType w:val="hybridMultilevel"/>
    <w:lvl w:ilvl="0">
      <w:lvlJc w:val="left"/>
      <w:lvlText w:val="(%1)"/>
      <w:numFmt w:val="lowerLetter"/>
      <w:start w:val="1"/>
    </w:lvl>
  </w:abstractNum>
  <w:abstractNum w:abstractNumId="45">
    <w:nsid w:val="6B94764"/>
    <w:multiLevelType w:val="hybridMultilevel"/>
    <w:lvl w:ilvl="0">
      <w:lvlJc w:val="left"/>
      <w:lvlText w:val="%1."/>
      <w:numFmt w:val="decimal"/>
      <w:start w:val="5"/>
    </w:lvl>
  </w:abstractNum>
  <w:abstractNum w:abstractNumId="46">
    <w:nsid w:val="42C296BD"/>
    <w:multiLevelType w:val="hybridMultilevel"/>
    <w:lvl w:ilvl="0">
      <w:lvlJc w:val="left"/>
      <w:lvlText w:val="%1."/>
      <w:numFmt w:val="decimal"/>
      <w:start w:val="6"/>
    </w:lvl>
  </w:abstractNum>
  <w:abstractNum w:abstractNumId="47">
    <w:nsid w:val="168E121F"/>
    <w:multiLevelType w:val="hybridMultilevel"/>
    <w:lvl w:ilvl="0">
      <w:lvlJc w:val="left"/>
      <w:lvlText w:val="(%1)"/>
      <w:numFmt w:val="lowerLetter"/>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lvl w:ilvl="1">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lvl w:ilvl="1">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
      <w:numFmt w:val="bullet"/>
      <w:start w:val="1"/>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
      <w:numFmt w:val="bullet"/>
      <w:start w:val="1"/>
    </w:lvl>
  </w:abstractNum>
  <w:abstractNum w:abstractNumId="69">
    <w:nsid w:val="71EA1109"/>
    <w:multiLevelType w:val="hybridMultilevel"/>
    <w:lvl w:ilvl="0">
      <w:lvlJc w:val="left"/>
      <w:lvlText w:val="•"/>
      <w:numFmt w:val="bullet"/>
      <w:start w:val="1"/>
    </w:lvl>
    <w:lvl w:ilvl="1">
      <w:lvlJc w:val="left"/>
      <w:lvlText w:val="•"/>
      <w:numFmt w:val="bullet"/>
      <w:start w:val="1"/>
    </w:lvl>
  </w:abstractNum>
  <w:abstractNum w:abstractNumId="70">
    <w:nsid w:val="100F59DC"/>
    <w:multiLevelType w:val="hybridMultilevel"/>
    <w:lvl w:ilvl="0">
      <w:lvlJc w:val="left"/>
      <w:lvlText w:val="•"/>
      <w:numFmt w:val="bullet"/>
      <w:start w:val="1"/>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
      <w:numFmt w:val="bullet"/>
      <w:start w:val="1"/>
    </w:lvl>
    <w:lvl w:ilvl="1">
      <w:lvlJc w:val="left"/>
      <w:lvlText w:val="•"/>
      <w:numFmt w:val="bullet"/>
      <w:start w:val="1"/>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
      <w:numFmt w:val="bullet"/>
      <w:start w:val="1"/>
    </w:lvl>
  </w:abstractNum>
  <w:abstractNum w:abstractNumId="76">
    <w:nsid w:val="76272110"/>
    <w:multiLevelType w:val="hybridMultilevel"/>
    <w:lvl w:ilvl="0">
      <w:lvlJc w:val="left"/>
      <w:lvlText w:val="•"/>
      <w:numFmt w:val="bullet"/>
      <w:start w:val="1"/>
    </w:lvl>
  </w:abstractNum>
  <w:abstractNum w:abstractNumId="77">
    <w:nsid w:val="4C04A8AF"/>
    <w:multiLevelType w:val="hybridMultilevel"/>
    <w:lvl w:ilvl="0">
      <w:lvlJc w:val="left"/>
      <w:lvlText w:val="•"/>
      <w:numFmt w:val="bullet"/>
      <w:start w:val="1"/>
    </w:lvl>
  </w:abstractNum>
  <w:abstractNum w:abstractNumId="78">
    <w:nsid w:val="1716703B"/>
    <w:multiLevelType w:val="hybridMultilevel"/>
    <w:lvl w:ilvl="0">
      <w:lvlJc w:val="left"/>
      <w:lvlText w:val="•"/>
      <w:numFmt w:val="bullet"/>
      <w:start w:val="1"/>
    </w:lvl>
  </w:abstractNum>
  <w:abstractNum w:abstractNumId="79">
    <w:nsid w:val="14E17E33"/>
    <w:multiLevelType w:val="hybridMultilevel"/>
    <w:lvl w:ilvl="0">
      <w:lvlJc w:val="left"/>
      <w:lvlText w:val="%1."/>
      <w:numFmt w:val="decimal"/>
      <w:start w:val="1"/>
    </w:lvl>
  </w:abstractNum>
  <w:abstractNum w:abstractNumId="80">
    <w:nsid w:val="3222E7CD"/>
    <w:multiLevelType w:val="hybridMultilevel"/>
    <w:lvl w:ilvl="0">
      <w:lvlJc w:val="left"/>
      <w:lvlText w:val="•"/>
      <w:numFmt w:val="bullet"/>
      <w:start w:val="1"/>
    </w:lvl>
  </w:abstractNum>
  <w:abstractNum w:abstractNumId="81">
    <w:nsid w:val="74DE0EE3"/>
    <w:multiLevelType w:val="hybridMultilevel"/>
    <w:lvl w:ilvl="0">
      <w:lvlJc w:val="left"/>
      <w:lvlText w:val="•"/>
      <w:numFmt w:val="bullet"/>
      <w:start w:val="1"/>
    </w:lvl>
  </w:abstractNum>
  <w:abstractNum w:abstractNumId="82">
    <w:nsid w:val="68EBC550"/>
    <w:multiLevelType w:val="hybridMultilevel"/>
    <w:lvl w:ilvl="0">
      <w:lvlJc w:val="left"/>
      <w:lvlText w:val="•"/>
      <w:numFmt w:val="bullet"/>
      <w:start w:val="1"/>
    </w:lvl>
  </w:abstractNum>
  <w:abstractNum w:abstractNumId="83">
    <w:nsid w:val="2DF6D648"/>
    <w:multiLevelType w:val="hybridMultilevel"/>
    <w:lvl w:ilvl="0">
      <w:lvlJc w:val="left"/>
      <w:lvlText w:val="•"/>
      <w:numFmt w:val="bullet"/>
      <w:start w:val="1"/>
    </w:lvl>
  </w:abstractNum>
  <w:abstractNum w:abstractNumId="84">
    <w:nsid w:val="46B7D447"/>
    <w:multiLevelType w:val="hybridMultilevel"/>
    <w:lvl w:ilvl="0">
      <w:lvlJc w:val="left"/>
      <w:lvlText w:val="•"/>
      <w:numFmt w:val="bullet"/>
      <w:start w:val="1"/>
    </w:lvl>
  </w:abstractNum>
  <w:abstractNum w:abstractNumId="85">
    <w:nsid w:val="4A2AC315"/>
    <w:multiLevelType w:val="hybridMultilevel"/>
    <w:lvl w:ilvl="0">
      <w:lvlJc w:val="left"/>
      <w:lvlText w:val="\emdash "/>
      <w:numFmt w:val="bullet"/>
      <w:start w:val="1"/>
    </w:lvl>
  </w:abstractNum>
  <w:abstractNum w:abstractNumId="86">
    <w:nsid w:val="39EE015C"/>
    <w:multiLevelType w:val="hybridMultilevel"/>
    <w:lvl w:ilvl="0">
      <w:lvlJc w:val="left"/>
      <w:lvlText w:val="•"/>
      <w:numFmt w:val="bullet"/>
      <w:start w:val="1"/>
    </w:lvl>
    <w:lvl w:ilvl="1">
      <w:lvlJc w:val="left"/>
      <w:lvlText w:val="•"/>
      <w:numFmt w:val="bullet"/>
      <w:start w:val="1"/>
    </w:lvl>
  </w:abstractNum>
  <w:abstractNum w:abstractNumId="87">
    <w:nsid w:val="57FC4FBB"/>
    <w:multiLevelType w:val="hybridMultilevel"/>
    <w:lvl w:ilvl="0">
      <w:lvlJc w:val="left"/>
      <w:lvlText w:val="(%1)"/>
      <w:numFmt w:val="lowerRoman"/>
      <w:start w:val="2"/>
    </w:lvl>
  </w:abstractNum>
  <w:abstractNum w:abstractNumId="88">
    <w:nsid w:val="CC1016F"/>
    <w:multiLevelType w:val="hybridMultilevel"/>
    <w:lvl w:ilvl="0">
      <w:lvlJc w:val="left"/>
      <w:lvlText w:val="•"/>
      <w:numFmt w:val="bullet"/>
      <w:start w:val="1"/>
    </w:lvl>
  </w:abstractNum>
  <w:abstractNum w:abstractNumId="89">
    <w:nsid w:val="43F18422"/>
    <w:multiLevelType w:val="hybridMultilevel"/>
    <w:lvl w:ilvl="0">
      <w:lvlJc w:val="left"/>
      <w:lvlText w:val="(%1)"/>
      <w:numFmt w:val="lowerRoman"/>
      <w:start w:val="1"/>
    </w:lvl>
  </w:abstractNum>
  <w:abstractNum w:abstractNumId="90">
    <w:nsid w:val="60EF0119"/>
    <w:multiLevelType w:val="hybridMultilevel"/>
    <w:lvl w:ilvl="0">
      <w:lvlJc w:val="left"/>
      <w:lvlText w:val="•"/>
      <w:numFmt w:val="bullet"/>
      <w:start w:val="1"/>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
      <w:numFmt w:val="bullet"/>
      <w:start w:val="1"/>
    </w:lvl>
  </w:abstractNum>
  <w:abstractNum w:abstractNumId="93">
    <w:nsid w:val="49DA307D"/>
    <w:multiLevelType w:val="hybridMultilevel"/>
    <w:lvl w:ilvl="0">
      <w:lvlJc w:val="left"/>
      <w:lvlText w:val="(%1)"/>
      <w:numFmt w:val="decimal"/>
      <w:start w:val="2"/>
    </w:lvl>
  </w:abstractNum>
  <w:abstractNum w:abstractNumId="94">
    <w:nsid w:val="7055A5F5"/>
    <w:multiLevelType w:val="hybridMultilevel"/>
    <w:lvl w:ilvl="0">
      <w:lvlJc w:val="left"/>
      <w:lvlText w:val="(%1)"/>
      <w:numFmt w:val="decimal"/>
      <w:start w:val="4"/>
    </w:lvl>
  </w:abstractNum>
  <w:abstractNum w:abstractNumId="95">
    <w:nsid w:val="5FB8370B"/>
    <w:multiLevelType w:val="hybridMultilevel"/>
    <w:lvl w:ilvl="0">
      <w:lvlJc w:val="left"/>
      <w:lvlText w:val="•"/>
      <w:numFmt w:val="bullet"/>
      <w:start w:val="1"/>
    </w:lvl>
  </w:abstractNum>
  <w:abstractNum w:abstractNumId="96">
    <w:nsid w:val="50801E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2019-12-05T03:04:14Z</dcterms:created>
  <dcterms:modified xsi:type="dcterms:W3CDTF">2019-12-05T03:04:14Z</dcterms:modified>
</cp:coreProperties>
</file>