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June 16, 2009</w:t>
      </w:r>
    </w:p>
    <w:p>
      <w:pPr>
        <w:spacing w:after="0" w:line="17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-10160</wp:posOffset>
            </wp:positionV>
            <wp:extent cx="334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S-3</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REGISTRATION STATEMENT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52-0782497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(I.R.S. Employer Identification No.)</w:t>
      </w:r>
    </w:p>
    <w:p>
      <w:pPr>
        <w:spacing w:after="0" w:line="13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(301) 998-8100</w:t>
      </w: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w:t>
      </w:r>
    </w:p>
    <w:p>
      <w:pPr>
        <w:jc w:val="center"/>
        <w:ind w:right="-39"/>
        <w:spacing w:after="0"/>
        <w:rPr>
          <w:sz w:val="20"/>
          <w:szCs w:val="20"/>
          <w:color w:val="auto"/>
        </w:rPr>
      </w:pPr>
      <w:r>
        <w:rPr>
          <w:rFonts w:ascii="Arial" w:cs="Arial" w:eastAsia="Arial" w:hAnsi="Arial"/>
          <w:sz w:val="14"/>
          <w:szCs w:val="14"/>
          <w:b w:val="1"/>
          <w:bCs w:val="1"/>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Dawn M. Becker, Executive Vice President, General Counsel and Secretary</w:t>
      </w:r>
    </w:p>
    <w:p>
      <w:pPr>
        <w:jc w:val="center"/>
        <w:ind w:right="-39"/>
        <w:spacing w:after="0" w:line="223" w:lineRule="auto"/>
        <w:rPr>
          <w:sz w:val="20"/>
          <w:szCs w:val="20"/>
          <w:color w:val="auto"/>
        </w:rPr>
      </w:pPr>
      <w:r>
        <w:rPr>
          <w:rFonts w:ascii="Arial" w:cs="Arial" w:eastAsia="Arial" w:hAnsi="Arial"/>
          <w:sz w:val="14"/>
          <w:szCs w:val="14"/>
          <w:b w:val="1"/>
          <w:bCs w:val="1"/>
          <w:color w:val="auto"/>
        </w:rPr>
        <w:t>Federal Realty Investment Trust</w:t>
      </w:r>
    </w:p>
    <w:p>
      <w:pPr>
        <w:jc w:val="center"/>
        <w:ind w:right="-39"/>
        <w:spacing w:after="0" w:line="222" w:lineRule="auto"/>
        <w:rPr>
          <w:sz w:val="20"/>
          <w:szCs w:val="20"/>
          <w:color w:val="auto"/>
        </w:rPr>
      </w:pPr>
      <w:r>
        <w:rPr>
          <w:rFonts w:ascii="Arial" w:cs="Arial" w:eastAsia="Arial" w:hAnsi="Arial"/>
          <w:sz w:val="14"/>
          <w:szCs w:val="14"/>
          <w:b w:val="1"/>
          <w:bCs w:val="1"/>
          <w:color w:val="auto"/>
        </w:rPr>
        <w:t>1626 East Jefferson Street</w:t>
      </w:r>
    </w:p>
    <w:p>
      <w:pPr>
        <w:jc w:val="center"/>
        <w:ind w:right="-39"/>
        <w:spacing w:after="0" w:line="221" w:lineRule="auto"/>
        <w:rPr>
          <w:sz w:val="20"/>
          <w:szCs w:val="20"/>
          <w:color w:val="auto"/>
        </w:rPr>
      </w:pPr>
      <w:r>
        <w:rPr>
          <w:rFonts w:ascii="Arial" w:cs="Arial" w:eastAsia="Arial" w:hAnsi="Arial"/>
          <w:sz w:val="14"/>
          <w:szCs w:val="14"/>
          <w:b w:val="1"/>
          <w:bCs w:val="1"/>
          <w:color w:val="auto"/>
        </w:rPr>
        <w:t>Rockville, Maryland 20852</w:t>
      </w:r>
    </w:p>
    <w:p>
      <w:pPr>
        <w:jc w:val="center"/>
        <w:ind w:right="-39"/>
        <w:spacing w:after="0" w:line="222" w:lineRule="auto"/>
        <w:rPr>
          <w:sz w:val="20"/>
          <w:szCs w:val="20"/>
          <w:color w:val="auto"/>
        </w:rPr>
      </w:pPr>
      <w:r>
        <w:rPr>
          <w:rFonts w:ascii="Arial" w:cs="Arial" w:eastAsia="Arial" w:hAnsi="Arial"/>
          <w:sz w:val="14"/>
          <w:szCs w:val="14"/>
          <w:b w:val="1"/>
          <w:bCs w:val="1"/>
          <w:color w:val="auto"/>
        </w:rPr>
        <w:t>Telephone: (301) 998-8100</w:t>
      </w:r>
    </w:p>
    <w:p>
      <w:pPr>
        <w:jc w:val="center"/>
        <w:ind w:right="-39"/>
        <w:spacing w:after="0" w:line="221" w:lineRule="auto"/>
        <w:rPr>
          <w:sz w:val="20"/>
          <w:szCs w:val="20"/>
          <w:color w:val="auto"/>
        </w:rPr>
      </w:pPr>
      <w:r>
        <w:rPr>
          <w:rFonts w:ascii="Arial" w:cs="Arial" w:eastAsia="Arial" w:hAnsi="Arial"/>
          <w:sz w:val="14"/>
          <w:szCs w:val="14"/>
          <w:b w:val="1"/>
          <w:bCs w:val="1"/>
          <w:color w:val="auto"/>
        </w:rPr>
        <w:t>(Name, address, including zip code, and telephone number,</w:t>
      </w:r>
    </w:p>
    <w:p>
      <w:pPr>
        <w:jc w:val="center"/>
        <w:ind w:right="-39"/>
        <w:spacing w:after="0"/>
        <w:rPr>
          <w:sz w:val="20"/>
          <w:szCs w:val="20"/>
          <w:color w:val="auto"/>
        </w:rPr>
      </w:pPr>
      <w:r>
        <w:rPr>
          <w:rFonts w:ascii="Arial" w:cs="Arial" w:eastAsia="Arial" w:hAnsi="Arial"/>
          <w:sz w:val="14"/>
          <w:szCs w:val="14"/>
          <w:b w:val="1"/>
          <w:bCs w:val="1"/>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Copies to:</w:t>
      </w:r>
    </w:p>
    <w:p>
      <w:pPr>
        <w:jc w:val="center"/>
        <w:ind w:right="-39"/>
        <w:spacing w:after="0" w:line="223" w:lineRule="auto"/>
        <w:rPr>
          <w:sz w:val="20"/>
          <w:szCs w:val="20"/>
          <w:color w:val="auto"/>
        </w:rPr>
      </w:pPr>
      <w:r>
        <w:rPr>
          <w:rFonts w:ascii="Arial" w:cs="Arial" w:eastAsia="Arial" w:hAnsi="Arial"/>
          <w:sz w:val="14"/>
          <w:szCs w:val="14"/>
          <w:b w:val="1"/>
          <w:bCs w:val="1"/>
          <w:color w:val="auto"/>
        </w:rPr>
        <w:t>Jeffrey B. Grill, Esq.</w:t>
      </w:r>
    </w:p>
    <w:p>
      <w:pPr>
        <w:jc w:val="center"/>
        <w:ind w:right="-39"/>
        <w:spacing w:after="0" w:line="222" w:lineRule="auto"/>
        <w:rPr>
          <w:sz w:val="20"/>
          <w:szCs w:val="20"/>
          <w:color w:val="auto"/>
        </w:rPr>
      </w:pPr>
      <w:r>
        <w:rPr>
          <w:rFonts w:ascii="Arial" w:cs="Arial" w:eastAsia="Arial" w:hAnsi="Arial"/>
          <w:sz w:val="14"/>
          <w:szCs w:val="14"/>
          <w:b w:val="1"/>
          <w:bCs w:val="1"/>
          <w:color w:val="auto"/>
        </w:rPr>
        <w:t>Eric M. Green, Esq.</w:t>
      </w:r>
    </w:p>
    <w:p>
      <w:pPr>
        <w:jc w:val="center"/>
        <w:ind w:right="-39"/>
        <w:spacing w:after="0" w:line="221" w:lineRule="auto"/>
        <w:rPr>
          <w:sz w:val="20"/>
          <w:szCs w:val="20"/>
          <w:color w:val="auto"/>
        </w:rPr>
      </w:pPr>
      <w:r>
        <w:rPr>
          <w:rFonts w:ascii="Arial" w:cs="Arial" w:eastAsia="Arial" w:hAnsi="Arial"/>
          <w:sz w:val="14"/>
          <w:szCs w:val="14"/>
          <w:b w:val="1"/>
          <w:bCs w:val="1"/>
          <w:color w:val="auto"/>
        </w:rPr>
        <w:t>Pillsbury Winthrop Shaw Pittman LLP</w:t>
      </w:r>
    </w:p>
    <w:p>
      <w:pPr>
        <w:jc w:val="center"/>
        <w:ind w:right="-39"/>
        <w:spacing w:after="0" w:line="222" w:lineRule="auto"/>
        <w:rPr>
          <w:sz w:val="20"/>
          <w:szCs w:val="20"/>
          <w:color w:val="auto"/>
        </w:rPr>
      </w:pPr>
      <w:r>
        <w:rPr>
          <w:rFonts w:ascii="Arial" w:cs="Arial" w:eastAsia="Arial" w:hAnsi="Arial"/>
          <w:sz w:val="14"/>
          <w:szCs w:val="14"/>
          <w:b w:val="1"/>
          <w:bCs w:val="1"/>
          <w:color w:val="auto"/>
        </w:rPr>
        <w:t>2300 N Street, N.W.</w:t>
      </w:r>
    </w:p>
    <w:p>
      <w:pPr>
        <w:jc w:val="center"/>
        <w:ind w:right="-39"/>
        <w:spacing w:after="0" w:line="221" w:lineRule="auto"/>
        <w:rPr>
          <w:sz w:val="20"/>
          <w:szCs w:val="20"/>
          <w:color w:val="auto"/>
        </w:rPr>
      </w:pPr>
      <w:r>
        <w:rPr>
          <w:rFonts w:ascii="Arial" w:cs="Arial" w:eastAsia="Arial" w:hAnsi="Arial"/>
          <w:sz w:val="14"/>
          <w:szCs w:val="14"/>
          <w:b w:val="1"/>
          <w:bCs w:val="1"/>
          <w:color w:val="auto"/>
        </w:rPr>
        <w:t>Washington, D.C. 20037</w:t>
      </w:r>
    </w:p>
    <w:p>
      <w:pPr>
        <w:jc w:val="center"/>
        <w:ind w:right="-39"/>
        <w:spacing w:after="0"/>
        <w:rPr>
          <w:sz w:val="20"/>
          <w:szCs w:val="20"/>
          <w:color w:val="auto"/>
        </w:rPr>
      </w:pPr>
      <w:r>
        <w:rPr>
          <w:rFonts w:ascii="Arial" w:cs="Arial" w:eastAsia="Arial" w:hAnsi="Arial"/>
          <w:sz w:val="14"/>
          <w:szCs w:val="14"/>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560" w:firstLine="456"/>
        <w:spacing w:after="0" w:line="268"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 ]</w:t>
      </w:r>
    </w:p>
    <w:p>
      <w:pPr>
        <w:spacing w:after="0" w:line="132"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85"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2" w:lineRule="exact"/>
        <w:rPr>
          <w:sz w:val="24"/>
          <w:szCs w:val="24"/>
          <w:color w:val="auto"/>
        </w:rPr>
      </w:pPr>
    </w:p>
    <w:p>
      <w:pPr>
        <w:ind w:right="480" w:firstLine="456"/>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32"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132"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32" w:lineRule="exact"/>
        <w:rPr>
          <w:sz w:val="24"/>
          <w:szCs w:val="24"/>
          <w:color w:val="auto"/>
        </w:rPr>
      </w:pPr>
    </w:p>
    <w:p>
      <w:pPr>
        <w:ind w:right="18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230" w:right="279" w:bottom="0" w:gutter="0" w:footer="0" w:header="0"/>
        </w:sectPr>
      </w:pPr>
    </w:p>
    <w:p>
      <w:pPr>
        <w:spacing w:after="0" w:line="12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Large accelerated filer [X]</w:t>
      </w:r>
    </w:p>
    <w:p>
      <w:pPr>
        <w:spacing w:after="0" w:line="3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ectPr>
          <w:pgSz w:w="11900" w:h="16838" w:orient="portrait"/>
          <w:cols w:equalWidth="0" w:num="3">
            <w:col w:w="5320" w:space="720"/>
            <w:col w:w="1920" w:space="80"/>
            <w:col w:w="3340"/>
          </w:cols>
          <w:pgMar w:left="240" w:top="230" w:right="279" w:bottom="0" w:gutter="0" w:footer="0" w:header="0"/>
          <w:type w:val="continuous"/>
        </w:sectPr>
      </w:pPr>
    </w:p>
    <w:p>
      <w:pPr>
        <w:ind w:left="46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230" w:right="279" w:bottom="0" w:gutter="0" w:footer="0" w:header="0"/>
          <w:type w:val="continuous"/>
        </w:sectPr>
      </w:pP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61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380"/>
          </w:cols>
          <w:pgMar w:left="240" w:top="230"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3"/>
              </w:rPr>
              <w:t>Proposed</w:t>
            </w:r>
          </w:p>
        </w:tc>
        <w:tc>
          <w:tcPr>
            <w:tcW w:w="160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3"/>
              </w:rPr>
              <w:t>Proposed</w:t>
            </w:r>
          </w:p>
        </w:tc>
        <w:tc>
          <w:tcPr>
            <w:tcW w:w="1560" w:type="dxa"/>
            <w:vAlign w:val="bottom"/>
          </w:tcPr>
          <w:p>
            <w:pPr>
              <w:jc w:val="center"/>
              <w:ind w:left="26"/>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 Registered(2)</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7"/>
              </w:rPr>
              <w:t>Registration Fee</w:t>
            </w: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2"/>
              </w:rPr>
              <w:t>Registered</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Per Unit</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spacing w:after="0"/>
              <w:rPr>
                <w:sz w:val="15"/>
                <w:szCs w:val="15"/>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Preferred Shares, $0.01 par value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Depositary Shares(3)</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90"/>
              </w:rPr>
              <w:t>(1)</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90"/>
              </w:rPr>
              <w:t>(1)</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8"/>
                <w:szCs w:val="18"/>
                <w:color w:val="auto"/>
                <w:w w:val="90"/>
              </w:rPr>
              <w:t>(1)</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90"/>
              </w:rPr>
              <w:t>(1)</w:t>
            </w: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Shares, $0.01 par value(4)</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ind w:left="460" w:right="540" w:hanging="452"/>
        <w:spacing w:after="0" w:line="303"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the registrant is deferring payment of the entire registration fee.</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securities registered hereunder may be sold separately, together or as units with other offered securities registered hereunder.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118110</wp:posOffset>
            </wp:positionV>
            <wp:extent cx="2143760" cy="81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or REIT,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w:t>
      </w:r>
      <w:hyperlink w:anchor="page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16, 2009.</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0" w:type="dxa"/>
            <w:vAlign w:val="bottom"/>
            <w:gridSpan w:val="2"/>
          </w:tcPr>
          <w:p>
            <w:pPr>
              <w:ind w:left="16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2"/>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640" w:type="dxa"/>
            <w:vAlign w:val="bottom"/>
            <w:tcBorders>
              <w:top w:val="single" w:sz="8" w:color="0000EE"/>
            </w:tcBorders>
            <w:gridSpan w:val="4"/>
          </w:tcPr>
          <w:p>
            <w:pPr>
              <w:spacing w:after="0"/>
              <w:rPr>
                <w:sz w:val="17"/>
                <w:szCs w:val="17"/>
                <w:color w:val="auto"/>
              </w:rPr>
            </w:pPr>
          </w:p>
        </w:tc>
        <w:tc>
          <w:tcPr>
            <w:tcW w:w="96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Description of Shares of Beneficial Interest</w:t>
              </w:r>
            </w:hyperlink>
          </w:p>
        </w:tc>
        <w:tc>
          <w:tcPr>
            <w:tcW w:w="80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Material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Plan of Distribution</w:t>
              </w:r>
            </w:hyperlink>
          </w:p>
        </w:tc>
        <w:tc>
          <w:tcPr>
            <w:tcW w:w="800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2008,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an equity real estate investment trust specializing in the ownership, management and redevelopment of high-quality retail and mixed-use properties located primarily in densely populated and affluent communities in strategically selected metropolitan markets in the Northeast and Mid-Atlantic regions of the United States, as well as in California. As of March 31, 2009, we owned or had a majority interest in community and neighborhood shopping centers and mixed-use projects which are operated as 84 predominantly retail real estate properties comprising approximately 18.1 million square feet.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operate in a manner intended to enable us to qualify as a REIT pursuant to provisions of the Internal Revenue Code of 1986, as amended, or the Code.</w:t>
      </w:r>
    </w:p>
    <w:p>
      <w:pPr>
        <w:spacing w:after="0" w:line="20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Our telephone number is</w:t>
      </w:r>
    </w:p>
    <w:p>
      <w:pPr>
        <w:ind w:right="60" w:firstLine="8"/>
        <w:spacing w:after="0" w:line="323" w:lineRule="auto"/>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and is not incorporated herein by reference.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17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240" w:type="dxa"/>
            <w:vAlign w:val="bottom"/>
            <w:gridSpan w:val="13"/>
          </w:tcPr>
          <w:p>
            <w:pPr>
              <w:ind w:left="100"/>
              <w:spacing w:after="0"/>
              <w:rPr>
                <w:sz w:val="20"/>
                <w:szCs w:val="20"/>
                <w:color w:val="auto"/>
              </w:rPr>
            </w:pPr>
            <w:r>
              <w:rPr>
                <w:rFonts w:ascii="Arial" w:cs="Arial" w:eastAsia="Arial" w:hAnsi="Arial"/>
                <w:sz w:val="14"/>
                <w:szCs w:val="14"/>
                <w:b w:val="1"/>
                <w:bCs w:val="1"/>
                <w:color w:val="auto"/>
                <w:w w:val="91"/>
              </w:rPr>
              <w:t>For the Years Ended December 31,</w:t>
            </w: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5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noncontrolling interests plus distributed income of equity investees and fixed charges (excluding capitalized interest) less noncontrolling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noncontrolling interests plus distributed income of equity investees and fixed charges (excluding capitalized interest) less noncontrolling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21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21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7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14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211"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172"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211"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172"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180" w:lineRule="exact"/>
        <w:rPr>
          <w:rFonts w:ascii="Arial" w:cs="Arial" w:eastAsia="Arial" w:hAnsi="Arial"/>
          <w:sz w:val="18"/>
          <w:szCs w:val="18"/>
          <w:color w:val="auto"/>
        </w:rPr>
      </w:pPr>
    </w:p>
    <w:p>
      <w:pPr>
        <w:ind w:left="900" w:right="20" w:hanging="446"/>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211"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the offered debt securities may elect to receive payments in respect of the offered debt securities in a currency or currency unit other than that in which the offered debt securities are stated to be payable.</w:t>
      </w:r>
    </w:p>
    <w:p>
      <w:pPr>
        <w:spacing w:after="0" w:line="186" w:lineRule="exact"/>
        <w:rPr>
          <w:sz w:val="20"/>
          <w:szCs w:val="20"/>
          <w:color w:val="auto"/>
        </w:rPr>
      </w:pPr>
    </w:p>
    <w:p>
      <w:pPr>
        <w:ind w:left="900" w:right="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211"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211"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211"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1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certain certificates or other documents or satisfaction of other conditions in addition to those specified in the applicable indenture, the form of those certificates, documents or conditions.</w:t>
      </w:r>
    </w:p>
    <w:p>
      <w:pPr>
        <w:spacing w:after="0" w:line="180" w:lineRule="exact"/>
        <w:rPr>
          <w:rFonts w:ascii="Arial" w:cs="Arial" w:eastAsia="Arial" w:hAnsi="Arial"/>
          <w:sz w:val="18"/>
          <w:szCs w:val="18"/>
          <w:color w:val="auto"/>
        </w:rPr>
      </w:pPr>
    </w:p>
    <w:p>
      <w:pPr>
        <w:ind w:left="900" w:right="56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the manner in which, or the person to whom, any interest on any bearer securities of the series will be payable.</w:t>
      </w:r>
    </w:p>
    <w:p>
      <w:pPr>
        <w:spacing w:after="0" w:line="125"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125"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172"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147"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211"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77" w:lineRule="exact"/>
        <w:rPr>
          <w:sz w:val="20"/>
          <w:szCs w:val="20"/>
          <w:color w:val="auto"/>
        </w:rPr>
      </w:pPr>
    </w:p>
    <w:p>
      <w:pPr>
        <w:ind w:left="460"/>
        <w:spacing w:after="0"/>
        <w:tabs>
          <w:tab w:leader="none" w:pos="262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212" w:lineRule="exact"/>
        <w:rPr>
          <w:sz w:val="20"/>
          <w:szCs w:val="20"/>
          <w:color w:val="auto"/>
        </w:rPr>
      </w:pPr>
    </w:p>
    <w:p>
      <w:pPr>
        <w:ind w:left="900" w:right="6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72"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8"/>
          <w:szCs w:val="18"/>
          <w:b w:val="1"/>
          <w:bCs w:val="1"/>
          <w:i w:val="1"/>
          <w:iCs w:val="1"/>
          <w:color w:val="auto"/>
        </w:rPr>
        <w:t>Denominations.</w:t>
      </w:r>
      <w:r>
        <w:rPr>
          <w:sz w:val="20"/>
          <w:szCs w:val="20"/>
          <w:color w:val="auto"/>
        </w:rPr>
        <w:tab/>
      </w:r>
      <w:r>
        <w:rPr>
          <w:rFonts w:ascii="Arial" w:cs="Arial" w:eastAsia="Arial" w:hAnsi="Arial"/>
          <w:sz w:val="15"/>
          <w:szCs w:val="15"/>
          <w:color w:val="auto"/>
        </w:rPr>
        <w:t>Unless we say otherwise in a prospectus supplement, we will issue debt securities in denominations of:</w:t>
      </w:r>
    </w:p>
    <w:p>
      <w:pPr>
        <w:spacing w:after="0" w:line="21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tabs>
          <w:tab w:leader="none" w:pos="384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21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8"/>
          <w:szCs w:val="18"/>
          <w:b w:val="1"/>
          <w:bCs w:val="1"/>
          <w:i w:val="1"/>
          <w:iCs w:val="1"/>
          <w:color w:val="auto"/>
        </w:rPr>
        <w:t>Payment, Transfer and Exchange.</w:t>
      </w:r>
      <w:r>
        <w:rPr>
          <w:sz w:val="20"/>
          <w:szCs w:val="20"/>
          <w:color w:val="auto"/>
        </w:rPr>
        <w:tab/>
      </w:r>
      <w:r>
        <w:rPr>
          <w:rFonts w:ascii="Arial" w:cs="Arial" w:eastAsia="Arial" w:hAnsi="Arial"/>
          <w:sz w:val="15"/>
          <w:szCs w:val="15"/>
          <w:color w:val="auto"/>
        </w:rPr>
        <w:t>Unless we say otherwise in a prospectus supplement, the office for paying principal, interest and other amounts on</w:t>
      </w:r>
    </w:p>
    <w:p>
      <w:pPr>
        <w:spacing w:after="0" w:line="23"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the debt securities is U.S. Bank National Association, 214 North Tryon Street, 27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224"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212"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32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21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26" w:lineRule="exact"/>
        <w:rPr>
          <w:sz w:val="20"/>
          <w:szCs w:val="20"/>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18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72"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1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either</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211" w:lineRule="exact"/>
        <w:rPr>
          <w:rFonts w:ascii="Arial" w:cs="Arial" w:eastAsia="Arial" w:hAnsi="Arial"/>
          <w:sz w:val="18"/>
          <w:szCs w:val="18"/>
          <w:color w:val="auto"/>
        </w:rPr>
      </w:pPr>
    </w:p>
    <w:p>
      <w:pPr>
        <w:ind w:left="1460" w:right="320" w:hanging="547"/>
        <w:spacing w:after="0" w:line="259"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8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172"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103"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obligations as lessee under leases of property whether made as part of any sale and leaseback transaction to which we are a party or otherwise;</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25"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172" w:lineRule="exact"/>
        <w:rPr>
          <w:rFonts w:ascii="Arial" w:cs="Arial" w:eastAsia="Arial" w:hAnsi="Arial"/>
          <w:sz w:val="18"/>
          <w:szCs w:val="18"/>
          <w:color w:val="auto"/>
        </w:rPr>
      </w:pPr>
    </w:p>
    <w:p>
      <w:pPr>
        <w:jc w:val="both"/>
        <w:ind w:left="1460" w:right="40" w:hanging="547"/>
        <w:spacing w:after="0" w:line="306" w:lineRule="auto"/>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147" w:lineRule="exact"/>
        <w:rPr>
          <w:rFonts w:ascii="Arial" w:cs="Arial" w:eastAsia="Arial" w:hAnsi="Arial"/>
          <w:sz w:val="16"/>
          <w:szCs w:val="16"/>
          <w:color w:val="auto"/>
        </w:rPr>
      </w:pPr>
    </w:p>
    <w:p>
      <w:pPr>
        <w:ind w:left="1460" w:right="300" w:hanging="547"/>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17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211" w:lineRule="exact"/>
        <w:rPr>
          <w:rFonts w:ascii="Arial" w:cs="Arial" w:eastAsia="Arial" w:hAnsi="Arial"/>
          <w:sz w:val="18"/>
          <w:szCs w:val="18"/>
          <w:color w:val="auto"/>
        </w:rPr>
      </w:pPr>
    </w:p>
    <w:p>
      <w:pPr>
        <w:ind w:left="5620" w:right="4780" w:hanging="5166"/>
        <w:spacing w:after="0" w:line="525" w:lineRule="auto"/>
        <w:tabs>
          <w:tab w:leader="none" w:pos="89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purchase, redeem, defease, or otherwise acquire any subordinated debt securities. 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235"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17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18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234" w:lineRule="exact"/>
        <w:rPr>
          <w:rFonts w:ascii="Arial" w:cs="Arial" w:eastAsia="Arial" w:hAnsi="Arial"/>
          <w:sz w:val="16"/>
          <w:szCs w:val="16"/>
          <w:color w:val="auto"/>
        </w:rPr>
      </w:pPr>
    </w:p>
    <w:p>
      <w:pPr>
        <w:ind w:left="900" w:right="4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77"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32" w:lineRule="exact"/>
        <w:rPr>
          <w:sz w:val="20"/>
          <w:szCs w:val="20"/>
          <w:color w:val="auto"/>
        </w:rPr>
      </w:pPr>
    </w:p>
    <w:p>
      <w:pPr>
        <w:ind w:left="460" w:right="20" w:firstLine="443"/>
        <w:spacing w:after="0" w:line="268" w:lineRule="auto"/>
        <w:tabs>
          <w:tab w:leader="none" w:pos="11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68" w:lineRule="auto"/>
        <w:tabs>
          <w:tab w:leader="none" w:pos="1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31" w:lineRule="exact"/>
        <w:rPr>
          <w:rFonts w:ascii="Arial" w:cs="Arial" w:eastAsia="Arial" w:hAnsi="Arial"/>
          <w:sz w:val="18"/>
          <w:szCs w:val="18"/>
          <w:color w:val="auto"/>
        </w:rPr>
      </w:pPr>
    </w:p>
    <w:p>
      <w:pPr>
        <w:ind w:left="1200" w:hanging="297"/>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71"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40" w:lineRule="exact"/>
        <w:rPr>
          <w:rFonts w:ascii="Arial" w:cs="Arial" w:eastAsia="Arial" w:hAnsi="Arial"/>
          <w:sz w:val="18"/>
          <w:szCs w:val="18"/>
          <w:color w:val="auto"/>
        </w:rPr>
      </w:pPr>
    </w:p>
    <w:p>
      <w:pPr>
        <w:ind w:left="1720" w:hanging="379"/>
        <w:spacing w:after="0"/>
        <w:tabs>
          <w:tab w:leader="none" w:pos="1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94"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200" w:hanging="297"/>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94" w:lineRule="exact"/>
        <w:rPr>
          <w:rFonts w:ascii="Arial" w:cs="Arial" w:eastAsia="Arial" w:hAnsi="Arial"/>
          <w:sz w:val="16"/>
          <w:szCs w:val="16"/>
          <w:color w:val="auto"/>
        </w:rPr>
      </w:pPr>
    </w:p>
    <w:p>
      <w:pPr>
        <w:ind w:left="1720" w:hanging="379"/>
        <w:spacing w:after="0"/>
        <w:tabs>
          <w:tab w:leader="none" w:pos="17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71" w:lineRule="exact"/>
        <w:rPr>
          <w:sz w:val="20"/>
          <w:szCs w:val="20"/>
          <w:color w:val="auto"/>
        </w:rPr>
      </w:pPr>
    </w:p>
    <w:p>
      <w:pPr>
        <w:ind w:left="1200" w:hanging="297"/>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171" w:lineRule="exact"/>
        <w:rPr>
          <w:rFonts w:ascii="Arial" w:cs="Arial" w:eastAsia="Arial" w:hAnsi="Arial"/>
          <w:sz w:val="18"/>
          <w:szCs w:val="18"/>
          <w:color w:val="auto"/>
        </w:rPr>
      </w:pPr>
    </w:p>
    <w:p>
      <w:pPr>
        <w:ind w:left="1720" w:hanging="379"/>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71" w:lineRule="exact"/>
        <w:rPr>
          <w:rFonts w:ascii="Arial" w:cs="Arial" w:eastAsia="Arial" w:hAnsi="Arial"/>
          <w:sz w:val="18"/>
          <w:szCs w:val="18"/>
          <w:color w:val="auto"/>
        </w:rPr>
      </w:pPr>
    </w:p>
    <w:p>
      <w:pPr>
        <w:ind w:left="920" w:right="740" w:firstLine="421"/>
        <w:spacing w:after="0" w:line="268"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31" w:lineRule="exact"/>
        <w:rPr>
          <w:rFonts w:ascii="Arial" w:cs="Arial" w:eastAsia="Arial" w:hAnsi="Arial"/>
          <w:sz w:val="18"/>
          <w:szCs w:val="18"/>
          <w:color w:val="auto"/>
        </w:rPr>
      </w:pPr>
    </w:p>
    <w:p>
      <w:pPr>
        <w:ind w:left="920" w:right="480" w:firstLine="421"/>
        <w:spacing w:after="0" w:line="268" w:lineRule="auto"/>
        <w:tabs>
          <w:tab w:leader="none" w:pos="17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131" w:lineRule="exact"/>
        <w:rPr>
          <w:rFonts w:ascii="Arial" w:cs="Arial" w:eastAsia="Arial" w:hAnsi="Arial"/>
          <w:sz w:val="18"/>
          <w:szCs w:val="18"/>
          <w:color w:val="auto"/>
        </w:rPr>
      </w:pPr>
    </w:p>
    <w:p>
      <w:pPr>
        <w:ind w:left="1720" w:hanging="379"/>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tabs>
          <w:tab w:leader="none" w:pos="11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5"/>
          <w:szCs w:val="15"/>
          <w:color w:val="auto"/>
        </w:rPr>
        <w:t>Any other event of default provided with respect to the debt securities of that series.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172"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147"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234"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234"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172"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181" w:lineRule="exact"/>
        <w:rPr>
          <w:sz w:val="20"/>
          <w:szCs w:val="20"/>
          <w:color w:val="auto"/>
        </w:rPr>
      </w:pPr>
    </w:p>
    <w:p>
      <w:pPr>
        <w:ind w:left="900" w:right="24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172"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05"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57"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21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since the date of execution of the indenture, there has been a change in the applicable federal income tax law,</w:t>
      </w:r>
    </w:p>
    <w:p>
      <w:pPr>
        <w:spacing w:after="0" w:line="211" w:lineRule="exact"/>
        <w:rPr>
          <w:rFonts w:ascii="Arial" w:cs="Arial" w:eastAsia="Arial" w:hAnsi="Arial"/>
          <w:sz w:val="18"/>
          <w:szCs w:val="18"/>
          <w:color w:val="auto"/>
        </w:rPr>
      </w:pPr>
    </w:p>
    <w:p>
      <w:pPr>
        <w:ind w:left="920" w:right="60"/>
        <w:spacing w:after="0" w:line="259" w:lineRule="auto"/>
        <w:rPr>
          <w:rFonts w:ascii="Arial" w:cs="Arial" w:eastAsia="Arial" w:hAnsi="Arial"/>
          <w:sz w:val="18"/>
          <w:szCs w:val="18"/>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0"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8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172"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172"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17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211"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172"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7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18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172" w:lineRule="exact"/>
        <w:rPr>
          <w:sz w:val="20"/>
          <w:szCs w:val="20"/>
          <w:color w:val="auto"/>
        </w:rPr>
      </w:pPr>
    </w:p>
    <w:p>
      <w:pPr>
        <w:ind w:left="900" w:right="3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211"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18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211"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72" w:lineRule="exact"/>
        <w:rPr>
          <w:rFonts w:ascii="Arial" w:cs="Arial" w:eastAsia="Arial" w:hAnsi="Arial"/>
          <w:sz w:val="18"/>
          <w:szCs w:val="18"/>
          <w:color w:val="auto"/>
        </w:rPr>
      </w:pPr>
    </w:p>
    <w:p>
      <w:pPr>
        <w:ind w:left="900" w:right="220" w:hanging="446"/>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18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156"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211"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our shareholder rights plan.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shareholder rights plan and the articles supplementary with respect to our Series 1 preferred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77" w:lineRule="exact"/>
        <w:rPr>
          <w:sz w:val="20"/>
          <w:szCs w:val="20"/>
          <w:color w:val="auto"/>
        </w:rPr>
      </w:pPr>
    </w:p>
    <w:p>
      <w:pPr>
        <w:jc w:val="both"/>
        <w:ind w:right="34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June 11, 2009, we had issued and outstanding 59,156,354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172" w:lineRule="exact"/>
        <w:rPr>
          <w:sz w:val="20"/>
          <w:szCs w:val="20"/>
          <w:color w:val="auto"/>
        </w:rPr>
      </w:pPr>
    </w:p>
    <w:p>
      <w:pPr>
        <w:ind w:left="900" w:right="5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21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83"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183"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47"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tabs>
          <w:tab w:leader="none" w:pos="238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71" w:lineRule="exact"/>
        <w:rPr>
          <w:sz w:val="20"/>
          <w:szCs w:val="20"/>
          <w:color w:val="auto"/>
        </w:rPr>
      </w:pPr>
    </w:p>
    <w:p>
      <w:pPr>
        <w:ind w:left="460"/>
        <w:spacing w:after="0"/>
        <w:tabs>
          <w:tab w:leader="none" w:pos="278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Voting Rights.</w:t>
      </w:r>
      <w:r>
        <w:rPr>
          <w:sz w:val="20"/>
          <w:szCs w:val="20"/>
          <w:color w:val="auto"/>
        </w:rPr>
        <w:tab/>
      </w:r>
      <w:r>
        <w:rPr>
          <w:rFonts w:ascii="Arial" w:cs="Arial" w:eastAsia="Arial" w:hAnsi="Arial"/>
          <w:sz w:val="15"/>
          <w:szCs w:val="15"/>
          <w:color w:val="auto"/>
        </w:rPr>
        <w:t>The Series 1 preferred shares shall have no voting rights.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Conversion Rights. </w:t>
      </w:r>
      <w:r>
        <w:rPr>
          <w:rFonts w:ascii="Arial" w:cs="Arial" w:eastAsia="Arial" w:hAnsi="Arial"/>
          <w:sz w:val="16"/>
          <w:szCs w:val="16"/>
          <w:color w:val="auto"/>
        </w:rPr>
        <w:t>Subject to other applicable provisions within the articles supplementary for the Series 1 preferred shares, from the date of issuance,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21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246" w:lineRule="exact"/>
        <w:rPr>
          <w:rFonts w:ascii="Arial" w:cs="Arial" w:eastAsia="Arial" w:hAnsi="Arial"/>
          <w:sz w:val="15"/>
          <w:szCs w:val="15"/>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172"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211"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172"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Unless otherwise indicated in the applicable supplement, holders of preferred shares we issue in the future will not have any voting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may be required by applicable law or any applicable rules and regulations of the New York Stock Exchange.</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17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129"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211"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receipts shall have the right to inspect the transfer books of the depositary and the list of holders of depositary receipts as provided in the applicable deposit agreement or as required by law.</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72" w:lineRule="exact"/>
        <w:rPr>
          <w:sz w:val="20"/>
          <w:szCs w:val="20"/>
          <w:color w:val="auto"/>
        </w:rPr>
      </w:pPr>
    </w:p>
    <w:p>
      <w:pPr>
        <w:ind w:left="900" w:right="60" w:hanging="446"/>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147"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172"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212"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211"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jc w:val="both"/>
        <w:ind w:right="100" w:firstLine="456"/>
        <w:spacing w:after="0" w:line="310"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4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211"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72"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21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07"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211"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17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211" w:lineRule="exact"/>
        <w:rPr>
          <w:rFonts w:ascii="Arial" w:cs="Arial" w:eastAsia="Arial" w:hAnsi="Arial"/>
          <w:sz w:val="18"/>
          <w:szCs w:val="18"/>
          <w:color w:val="auto"/>
        </w:rPr>
      </w:pPr>
    </w:p>
    <w:p>
      <w:pPr>
        <w:ind w:left="1460" w:hanging="547"/>
        <w:spacing w:after="0"/>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26"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17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right="40" w:firstLine="456"/>
        <w:spacing w:after="0" w:line="311" w:lineRule="auto"/>
        <w:rPr>
          <w:sz w:val="20"/>
          <w:szCs w:val="20"/>
          <w:color w:val="auto"/>
        </w:rPr>
      </w:pPr>
      <w:r>
        <w:rPr>
          <w:rFonts w:ascii="Arial" w:cs="Arial" w:eastAsia="Arial" w:hAnsi="Arial"/>
          <w:sz w:val="15"/>
          <w:szCs w:val="15"/>
          <w:b w:val="1"/>
          <w:bCs w:val="1"/>
          <w:i w:val="1"/>
          <w:iCs w:val="1"/>
          <w:color w:val="auto"/>
        </w:rPr>
        <w:t>Rights Plan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April 13, 1989, we adopted a shareholder rights plan and declared a dividend distribution of one right for each outstanding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 to shareholders of record at the close of business on April 24, 1989, with such rights to expire on April 24, 1999. On March 11, 1999, the expiration date of the rights plan was extended ten years and certain other amendments to the terms of the rights plan were adopted. On November 23, 2003, the rights plan was modified to increase the triggering ownership threshold to 20% and to add a provision commonly called a “TIDE” provision requiring that the independent trustees of the Board of Trustees review the rights under the rights plan every three years. On March 16, 2009, the rights plan was further amended to extend the expiration date for an additional three years and to add a provision commonly called a “qualified offer” provision, which is explained below. Except as set forth below, each right, as amended, when exercisable, entitles the registered holder to purchase from us a number of common shares (or fractional shares) having a then-current market value of two times the purchase price, initially equal to $65.00 per share, subject to adjustment upon the occurrence of specified events.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distribution date, which shall be the earlier to occur of:</w:t>
      </w:r>
    </w:p>
    <w:p>
      <w:pPr>
        <w:spacing w:after="0" w:line="212" w:lineRule="exact"/>
        <w:rPr>
          <w:sz w:val="20"/>
          <w:szCs w:val="20"/>
          <w:color w:val="auto"/>
        </w:rPr>
      </w:pPr>
    </w:p>
    <w:p>
      <w:pPr>
        <w:ind w:left="900" w:right="8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public announcement that, without the prior consent of the Board of Trustees, a person or group of affiliated or associated persons has acquired, or obtained the right to acquire, beneficial ownership of 20% or more of our common shares (without regard to the ownership limits contained within our declaration of trust); or</w:t>
      </w:r>
    </w:p>
    <w:p>
      <w:pPr>
        <w:spacing w:after="0" w:line="18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ten days following the commencement of (or a public announcement of an intention to make) a tender offer or exchange offer that would result in the beneficial ownership by a person or group of affiliated or associated persons of 20% or more of our common shares.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as soon as practicable to holders of record of our common shares as of the close of business on the distribution date, and the separate rights certificates alone will evidence the rights.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212"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April 24, 2012;</w:t>
      </w:r>
    </w:p>
    <w:p>
      <w:pPr>
        <w:spacing w:after="0" w:line="211"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(or, in the event there is more than one acquiring company, the acquiring company receiving the greatest portion of the assets or earning power transferred), which at the time of such transaction would have a market value equal to two times the then-current purchase price of the right.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which redemption shall be effective upon the authorization of the Board of Trustees.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20% or more of our common shares.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5"/>
          <w:szCs w:val="15"/>
          <w:color w:val="auto"/>
        </w:rPr>
        <w:t>In the event we receive a qualified offer and we do not redeem the rights, within 90 days thereafter, then, upon request from holders (other than the offeror and its affiliates or associates or any officer or trustee of ours) of at least 10% of the outstanding common shares for the calling of a special meeting, we will hold a special meeting within 60 days after receipt of such a request. If, at such meeting, holders of more than 50% of the outstanding common shares (other than shares of the offeror or its affiliates or associates or any officer or trustee of ours) vote for redemption of the rights, then we will thereafter redeem the rights (or</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take similar action) as promptly as practicable. If such a meeting is not held on or prior to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after a qualifying request is received (which period shall be extended if we are exercising reasonable efforts to hold such a meeting and have been prevented by circumstances reasonably beyond our control), we shall promptly thereafter redeem the rights (or take similar action). However, we are not required to hold such a meeting unless the qualified offer at issue has an expiration date which is at least 10 business days after such meeting, and any obligations of us to hold such a meeting or to redeem the rights in connection therewith are null and void in the event any person, entity or group acquires, or obtains the right to acquire, beneficial ownership of 20% or more of our common shares.</w:t>
      </w:r>
    </w:p>
    <w:p>
      <w:pPr>
        <w:spacing w:after="0" w:line="18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 qualified offer shall mean a tender offer which, among other things, (a) is an all-cash offer for all common shares at a price per share which is at least the higher of (x) $97; or (y) an amount equal to 25% higher than the higher of (1) the average closing price of the common shares over the period of 30 trading days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immediately preceding commencement of the offer or (2) the average closing price of the common shares over the period of five trading days immediately preceding commencement of the offer, (b) includes a firm financing commitment which, when added to the offeror’s cash, will be sufficient, (c) has a non-waivable condition that the offeror must own, after consummating the offer, at least 50% of the common shares then outstanding (other than common shares already held by such offeror and its affiliates or associates or any trustee or officer of ours), (d) stays open for at least 60 business days (extended for any increase in price) and (e) commits the offeror to buy all other common shares at the same price paid pursuant to the offer.</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any event, upon the effective date of the redemption of the rights, the right to exercise the rights will terminate and the only right of the holders of rights will be to receive the price of $0.01 per right.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179" w:lineRule="exact"/>
        <w:rPr>
          <w:sz w:val="20"/>
          <w:szCs w:val="20"/>
          <w:color w:val="auto"/>
        </w:rPr>
      </w:pPr>
    </w:p>
    <w:p>
      <w:pPr>
        <w:ind w:left="900" w:right="1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72"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b w:val="1"/>
          <w:bCs w:val="1"/>
          <w:i w:val="1"/>
          <w:iCs w:val="1"/>
          <w:color w:val="auto"/>
        </w:rPr>
        <w:t>Advance Notice for Shareholder Nominations and Shareholder New Business Proposals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bylaws require advance written notice for shareholders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nominate a trustee or bring other business before a meeting of shareholders. For an annual meeting, to nominate a trustee or bring other business before a meeting</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special meeting, to nominate a trustee, a shareholder must deliver notice to our Secretary not earlier that the close of business on the 120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day prior to</w:t>
      </w:r>
    </w:p>
    <w:p>
      <w:pPr>
        <w:spacing w:after="0" w:line="2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8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i w:val="1"/>
          <w:iCs w:val="1"/>
          <w:color w:val="auto"/>
        </w:rPr>
        <w:t>Limitation of Liability of Trustees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183"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211"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ownership and disposition of our common, preferred, and depositary shares. If we offer one or more additional series of common shares or preferred shares, debt securities, depositary shares, warrants to purchase debt or equity securities, or rights to purchase our common shares, the prospectus supplement would include information about certain additional material U.S. federal income tax considerations to holders of any of the offered securities.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2008;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qualification tests. For a discussion of the tax treatment of us and our shareholders if we fail to qualify as a REIT, see “— Requirements for REIT Qualification — Failure to Qualify.”</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181" w:lineRule="exact"/>
        <w:rPr>
          <w:sz w:val="20"/>
          <w:szCs w:val="20"/>
          <w:color w:val="auto"/>
        </w:rPr>
      </w:pPr>
    </w:p>
    <w:p>
      <w:pPr>
        <w:ind w:left="900" w:right="5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234"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184"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3"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8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18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11"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1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11"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72"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72"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w:t>
      </w:r>
    </w:p>
    <w:p>
      <w:pPr>
        <w:spacing w:after="0" w:line="110"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218" w:lineRule="exact"/>
        <w:rPr>
          <w:sz w:val="20"/>
          <w:szCs w:val="20"/>
          <w:color w:val="auto"/>
        </w:rPr>
      </w:pPr>
    </w:p>
    <w:p>
      <w:pPr>
        <w:ind w:left="900" w:right="40" w:hanging="446"/>
        <w:spacing w:after="0" w:line="291"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certain real estate liability hedges and, after July 30, 2008,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160"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certain real estate liability hedges and, after July 30, 2008,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65"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w:t>
      </w:r>
    </w:p>
    <w:p>
      <w:pPr>
        <w:spacing w:after="0" w:line="179" w:lineRule="exact"/>
        <w:rPr>
          <w:sz w:val="20"/>
          <w:szCs w:val="20"/>
          <w:color w:val="auto"/>
        </w:rPr>
      </w:pPr>
    </w:p>
    <w:p>
      <w:pPr>
        <w:ind w:left="900" w:hanging="446"/>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Although, generally, rent may be based on a fixed percentage or percentages of receipts or sales, if the rent is based, in whole or in part, on the income or profits of any person, the rent will not qualify as “rents from real property.” We have not entered into any lease based in whole or part on the net income of any person and do not anticipate entering into such arrangements unless, in either instance, we determine or have determined in our discretion that such arrangements will not jeopardize our status as a REIT;</w:t>
      </w:r>
    </w:p>
    <w:p>
      <w:pPr>
        <w:spacing w:after="0" w:line="183"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172" w:lineRule="exact"/>
        <w:rPr>
          <w:sz w:val="20"/>
          <w:szCs w:val="20"/>
          <w:color w:val="auto"/>
        </w:rPr>
      </w:pPr>
    </w:p>
    <w:p>
      <w:pPr>
        <w:ind w:left="900" w:right="20" w:hanging="446"/>
        <w:spacing w:after="0" w:line="318" w:lineRule="auto"/>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will not jeopardize our status as a REIT;</w:t>
      </w:r>
    </w:p>
    <w:p>
      <w:pPr>
        <w:spacing w:after="0" w:line="140" w:lineRule="exact"/>
        <w:rPr>
          <w:rFonts w:ascii="Arial" w:cs="Arial" w:eastAsia="Arial" w:hAnsi="Arial"/>
          <w:sz w:val="15"/>
          <w:szCs w:val="15"/>
          <w:color w:val="auto"/>
        </w:rPr>
      </w:pPr>
    </w:p>
    <w:p>
      <w:pPr>
        <w:ind w:left="900" w:hanging="446"/>
        <w:spacing w:after="0" w:line="294"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or we lease personal property in connection with a future lease, we believe that rent under each lease from the personal property has been or will be less than 15% of total rent from that lease or that the amount of rent attributable to the personal property will not jeopardize our status as a REIT; and</w:t>
      </w:r>
    </w:p>
    <w:p>
      <w:pPr>
        <w:spacing w:after="0" w:line="156" w:lineRule="exact"/>
        <w:rPr>
          <w:rFonts w:ascii="Arial" w:cs="Arial" w:eastAsia="Arial" w:hAnsi="Arial"/>
          <w:sz w:val="16"/>
          <w:szCs w:val="16"/>
          <w:color w:val="auto"/>
        </w:rPr>
      </w:pPr>
    </w:p>
    <w:p>
      <w:pPr>
        <w:ind w:left="900" w:right="160" w:hanging="446"/>
        <w:spacing w:after="0" w:line="289"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212" w:lineRule="exact"/>
        <w:rPr>
          <w:sz w:val="20"/>
          <w:szCs w:val="20"/>
          <w:color w:val="auto"/>
        </w:rPr>
      </w:pPr>
    </w:p>
    <w:p>
      <w:pPr>
        <w:ind w:left="900" w:right="8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4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172"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 services considered to be provided for the convenience of the tenant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65"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44" w:lineRule="exact"/>
        <w:rPr>
          <w:sz w:val="20"/>
          <w:szCs w:val="20"/>
          <w:color w:val="auto"/>
        </w:rPr>
      </w:pPr>
    </w:p>
    <w:p>
      <w:pPr>
        <w:ind w:left="900" w:right="20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25" w:lineRule="exact"/>
        <w:rPr>
          <w:rFonts w:ascii="Arial" w:cs="Arial" w:eastAsia="Arial" w:hAnsi="Arial"/>
          <w:sz w:val="16"/>
          <w:szCs w:val="16"/>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03" w:lineRule="exact"/>
        <w:rPr>
          <w:sz w:val="20"/>
          <w:szCs w:val="20"/>
          <w:color w:val="auto"/>
        </w:rPr>
      </w:pPr>
    </w:p>
    <w:p>
      <w:pPr>
        <w:ind w:left="900" w:right="1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72"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80"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25" w:lineRule="exact"/>
        <w:rPr>
          <w:rFonts w:ascii="Arial" w:cs="Arial" w:eastAsia="Arial" w:hAnsi="Arial"/>
          <w:sz w:val="16"/>
          <w:szCs w:val="16"/>
          <w:color w:val="auto"/>
        </w:rPr>
      </w:pPr>
    </w:p>
    <w:p>
      <w:pPr>
        <w:ind w:left="900" w:right="120" w:hanging="446"/>
        <w:spacing w:after="0" w:line="370"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5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business. With respect to prohibited transactions occurring after July 30, 2008, any foreign currency gain (as defined in Section 988(b)(1) of the Code) and any foreign currency loss (as defined in Section 988(b)(2) of the Code) will be taken into account in determining the amount of income subject to the 100% penalty tax.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For sales on or prior to July 30, 2008, the 2-year periods referenced in (i) and (ii) above were 4 years, and the 10% fair market value test described in the alternative in (iii) above did not apply. We believe we have complied with the terms of the safe-harbor provision and we will attempt to comply with the terms of the safe-harbor in the future. We may fail to comply with the safe-harbor provision or may own property that could be characterized as property held “primarily for sale to customers in the ordinary course of a trade or business.”</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Hedging Transactions. </w:t>
      </w:r>
      <w:r>
        <w:rPr>
          <w:rFonts w:ascii="Arial" w:cs="Arial" w:eastAsia="Arial" w:hAnsi="Arial"/>
          <w:sz w:val="16"/>
          <w:szCs w:val="16"/>
          <w:color w:val="auto"/>
        </w:rPr>
        <w:t>Except to the extent provided by Treasury regulations, any income we derive from a hedging transaction (which may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Real estate liability hedging transactions entered into on or before July 30, 2008, however, will likely generate nonqualifying income for purposes of the 75% gross income test, and foreign currency hedges entered into on or before July 30, 2008, will likely generate nonqualifying income for purposes of both the 75% and 95% gross income tests. Moreover, income from any hedging transaction not described above will likely continue to be treated as nonqualifying for both the 75% and 95% gross income test.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Relief from Consequences of Failing to Meet Income Tests. </w:t>
      </w:r>
      <w:r>
        <w:rPr>
          <w:rFonts w:ascii="Arial" w:cs="Arial" w:eastAsia="Arial" w:hAnsi="Arial"/>
          <w:sz w:val="18"/>
          <w:szCs w:val="18"/>
          <w:color w:val="auto"/>
        </w:rPr>
        <w:t>If we fail to satisfy one or both of the 75% and 95% gross income tests for any taxable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relief provisions apply, we would incur a 100% tax on gross income to the extent we fail the 75% or 95% gross income test (whichever amount is greater), multiplied by a fraction intended to reflect our profitability.</w:t>
      </w:r>
    </w:p>
    <w:p>
      <w:pPr>
        <w:spacing w:after="0" w:line="12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color w:val="auto"/>
        </w:rPr>
        <w:t>To maintain our qualification as a REIT, we also must satisfy the following asset tests at the close of each quarter of each taxable year:</w:t>
      </w:r>
    </w:p>
    <w:p>
      <w:pPr>
        <w:spacing w:after="0" w:line="218" w:lineRule="exact"/>
        <w:rPr>
          <w:sz w:val="20"/>
          <w:szCs w:val="20"/>
          <w:color w:val="auto"/>
        </w:rPr>
      </w:pPr>
    </w:p>
    <w:p>
      <w:pPr>
        <w:ind w:left="900" w:right="4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172" w:lineRule="exact"/>
        <w:rPr>
          <w:rFonts w:ascii="Arial" w:cs="Arial" w:eastAsia="Arial" w:hAnsi="Arial"/>
          <w:sz w:val="18"/>
          <w:szCs w:val="18"/>
          <w:color w:val="auto"/>
        </w:rPr>
      </w:pPr>
    </w:p>
    <w:p>
      <w:pPr>
        <w:ind w:left="1460" w:right="260" w:hanging="547"/>
        <w:spacing w:after="0" w:line="268"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172" w:lineRule="exact"/>
        <w:rPr>
          <w:rFonts w:ascii="Arial" w:cs="Arial" w:eastAsia="Arial" w:hAnsi="Arial"/>
          <w:sz w:val="18"/>
          <w:szCs w:val="18"/>
          <w:color w:val="auto"/>
        </w:rPr>
      </w:pPr>
    </w:p>
    <w:p>
      <w:pPr>
        <w:jc w:val="both"/>
        <w:ind w:left="1460" w:right="340" w:hanging="547"/>
        <w:spacing w:after="0" w:line="259"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180" w:lineRule="exact"/>
        <w:rPr>
          <w:rFonts w:ascii="Arial" w:cs="Arial" w:eastAsia="Arial" w:hAnsi="Arial"/>
          <w:sz w:val="18"/>
          <w:szCs w:val="18"/>
          <w:color w:val="auto"/>
        </w:rPr>
      </w:pPr>
    </w:p>
    <w:p>
      <w:pPr>
        <w:ind w:left="1460" w:right="440" w:hanging="547"/>
        <w:spacing w:after="0" w:line="268" w:lineRule="auto"/>
        <w:tabs>
          <w:tab w:leader="none" w:pos="1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72"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qualified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(C) the value of our securities in one or more taxable REIT subsidiaries may not exceed 25% of the value of our total assets (20% for taxable years ending on or before December 31, 2008),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3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61" w:lineRule="auto"/>
        <w:tabs>
          <w:tab w:leader="none" w:pos="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 to raise the cash necessary to make required distributions.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7"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2010. Different rules may apply for years beginning after 2010. See “— Taxation of Taxable U.S. Shareholders — Current Tax Rates.” Furthermore, subject to certain limitations of the Code, corporate shareholders might be eligible for the dividends received deduction. Unless we qualified for relief granted by the IRS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17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1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11"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2010) for “qualified dividend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long-term capital gain or loss. The highest marginal individual income tax rate on ordinary income significantly exceeds the maximum tax rate on long-term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characterization of income as capital gain or ordinary income may also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0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The Treasury is considering other methods for basis recovery, and new regulations addressing this treatment recently were proposed. There can be no assurance, however, that the proposed regulations will be adopted or that they will be adopted in the form currently proposed, and the existing methods for recovering adjusted tax basis continue to apply. We urge you to consult your tax advisor concerning the treatment of a cash redemption of our preferred shares.</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11"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11"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(other than an exempt recipient) may be subject to backup withholding (currently at the rate of 28%) with respect to dividends unless such holder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69"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11"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72"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shareholders. Thus, such entities will, after satisfying filing requirements, be allowed a credit or refund of the tax deemed paid by such entities in respect of such includible gains.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beneficial owner of our shares (other than a partnership or entity that is treated as a partnership for U.S. federal income tax purposes) that is not a taxable U.S. shareholder or exempt organization.</w:t>
      </w:r>
    </w:p>
    <w:p>
      <w:pPr>
        <w:spacing w:after="0" w:line="107" w:lineRule="exact"/>
        <w:rPr>
          <w:sz w:val="20"/>
          <w:szCs w:val="20"/>
          <w:color w:val="auto"/>
        </w:rPr>
      </w:pPr>
    </w:p>
    <w:p>
      <w:pPr>
        <w:ind w:right="140" w:firstLine="456"/>
        <w:spacing w:after="0" w:line="307" w:lineRule="auto"/>
        <w:rPr>
          <w:sz w:val="20"/>
          <w:szCs w:val="20"/>
          <w:color w:val="auto"/>
        </w:rPr>
      </w:pPr>
      <w:r>
        <w:rPr>
          <w:rFonts w:ascii="Arial" w:cs="Arial" w:eastAsia="Arial" w:hAnsi="Arial"/>
          <w:sz w:val="15"/>
          <w:szCs w:val="15"/>
          <w:b w:val="1"/>
          <w:bCs w:val="1"/>
          <w:i w:val="1"/>
          <w:iCs w:val="1"/>
          <w:color w:val="auto"/>
        </w:rPr>
        <w:t>Ordinary Dividends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non-U.S. shareholder that receives a distribution that is not attributable to gain from our sale or exchange of “U.S. real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If a distribution is treated as effectively connected with the non-U.S. shareholder’s conduct of a U.S. trade or business, however,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(ii) the non-U.S. shareholder timely provides an IRS Form W-8ECI to us claiming that the distribution is effectively connected income, or (iii) the non-U.S. shareholder holds shares through a “qualified intermediary” that has elected to perform any necessary withholding itself.</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an ordinary dividend. However, a non-U.S. shareholder may obtain a refund of amounts that we withhold if we later determine that a distribution in fact exceeded our current and accumulated earnings and profits.</w:t>
      </w:r>
    </w:p>
    <w:p>
      <w:pPr>
        <w:spacing w:after="0" w:line="112" w:lineRule="exact"/>
        <w:rPr>
          <w:sz w:val="20"/>
          <w:szCs w:val="20"/>
          <w:color w:val="auto"/>
        </w:rPr>
      </w:pPr>
    </w:p>
    <w:p>
      <w:pPr>
        <w:jc w:val="both"/>
        <w:ind w:right="120" w:firstLine="456"/>
        <w:spacing w:after="0" w:line="301"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that a particular class of our shares is “regularly traded” on an established securities market in the United States,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3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(i)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(ii)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Wash Sales. </w:t>
      </w:r>
      <w:r>
        <w:rPr>
          <w:rFonts w:ascii="Arial" w:cs="Arial" w:eastAsia="Arial" w:hAnsi="Arial"/>
          <w:sz w:val="16"/>
          <w:szCs w:val="16"/>
          <w:color w:val="auto"/>
        </w:rPr>
        <w:t>In general, special wash sale rules apply if a shareholder owning more than 5% of our common or preferred shares avoids a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26"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must report annually to the IRS and to each non-U.S. shareholder the amount of distributions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18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211" w:lineRule="exact"/>
        <w:rPr>
          <w:rFonts w:ascii="Arial" w:cs="Arial" w:eastAsia="Arial" w:hAnsi="Arial"/>
          <w:sz w:val="18"/>
          <w:szCs w:val="18"/>
          <w:color w:val="auto"/>
        </w:rPr>
      </w:pPr>
    </w:p>
    <w:p>
      <w:pPr>
        <w:ind w:left="900" w:right="70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72"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71" w:lineRule="exact"/>
        <w:rPr>
          <w:sz w:val="20"/>
          <w:szCs w:val="20"/>
          <w:color w:val="auto"/>
        </w:rPr>
      </w:pPr>
    </w:p>
    <w:p>
      <w:pPr>
        <w:ind w:right="160" w:firstLine="456"/>
        <w:spacing w:after="0" w:line="339"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212" w:lineRule="exact"/>
        <w:rPr>
          <w:sz w:val="20"/>
          <w:szCs w:val="20"/>
          <w:color w:val="auto"/>
        </w:rPr>
      </w:pPr>
    </w:p>
    <w:p>
      <w:pPr>
        <w:ind w:left="900" w:right="3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2008, filed with the SEC on February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Definitive Proxy Statement for our 2009 Annual Meeting of Shareholders, filed with the SEC on March 26,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2009, filed with the SEC on May 6,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Current Report on Form 8-K dated January 1, 2009, filed with the SEC on January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Current Report on Form 8-K date February 17, 2009, filed with the SEC on February 20,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Current Report on Form 8-K dated March 16, 2009, filed with the SEC on March 19, 2009;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Current Report on Form 8-K dated May 6, 2009, filed with the SEC on May 11,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Current Report on Form 8-K dated May 26, 2009, filed with the SEC on May 27,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Current Report on Form 8-K dated June 4, 2009, filed with the SEC on June 5, 2009;</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211" w:lineRule="exact"/>
        <w:rPr>
          <w:rFonts w:ascii="Arial" w:cs="Arial" w:eastAsia="Arial" w:hAnsi="Arial"/>
          <w:sz w:val="18"/>
          <w:szCs w:val="18"/>
          <w:color w:val="auto"/>
        </w:rPr>
      </w:pPr>
    </w:p>
    <w:p>
      <w:pPr>
        <w:ind w:left="900" w:hanging="446"/>
        <w:spacing w:after="0" w:line="323" w:lineRule="auto"/>
        <w:tabs>
          <w:tab w:leader="none" w:pos="9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in the First Amendment to Amended and Restated Rights Agreement, dated as of November 23, 2003 and filed as an exhibit to the Annual Report on Form 10-K for the year ended December 31, 2003, and in the Second Amendment to Amended and Restated Rights Agreement, dated as of March 16, 2009 and filed as an exhibit to our Current Report on Form 8-K filed on March 19, 2009, each between us and American Stock Transfer &amp; Trust Company.</w:t>
      </w:r>
    </w:p>
    <w:p>
      <w:pPr>
        <w:spacing w:after="0" w:line="9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Miscellaneous</w:t>
            </w:r>
          </w:p>
        </w:tc>
        <w:tc>
          <w:tcPr>
            <w:tcW w:w="30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7"/>
        </w:trPr>
        <w:tc>
          <w:tcPr>
            <w:tcW w:w="5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w:t>
            </w:r>
          </w:p>
        </w:tc>
      </w:tr>
      <w:tr>
        <w:trPr>
          <w:trHeight w:val="20"/>
        </w:trPr>
        <w:tc>
          <w:tcPr>
            <w:tcW w:w="52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the registration fee for the securities offered by this prospectus.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w:t>
      </w:r>
    </w:p>
    <w:p>
      <w:pPr>
        <w:spacing w:after="0" w:line="3" w:lineRule="exact"/>
        <w:rPr>
          <w:sz w:val="20"/>
          <w:szCs w:val="20"/>
          <w:color w:val="auto"/>
        </w:rPr>
      </w:pPr>
    </w:p>
    <w:p>
      <w:pPr>
        <w:ind w:right="80" w:firstLine="8"/>
        <w:spacing w:after="0" w:line="287" w:lineRule="auto"/>
        <w:tabs>
          <w:tab w:leader="none" w:pos="2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2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20"/>
          </w:cols>
          <w:pgMar w:left="24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68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w:t>
            </w:r>
          </w:p>
        </w:tc>
        <w:tc>
          <w:tcPr>
            <w:tcW w:w="9120" w:type="dxa"/>
            <w:vAlign w:val="bottom"/>
          </w:tcPr>
          <w:p>
            <w:pPr>
              <w:spacing w:after="0"/>
              <w:rPr>
                <w:sz w:val="20"/>
                <w:szCs w:val="20"/>
                <w:color w:val="auto"/>
              </w:rPr>
            </w:pPr>
            <w:r>
              <w:rPr>
                <w:rFonts w:ascii="Arial" w:cs="Arial" w:eastAsia="Arial" w:hAnsi="Arial"/>
                <w:sz w:val="18"/>
                <w:szCs w:val="18"/>
                <w:color w:val="auto"/>
              </w:rPr>
              <w:t>Underwriting Agreement for Debt Securities*</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for Equity Securities*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Declaration of Trust of Federal Realty Investment Trust dated June 17, 2004, as amended by the Articles of Amendment of Declaration of</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Trust of Federal Realty Investment Trust dated May 6, 2009 (filed herewith)</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8"/>
              </w:rPr>
              <w:t>Amended and Restated Bylaws of Federal Realty Investment Trust dated February 12, 2003, as amended October 29, 2003, May 5, 2004,</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February 17, 2006 and May 6, 2009 (filed herewith)</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4"/>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Articles Supplementary relating to the 5.417% Series 1 Cumulative Convertible Preferred Shares of Beneficial Interest (previously filed as</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Exhibit 4.1 to the Trust’s Current Report on Form 8-K filed on March 13, 2007,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6"/>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First Amendment to Amended and Restated Rights Agreement, dated as of November 23, 2003, between the Trust and American Stock</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Transfer &amp; Trust Company (previously filed as Exhibit 4.5 to the Trust’s Annual Report on Form 10-K for the year ended December 31,</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Second Amendment to Amended and Restated Rights Agreement, dated as of March 11, 2009, between the Trust and American Stock</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8"/>
              </w:rPr>
              <w:t>Transfer &amp; Trust Company (previously filed as Exhibit 4.3 to the Trust’s current Report on Form 8-K (File No. 001-07533) and</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/8% Notes due November 15, 2007; 4.50%</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Notes due 2011; 5.65% Notes due 2016; 6.00% Notes due 2012; 6.20% Notes due 2017; and 5.40% Notes due 2013 (previously filed as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Exhibit 4(a) to the Trust’s Registration Statement on Form S-3 (File No. 333-63619) filed on September 17, 1998 and incorporated herein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by 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w:t>
            </w:r>
          </w:p>
        </w:tc>
      </w:tr>
      <w:tr>
        <w:trPr>
          <w:trHeight w:val="365"/>
        </w:trPr>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20" w:type="dxa"/>
            <w:vAlign w:val="bottom"/>
          </w:tcPr>
          <w:p>
            <w:pPr>
              <w:ind w:left="330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4.10</w:t>
            </w:r>
          </w:p>
        </w:tc>
        <w:tc>
          <w:tcPr>
            <w:tcW w:w="7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w:t>
            </w:r>
          </w:p>
        </w:tc>
        <w:tc>
          <w:tcPr>
            <w:tcW w:w="7840" w:type="dxa"/>
            <w:vAlign w:val="bottom"/>
          </w:tcPr>
          <w:p>
            <w:pPr>
              <w:spacing w:after="0"/>
              <w:rPr>
                <w:sz w:val="20"/>
                <w:szCs w:val="20"/>
                <w:color w:val="auto"/>
              </w:rPr>
            </w:pPr>
            <w:r>
              <w:rPr>
                <w:rFonts w:ascii="Arial" w:cs="Arial" w:eastAsia="Arial" w:hAnsi="Arial"/>
                <w:sz w:val="18"/>
                <w:szCs w:val="18"/>
                <w:color w:val="auto"/>
              </w:rPr>
              <w:t>Certificate for Preferred Shares*</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0"/>
              </w:rPr>
              <w:t>Opinion of Pillsbury Winthrop Shaw Pittman LLP regarding the legality of the securities being registered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8"/>
              </w:rPr>
              <w:t>Opinion of Pillsbury Winthrop Shaw Pittman LLP regarding certain federal income tax matters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w w:val="95"/>
              </w:rPr>
              <w:t>Statement of Computation of Ratios of Earnings to Fixed Charges and Preferred Stock Dividends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7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Statement of Eligibility of Trustee on Form 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 or incorporated by reference in connection with the offering of the offered securities.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2"/>
          <w:numId w:val="7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220"/>
        <w:spacing w:after="0" w:line="298" w:lineRule="auto"/>
        <w:rPr>
          <w:sz w:val="20"/>
          <w:szCs w:val="20"/>
          <w:color w:val="auto"/>
        </w:rPr>
      </w:pPr>
      <w:r>
        <w:rPr>
          <w:rFonts w:ascii="Arial" w:cs="Arial" w:eastAsia="Arial" w:hAnsi="Arial"/>
          <w:sz w:val="16"/>
          <w:szCs w:val="16"/>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13" w:lineRule="exact"/>
        <w:rPr>
          <w:sz w:val="20"/>
          <w:szCs w:val="20"/>
          <w:color w:val="auto"/>
        </w:rPr>
      </w:pPr>
    </w:p>
    <w:p>
      <w:pPr>
        <w:ind w:left="460" w:right="6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90" w:lineRule="exact"/>
        <w:rPr>
          <w:rFonts w:ascii="Arial" w:cs="Arial" w:eastAsia="Arial" w:hAnsi="Arial"/>
          <w:sz w:val="18"/>
          <w:szCs w:val="18"/>
          <w:color w:val="auto"/>
        </w:rPr>
      </w:pPr>
    </w:p>
    <w:p>
      <w:pPr>
        <w:ind w:left="920" w:right="140" w:firstLine="421"/>
        <w:spacing w:after="0" w:line="268" w:lineRule="auto"/>
        <w:tabs>
          <w:tab w:leader="none" w:pos="1549" w:val="left"/>
        </w:tabs>
        <w:numPr>
          <w:ilvl w:val="1"/>
          <w:numId w:val="7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right="40" w:firstLine="421"/>
        <w:spacing w:after="0" w:line="294" w:lineRule="auto"/>
        <w:tabs>
          <w:tab w:leader="none" w:pos="1598" w:val="left"/>
        </w:tabs>
        <w:numPr>
          <w:ilvl w:val="1"/>
          <w:numId w:val="7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91" w:lineRule="auto"/>
        <w:rPr>
          <w:sz w:val="20"/>
          <w:szCs w:val="20"/>
          <w:color w:val="auto"/>
        </w:rPr>
      </w:pPr>
      <w:r>
        <w:rPr>
          <w:rFonts w:ascii="Arial" w:cs="Arial" w:eastAsia="Arial" w:hAnsi="Arial"/>
          <w:sz w:val="16"/>
          <w:szCs w:val="16"/>
          <w:color w:val="auto"/>
        </w:rPr>
        <w:t xml:space="preserve">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0" w:lineRule="exact"/>
        <w:rPr>
          <w:sz w:val="20"/>
          <w:szCs w:val="20"/>
          <w:color w:val="auto"/>
        </w:rPr>
      </w:pPr>
    </w:p>
    <w:p>
      <w:pPr>
        <w:ind w:left="460" w:right="60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 w:lineRule="exact"/>
        <w:rPr>
          <w:sz w:val="20"/>
          <w:szCs w:val="20"/>
          <w:color w:val="auto"/>
        </w:rPr>
      </w:pPr>
    </w:p>
    <w:p>
      <w:pPr>
        <w:ind w:left="1120" w:hanging="217"/>
        <w:spacing w:after="0"/>
        <w:tabs>
          <w:tab w:leader="none" w:pos="11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460" w:right="880" w:firstLine="443"/>
        <w:spacing w:after="0" w:line="268" w:lineRule="auto"/>
        <w:tabs>
          <w:tab w:leader="none" w:pos="1157"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2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firstLine="464"/>
        <w:spacing w:after="0" w:line="255"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60" w:firstLine="464"/>
        <w:spacing w:after="0" w:line="289"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w:t>
      </w:r>
    </w:p>
    <w:p>
      <w:pPr>
        <w:spacing w:after="0" w:line="3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subsection (a) of Section 310 of the Trust Indenture Act in accordance with the rules and regulations prescribed by the Securities and Exchange Commission under Section 305(b)(2) of the Trust Indenture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June 16, 2009.</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Andrew P. Blocher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President-Chief Financial Officer and</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280" w:type="dxa"/>
            <w:vAlign w:val="bottom"/>
          </w:tcPr>
          <w:p>
            <w:pPr>
              <w:spacing w:after="0"/>
              <w:rPr>
                <w:sz w:val="14"/>
                <w:szCs w:val="14"/>
                <w:color w:val="auto"/>
              </w:rPr>
            </w:pPr>
          </w:p>
        </w:tc>
      </w:tr>
      <w:tr>
        <w:trPr>
          <w:trHeight w:val="42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700" w:type="dxa"/>
            <w:vAlign w:val="bottom"/>
            <w:tcBorders>
              <w:bottom w:val="single" w:sz="8" w:color="auto"/>
            </w:tcBorders>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w:t>
            </w:r>
          </w:p>
        </w:tc>
        <w:tc>
          <w:tcPr>
            <w:tcW w:w="132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June 16, 2009</w:t>
            </w:r>
          </w:p>
        </w:tc>
      </w:tr>
      <w:tr>
        <w:trPr>
          <w:trHeight w:val="218"/>
        </w:trPr>
        <w:tc>
          <w:tcPr>
            <w:tcW w:w="254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8"/>
                <w:szCs w:val="18"/>
                <w:color w:val="auto"/>
              </w:rPr>
            </w:pPr>
          </w:p>
        </w:tc>
        <w:tc>
          <w:tcPr>
            <w:tcW w:w="5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Officer and Trustee (principal executive officer)</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1700" w:type="dxa"/>
            <w:vAlign w:val="bottom"/>
            <w:tcBorders>
              <w:bottom w:val="single" w:sz="8" w:color="auto"/>
            </w:tcBorders>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w w:val="95"/>
              </w:rPr>
              <w:t>Senior Vice President-Chief Financial Officer and Treasurer (principal</w:t>
            </w:r>
          </w:p>
        </w:tc>
        <w:tc>
          <w:tcPr>
            <w:tcW w:w="132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June 16, 2009</w:t>
            </w:r>
          </w:p>
        </w:tc>
      </w:tr>
      <w:tr>
        <w:trPr>
          <w:trHeight w:val="218"/>
        </w:trPr>
        <w:tc>
          <w:tcPr>
            <w:tcW w:w="254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700" w:type="dxa"/>
            <w:vAlign w:val="bottom"/>
          </w:tcPr>
          <w:p>
            <w:pPr>
              <w:spacing w:after="0"/>
              <w:rPr>
                <w:sz w:val="18"/>
                <w:szCs w:val="18"/>
                <w:color w:val="auto"/>
              </w:rPr>
            </w:pPr>
          </w:p>
        </w:tc>
        <w:tc>
          <w:tcPr>
            <w:tcW w:w="55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financial and accounting officer)</w:t>
            </w: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Non-Executive Chairman</w:t>
            </w:r>
          </w:p>
        </w:tc>
        <w:tc>
          <w:tcPr>
            <w:tcW w:w="132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55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2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31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280" w:type="dxa"/>
            <w:vAlign w:val="bottom"/>
          </w:tcPr>
          <w:p>
            <w:pPr>
              <w:spacing w:after="0"/>
              <w:rPr>
                <w:sz w:val="14"/>
                <w:szCs w:val="14"/>
                <w:color w:val="auto"/>
              </w:rPr>
            </w:pPr>
          </w:p>
        </w:tc>
      </w:tr>
      <w:tr>
        <w:trPr>
          <w:trHeight w:val="425"/>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3860" w:type="dxa"/>
            <w:vAlign w:val="bottom"/>
            <w:gridSpan w:val="3"/>
          </w:tcPr>
          <w:p>
            <w:pPr>
              <w:jc w:val="center"/>
              <w:ind w:left="279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3860" w:type="dxa"/>
            <w:vAlign w:val="bottom"/>
            <w:gridSpan w:val="3"/>
          </w:tcPr>
          <w:p>
            <w:pPr>
              <w:jc w:val="center"/>
              <w:ind w:left="279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3"/>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641"/>
        </w:trPr>
        <w:tc>
          <w:tcPr>
            <w:tcW w:w="2540" w:type="dxa"/>
            <w:vAlign w:val="bottom"/>
            <w:gridSpan w:val="3"/>
          </w:tcPr>
          <w:p>
            <w:pPr>
              <w:spacing w:after="0"/>
              <w:rPr>
                <w:sz w:val="20"/>
                <w:szCs w:val="20"/>
                <w:color w:val="auto"/>
              </w:rPr>
            </w:pPr>
            <w:r>
              <w:rPr>
                <w:rFonts w:ascii="Arial" w:cs="Arial" w:eastAsia="Arial" w:hAnsi="Arial"/>
                <w:sz w:val="18"/>
                <w:szCs w:val="18"/>
                <w:color w:val="auto"/>
              </w:rPr>
              <w:t>*By:  /s/ Dawn M. Becker</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Dawn M. Becker</w:t>
            </w:r>
          </w:p>
        </w:tc>
        <w:tc>
          <w:tcPr>
            <w:tcW w:w="1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ectPr>
          <w:pgSz w:w="11900" w:h="16838" w:orient="portrait"/>
          <w:cols w:equalWidth="0" w:num="1">
            <w:col w:w="11060"/>
          </w:cols>
          <w:pgMar w:left="240" w:top="459" w:right="5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w:t>
            </w:r>
          </w:p>
        </w:tc>
        <w:tc>
          <w:tcPr>
            <w:tcW w:w="9200" w:type="dxa"/>
            <w:vAlign w:val="bottom"/>
          </w:tcPr>
          <w:p>
            <w:pPr>
              <w:spacing w:after="0"/>
              <w:rPr>
                <w:sz w:val="20"/>
                <w:szCs w:val="20"/>
                <w:color w:val="auto"/>
              </w:rPr>
            </w:pPr>
            <w:r>
              <w:rPr>
                <w:rFonts w:ascii="Arial" w:cs="Arial" w:eastAsia="Arial" w:hAnsi="Arial"/>
                <w:sz w:val="18"/>
                <w:szCs w:val="18"/>
                <w:color w:val="auto"/>
              </w:rPr>
              <w:t>Underwriting Agreement for Debt Securities*</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Underwriting Agreement for Equity Securities*</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Declaration of Trust of Federal Realty Investment Trust dated June 17, 2004, as amended by the Articles of Amendment of Declaration of</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Trust of Federal Realty Investment Trust dated May 6, 2009 (filed herewith)</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February 17, 2006 and May 6, 2009 (filed herewith)</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Articles Supplementary relating to the 5.417% Series 1 Cumulative Convertible Preferred Shares of Beneficial Interest (previously filed as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Exhibit 4.1 to the Trust’s Current Report on Form 8-K filed on March 13, 2007,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3"/>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6"/>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First Amendment to Amended and Restated Rights Agreement, dated as of November 23, 2003, between the Trust and American Stock</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Transfer &amp; Trust Company (previously filed as Exhibit 4.5 to the Trust’s Annual Report on Form 10-K for the year ended December 31,</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2003 (File No. 1-07533)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Second Amendment to Amended and Restated Rights Agreement, dated as of March 11, 2009, between the Trust and American Stock</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Transfer &amp; Trust Company (previously filed as Exhibit 4.3 to the Trust’s current Report on Form 8-K (File No. 001-07533) and incorporated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2"/>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/8% Notes due November 15, 2007; 4.50%</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Notes due 2011; 5.65% Notes due 2016; 6.00% Notes due 2012; 6.20% Notes due 2017; and 5.40% Notes due 2013 (previously filed as</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8"/>
              </w:rPr>
              <w:t>Exhibit 4(a) to the Trust’s Registration Statement on Form S-3 (File No. 333-63619) filed on September 17, 1998 and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4.11</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76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Statement of Computation of Ratios of Earnings to Fixed Charges and Preferred Stock Dividends (filed herewith)</w:t>
            </w: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240" w:type="dxa"/>
            <w:vAlign w:val="bottom"/>
          </w:tcPr>
          <w:p>
            <w:pPr>
              <w:spacing w:after="0"/>
              <w:rPr>
                <w:sz w:val="14"/>
                <w:szCs w:val="14"/>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Consent of Grant Thornton LLP (filed herewith)</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w w:val="90"/>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7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Statement of Eligibility of Trustee on Form 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To be filed by amendment or incorporated by reference in connection with the offering of the offered securities.</w:t>
      </w:r>
    </w:p>
    <w:p>
      <w:pPr>
        <w:sectPr>
          <w:pgSz w:w="11900" w:h="16838" w:orient="portrait"/>
          <w:cols w:equalWidth="0" w:num="1">
            <w:col w:w="10219"/>
          </w:cols>
          <w:pgMar w:left="240" w:top="459"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TRUST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May 5, 1999</w:t>
      </w:r>
    </w:p>
    <w:p>
      <w:pPr>
        <w:spacing w:after="0" w:line="15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This DECLARATION OF TRUST is made as of the date set forth above by the undersigned Trustees (as defined herein) and amends and restates the Third Amended and Restated Declaration of Trust of Federal Realty Investment Trust.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Trust (as hereinafter defined) is: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Under circumstances in which the Board of Trustees of the Trust (the “Board of Trustees” or “Board”) determines that the use of the name of the Trust is not practicable, the Trust may use any other designation or name for the Trust.</w:t>
      </w:r>
    </w:p>
    <w:p>
      <w:pPr>
        <w:spacing w:after="0" w:line="11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FORMATION</w:t>
      </w:r>
    </w:p>
    <w:p>
      <w:pPr>
        <w:spacing w:after="0" w:line="164"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Trust (the “Trust”) is a real estate investment trust within the meaning of Title 8 of the Corporations and Associations Article of the Annotated Code of Maryland (“Title 8”). The Trust shall not be deemed to be a general partnership, limited partnership, joint venture, joint stock company or a corporation but nothing herein shall preclude the Trust from being treated for tax purposes as an association under the Internal Revenue Code of 1986, as amended (the “Code”).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AND POWERS</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Purposes</w:t>
      </w:r>
      <w:r>
        <w:rPr>
          <w:rFonts w:ascii="Arial" w:cs="Arial" w:eastAsia="Arial" w:hAnsi="Arial"/>
          <w:sz w:val="16"/>
          <w:szCs w:val="16"/>
          <w:color w:val="auto"/>
        </w:rPr>
        <w:t>. The purposes for which the Trust has been formed are to invest in and to acquire, hold, develop, redevelop, manage, administer, control, lease and dispose of interests in property, including, without limitation or obligation, engaging in business as a real estate investment trust under the Code or any other lawful activity for which real estate investment trusts may be organized under Title 8 as now or hereafter in force.</w:t>
      </w:r>
    </w:p>
    <w:p>
      <w:pPr>
        <w:spacing w:after="0" w:line="93"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Powers</w:t>
      </w:r>
      <w:r>
        <w:rPr>
          <w:rFonts w:ascii="Arial" w:cs="Arial" w:eastAsia="Arial" w:hAnsi="Arial"/>
          <w:sz w:val="16"/>
          <w:szCs w:val="16"/>
          <w:color w:val="auto"/>
        </w:rPr>
        <w:t>. The Trust has all of the powers granted to real estate investment trusts by Title 8 and all other powers set forth in the Declaration of Trust which are not inconsistent with law and are appropriate to promote and attain the purposes set forth in the Declaration of Trust.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RESIDENT AGENT</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name of the resident agent of the Trust in the State of Maryland is CSC Lawyers Incorporating Service Company, whose post office address is 11 E. Chase Street, Baltimore, Maryland 21202. The resident agent is a resident of the State of Maryland. The Trust may have such offices or places of business within or outside the State of Maryland as the Board of Trustees may from time to time determine.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TRUSTEES</w:t>
      </w:r>
    </w:p>
    <w:p>
      <w:pPr>
        <w:spacing w:after="0" w:line="16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Powers</w:t>
      </w:r>
      <w:r>
        <w:rPr>
          <w:rFonts w:ascii="Arial" w:cs="Arial" w:eastAsia="Arial" w:hAnsi="Arial"/>
          <w:sz w:val="16"/>
          <w:szCs w:val="16"/>
          <w:color w:val="auto"/>
        </w:rPr>
        <w:t>. Subject to any express limitations contained in the Declaration of Trust or in the Bylaws, (a) the business and affairs of the Trust shall be managed under the direction of the Board of Trustees and (b) the Board shall have full, exclusive and absolute power, control and authority over any and all property of the Trust. The Board may take any action as in its sole judgment and discretion is necessary or appropriate to conduct the business and affairs of the Trust. The Declaration of Trust shall be construed with the presumption in favor of the grant of power and authority to the Board. Any construction of the Declaration of Trust or determination made in good faith by the Board concerning its powers and authority hereunder shall be conclusive. The enumeration and definition of particular powers of the Trustees included in the Declaration of Trust or in the Bylaws shall in no way be construed or deemed by inference or otherwise in any manner to exclude or limit the powers conferred upon the Board or the Trustees under the general laws of the State of Maryland or any other applicable laws.</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Board, without any action by the shareholders of the Trust, shall have and may exercise, on behalf of the Trust, without limitation, the power to terminate the status of the Trust as a real estate investment trust under the Code; to determine that compliance with any restriction or limitations on ownership and transfers of shares of the Trust’s beneficial interest set forth in Article VII of the Declaration of Trust is no longer required in order for the Trust to qualify as a REIT; to adopt, amend and repeal Bylaws; to elect officers in the manner prescribed in the Bylaws; to solicit proxies from holders of shares of beneficial interest of the Trust; and to do any other acts and deliver any other documents necessary or appropriate to the foregoing powers.</w:t>
      </w:r>
    </w:p>
    <w:p>
      <w:pPr>
        <w:spacing w:after="0" w:line="1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Number and Classification</w:t>
      </w:r>
      <w:r>
        <w:rPr>
          <w:rFonts w:ascii="Arial" w:cs="Arial" w:eastAsia="Arial" w:hAnsi="Arial"/>
          <w:sz w:val="16"/>
          <w:szCs w:val="16"/>
          <w:color w:val="auto"/>
        </w:rPr>
        <w:t>. Upon acceptance for record of this Declaration of Trust, the number of Trustees (hereinafter the “Trustees”) is seven, which number may be increased or decreased by the Board of Trustees; provided, however, that the total number of Trustees shall be at least three (3) and not more than fifteen (15). Except for Trustees elected solely by holders of one or more series of Preferred Shares, the Trustees shall be elected at every third annual meeting of shareholders in the manner provided in the Bylaws or, in order to fill any vacancy on the Board of Trustees, in the manner provided in the Bylaws. The names and classes of the Trustees who shall serve until the annual meeting of shareholders at which their class comes up for reelection (as provided herein) and until their successors are duly elected and qualify are: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71" w:name="page72"/>
    <w:bookmarkEnd w:id="71"/>
    <w:tbl>
      <w:tblPr>
        <w:tblLayout w:type="fixed"/>
        <w:tblInd w:w="2860" w:type="dxa"/>
        <w:tblCellMar>
          <w:top w:w="0" w:type="dxa"/>
          <w:left w:w="0" w:type="dxa"/>
          <w:bottom w:w="0" w:type="dxa"/>
          <w:right w:w="0" w:type="dxa"/>
        </w:tblCellMar>
      </w:tblPr>
      <w:tr>
        <w:trPr>
          <w:trHeight w:val="174"/>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gridSpan w:val="2"/>
          </w:tcPr>
          <w:p>
            <w:pPr>
              <w:ind w:left="1820"/>
              <w:spacing w:after="0"/>
              <w:rPr>
                <w:sz w:val="20"/>
                <w:szCs w:val="20"/>
                <w:color w:val="auto"/>
              </w:rPr>
            </w:pPr>
            <w:r>
              <w:rPr>
                <w:rFonts w:ascii="Arial" w:cs="Arial" w:eastAsia="Arial" w:hAnsi="Arial"/>
                <w:sz w:val="14"/>
                <w:szCs w:val="14"/>
                <w:b w:val="1"/>
                <w:bCs w:val="1"/>
                <w:color w:val="auto"/>
                <w:w w:val="80"/>
              </w:rPr>
              <w:t>Class</w:t>
            </w:r>
          </w:p>
        </w:tc>
      </w:tr>
      <w:tr>
        <w:trPr>
          <w:trHeight w:val="95"/>
        </w:trPr>
        <w:tc>
          <w:tcPr>
            <w:tcW w:w="4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r>
      <w:tr>
        <w:trPr>
          <w:trHeight w:val="309"/>
        </w:trPr>
        <w:tc>
          <w:tcPr>
            <w:tcW w:w="3580" w:type="dxa"/>
            <w:vAlign w:val="bottom"/>
            <w:gridSpan w:val="2"/>
          </w:tcPr>
          <w:p>
            <w:pPr>
              <w:spacing w:after="0"/>
              <w:rPr>
                <w:sz w:val="20"/>
                <w:szCs w:val="20"/>
                <w:color w:val="auto"/>
              </w:rPr>
            </w:pPr>
            <w:r>
              <w:rPr>
                <w:rFonts w:ascii="Arial" w:cs="Arial" w:eastAsia="Arial" w:hAnsi="Arial"/>
                <w:sz w:val="18"/>
                <w:szCs w:val="18"/>
                <w:color w:val="auto"/>
              </w:rPr>
              <w:t>Kenneth D. Brody</w:t>
            </w:r>
          </w:p>
        </w:tc>
        <w:tc>
          <w:tcPr>
            <w:tcW w:w="1820" w:type="dxa"/>
            <w:vAlign w:val="bottom"/>
          </w:tcPr>
          <w:p>
            <w:pPr>
              <w:spacing w:after="0"/>
              <w:rPr>
                <w:sz w:val="24"/>
                <w:szCs w:val="24"/>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A. Cornet de Ways Ruart</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Walter F. Loeb</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Dennis L. Berman</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820" w:type="dxa"/>
            <w:vAlign w:val="bottom"/>
          </w:tcPr>
          <w:p>
            <w:pPr>
              <w:spacing w:after="0"/>
              <w:rPr>
                <w:sz w:val="18"/>
                <w:szCs w:val="18"/>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II</w:t>
            </w: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Steven J. Guttman</w:t>
            </w:r>
          </w:p>
        </w:tc>
        <w:tc>
          <w:tcPr>
            <w:tcW w:w="18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III</w:t>
            </w:r>
          </w:p>
        </w:tc>
      </w:tr>
      <w:tr>
        <w:trPr>
          <w:trHeight w:val="222"/>
        </w:trPr>
        <w:tc>
          <w:tcPr>
            <w:tcW w:w="358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82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III</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0"/>
        <w:spacing w:after="0" w:line="323" w:lineRule="auto"/>
        <w:rPr>
          <w:sz w:val="20"/>
          <w:szCs w:val="20"/>
          <w:color w:val="auto"/>
        </w:rPr>
      </w:pPr>
      <w:r>
        <w:rPr>
          <w:rFonts w:ascii="Arial" w:cs="Arial" w:eastAsia="Arial" w:hAnsi="Arial"/>
          <w:sz w:val="15"/>
          <w:szCs w:val="15"/>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Class I Trustees shall hold office initially for a term expiring at the annual meeting of shareholders in 2000, Class II Trustees shall hold office initially for a term expiring at the annual meeting of shareholders in 2001 and Class III Trustees shall hold office initially for a term expiring at the annual meeting of shareholders in 2002, with the Trustees of each class to hold office until their successors are duly elected and qualify. At each annual meeting of shareholders, the successors to the class of Trustees whose term expires at such meeting shall be elected to hold office for a term expiring at the annual meeting of shareholders held in the third year following the year of their election and until their successors are duly elected and qualify.</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Resignation or Removal</w:t>
      </w:r>
      <w:r>
        <w:rPr>
          <w:rFonts w:ascii="Arial" w:cs="Arial" w:eastAsia="Arial" w:hAnsi="Arial"/>
          <w:sz w:val="16"/>
          <w:szCs w:val="16"/>
          <w:color w:val="auto"/>
        </w:rPr>
        <w:t>. Any Trustee may resign by written notice to the Board, effective upon execution and delivery to the Trust of such written notice or upon any future date specified in the notice. Subject to the rights of holders of one or more classes or series of Preferred Shares to elect or remove one or more Trustees, a Trustee may be removed at any time, (i) with or without cause, at any meeting of the shareholders called for the purpose, either by the affirmative vote of the holders of not less than two-thirds of the Shares then outstanding and entitled to vote thereon if such removal is approved or recommended by a vote of not less than two-thirds of the Trustees or by the affirmative vote of the holders of not less than eighty percent of the Shares then outstanding and entitled to vote thereon if such removal is not approved or recommended by a vote of at least two-thirds of the Trustees, or (ii) with cause, by the vote of all the other Trustees. For purposes of this Declaration, “cause”, with respect to the removal of any Trustee, shall mean only (i) conviction of a felony, (ii) declaration of unsound mind by order of a court, (iii) gross dereliction of duty, (iv) conviction of any crime involving moral turpitude, (v) commission of an act that constitutes intentional misconduct or a knowing violation of law if such action in either event results both in an improper substantial personal benefit to such Trustee and a material injury to the Trust or (vi) a unanimous determination by the remaining Trustees that “cause” exists for the removal of the Trustee.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275"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OF BENEFICIAL INTEREST</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beneficial interest of the Trust shall be divided into shares of beneficial interest (the “Shares”). The Trust has authority to issue 100,000,000 common shares of beneficial interest, $.01 par value per share (“Common Shares”), and 15,000,000 preferred shares of beneficial interest, $.01 par value per share (“Preferred Shares”), of which 4,000,000 shares are Series A Cumulative Redeemable Preferred Shares (the “Series A Preferred Shares”). If shares of one class are classified or reclassified into shares of another class of shares pursuant to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beneficial interest of all classes that the Trust has authority to issue shall not be more than the total number of shares of beneficial interest set forth in the second sentence of this paragraph. The Board of Trustees, without any action by the shareholders of the Trust, may amend the Declaration of Trust from time to time to increase or decrease the aggregate number of Shares or the number of Shares of any class or series that the Trust has authority to issue.</w:t>
      </w:r>
    </w:p>
    <w:p>
      <w:pPr>
        <w:spacing w:after="0" w:line="1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Common Shares</w:t>
      </w:r>
      <w:r>
        <w:rPr>
          <w:rFonts w:ascii="Arial" w:cs="Arial" w:eastAsia="Arial" w:hAnsi="Arial"/>
          <w:sz w:val="18"/>
          <w:szCs w:val="18"/>
          <w:color w:val="auto"/>
        </w:rPr>
        <w:t>. Subject to the provisions of Article VII, each Common Share entitles the holder thereof to one vote on each matter upon which holders of Common Shares are entitled to vote. The Board of Trustees may reclassify any unissued Common Shares from time to time in one or more classes or series of Shares.</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Preferred Shares</w:t>
      </w:r>
      <w:r>
        <w:rPr>
          <w:rFonts w:ascii="Arial" w:cs="Arial" w:eastAsia="Arial" w:hAnsi="Arial"/>
          <w:sz w:val="18"/>
          <w:szCs w:val="18"/>
          <w:color w:val="auto"/>
        </w:rPr>
        <w:t>. The Board of Trustees may classify any unissued Preferred Shares and reclassify any previously classified but unissued Preferred Shares of any series from time to time, in one or more series of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Series A Preferred Shares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6.4.1 </w:t>
      </w:r>
      <w:r>
        <w:rPr>
          <w:rFonts w:ascii="Arial" w:cs="Arial" w:eastAsia="Arial" w:hAnsi="Arial"/>
          <w:sz w:val="18"/>
          <w:szCs w:val="18"/>
          <w:u w:val="single" w:color="auto"/>
          <w:color w:val="auto"/>
        </w:rPr>
        <w:t>Number of Shares</w:t>
      </w:r>
      <w:r>
        <w:rPr>
          <w:rFonts w:ascii="Arial" w:cs="Arial" w:eastAsia="Arial" w:hAnsi="Arial"/>
          <w:sz w:val="18"/>
          <w:szCs w:val="18"/>
          <w:color w:val="auto"/>
        </w:rPr>
        <w:t>. The number of shares of Series A Preferred Shares is 4,000,000.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6.4.2 </w:t>
      </w:r>
      <w:r>
        <w:rPr>
          <w:rFonts w:ascii="Arial" w:cs="Arial" w:eastAsia="Arial" w:hAnsi="Arial"/>
          <w:sz w:val="18"/>
          <w:szCs w:val="18"/>
          <w:u w:val="single" w:color="auto"/>
          <w:color w:val="auto"/>
        </w:rPr>
        <w:t>Definitions</w:t>
      </w:r>
      <w:r>
        <w:rPr>
          <w:rFonts w:ascii="Arial" w:cs="Arial" w:eastAsia="Arial" w:hAnsi="Arial"/>
          <w:sz w:val="18"/>
          <w:szCs w:val="18"/>
          <w:color w:val="auto"/>
        </w:rPr>
        <w:t>. In this Section 6.4, the following terms shall have the following meanings herein:</w:t>
      </w:r>
    </w:p>
    <w:p>
      <w:pPr>
        <w:spacing w:after="0" w:line="77" w:lineRule="exact"/>
        <w:rPr>
          <w:sz w:val="20"/>
          <w:szCs w:val="20"/>
          <w:color w:val="auto"/>
        </w:rPr>
      </w:pPr>
    </w:p>
    <w:p>
      <w:pPr>
        <w:ind w:right="100" w:firstLine="8"/>
        <w:spacing w:after="0" w:line="268" w:lineRule="auto"/>
        <w:tabs>
          <w:tab w:leader="none" w:pos="239" w:val="left"/>
        </w:tabs>
        <w:numPr>
          <w:ilvl w:val="0"/>
          <w:numId w:val="82"/>
        </w:numPr>
        <w:rPr>
          <w:rFonts w:ascii="Arial" w:cs="Arial" w:eastAsia="Arial" w:hAnsi="Arial"/>
          <w:sz w:val="18"/>
          <w:szCs w:val="18"/>
          <w:color w:val="auto"/>
        </w:rPr>
      </w:pPr>
      <w:r>
        <w:rPr>
          <w:rFonts w:ascii="Arial" w:cs="Arial" w:eastAsia="Arial" w:hAnsi="Arial"/>
          <w:sz w:val="18"/>
          <w:szCs w:val="18"/>
          <w:color w:val="auto"/>
        </w:rPr>
        <w:t>“Board of Trustees” shall mean the Board of Trustees of the Trust or any committee authorized by the Board of Trustees to perform any of its responsibilities with respect to the Series A Preferred Shares.</w:t>
      </w:r>
    </w:p>
    <w:p>
      <w:pPr>
        <w:spacing w:after="0" w:line="118" w:lineRule="exact"/>
        <w:rPr>
          <w:rFonts w:ascii="Arial" w:cs="Arial" w:eastAsia="Arial" w:hAnsi="Arial"/>
          <w:sz w:val="18"/>
          <w:szCs w:val="18"/>
          <w:color w:val="auto"/>
        </w:rPr>
      </w:pPr>
    </w:p>
    <w:p>
      <w:pPr>
        <w:ind w:right="240" w:firstLine="8"/>
        <w:spacing w:after="0" w:line="268" w:lineRule="auto"/>
        <w:tabs>
          <w:tab w:leader="none" w:pos="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“Business Day” shall mean any day other than a Saturday, Sunday or day on which state or federally chartered banking institutions in New York City, New York are not required to be open.</w:t>
      </w:r>
    </w:p>
    <w:p>
      <w:pPr>
        <w:spacing w:after="0" w:line="118" w:lineRule="exact"/>
        <w:rPr>
          <w:rFonts w:ascii="Arial" w:cs="Arial" w:eastAsia="Arial" w:hAnsi="Arial"/>
          <w:sz w:val="18"/>
          <w:szCs w:val="18"/>
          <w:color w:val="auto"/>
        </w:rPr>
      </w:pPr>
    </w:p>
    <w:p>
      <w:pPr>
        <w:ind w:left="240" w:hanging="232"/>
        <w:spacing w:after="0"/>
        <w:tabs>
          <w:tab w:leader="none" w:pos="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“Call Date” shall have the meaning set forth in Section 6.4.6(b).</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“Capital Gains Amount” shall have the meaning set forth in Section 6.4.3(d).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74" w:right="279" w:bottom="1440" w:gutter="0" w:footer="0" w:header="0"/>
        </w:sectPr>
      </w:pPr>
    </w:p>
    <w:bookmarkStart w:id="73" w:name="page74"/>
    <w:bookmarkEnd w:id="73"/>
    <w:p>
      <w:pPr>
        <w:ind w:left="-8" w:firstLine="8"/>
        <w:spacing w:after="0" w:line="268" w:lineRule="auto"/>
        <w:tabs>
          <w:tab w:leader="none" w:pos="231"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Payment Date” shall mean the last calendar day (or, if such day is not a Business Day, the next Business Day thereafter) of each January, April, July and October, commencing on October 31, 1997.</w:t>
      </w:r>
    </w:p>
    <w:p>
      <w:pPr>
        <w:spacing w:after="0" w:line="118" w:lineRule="exact"/>
        <w:rPr>
          <w:rFonts w:ascii="Arial" w:cs="Arial" w:eastAsia="Arial" w:hAnsi="Arial"/>
          <w:sz w:val="18"/>
          <w:szCs w:val="18"/>
          <w:color w:val="auto"/>
        </w:rPr>
      </w:pPr>
    </w:p>
    <w:p>
      <w:pPr>
        <w:ind w:left="-8" w:right="80" w:firstLine="8"/>
        <w:spacing w:after="0" w:line="256" w:lineRule="auto"/>
        <w:tabs>
          <w:tab w:leader="none" w:pos="2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“Dividend Periods” shall mean quarterly dividend periods commencing on February 1, May 1, August 1 and November 1 of each year and ending on and including the day of the next succeeding Dividend Payment Date (other than the initial Dividend Period, which shall commence on the Issue Date, and other than the Dividend Period during which any Series A Preferred Shares shall be redeemed pursuant to Section 6.4.6, which shall end on and include the Call Date with respect to the Series A Preferred Shares being redeemed).</w:t>
      </w:r>
    </w:p>
    <w:p>
      <w:pPr>
        <w:spacing w:after="0" w:line="129" w:lineRule="exact"/>
        <w:rPr>
          <w:rFonts w:ascii="Arial" w:cs="Arial" w:eastAsia="Arial" w:hAnsi="Arial"/>
          <w:sz w:val="18"/>
          <w:szCs w:val="18"/>
          <w:color w:val="auto"/>
        </w:rPr>
      </w:pPr>
    </w:p>
    <w:p>
      <w:pPr>
        <w:ind w:left="-8" w:right="360" w:firstLine="8"/>
        <w:spacing w:after="0" w:line="259" w:lineRule="auto"/>
        <w:tabs>
          <w:tab w:leader="none" w:pos="2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“Fully Junior Shares” shall mean the Common Shares and any other class or series of shares of beneficial interest of the Trust now or hereafter issued and outstanding over which the Series A Preferred Shares has preference or priority in both (i) the payment of dividends and (ii) the distribution of assets on any liquidation, dissolution or winding up of the Trust.</w:t>
      </w:r>
    </w:p>
    <w:p>
      <w:pPr>
        <w:spacing w:after="0" w:line="126" w:lineRule="exact"/>
        <w:rPr>
          <w:rFonts w:ascii="Arial" w:cs="Arial" w:eastAsia="Arial" w:hAnsi="Arial"/>
          <w:sz w:val="18"/>
          <w:szCs w:val="18"/>
          <w:color w:val="auto"/>
        </w:rPr>
      </w:pPr>
    </w:p>
    <w:p>
      <w:pPr>
        <w:ind w:left="252" w:hanging="252"/>
        <w:spacing w:after="0"/>
        <w:tabs>
          <w:tab w:leader="none" w:pos="2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“Issue Date” shall mean the first date on which the pertinent Series A Preferred Shares are issued and sold.</w:t>
      </w:r>
    </w:p>
    <w:p>
      <w:pPr>
        <w:spacing w:after="0" w:line="157" w:lineRule="exact"/>
        <w:rPr>
          <w:rFonts w:ascii="Arial" w:cs="Arial" w:eastAsia="Arial" w:hAnsi="Arial"/>
          <w:sz w:val="18"/>
          <w:szCs w:val="18"/>
          <w:color w:val="auto"/>
        </w:rPr>
      </w:pPr>
    </w:p>
    <w:p>
      <w:pPr>
        <w:ind w:left="-8" w:right="340" w:firstLine="8"/>
        <w:spacing w:after="0" w:line="259" w:lineRule="auto"/>
        <w:tabs>
          <w:tab w:leader="none" w:pos="202" w:val="left"/>
        </w:tabs>
        <w:numPr>
          <w:ilvl w:val="0"/>
          <w:numId w:val="83"/>
        </w:numPr>
        <w:rPr>
          <w:rFonts w:ascii="Arial" w:cs="Arial" w:eastAsia="Arial" w:hAnsi="Arial"/>
          <w:sz w:val="18"/>
          <w:szCs w:val="18"/>
          <w:color w:val="auto"/>
        </w:rPr>
      </w:pPr>
      <w:r>
        <w:rPr>
          <w:rFonts w:ascii="Arial" w:cs="Arial" w:eastAsia="Arial" w:hAnsi="Arial"/>
          <w:sz w:val="18"/>
          <w:szCs w:val="18"/>
          <w:color w:val="auto"/>
        </w:rPr>
        <w:t>“Junior Shares” shall mean the Common Shares and any other class or series of shares of beneficial interest of the Trust now or hereafter issued and outstanding over which the Series A Preferred Shares has preference or priority in the payment of dividends or in the distribution of assets on any liquidation, dissolution or winding up of the Trust.</w:t>
      </w:r>
    </w:p>
    <w:p>
      <w:pPr>
        <w:spacing w:after="0" w:line="126" w:lineRule="exact"/>
        <w:rPr>
          <w:rFonts w:ascii="Arial" w:cs="Arial" w:eastAsia="Arial" w:hAnsi="Arial"/>
          <w:sz w:val="18"/>
          <w:szCs w:val="18"/>
          <w:color w:val="auto"/>
        </w:rPr>
      </w:pPr>
    </w:p>
    <w:p>
      <w:pPr>
        <w:ind w:left="212" w:hanging="212"/>
        <w:spacing w:after="0"/>
        <w:tabs>
          <w:tab w:leader="none" w:pos="2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“Parity Shares” shall have the meaning set forth in Section 6.4.8(b).</w:t>
      </w:r>
    </w:p>
    <w:p>
      <w:pPr>
        <w:spacing w:after="0" w:line="157" w:lineRule="exact"/>
        <w:rPr>
          <w:rFonts w:ascii="Arial" w:cs="Arial" w:eastAsia="Arial" w:hAnsi="Arial"/>
          <w:sz w:val="18"/>
          <w:szCs w:val="18"/>
          <w:color w:val="auto"/>
        </w:rPr>
      </w:pPr>
    </w:p>
    <w:p>
      <w:pPr>
        <w:ind w:left="252" w:hanging="252"/>
        <w:spacing w:after="0"/>
        <w:tabs>
          <w:tab w:leader="none" w:pos="2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“Preferred Shares” shall mean the preferred shares of the Trust, $.01 par value per share.</w:t>
      </w:r>
    </w:p>
    <w:p>
      <w:pPr>
        <w:spacing w:after="0" w:line="157" w:lineRule="exact"/>
        <w:rPr>
          <w:rFonts w:ascii="Arial" w:cs="Arial" w:eastAsia="Arial" w:hAnsi="Arial"/>
          <w:sz w:val="18"/>
          <w:szCs w:val="18"/>
          <w:color w:val="auto"/>
        </w:rPr>
      </w:pPr>
    </w:p>
    <w:p>
      <w:pPr>
        <w:ind w:left="212" w:hanging="212"/>
        <w:spacing w:after="0"/>
        <w:tabs>
          <w:tab w:leader="none" w:pos="2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“Series A Preferred Shares” shall have the meaning set forth in Section 6.1.</w:t>
      </w:r>
    </w:p>
    <w:p>
      <w:pPr>
        <w:spacing w:after="0" w:line="157" w:lineRule="exact"/>
        <w:rPr>
          <w:rFonts w:ascii="Arial" w:cs="Arial" w:eastAsia="Arial" w:hAnsi="Arial"/>
          <w:sz w:val="18"/>
          <w:szCs w:val="18"/>
          <w:color w:val="auto"/>
        </w:rPr>
      </w:pPr>
    </w:p>
    <w:p>
      <w:pPr>
        <w:ind w:left="-8" w:right="160" w:firstLine="8"/>
        <w:spacing w:after="0" w:line="291" w:lineRule="auto"/>
        <w:tabs>
          <w:tab w:leader="none" w:pos="289"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“Set apart for payment” shall be deemed to include, without any action other than the following, the recording by the Trust in its accounting ledgers of any accounting or bookkeeping entry which indicates, pursuant to a declaration of dividends or other distribution by the Board of Trustees, the allocation of funds to be so paid on any series or class of shares of beneficial interest of the Trust; provided, however, that if any funds for any class or series of Junior Shares or Fully Junior Shares or any class or series of shares of beneficial interest ranking on a parity with the Series A Preferred Shares as to the payment of dividends are placed in a separate account of the Trust or delivered to a disbursing, paying or other similar agent, then “set apart for payment” with respect to the Series A Preferred Shares shall mean placing such funds in such separate account or delivering such funds to a disbursing, paying or other similar agent.</w:t>
      </w:r>
    </w:p>
    <w:p>
      <w:pPr>
        <w:spacing w:after="0" w:line="106" w:lineRule="exact"/>
        <w:rPr>
          <w:rFonts w:ascii="Arial" w:cs="Arial" w:eastAsia="Arial" w:hAnsi="Arial"/>
          <w:sz w:val="16"/>
          <w:szCs w:val="16"/>
          <w:color w:val="auto"/>
        </w:rPr>
      </w:pPr>
    </w:p>
    <w:p>
      <w:pPr>
        <w:ind w:left="252" w:hanging="252"/>
        <w:spacing w:after="0"/>
        <w:tabs>
          <w:tab w:leader="none" w:pos="2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“Total Dividends” shall have the meaning set forth in Section 6.4.3(d).</w:t>
      </w:r>
    </w:p>
    <w:p>
      <w:pPr>
        <w:spacing w:after="0" w:line="157" w:lineRule="exact"/>
        <w:rPr>
          <w:rFonts w:ascii="Arial" w:cs="Arial" w:eastAsia="Arial" w:hAnsi="Arial"/>
          <w:sz w:val="18"/>
          <w:szCs w:val="18"/>
          <w:color w:val="auto"/>
        </w:rPr>
      </w:pPr>
    </w:p>
    <w:p>
      <w:pPr>
        <w:ind w:left="-8" w:right="60" w:firstLine="8"/>
        <w:spacing w:after="0" w:line="268" w:lineRule="auto"/>
        <w:tabs>
          <w:tab w:leader="none" w:pos="24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“Transfer Agent” means American Stock Transfer &amp; Trust Company, or such other agent or agents of the Trust as may be designated by the Board of Trustees or their designee as the transfer agent, registrar and dividend disbursing agent for the Series A Preferred Shares.</w:t>
      </w:r>
    </w:p>
    <w:p>
      <w:pPr>
        <w:spacing w:after="0" w:line="2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12"/>
          </w:cols>
          <w:pgMar w:left="248" w:top="28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6.4.3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87" w:lineRule="auto"/>
        <w:tabs>
          <w:tab w:leader="none" w:pos="23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holders of Series A Preferred Shares shall be entitled to receive, when, as and if authorized by the Board of Trustees out of funds legally available for that purpose, cumulative, preferential dividends payable in cash at the rate of $1.9875 per annum per share. Such dividend shall begin to accrue and shall be fully cumulative from the Issue Date, whether or not in any Dividend Period or Periods there shall be funds of the Trust legally available for the payment of such dividends, and shall be payable quarterly, when, as and if authorized by the Board of Trustees, in arrears on Dividend Payment Dates, commencing on the first Dividend Payment Date after the Issue Date. Such dividends shall be payable in arrears to the holders of record of Series A Preferred Shares, as they appear on the stock records of the Trust at the close of business on the record date, not more than 50 nor less than 10 days preceding the relevant Dividend Payment Date, as shall be fixed by the Board of Trustees. Accrued and unpaid dividends for any past Dividend Periods may be declared and paid on any date and for such interim periods, without reference to any regular Dividend Payment Date, to holders of record on such date, not exceeding 50 days preceding the payment date thereof, as may be fixed by the Board of Trustees. Any dividend payment made on the Series A Preferred Shares shall first be credited against the earliest accrued but unpaid dividend due with respect to the Series A Preferred Shares which remains payable.</w:t>
      </w:r>
    </w:p>
    <w:p>
      <w:pPr>
        <w:spacing w:after="0" w:line="109" w:lineRule="exact"/>
        <w:rPr>
          <w:rFonts w:ascii="Arial" w:cs="Arial" w:eastAsia="Arial" w:hAnsi="Arial"/>
          <w:sz w:val="16"/>
          <w:szCs w:val="16"/>
          <w:color w:val="auto"/>
        </w:rPr>
      </w:pPr>
    </w:p>
    <w:p>
      <w:pPr>
        <w:ind w:right="40" w:firstLine="8"/>
        <w:spacing w:after="0" w:line="254" w:lineRule="auto"/>
        <w:tabs>
          <w:tab w:leader="none" w:pos="2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dividends referred to in Section 6.4.3(a) payable for each full Dividend Period for the Series A Preferred Shares shall be computed by dividing the annual dividend rate by four, except that the amount of dividends payable for the initial Dividend Period, and for any Dividend Period shorter than a full Dividend Period, for the Series A Preferred Shares shall be computed on the basis of the actual number of days in such Dividend Period. Holders of Series A Preferred Shares shall not be entitled to any dividends, whether payable in cash, property or shares of stock, in excess of cumulative dividends, as herein provided, on the Series A Preferred Shares. No interest, or sum of money in lieu of interest, shall be payable in respect of any dividend payment or payments on the Series A Preferred Shares that may be in arrears.</w:t>
      </w:r>
    </w:p>
    <w:p>
      <w:pPr>
        <w:spacing w:after="0" w:line="130" w:lineRule="exact"/>
        <w:rPr>
          <w:rFonts w:ascii="Arial" w:cs="Arial" w:eastAsia="Arial" w:hAnsi="Arial"/>
          <w:sz w:val="18"/>
          <w:szCs w:val="18"/>
          <w:color w:val="auto"/>
        </w:rPr>
      </w:pPr>
    </w:p>
    <w:p>
      <w:pPr>
        <w:ind w:right="140" w:firstLine="8"/>
        <w:spacing w:after="0" w:line="268" w:lineRule="auto"/>
        <w:tabs>
          <w:tab w:leader="none" w:pos="239"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Dividends on Series A Preferred Shares will accrue whether or not the Trust has earnings, whether or not there are funds legally available for the payment of such dividends and whether or not such dividends are declared.</w:t>
      </w:r>
    </w:p>
    <w:p>
      <w:pPr>
        <w:spacing w:after="0" w:line="118" w:lineRule="exact"/>
        <w:rPr>
          <w:rFonts w:ascii="Arial" w:cs="Arial" w:eastAsia="Arial" w:hAnsi="Arial"/>
          <w:sz w:val="18"/>
          <w:szCs w:val="18"/>
          <w:color w:val="auto"/>
        </w:rPr>
      </w:pPr>
    </w:p>
    <w:p>
      <w:pPr>
        <w:ind w:right="120" w:firstLine="8"/>
        <w:spacing w:after="0" w:line="298" w:lineRule="auto"/>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for any taxable year, the Trust elects to designate as “capital gain dividends” (as defined in Section 857 of the Code) any portion (the “Capital Gains Amount”) of the total dividends (within the meaning of the Code) paid or made available for the year to holders of all classes of shares of beneficial interest (the “Total Dividends”), then the portion of the Capital Gains Amount that shall be allocated to holders of Series A Preferred Shares shall be in the same portion that the Total Dividends paid or made available to the holders of Series A Preferred Shares for the year bears to the Total Dividends.</w:t>
      </w:r>
    </w:p>
    <w:p>
      <w:pPr>
        <w:spacing w:after="0" w:line="99" w:lineRule="exact"/>
        <w:rPr>
          <w:rFonts w:ascii="Arial" w:cs="Arial" w:eastAsia="Arial" w:hAnsi="Arial"/>
          <w:sz w:val="16"/>
          <w:szCs w:val="16"/>
          <w:color w:val="auto"/>
        </w:rPr>
      </w:pPr>
    </w:p>
    <w:p>
      <w:pPr>
        <w:ind w:right="60" w:firstLine="8"/>
        <w:spacing w:after="0" w:line="298" w:lineRule="auto"/>
        <w:tabs>
          <w:tab w:leader="none" w:pos="239" w:val="left"/>
        </w:tabs>
        <w:numPr>
          <w:ilvl w:val="0"/>
          <w:numId w:val="84"/>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except as described in the immediately following sentence, shall be declared or paid or set apart for payment on any class or series of Parity Shares for any period unless full cumulative dividends have been or contemporaneously are declared and paid or declared and a sum sufficient for the payment thereof set apart for such payment on the Series A Preferred Shares for all Dividend Periods terminating on or prior to the dividend payment date for such class or series of Parity Shares.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00"/>
          </w:cols>
          <w:pgMar w:left="240" w:top="280" w:right="259" w:bottom="1440" w:gutter="0" w:footer="0" w:header="0"/>
        </w:sectPr>
      </w:pPr>
    </w:p>
    <w:bookmarkStart w:id="75" w:name="page76"/>
    <w:bookmarkEnd w:id="75"/>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dividends are not paid in full or a sum sufficient for such payment is not set apart, as aforesaid, all dividends declared upon Series A Preferred Shares and all dividends declared upon any other class or series of Parity Shares shall be declared ratably in proportion to the respective amounts of dividends accumulated and unpaid on the Series A Preferred Shares and accumulated and unpaid on such Parity Shares.</w:t>
      </w:r>
    </w:p>
    <w:p>
      <w:pPr>
        <w:spacing w:after="0" w:line="93" w:lineRule="exact"/>
        <w:rPr>
          <w:sz w:val="20"/>
          <w:szCs w:val="20"/>
          <w:color w:val="auto"/>
        </w:rPr>
      </w:pPr>
    </w:p>
    <w:p>
      <w:pPr>
        <w:ind w:right="40" w:firstLine="8"/>
        <w:spacing w:after="0" w:line="287" w:lineRule="auto"/>
        <w:tabs>
          <w:tab w:leader="none" w:pos="219" w:val="left"/>
        </w:tabs>
        <w:numPr>
          <w:ilvl w:val="0"/>
          <w:numId w:val="85"/>
        </w:numPr>
        <w:rPr>
          <w:rFonts w:ascii="Arial" w:cs="Arial" w:eastAsia="Arial" w:hAnsi="Arial"/>
          <w:sz w:val="16"/>
          <w:szCs w:val="16"/>
          <w:color w:val="auto"/>
        </w:rPr>
      </w:pPr>
      <w:r>
        <w:rPr>
          <w:rFonts w:ascii="Arial" w:cs="Arial" w:eastAsia="Arial" w:hAnsi="Arial"/>
          <w:sz w:val="16"/>
          <w:szCs w:val="16"/>
          <w:color w:val="auto"/>
        </w:rPr>
        <w:t>So long as any Series A Preferred Shares are outstanding, no dividends (other than dividends or distributions paid solely in shares of, or options, warrants or rights to subscribe for or purchase shares of, Fully Junior Shares) shall be declared or paid or set apart for payment or other distribution declared or made upon Junior Shares or Fully Junior Shares, nor shall any Junior Shares or Fully Junior Shares be redeemed, purchased or otherwise acquired (other than a redemption, purchase or other acquisition of Common Shares made for purposes of any employee incentive or benefit plan of the Trust or any subsidiary) for any consideration (or any moneys be paid to or made available for a sinking fund for the redemption of any such shares) by the Trust, directly or indirectly (except by conversion into or exchange for shares of Fully Junior Shares), unless in each case (i) the full cumulative dividends on all outstanding Series A Preferred Shares and any other Parity Shares of the Trust shall have been or contemporaneously are declared and paid or declared and set apart for payment for all past Dividend Periods with respect to the Series A Preferred Shares and all past dividend periods with respect to such Parity Shares and (ii) sufficient funds shall have been or contemporaneously are declared and paid or declared and set apart for the payment of the dividend for the current Dividend Period with respect to the Series A Preferred Shares and the current dividend period with respect to such Parity Shares.</w:t>
      </w:r>
    </w:p>
    <w:p>
      <w:pPr>
        <w:spacing w:after="0" w:line="109" w:lineRule="exact"/>
        <w:rPr>
          <w:rFonts w:ascii="Arial" w:cs="Arial" w:eastAsia="Arial" w:hAnsi="Arial"/>
          <w:sz w:val="16"/>
          <w:szCs w:val="16"/>
          <w:color w:val="auto"/>
        </w:rPr>
      </w:pPr>
    </w:p>
    <w:p>
      <w:pPr>
        <w:ind w:right="60" w:firstLine="8"/>
        <w:spacing w:after="0" w:line="256" w:lineRule="auto"/>
        <w:tabs>
          <w:tab w:leader="none" w:pos="2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dividends on Series A Preferred Shares shall be authorized by the Board of Trustees or paid or set apart for payment by the Trust at such time as the terms and provisions of any agreement of the Trust,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77" w:lineRule="exact"/>
        <w:rPr>
          <w:sz w:val="20"/>
          <w:szCs w:val="20"/>
          <w:color w:val="auto"/>
        </w:rPr>
      </w:pPr>
    </w:p>
    <w:p>
      <w:pPr>
        <w:ind w:firstLine="8"/>
        <w:spacing w:after="0" w:line="288" w:lineRule="auto"/>
        <w:tabs>
          <w:tab w:leader="none" w:pos="239"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Trust, whether voluntary or involuntary, before any payment or distribution of the assets of the Trust (whether capital or surplus) shall be made to or set apart for the holders of Junior Shares, the holders of the Series A Preferred Shares shall be entitled to receive Twenty Five Dollars ($25.00) per share of Series A Preferred Shares plus an amount equal to all dividends (whether or not earned or declared) accrued and unpaid thereon to the date of final distribution to such holders; but such holders shall not be entitled to any further payment. If, upon any liquidation, dissolution or winding up of the Trust, the assets of the Trust, or proceeds thereof, distributable among the holders of the Series A Preferred Shares shall be insufficient to pay in full the preferential amount aforesaid and liquidating payments on any other shares of any class or series of Parity Shares, then such assets, or the proceeds thereof, shall be distributed among the holders of the Series A Preferred Shares and any such other Parity Shares ratably in accordance with the respective amounts that would be payable on such Series A Preferred Shares and any such other Parity Shares if all amounts payable thereon were paid in full. For the purposes of this Section 6.4.4, (i) a consolidation or merger of the Trust with one or more corporations, real estate investment trusts, or other entities,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00"/>
          </w:cols>
          <w:pgMar w:left="240" w:top="280" w:right="259" w:bottom="1440" w:gutter="0" w:footer="0" w:header="0"/>
        </w:sectPr>
      </w:pPr>
    </w:p>
    <w:bookmarkStart w:id="76" w:name="page77"/>
    <w:bookmarkEnd w:id="76"/>
    <w:p>
      <w:pPr>
        <w:ind w:right="120" w:firstLine="8"/>
        <w:spacing w:after="0" w:line="268" w:lineRule="auto"/>
        <w:tabs>
          <w:tab w:leader="none" w:pos="258"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sale, lease or transfer of all or substantially all of the Trust’s assets, or (iii) a statutory share exchange shall not be deemed to be a liquidation, dissolution or winding up, voluntary or involuntary, of the Trust.</w:t>
      </w:r>
    </w:p>
    <w:p>
      <w:pPr>
        <w:spacing w:after="0" w:line="118" w:lineRule="exact"/>
        <w:rPr>
          <w:sz w:val="20"/>
          <w:szCs w:val="20"/>
          <w:color w:val="auto"/>
        </w:rPr>
      </w:pPr>
    </w:p>
    <w:p>
      <w:pPr>
        <w:ind w:right="80" w:firstLine="8"/>
        <w:spacing w:after="0" w:line="255" w:lineRule="auto"/>
        <w:tabs>
          <w:tab w:leader="none" w:pos="249"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the rights of the holders of shares of any series or class of beneficial interest ranking on a parity with or prior to the Series A Preferred Shares upon liquidation, dissolution or winding up, upon any liquidation, dissolution or winding up of the Trust, after payment shall have been made in full to the holders of the Series A Preferred Shares, as provided in this Section 6.4.4, any other series or class of Junior Shares or Fully Junior Shares shall, subject to the respective terms and provisions (if any) applying thereto, be entitled to receive any and all assets remaining to be paid or distributed, and the holders of the Series A Preferred Shares shall not be entitled to share therein.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6.4.5 </w:t>
      </w:r>
      <w:r>
        <w:rPr>
          <w:rFonts w:ascii="Arial" w:cs="Arial" w:eastAsia="Arial" w:hAnsi="Arial"/>
          <w:sz w:val="18"/>
          <w:szCs w:val="18"/>
          <w:u w:val="single" w:color="auto"/>
          <w:color w:val="auto"/>
        </w:rPr>
        <w:t>Conversion</w:t>
      </w:r>
      <w:r>
        <w:rPr>
          <w:rFonts w:ascii="Arial" w:cs="Arial" w:eastAsia="Arial" w:hAnsi="Arial"/>
          <w:sz w:val="18"/>
          <w:szCs w:val="18"/>
          <w:color w:val="auto"/>
        </w:rPr>
        <w:t>. The Series A Preferred Shares are not convertible or exchangeable for any other property or securities of the Trust.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6.4.6 </w:t>
      </w:r>
      <w:r>
        <w:rPr>
          <w:rFonts w:ascii="Arial" w:cs="Arial" w:eastAsia="Arial" w:hAnsi="Arial"/>
          <w:sz w:val="18"/>
          <w:szCs w:val="18"/>
          <w:u w:val="single" w:color="auto"/>
          <w:color w:val="auto"/>
        </w:rPr>
        <w:t>Redemption at the Option of the Trust</w:t>
      </w:r>
      <w:r>
        <w:rPr>
          <w:rFonts w:ascii="Arial" w:cs="Arial" w:eastAsia="Arial" w:hAnsi="Arial"/>
          <w:sz w:val="18"/>
          <w:szCs w:val="18"/>
          <w:color w:val="auto"/>
        </w:rPr>
        <w:t>.</w:t>
      </w:r>
    </w:p>
    <w:p>
      <w:pPr>
        <w:spacing w:after="0" w:line="77" w:lineRule="exact"/>
        <w:rPr>
          <w:sz w:val="20"/>
          <w:szCs w:val="20"/>
          <w:color w:val="auto"/>
        </w:rPr>
      </w:pPr>
    </w:p>
    <w:p>
      <w:pPr>
        <w:ind w:right="340" w:firstLine="8"/>
        <w:spacing w:after="0" w:line="259" w:lineRule="auto"/>
        <w:tabs>
          <w:tab w:leader="none" w:pos="23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Series A Preferred Shares shall not be redeemable by the Trust prior to October 6, 2002. On and after October 6, 2002, the Trust, at its option, may redeem the Series A Preferred Shares, in whole or in part at any time or from time to time, at a redemption price of Twenty-Five Dollars ($25.00) per share of Series A Preferred Shares, plus the amounts indicated in Section (b).</w:t>
      </w:r>
    </w:p>
    <w:p>
      <w:pPr>
        <w:spacing w:after="0" w:line="126" w:lineRule="exact"/>
        <w:rPr>
          <w:rFonts w:ascii="Arial" w:cs="Arial" w:eastAsia="Arial" w:hAnsi="Arial"/>
          <w:sz w:val="18"/>
          <w:szCs w:val="18"/>
          <w:color w:val="auto"/>
        </w:rPr>
      </w:pPr>
    </w:p>
    <w:p>
      <w:pPr>
        <w:ind w:firstLine="8"/>
        <w:spacing w:after="0" w:line="254"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any redemption of the Series A Preferred Shares pursuant to this Section 6.4.6, the Trust shall pay all accrued and unpaid dividends, if any, thereon ending on or prior to the date of such redemption (the “Call Date”), without interest. If the Call Date falls after a dividend payment record date and prior to the corresponding Dividend Payment Date, then each holder of Series A Preferred Shares at the close of business on such dividend payment record date shall be entitled to the dividend payable on such shares on the corresponding Dividend Payment Date notwithstanding the redemption of such shares before such Dividend Payment Date. Except as provided above, the Trust shall make no payment or allowance for unpaid dividends, whether or not in arrears, on shares of Series A Preferred Shares called for redemption.</w:t>
      </w:r>
    </w:p>
    <w:p>
      <w:pPr>
        <w:spacing w:after="0" w:line="130" w:lineRule="exact"/>
        <w:rPr>
          <w:rFonts w:ascii="Arial" w:cs="Arial" w:eastAsia="Arial" w:hAnsi="Arial"/>
          <w:sz w:val="18"/>
          <w:szCs w:val="18"/>
          <w:color w:val="auto"/>
        </w:rPr>
      </w:pPr>
    </w:p>
    <w:p>
      <w:pPr>
        <w:jc w:val="both"/>
        <w:ind w:right="300" w:firstLine="8"/>
        <w:spacing w:after="0" w:line="298" w:lineRule="auto"/>
        <w:tabs>
          <w:tab w:leader="none" w:pos="239"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full cumulative dividends on the Series A Preferred Shares and any other class or series of Parity Shares of the Trust have not been declared and paid or declared and set apart for payment, the Series A Preferred Shares or Parity Shares may not be redeemed under this Section 6.4.6 in part and the Trust may not purchase or acquire the Series A Preferred Shares or any Parity Shares, otherwise than pursuant to a purchase or exchange offer made on the same terms to all holders of Series A Preferred Shares or Parity Shares, as the case may be.</w:t>
      </w:r>
    </w:p>
    <w:p>
      <w:pPr>
        <w:spacing w:after="0" w:line="99" w:lineRule="exact"/>
        <w:rPr>
          <w:rFonts w:ascii="Arial" w:cs="Arial" w:eastAsia="Arial" w:hAnsi="Arial"/>
          <w:sz w:val="16"/>
          <w:szCs w:val="16"/>
          <w:color w:val="auto"/>
        </w:rPr>
      </w:pPr>
    </w:p>
    <w:p>
      <w:pPr>
        <w:ind w:right="80" w:firstLine="8"/>
        <w:spacing w:after="0" w:line="255" w:lineRule="auto"/>
        <w:tabs>
          <w:tab w:leader="none" w:pos="249"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Notice of the redemption of any Series A Preferred Shares under this Section 6.4.6 shall be mailed by first-class mail to each holder of record of Series A Preferred Shares to be redeemed at the address of each such holder as shown on the Trust’s records, not less than 30 nor more than 90 days prior to the Call Date. Neither the failure to mail any notice required by this Section 6.4.6(d), nor any defect therein or in the mailing thereof, to any particular holder, shall affect the sufficiency of the notice or the validity of the proceedings for redemption with respect to the other holders. Any notice which was mailed in the manner herein provided shall be conclusively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80" w:right="239" w:bottom="1440" w:gutter="0" w:footer="0" w:header="0"/>
        </w:sectPr>
      </w:pPr>
    </w:p>
    <w:bookmarkStart w:id="77" w:name="page78"/>
    <w:bookmarkEnd w:id="7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presumed to have been duly given on the date mailed whether or not the holder receives the notice. Each such mailed notice shall state, as appropriate: (1) the Call Date; (2) the number of shares of Series A Preferred Shares to be redeemed and, if fewer than all the shares held by such holder are to be redeemed, the number of such shares to be redeemed from such holder; (3) the redemption price per share; (4) the place or places at which certificates for such shares are to be surrendered; and (5) that dividends on the shares to be redeemed shall cease to accrue on such Call Date except as otherwise provided herein. Notice having been mailed as aforesaid, from and after the Call Date (unless the Trust shall fail to make available an amount of cash necessary to effect such redemption), (i) except as otherwise provided herein, dividends on the Series A Preferred Shares so called for redemption shall cease to accrue, (ii) shares of such Series A Preferred Shares shall no longer be deemed to be outstanding, and (iii) all rights of the holders thereof as holders of Series A Preferred Shares of the Trust shall cease (except the right to receive cash payable under such redemption, without interest thereon, upon surrender and endorsement of their certificates if so required and to receive any dividends payable thereon). The Trust’s obligation to provide cash in accordance with the preceding sentence shall be deemed fulfilled if, on or before the Call Date, the Trust shall deposit with a bank or trust company (which may be an affiliate of the Trust) that has an office in Maryland and that has, or is an affiliate of a bank or trust company that has, capital and surplus of at least $50,000,000, the amount of cash necessary for such redemption, in trust, with irrevocable instructions that such cash be applied to the redemption of the Series A Preferred Shares so called for redemption. No interest shall accrue for the benefit of the holders of Series A Preferred Shares to be redeemed on any cash so set aside by the Trust. Subject to applicable escheat laws, any such cash unclaimed at the end of two years from the Call Date shall revert to the general funds of the Trust, after which reversion the holders of such shares so called for redemption shall look only to the general funds of the Trust for the payment of such cash.</w:t>
      </w:r>
    </w:p>
    <w:p>
      <w:pPr>
        <w:spacing w:after="0" w:line="11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As promptly as practicable after the surrender in accordance with said notice of the certificates for any such shares so redeemed (properly endorsed or assigned for transfer, if the Trust shall so require and if the notice shall so state), such shares shall be exchanged for any cash (without interest thereon) for which such shares have been redeemed. If fewer than all the outstanding Series A Preferred Shares are to be redeemed, shares to be redeemed shall be selected by the Trust from outstanding Series A Preferred Shares not previously called for redemption by lot or pro rata (as nearly as may be) or by any other method determined by the Trust in its sole discretion to be equitable. If fewer than all the Series A Preferred Shares represented by any certificate are redeemed, then new certificates representing the unredeemed shares shall be issued without cost to the holder thereof.</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Section 6.4.7 </w:t>
      </w:r>
      <w:r>
        <w:rPr>
          <w:rFonts w:ascii="Arial" w:cs="Arial" w:eastAsia="Arial" w:hAnsi="Arial"/>
          <w:sz w:val="18"/>
          <w:szCs w:val="18"/>
          <w:u w:val="single" w:color="auto"/>
          <w:color w:val="auto"/>
        </w:rPr>
        <w:t>Shares to be Retired</w:t>
      </w:r>
      <w:r>
        <w:rPr>
          <w:rFonts w:ascii="Arial" w:cs="Arial" w:eastAsia="Arial" w:hAnsi="Arial"/>
          <w:sz w:val="18"/>
          <w:szCs w:val="18"/>
          <w:color w:val="auto"/>
        </w:rPr>
        <w:t>. All Series A Preferred Shares which shall have been issued and reacquired in any manner by the Trust shall be restored to the status of authorized but unissued Preferred Shares, without designation as to class or series.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6.4.8 </w:t>
      </w:r>
      <w:r>
        <w:rPr>
          <w:rFonts w:ascii="Arial" w:cs="Arial" w:eastAsia="Arial" w:hAnsi="Arial"/>
          <w:sz w:val="18"/>
          <w:szCs w:val="18"/>
          <w:u w:val="single" w:color="auto"/>
          <w:color w:val="auto"/>
        </w:rPr>
        <w:t>Ranking</w:t>
      </w:r>
      <w:r>
        <w:rPr>
          <w:rFonts w:ascii="Arial" w:cs="Arial" w:eastAsia="Arial" w:hAnsi="Arial"/>
          <w:sz w:val="18"/>
          <w:szCs w:val="18"/>
          <w:color w:val="auto"/>
        </w:rPr>
        <w:t>. Any class or series of shares of beneficial interest of the Trust shall be deemed to rank:</w:t>
      </w:r>
    </w:p>
    <w:p>
      <w:pPr>
        <w:spacing w:after="0" w:line="77" w:lineRule="exact"/>
        <w:rPr>
          <w:sz w:val="20"/>
          <w:szCs w:val="20"/>
          <w:color w:val="auto"/>
        </w:rPr>
      </w:pPr>
    </w:p>
    <w:p>
      <w:pPr>
        <w:ind w:firstLine="8"/>
        <w:spacing w:after="0" w:line="259" w:lineRule="auto"/>
        <w:tabs>
          <w:tab w:leader="none" w:pos="239"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prior to the Series A Preferred Shares,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Shares;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80" w:right="279" w:bottom="1440" w:gutter="0" w:footer="0" w:header="0"/>
        </w:sectPr>
      </w:pPr>
    </w:p>
    <w:bookmarkStart w:id="78" w:name="page79"/>
    <w:bookmarkEnd w:id="78"/>
    <w:p>
      <w:pPr>
        <w:ind w:right="160" w:firstLine="8"/>
        <w:spacing w:after="0" w:line="294"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a parity with the Series A Preferred Shares, as to the payment of dividends and as to distribution of assets upon liquidation, dissolution or winding up, whether or not the dividend rates, dividend payment dates or redemption or liquidation prices per share thereof be different from those of the Series A Preferred Shares, if the holders of such class or series of shares and the Series A Preferred Shares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(“Parity Shares”);</w:t>
      </w:r>
    </w:p>
    <w:p>
      <w:pPr>
        <w:spacing w:after="0" w:line="102" w:lineRule="exact"/>
        <w:rPr>
          <w:rFonts w:ascii="Arial" w:cs="Arial" w:eastAsia="Arial" w:hAnsi="Arial"/>
          <w:sz w:val="16"/>
          <w:szCs w:val="16"/>
          <w:color w:val="auto"/>
        </w:rPr>
      </w:pPr>
    </w:p>
    <w:p>
      <w:pPr>
        <w:ind w:right="240" w:firstLine="8"/>
        <w:spacing w:after="0" w:line="268" w:lineRule="auto"/>
        <w:tabs>
          <w:tab w:leader="none" w:pos="2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or as to the distribution of assets upon liquidation, dissolution or winding up, if such shares shall be Junior Shares; and</w:t>
      </w:r>
    </w:p>
    <w:p>
      <w:pPr>
        <w:spacing w:after="0" w:line="118" w:lineRule="exact"/>
        <w:rPr>
          <w:rFonts w:ascii="Arial" w:cs="Arial" w:eastAsia="Arial" w:hAnsi="Arial"/>
          <w:sz w:val="18"/>
          <w:szCs w:val="18"/>
          <w:color w:val="auto"/>
        </w:rPr>
      </w:pPr>
    </w:p>
    <w:p>
      <w:pPr>
        <w:ind w:right="120" w:firstLine="8"/>
        <w:spacing w:after="0" w:line="268" w:lineRule="auto"/>
        <w:tabs>
          <w:tab w:leader="none" w:pos="249" w:val="left"/>
        </w:tabs>
        <w:numPr>
          <w:ilvl w:val="0"/>
          <w:numId w:val="91"/>
        </w:numPr>
        <w:rPr>
          <w:rFonts w:ascii="Arial" w:cs="Arial" w:eastAsia="Arial" w:hAnsi="Arial"/>
          <w:sz w:val="18"/>
          <w:szCs w:val="18"/>
          <w:color w:val="auto"/>
        </w:rPr>
      </w:pPr>
      <w:r>
        <w:rPr>
          <w:rFonts w:ascii="Arial" w:cs="Arial" w:eastAsia="Arial" w:hAnsi="Arial"/>
          <w:sz w:val="18"/>
          <w:szCs w:val="18"/>
          <w:color w:val="auto"/>
        </w:rPr>
        <w:t>junior to the Series A Preferred Shares, as to the payment of dividends and as to the distribution of assets upon liquidation, dissolution or winding up, if such shares shall be Fully Junior Shares.</w:t>
      </w:r>
    </w:p>
    <w:p>
      <w:pPr>
        <w:spacing w:after="0" w:line="11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Section 6.4.9 </w:t>
      </w:r>
      <w:r>
        <w:rPr>
          <w:rFonts w:ascii="Arial" w:cs="Arial" w:eastAsia="Arial" w:hAnsi="Arial"/>
          <w:sz w:val="15"/>
          <w:szCs w:val="15"/>
          <w:u w:val="single" w:color="auto"/>
          <w:color w:val="auto"/>
        </w:rPr>
        <w:t>Voting</w:t>
      </w:r>
      <w:r>
        <w:rPr>
          <w:rFonts w:ascii="Arial" w:cs="Arial" w:eastAsia="Arial" w:hAnsi="Arial"/>
          <w:sz w:val="15"/>
          <w:szCs w:val="15"/>
          <w:color w:val="auto"/>
        </w:rPr>
        <w:t>. If and whenever six consecutive quarterly dividends payable on the Series A Preferred Shares or any series or class of Parity Shares shall be in arrears (which shall, with respect to any such quarterly dividend, mean that any such dividend has not been paid in full), whether or not declared, the number of trustees then constituting the Board of Trustees shall be increased by two, and the holders of Series A Preferred Shares, together with the holders of shares of every other series of Parity Shares, voting as a single class regardless of series, shall be entitled to elect the two additional trustees to serve on the Board of Trustees at any annual meeting of shareholders or special meeting held in place thereof, or at a special meeting of the holders of the Series A Preferred Shares and the Parity Shares called as hereinafter provided. Whenever all arrears in dividends on the Series A Preferred Shares and the Parity Shares then outstanding shall have been paid and dividends thereon for the current quarterly dividend period shall have been paid or declared and set apart for payment, then the right of the holders of the Series A Preferred Shares and the Parity Shares to elect such additional two trustees shall immediately cease (but subject always to the same provision for the vesting of such voting rights in the case of any similar future arrearages in six consecutive quarterly dividends), and the terms of office of all persons elected as trustees by the holders of the Series A Preferred Shares and the Parity Shares shall immediately terminate and the number of the Board of Trustees shall be reduced accordingly. At any time after such voting rights shall have been so vested in the holders of Series A Preferred Shares and the Parity Shares, the secretary of the Trust may, and upon the written request of any holder of Series A Preferred Shares (addressed to the secretary at the principal office of the Trust) shall, call a special meeting of the holders of the Series A Preferred Shares and of the Parity Shares for the election of the two trustees to be elected by them as herein provided, such call to be made by notice similar to that provided in the Bylaws of the Trust for a special meeting of the shareholders or as required by law. If any such special meeting required to be called as above provided shall not be called by the secretary within 20 days after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79" w:name="page80"/>
    <w:bookmarkEnd w:id="7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receipt of any such request, then any holder of Series A Preferred Shares may call such meeting, upon the notice above provided, and for that purpose shall have access to the share records of the Trust. The trustees elected at any such special meeting shall hold office until the next annual meeting of the shareholders or special meeting held in lieu thereof if such office shall not have previously terminated as above provided. If any vacancy shall occur among the trustees elected by the holders of the Series A Preferred Shares and the Parity Shares, a successor shall be elected by the Board of Trustees, upon the nomination of the then remaining trustee elected by the holders of the Series A Preferred Shares and the Parity Shares or the successor of such remaining trustee, to serve until the next annual meeting of the shareholders or special meeting held in place thereof if such office shall not have previously terminated as provided above.</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So long as any Series A Preferred Shares are outstanding, in addition to any other vote or consent of shareholders required by law or by the Declaration, the affirmative vote of at least 66-2/3% of the votes entitled to be cast by the holders of the Series A Preferred Shares and the Parity Shares, at the time outstanding, acting as a single class regardless of series, given in person or by proxy, either in writing without a meeting or by vote at any meeting called for the purpose, shall be necessary for effecting or validating:</w:t>
      </w:r>
    </w:p>
    <w:p>
      <w:pPr>
        <w:spacing w:after="0" w:line="49" w:lineRule="exact"/>
        <w:rPr>
          <w:sz w:val="20"/>
          <w:szCs w:val="20"/>
          <w:color w:val="auto"/>
        </w:rPr>
      </w:pPr>
    </w:p>
    <w:p>
      <w:pPr>
        <w:ind w:left="460" w:firstLine="4"/>
        <w:spacing w:after="0" w:line="287" w:lineRule="auto"/>
        <w:tabs>
          <w:tab w:leader="none" w:pos="699"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amendment, alteration or repeal of any of the provisions of the Declaration that materially and adversely affects the voting powers, rights or preferences of the holders of the Series A Preferred Shares or the Parity Shares; provided, however, that the amendment of the provisions of the Declaration so as to authorize or create or to increase the authorized amount of shares of any class of any Fully Junior Shares or Junior Shares that are not senior in any respect to the Series A Preferred Shares, or any shares of any class ranking on a parity with the Series A Preferred Shares or the Parity Shares, shall not be deemed to materially adversely affect the voting powers, rights or preferences of the holders of Series A Preferred Shares; and provided further, that if any such amendment, alteration or repeal would materially and adversely affect any voting powers, rights or preferences of the Series A Preferred Shares or another series of Parity Shares that are not enjoyed by some or all of the other series otherwise entitled to vote in accordance herewith, the affirmative vote of at least 66-2/3% of the votes entitled to be cast by the holders of all series similarly affected, similarly given, shall be required in lieu of the affirmative vote of at least 66-2/3% of the votes entitled to be cast by the holders of the Series A Preferred Shares and the Parity Shares otherwise entitled to vote in accordance herewith; or</w:t>
      </w:r>
    </w:p>
    <w:p>
      <w:pPr>
        <w:spacing w:after="0" w:line="28" w:lineRule="exact"/>
        <w:rPr>
          <w:rFonts w:ascii="Arial" w:cs="Arial" w:eastAsia="Arial" w:hAnsi="Arial"/>
          <w:sz w:val="16"/>
          <w:szCs w:val="16"/>
          <w:color w:val="auto"/>
        </w:rPr>
      </w:pPr>
    </w:p>
    <w:p>
      <w:pPr>
        <w:ind w:left="460" w:right="60" w:firstLine="4"/>
        <w:spacing w:after="0" w:line="318" w:lineRule="auto"/>
        <w:tabs>
          <w:tab w:leader="none" w:pos="709" w:val="left"/>
        </w:tabs>
        <w:numPr>
          <w:ilvl w:val="0"/>
          <w:numId w:val="92"/>
        </w:numPr>
        <w:rPr>
          <w:rFonts w:ascii="Arial" w:cs="Arial" w:eastAsia="Arial" w:hAnsi="Arial"/>
          <w:sz w:val="15"/>
          <w:szCs w:val="15"/>
          <w:color w:val="auto"/>
        </w:rPr>
      </w:pPr>
      <w:r>
        <w:rPr>
          <w:rFonts w:ascii="Arial" w:cs="Arial" w:eastAsia="Arial" w:hAnsi="Arial"/>
          <w:sz w:val="15"/>
          <w:szCs w:val="15"/>
          <w:color w:val="auto"/>
        </w:rPr>
        <w:t>A share exchange that affects the Series A Preferred Shares, a consolidation with or merger of the Trust into another entity, or a consolidation with or merger of another entity into the Trust, unless in each such case each share of Series A Preferred Shares (i) shall remain outstanding without a material and adverse change to its terms and rights or (ii) shall be converted into or exchanged for preferred stock of the surviving entity having preferences, conversion or other rights, voting powers, restrictions, limitations as to dividends, qualifications and terms or conditions of redemption thereof identical to that of a share of Series A Preferred Shares (except for changes that do not materially and adversely affect the holders of the Series A Preferred Shares); or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80" w:right="239" w:bottom="1440" w:gutter="0" w:footer="0" w:header="0"/>
        </w:sectPr>
      </w:pPr>
    </w:p>
    <w:bookmarkStart w:id="80" w:name="page81"/>
    <w:bookmarkEnd w:id="80"/>
    <w:p>
      <w:pPr>
        <w:ind w:left="460" w:firstLine="4"/>
        <w:spacing w:after="0" w:line="294" w:lineRule="auto"/>
        <w:tabs>
          <w:tab w:leader="none" w:pos="699"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authorization or creation of, or the increase in the authorized amount of, any shares of any class, or any security convertible into shares of any class, ranking prior to the Series A Preferred Shares in the distribution of assets on any liquidation, dissolution or winding up of the Trust or in the payment of dividends; provided, however, that no such vote of the holders of Series A Preferred Shares shall be required if, at or prior to the time when such amendment, alteration or repeal is to take effect, or when the issuance of any such shares or convertible securities is to be made, as the case may be, provision is made for the redemption of all Series A Preferred Shares at the time outstanding.</w:t>
      </w:r>
    </w:p>
    <w:p>
      <w:pPr>
        <w:spacing w:after="0" w:line="10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For purposes of the foregoing provisions of this Section 6.4.9, each share of Series A Preferred Shares shall have one vote per share, except that when shares of any other series of Preferred Shares shall have the right to vote with the Series A Preferred Shares as a single class on any matter, then the Series A Preferred Shares and such other series shall have with respect to such matters one vote per $25.00 of stated liquidation preference. Except as otherwise required by applicable law or as set forth herein, the Series A Preferred Shares shall not have any relative, participating, optional or other special voting rights and powers, and the consent of the holders thereof shall not be required for the taking of any corporate action.</w:t>
      </w:r>
    </w:p>
    <w:p>
      <w:pPr>
        <w:spacing w:after="0" w:line="102"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 xml:space="preserve">Section 6.4.10 </w:t>
      </w:r>
      <w:r>
        <w:rPr>
          <w:rFonts w:ascii="Arial" w:cs="Arial" w:eastAsia="Arial" w:hAnsi="Arial"/>
          <w:sz w:val="16"/>
          <w:szCs w:val="16"/>
          <w:u w:val="single" w:color="auto"/>
          <w:color w:val="auto"/>
        </w:rPr>
        <w:t>Record Holders</w:t>
      </w:r>
      <w:r>
        <w:rPr>
          <w:rFonts w:ascii="Arial" w:cs="Arial" w:eastAsia="Arial" w:hAnsi="Arial"/>
          <w:sz w:val="16"/>
          <w:szCs w:val="16"/>
          <w:color w:val="auto"/>
        </w:rPr>
        <w:t>. The Trust and the Transfer Agent may deem and treat the record holder of any Series A Preferred Shares as the true and lawful owner thereof for all purposes, and neither the Trust nor the Transfer Agent shall be affected by any notice to the contrary.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6.4.11 </w:t>
      </w:r>
      <w:r>
        <w:rPr>
          <w:rFonts w:ascii="Arial" w:cs="Arial" w:eastAsia="Arial" w:hAnsi="Arial"/>
          <w:sz w:val="18"/>
          <w:szCs w:val="18"/>
          <w:u w:val="single" w:color="auto"/>
          <w:color w:val="auto"/>
        </w:rPr>
        <w:t>Sinking Fund</w:t>
      </w:r>
      <w:r>
        <w:rPr>
          <w:rFonts w:ascii="Arial" w:cs="Arial" w:eastAsia="Arial" w:hAnsi="Arial"/>
          <w:sz w:val="18"/>
          <w:szCs w:val="18"/>
          <w:color w:val="auto"/>
        </w:rPr>
        <w:t>. The Series A Preferred Shares shall not be entitled to the benefits of any retirement or sinking fund.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6.5 </w:t>
      </w:r>
      <w:r>
        <w:rPr>
          <w:rFonts w:ascii="Arial" w:cs="Arial" w:eastAsia="Arial" w:hAnsi="Arial"/>
          <w:sz w:val="15"/>
          <w:szCs w:val="15"/>
          <w:u w:val="single" w:color="auto"/>
          <w:color w:val="auto"/>
        </w:rPr>
        <w:t>Classified or Reclassified Shares</w:t>
      </w:r>
      <w:r>
        <w:rPr>
          <w:rFonts w:ascii="Arial" w:cs="Arial" w:eastAsia="Arial" w:hAnsi="Arial"/>
          <w:sz w:val="15"/>
          <w:szCs w:val="15"/>
          <w:color w:val="auto"/>
        </w:rPr>
        <w:t>. Prior to issuance of classified or reclassified Shares of any class or series, the Board of Trustees by resolution shall</w:t>
      </w:r>
    </w:p>
    <w:p>
      <w:pPr>
        <w:spacing w:after="0" w:line="50" w:lineRule="exact"/>
        <w:rPr>
          <w:sz w:val="20"/>
          <w:szCs w:val="20"/>
          <w:color w:val="auto"/>
        </w:rPr>
      </w:pPr>
    </w:p>
    <w:p>
      <w:pPr>
        <w:ind w:left="240" w:hanging="232"/>
        <w:spacing w:after="0"/>
        <w:tabs>
          <w:tab w:leader="none" w:pos="2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designate that class or series to distinguish it from all other classes and series of Shares; (b) specify the number of Shares to be included in the class or series;</w:t>
      </w:r>
    </w:p>
    <w:p>
      <w:pPr>
        <w:spacing w:after="0" w:line="43" w:lineRule="exact"/>
        <w:rPr>
          <w:rFonts w:ascii="Arial" w:cs="Arial" w:eastAsia="Arial" w:hAnsi="Arial"/>
          <w:sz w:val="15"/>
          <w:szCs w:val="15"/>
          <w:color w:val="auto"/>
        </w:rPr>
      </w:pPr>
    </w:p>
    <w:p>
      <w:pPr>
        <w:ind w:right="20" w:firstLine="8"/>
        <w:spacing w:after="0" w:line="288" w:lineRule="auto"/>
        <w:tabs>
          <w:tab w:leader="none" w:pos="2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set, subject to the provisions of Article VII and subject to the express terms of any class or series of Shares outstanding at the time, the preferences, conversion or other rights, voting powers, restrictions, limitations as to dividends or other distributions, qualifications and terms and conditions of redemption for each class or series; and (d) cause the Trust to file articles supplementary with the State Department of Assessments and Taxation of Maryland (the “SDAT”). Any of the terms of any class or series of Shares set pursuant to clause (c) of this Section 6.5 may be made dependent upon facts ascertainable outside the Declaration of Trust (including the occurrence of any event, including a determination or action by the Trust or any other person or body) and may vary among holders thereof, provided that the manner in which such facts or variations shall operate upon the terms of such class or series of Shares is clearly and expressly set forth in the articles supplementary filed with the SDAT.</w:t>
      </w:r>
    </w:p>
    <w:p>
      <w:pPr>
        <w:spacing w:after="0" w:line="109"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Authorization by Board of Share Issuance</w:t>
      </w:r>
      <w:r>
        <w:rPr>
          <w:rFonts w:ascii="Arial" w:cs="Arial" w:eastAsia="Arial" w:hAnsi="Arial"/>
          <w:sz w:val="18"/>
          <w:szCs w:val="18"/>
          <w:color w:val="auto"/>
        </w:rPr>
        <w:t>. The Board of Trustees may authorize the issuance from time to time of Shares of any class or series, whether now or hereafter authorized, or securities or rights convertible into Shares of any class or series, whether now or hereafter authorized, for such consideration (whether in cash, property, past or future services, obligation for future payment or otherwise) as the Board of Trustees may deem advisable (or without consideration in the case of a Share split or Share dividend), subject to such restrictions or limitations, if any, as may be set forth in the Declaration of Trust or the Bylaws of the Trust.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80" w:right="239" w:bottom="1440" w:gutter="0" w:footer="0" w:header="0"/>
        </w:sectPr>
      </w:pPr>
    </w:p>
    <w:bookmarkStart w:id="81" w:name="page82"/>
    <w:bookmarkEnd w:id="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6.7 </w:t>
      </w:r>
      <w:r>
        <w:rPr>
          <w:rFonts w:ascii="Arial" w:cs="Arial" w:eastAsia="Arial" w:hAnsi="Arial"/>
          <w:sz w:val="16"/>
          <w:szCs w:val="16"/>
          <w:u w:val="single" w:color="auto"/>
          <w:color w:val="auto"/>
        </w:rPr>
        <w:t>Dividends and Distributions</w:t>
      </w:r>
      <w:r>
        <w:rPr>
          <w:rFonts w:ascii="Arial" w:cs="Arial" w:eastAsia="Arial" w:hAnsi="Arial"/>
          <w:sz w:val="16"/>
          <w:szCs w:val="16"/>
          <w:color w:val="auto"/>
        </w:rPr>
        <w:t>. The Trust may pay any dividend or make any other distribution to the shareholders as authorized in the Declaration or by the Board of Trustees if, after giving effect to the dividend or distribution, the Trust would be able to pay its debts as they become due in the usual course of its business. The Board of Trustees may from time to time authorize the Trust to pay to shareholders such dividends or distributions in cash or other assets of the Trust or in securities of the Trust or from any other source as the Board of Trustees in its discretion shall determine. The Board of Trustees shall endeavor to authorize the Trust to pay such dividends and distributions as shall be necessary for the Trust to qualify as a real estate investment trust under the Code; however, shareholders shall have no right to any dividend or distribution unless and until authorized by the Board of Trustees and declared by the Trust. The exercise of the powers and rights of the Board of Trustees pursuant to this Section 6.7 shall be subject to the provisions of any class or series of Shares at the time outstanding. Notwithstanding any other provision in the Declaration of Trust, no determination shall be made by the Board of Trustees nor shall any transaction be entered into by the Trust which would cause any Shares or other beneficial interest in the Trust not to constitute “transferable shares” or “transferable certificates of beneficial interest” under Section 856(a)(2) of the Code or which would cause any distribution to constitute a preferential dividend as described in Section 562(c) of the Code.</w:t>
      </w:r>
    </w:p>
    <w:p>
      <w:pPr>
        <w:spacing w:after="0" w:line="11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General Nature of Shares</w:t>
      </w:r>
      <w:r>
        <w:rPr>
          <w:rFonts w:ascii="Arial" w:cs="Arial" w:eastAsia="Arial" w:hAnsi="Arial"/>
          <w:sz w:val="16"/>
          <w:szCs w:val="16"/>
          <w:color w:val="auto"/>
        </w:rPr>
        <w:t>. All Shares shall be personal property entitling the shareholders only to those rights provided in the Declaration of Trust. The shareholders shall have no interest in the property of the Trust and shall have no right to compel any partition, division, dividend or distribution of the Trust or of the property of the Trust. The death of a shareholder shall not terminate the Trust. The Trust is entitled to treat as shareholders only those persons in whose names Shares are registered as holders of Shares on the beneficial interest ledger of the Trust.</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Fractional Shares</w:t>
      </w:r>
      <w:r>
        <w:rPr>
          <w:rFonts w:ascii="Arial" w:cs="Arial" w:eastAsia="Arial" w:hAnsi="Arial"/>
          <w:sz w:val="18"/>
          <w:szCs w:val="18"/>
          <w:color w:val="auto"/>
        </w:rPr>
        <w:t>. The Trust may, without the consent or approval of any shareholder, issue fractional Shares, eliminate a fraction of a Share by rounding up or down to a full Share, arrange for the disposition of a fraction of a Share by the person entitled to it, or pay cash for the fair value of a fraction of a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Declaration and Bylaws</w:t>
      </w:r>
      <w:r>
        <w:rPr>
          <w:rFonts w:ascii="Arial" w:cs="Arial" w:eastAsia="Arial" w:hAnsi="Arial"/>
          <w:sz w:val="18"/>
          <w:szCs w:val="18"/>
          <w:color w:val="auto"/>
        </w:rPr>
        <w:t>. All shareholders are subject to the provisions of the Declaration of Trust and the Bylaws of the Trust.</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Divisions and Combinations of Shares</w:t>
      </w:r>
      <w:r>
        <w:rPr>
          <w:rFonts w:ascii="Arial" w:cs="Arial" w:eastAsia="Arial" w:hAnsi="Arial"/>
          <w:sz w:val="18"/>
          <w:szCs w:val="18"/>
          <w:color w:val="auto"/>
        </w:rPr>
        <w:t>. Subject to an express provision to the contrary in the terms of any class or series of beneficial interest hereafter authorized, the Board of Trustees shall have the power to divide or combine the outstanding Shares of any class or series of beneficial interest, without a vote of shareholders, so long as the number of Shares combined into one Share in any such combination or series of combinations within any period of twelve months is not greater than five.</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15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RESTRICTION ON TRANSFER AND OWNERSHIP OF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 of this Article VII, the following terms shall have the following meanings: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Aggregate Share Ownership Limit. The term “Aggregate Share Ownership Limit” shall mean not more than 9.8 percent in value of the aggregate of the outstanding Equity Shares. The value of the outstanding Equity Shares shall be determined by the Board of Trustees in good faith, which determination shall be conclusive for all purposes 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80" w:right="239" w:bottom="1440" w:gutter="0" w:footer="0" w:header="0"/>
        </w:sectPr>
      </w:pPr>
    </w:p>
    <w:bookmarkStart w:id="82" w:name="page83"/>
    <w:bookmarkEnd w:id="8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Ownership. The term “Beneficial Ownership” shall mean ownership of Equity Shares by a Person, whether the interest in Equity Shares is held directly or indirectly (including by a nominee), and shall include interests that would be treated as owned through the application of Section 544 of the Code, as modified by Section 856(h)(1)(B) of the Code. The terms “Beneficial Owner,” “Beneficially Owns” and “Beneficially Owned” shall have the correlative meanings.</w:t>
      </w:r>
    </w:p>
    <w:p>
      <w:pPr>
        <w:spacing w:after="0" w:line="13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Business Day. The term “Business Day” shall mean any day, other than a Saturday or Sunday, that is neither a legal holiday nor a day on which banking institutions in New York City are authorized or required by law, regulation or executive order to close.</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Charitable Beneficiary. The term “Charitable Beneficiary” shall mean one or more beneficiaries of the Charitable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Charitable Trust. The term “Charitable Trust” shall mean any trust provided for in Section 7.3.1.</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Share Ownership Limit. The term “Common Share Ownership Limit” shall mean not more than 9.8 percent (in value or in number of shares, whichever is more restrictive) of the aggregate number of the outstanding Common Shares. The number and value of outstanding Common Shares shall be determined by the Board of Trustees in good faith, which determination shall be conclusive for all purposes hereof.</w:t>
      </w:r>
    </w:p>
    <w:p>
      <w:pPr>
        <w:spacing w:after="0" w:line="12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Constructive Ownership. The term “Constructive Ownership” shall mean ownership of Equity Shares by a Person, whether the interest in Equity Shares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Declaration of Trust. The term “Declaration of Trust” shall mean this Declaration of Trust as accepted for record by the SDAT, and any amendments thereto.</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Equity Shares. The term “Equity Shares” shall mean Shares of all classes or series, including, without limitation, Common Shares and Preferred Shares.</w:t>
      </w:r>
    </w:p>
    <w:p>
      <w:pPr>
        <w:spacing w:after="0" w:line="18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Excepted Holder. The term “Excepted Holder” shall mean a shareholder of the Trust for whom an Excepted Holder Limit is created by this Article VII or by the Board of Trustees pursuant to Section 7.2.7.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80"/>
          </w:cols>
          <w:pgMar w:left="240" w:top="280" w:right="279" w:bottom="1440" w:gutter="0" w:footer="0" w:header="0"/>
        </w:sectPr>
      </w:pPr>
    </w:p>
    <w:bookmarkStart w:id="83" w:name="page84"/>
    <w:bookmarkEnd w:id="8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Excepted Holder Limit. The term “Excepted Holder Limit” shall mean, provided that the affected Excepted Holder agrees to comply with the requirements established by the Board of Trustees pursuant to Section 7.2.7, and subject to adjustment pursuant to Section 7.2.8, the percentage limit established by the Board of Trustees pursuant to Section 7.2.7.</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Initial Date. The term “Initial Date” shall mean the date upon which this Declaration of Trust containing this Article VII is accepted for record by the SDAT.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Market Price. The term “Market Price” on any date shall mean, with respect to any class or series of outstanding Equity Shares, the Closing Price for such Equity Shares on such date. The “Closing Price” on any date shall mean the last sale price for such Equity Shares, regular way, or, in case no such sale takes place on such day, the average of the closing bid and asked prices, regular way, for such Equity Shares, in either case as reported in the principal consolidated transaction reporting system with respect to securities listed or admitted to trading on the NYSE or, if such Equity Shares are not listed or admitted to trading on the NYSE, as reported on the principal consolidated transaction reporting system with respect to securities listed on the principal national securities exchange on which such Equity Shares are listed or admitted to trading or, if such Equity Shares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Equity Shares are not quoted by any such organization, the average of the closing bid and asked prices as furnished by a professional market maker making a market in such Equity Shares selected by the Board of Trustees or, in the event that no trading price is available for such Equity Shares, the fair market value of Equity Shares, as determined in good faith by the Board of Trustees, which determination shall be conclusive for all purposes hereof.</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NYSE. The term “NYSE” shall mean the New York Stock Exchange.</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Person.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9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Prohibited Owner. The term “Prohibited Owner” shall mean, with respect to any purported Transfer, any Person who, but for the provisions of Section 7.2.1, would Beneficially Own or Constructively Own Equity Shares, and if appropriate in the context, shall also mean any Person who would have been the record owner of Equity Shares that the Prohibited Owner would have so owned.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REIT. The term “REIT” shall mean a real estate investment trust within the meaning of Section 856 of the Code.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280" w:right="239" w:bottom="1440" w:gutter="0" w:footer="0" w:header="0"/>
        </w:sectPr>
      </w:pPr>
    </w:p>
    <w:bookmarkStart w:id="84" w:name="page85"/>
    <w:bookmarkEnd w:id="84"/>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Restriction Termination Date. The term “Restriction Termination Date” shall mean the first day after the Initial Date on which the Board of Trustees determines that it is no longer in the best interests of the Trust to attempt to, or continue to, qualify as a REIT or that compliance with the restrictions and limitations on Beneficial Ownership, Constructive Ownership and Transfers of Equity Shares set forth herein is no longer required in order for the Trust to qualify as a REIT.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SDAT. The term “SDAT” shall mean the State Department of Assessments and Taxation of Maryland.</w:t>
      </w:r>
    </w:p>
    <w:p>
      <w:pPr>
        <w:spacing w:after="0" w:line="15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Transfer. The term “Transfer” shall mean any issuance, sale, transfer, gift, assignment, devise or other disposition, as well as any other event that causes any Person to acquire Beneficial Ownership or Constructive Ownership, or any agreement to take any such actions or cause any such events, of Equity Shares or the right to vote or receive dividends on Equity Shares, including (a) the granting or exercise of any option (or any disposition of any option), (b) any disposition of any securities or rights convertible into or exchangeable for Equity Shares or any interest in Equity Shares or any exercise of any such conversion or exchange right and (c) Transfers of interests in other entities that result in changes in Beneficial or Constructive Ownership of Equity Shares; in each case, whether voluntary or involuntary, whether owned of record, Constructively Owned or Beneficially Owned and whether by operation of law or otherwise. The terms “Transferring” and “Transferred” shall have the correlative meanings.</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Trustee. The term “Trustee” shall mean the Person unaffiliated with the Trust and a Prohibited Owner, that is appointed by the Trust to serve as trustee of the Charitable Trust.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Equity Shares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7.2.1 </w:t>
      </w:r>
      <w:r>
        <w:rPr>
          <w:rFonts w:ascii="Arial" w:cs="Arial" w:eastAsia="Arial" w:hAnsi="Arial"/>
          <w:sz w:val="18"/>
          <w:szCs w:val="18"/>
          <w:u w:val="single" w:color="auto"/>
          <w:color w:val="auto"/>
        </w:rPr>
        <w:t>Ownership Limitations</w:t>
      </w:r>
      <w:r>
        <w:rPr>
          <w:rFonts w:ascii="Arial" w:cs="Arial" w:eastAsia="Arial" w:hAnsi="Arial"/>
          <w:sz w:val="18"/>
          <w:szCs w:val="18"/>
          <w:color w:val="auto"/>
        </w:rPr>
        <w:t>. During the period commencing on the Initial Date and prior to the Restriction Termination Date:</w:t>
      </w:r>
    </w:p>
    <w:p>
      <w:pPr>
        <w:spacing w:after="0" w:line="77" w:lineRule="exact"/>
        <w:rPr>
          <w:sz w:val="20"/>
          <w:szCs w:val="20"/>
          <w:color w:val="auto"/>
        </w:rPr>
      </w:pPr>
    </w:p>
    <w:p>
      <w:pPr>
        <w:ind w:left="240" w:hanging="232"/>
        <w:spacing w:after="0"/>
        <w:tabs>
          <w:tab w:leader="none" w:pos="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Basic Restrictions.</w:t>
      </w:r>
    </w:p>
    <w:p>
      <w:pPr>
        <w:spacing w:after="0" w:line="76" w:lineRule="exact"/>
        <w:rPr>
          <w:rFonts w:ascii="Arial" w:cs="Arial" w:eastAsia="Arial" w:hAnsi="Arial"/>
          <w:sz w:val="18"/>
          <w:szCs w:val="18"/>
          <w:color w:val="auto"/>
        </w:rPr>
      </w:pPr>
    </w:p>
    <w:p>
      <w:pPr>
        <w:ind w:left="460" w:right="80" w:firstLine="4"/>
        <w:spacing w:after="0" w:line="256" w:lineRule="auto"/>
        <w:tabs>
          <w:tab w:leader="none" w:pos="670" w:val="left"/>
        </w:tabs>
        <w:numPr>
          <w:ilvl w:val="1"/>
          <w:numId w:val="96"/>
        </w:numPr>
        <w:rPr>
          <w:rFonts w:ascii="Arial" w:cs="Arial" w:eastAsia="Arial" w:hAnsi="Arial"/>
          <w:sz w:val="18"/>
          <w:szCs w:val="18"/>
          <w:color w:val="auto"/>
        </w:rPr>
      </w:pPr>
      <w:r>
        <w:rPr>
          <w:rFonts w:ascii="Arial" w:cs="Arial" w:eastAsia="Arial" w:hAnsi="Arial"/>
          <w:sz w:val="18"/>
          <w:szCs w:val="18"/>
          <w:color w:val="auto"/>
        </w:rPr>
        <w:t>(1) No Person, other than an Excepted Holder, shall Beneficially Own or Constructively Own Equity Shares in excess of the Aggregate Share Ownership Limit, (2) no Person, other than an Excepted Holder, shall Beneficially Own or Constructively Own Common Shares in excess of the Common Share Ownership Limit and (3) no Excepted Holder shall Beneficially Own or Constructively Own Equity Shares in excess of the Excepted Holder Limit for such Excepted Holder.</w:t>
      </w:r>
    </w:p>
    <w:p>
      <w:pPr>
        <w:spacing w:after="0" w:line="48" w:lineRule="exact"/>
        <w:rPr>
          <w:rFonts w:ascii="Arial" w:cs="Arial" w:eastAsia="Arial" w:hAnsi="Arial"/>
          <w:sz w:val="18"/>
          <w:szCs w:val="18"/>
          <w:color w:val="auto"/>
        </w:rPr>
      </w:pPr>
    </w:p>
    <w:p>
      <w:pPr>
        <w:ind w:left="460" w:firstLine="4"/>
        <w:spacing w:after="0" w:line="294" w:lineRule="auto"/>
        <w:tabs>
          <w:tab w:leader="none" w:pos="719" w:val="left"/>
        </w:tabs>
        <w:numPr>
          <w:ilvl w:val="1"/>
          <w:numId w:val="96"/>
        </w:numPr>
        <w:rPr>
          <w:rFonts w:ascii="Arial" w:cs="Arial" w:eastAsia="Arial" w:hAnsi="Arial"/>
          <w:sz w:val="16"/>
          <w:szCs w:val="16"/>
          <w:color w:val="auto"/>
        </w:rPr>
      </w:pPr>
      <w:r>
        <w:rPr>
          <w:rFonts w:ascii="Arial" w:cs="Arial" w:eastAsia="Arial" w:hAnsi="Arial"/>
          <w:sz w:val="16"/>
          <w:szCs w:val="16"/>
          <w:color w:val="auto"/>
        </w:rPr>
        <w:t>No Person shall Beneficially or Constructively Own Equity Shares to the extent that such Beneficial or Constructive Ownership of Equity Shares would result in the Trust being “closely held” within the meaning of Section 856(h) of the Code (without regard to whether the ownership interest is held during the last half of a taxable year), or otherwise failing to qualify as a REIT (including, but not limited to, Beneficial or Constructive Ownership that would result in the Trust owning (actually or Constructively) an interest in a tenant that is described in Section 856(d)(2)(B) of the Code if the income derived by the Trust from such tenant would cause the Trust to fail to satisfy any of the gross income requirements of Section 856(c) of the Code).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280" w:right="259" w:bottom="1440" w:gutter="0" w:footer="0" w:header="0"/>
        </w:sectPr>
      </w:pPr>
    </w:p>
    <w:bookmarkStart w:id="85" w:name="page86"/>
    <w:bookmarkEnd w:id="85"/>
    <w:p>
      <w:pPr>
        <w:jc w:val="both"/>
        <w:ind w:left="460" w:right="80" w:firstLine="4"/>
        <w:spacing w:after="0" w:line="298" w:lineRule="auto"/>
        <w:tabs>
          <w:tab w:leader="none" w:pos="767" w:val="left"/>
        </w:tabs>
        <w:numPr>
          <w:ilvl w:val="1"/>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other provisions contained herein (but subject to Section 7.4), any Transfer of Equity Shares (whether or not such Transfer is the result of a transaction entered into through the facilities of the NYSE or any other national securities exchange or automated inter-dealer quotation system) that, if effective, would result in Equity Shares being beneficially owned by less than 100 Persons (determined under the principles of Section 856(a)(5) of the Code) shall be void ab initio, and the intended transferee shall acquire no rights in such Equity Shares.</w:t>
      </w:r>
    </w:p>
    <w:p>
      <w:pPr>
        <w:spacing w:after="0" w:line="99" w:lineRule="exact"/>
        <w:rPr>
          <w:rFonts w:ascii="Arial" w:cs="Arial" w:eastAsia="Arial" w:hAnsi="Arial"/>
          <w:sz w:val="16"/>
          <w:szCs w:val="16"/>
          <w:color w:val="auto"/>
        </w:rPr>
      </w:pPr>
    </w:p>
    <w:p>
      <w:pPr>
        <w:ind w:right="20" w:firstLine="8"/>
        <w:spacing w:after="0" w:line="259" w:lineRule="auto"/>
        <w:tabs>
          <w:tab w:leader="none" w:pos="2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 in Trust. If any Transfer of Equity Shares (whether or not such Transfer is the result of a transaction entered into through the facilities of the NYSE or any other national securities exchange or automated inter-dealer quotation system) occurs which, if effective, would result in any Person Beneficially Owning or Constructively Owning Equity Shares in violation of Section 7.2.1(a)(i) or (ii),</w:t>
      </w:r>
    </w:p>
    <w:p>
      <w:pPr>
        <w:spacing w:after="0" w:line="45" w:lineRule="exact"/>
        <w:rPr>
          <w:rFonts w:ascii="Arial" w:cs="Arial" w:eastAsia="Arial" w:hAnsi="Arial"/>
          <w:sz w:val="18"/>
          <w:szCs w:val="18"/>
          <w:color w:val="auto"/>
        </w:rPr>
      </w:pPr>
    </w:p>
    <w:p>
      <w:pPr>
        <w:ind w:left="460" w:firstLine="4"/>
        <w:spacing w:after="0" w:line="256" w:lineRule="auto"/>
        <w:tabs>
          <w:tab w:leader="none" w:pos="67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then that number of Equity Shares the Beneficial or Constructive Ownership of which otherwise would cause such Person to violate Section 7.2.1(a)(i) or (ii)(rounded to the nearest whole share) shall be automatically transferred to a Charitable Trust for the benefit of a Charitable Beneficiary, as described in Section 7.3, effective as of the close of business on the Business Day prior to the date of such Transfer, and such Person shall acquire no rights in such Equity Shares; or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(ii) if the transfer to the Charitable Trust described in clause (i) of this sentence would not be effective for any reason to prevent the violation of Section</w:t>
      </w:r>
    </w:p>
    <w:p>
      <w:pPr>
        <w:spacing w:after="0" w:line="38"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color w:val="auto"/>
        </w:rPr>
        <w:t>7.2.1(a)(i) or (ii), then the Transfer of that number of Equity Shares that otherwise would cause any Person to violate Section 7.2.1(a)(i) or (ii) shall be void ab initio, and the intended transferee shall acquire no rights in such Equity Shares.</w:t>
      </w:r>
    </w:p>
    <w:p>
      <w:pPr>
        <w:spacing w:after="0" w:line="12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Section 7.2.2 </w:t>
      </w:r>
      <w:r>
        <w:rPr>
          <w:rFonts w:ascii="Arial" w:cs="Arial" w:eastAsia="Arial" w:hAnsi="Arial"/>
          <w:sz w:val="16"/>
          <w:szCs w:val="16"/>
          <w:u w:val="single" w:color="auto"/>
          <w:color w:val="auto"/>
        </w:rPr>
        <w:t>Remedies for Breach</w:t>
      </w:r>
      <w:r>
        <w:rPr>
          <w:rFonts w:ascii="Arial" w:cs="Arial" w:eastAsia="Arial" w:hAnsi="Arial"/>
          <w:sz w:val="16"/>
          <w:szCs w:val="16"/>
          <w:color w:val="auto"/>
        </w:rPr>
        <w:t>. If the Board of Trustees or any duly authorized committee thereof shall at any time determine in good faith that a Transfer or other event has taken place that results in a violation of Section 7.2.1 or that a Person intends to acquire or has attempted to acquire Beneficial or Constructive Ownership of any Equity Shares in violation of Section 7.2.1 (whether or not such violation is intended), the Board of Trustees or a committee thereof shall take such action as it deems advisable to refuse to give effect to or to prevent such Transfer or other event, including, without limitation, causing the Trust to redeem Equity Shares, refusing to give effect to such Transfer on the books of the Trust or instituting proceedings to enjoin such Transfer or other event; provided, however, that any Transfers or attempted Transfers or other events in violation of Section 7.2.1 shall automatically result in the transfer to the Charitable Trust described above, and, where applicable, such Transfer (or other event) shall be void ab initio as provided above irrespective of any action (or non-action) by the Board of Trustees or a committee thereof.</w:t>
      </w:r>
    </w:p>
    <w:p>
      <w:pPr>
        <w:spacing w:after="0" w:line="105" w:lineRule="exact"/>
        <w:rPr>
          <w:sz w:val="20"/>
          <w:szCs w:val="20"/>
          <w:color w:val="auto"/>
        </w:rPr>
      </w:pPr>
    </w:p>
    <w:p>
      <w:pPr>
        <w:ind w:right="380"/>
        <w:spacing w:after="0" w:line="335" w:lineRule="auto"/>
        <w:rPr>
          <w:sz w:val="20"/>
          <w:szCs w:val="20"/>
          <w:color w:val="auto"/>
        </w:rPr>
      </w:pPr>
      <w:r>
        <w:rPr>
          <w:rFonts w:ascii="Arial" w:cs="Arial" w:eastAsia="Arial" w:hAnsi="Arial"/>
          <w:sz w:val="15"/>
          <w:szCs w:val="15"/>
          <w:color w:val="auto"/>
        </w:rPr>
        <w:t xml:space="preserve">Section 7.2.3 </w:t>
      </w:r>
      <w:r>
        <w:rPr>
          <w:rFonts w:ascii="Arial" w:cs="Arial" w:eastAsia="Arial" w:hAnsi="Arial"/>
          <w:sz w:val="15"/>
          <w:szCs w:val="15"/>
          <w:u w:val="single" w:color="auto"/>
          <w:color w:val="auto"/>
        </w:rPr>
        <w:t>Notice of Restricted Transfer</w:t>
      </w:r>
      <w:r>
        <w:rPr>
          <w:rFonts w:ascii="Arial" w:cs="Arial" w:eastAsia="Arial" w:hAnsi="Arial"/>
          <w:sz w:val="15"/>
          <w:szCs w:val="15"/>
          <w:color w:val="auto"/>
        </w:rPr>
        <w:t>. Any Person who acquires or attempts or intends to acquire Beneficial Ownership or Constructive Ownership of Equity Shares that will or may violate Section 7.2.1(a), or any Person who would have owned Equity Shares that resulted in a transfer to the Charitable Trust pursuant to the provisions of Section 7.2.1(b), shall immediately give written notice to the Trust of such event, or in the case of such a proposed or attempted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280" w:right="239" w:bottom="1440" w:gutter="0" w:footer="0" w:header="0"/>
        </w:sectPr>
      </w:pPr>
    </w:p>
    <w:bookmarkStart w:id="86" w:name="page87"/>
    <w:bookmarkEnd w:id="86"/>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 give at least 15 days prior written notice, and shall provide to the Trust such other information as the Trust may request in order to determine the effect, if any, of such Transfer on the Trust’s status as a REIT.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7.2.4 </w:t>
      </w:r>
      <w:r>
        <w:rPr>
          <w:rFonts w:ascii="Arial" w:cs="Arial" w:eastAsia="Arial" w:hAnsi="Arial"/>
          <w:sz w:val="18"/>
          <w:szCs w:val="18"/>
          <w:u w:val="single" w:color="auto"/>
          <w:color w:val="auto"/>
        </w:rPr>
        <w:t>Owners Required To Provide Information</w:t>
      </w:r>
      <w:r>
        <w:rPr>
          <w:rFonts w:ascii="Arial" w:cs="Arial" w:eastAsia="Arial" w:hAnsi="Arial"/>
          <w:sz w:val="18"/>
          <w:szCs w:val="18"/>
          <w:color w:val="auto"/>
        </w:rPr>
        <w:t>. From the Initial Date and prior to the Restriction Termination Date:</w:t>
      </w:r>
    </w:p>
    <w:p>
      <w:pPr>
        <w:spacing w:after="0" w:line="77" w:lineRule="exact"/>
        <w:rPr>
          <w:sz w:val="20"/>
          <w:szCs w:val="20"/>
          <w:color w:val="auto"/>
        </w:rPr>
      </w:pPr>
    </w:p>
    <w:p>
      <w:pPr>
        <w:ind w:right="40" w:firstLine="8"/>
        <w:spacing w:after="0" w:line="294" w:lineRule="auto"/>
        <w:tabs>
          <w:tab w:leader="none" w:pos="239"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every owner of more than five percent (or such lower percentage as required by the Code or the Treasury Regulations promulgated thereunder) of the outstanding Equity Shares, within 30 days after the end of each taxable year, shall give written notice to the Trust stating the name and address of such owner, the number of Equity Shares and other Equity Shares Beneficially Owned and a description of the manner in which such shares are held. Each such owner shall provide to the Trust such additional information as the Trust may request in order to determine the effect, if any, of such Beneficial Ownership on the Trust’s status as a REIT and to ensure compliance with the Aggregate Share Ownership Limit.</w:t>
      </w:r>
    </w:p>
    <w:p>
      <w:pPr>
        <w:spacing w:after="0" w:line="102" w:lineRule="exact"/>
        <w:rPr>
          <w:rFonts w:ascii="Arial" w:cs="Arial" w:eastAsia="Arial" w:hAnsi="Arial"/>
          <w:sz w:val="16"/>
          <w:szCs w:val="16"/>
          <w:color w:val="auto"/>
        </w:rPr>
      </w:pPr>
    </w:p>
    <w:p>
      <w:pPr>
        <w:jc w:val="both"/>
        <w:ind w:right="80" w:firstLine="8"/>
        <w:spacing w:after="0" w:line="306" w:lineRule="auto"/>
        <w:tabs>
          <w:tab w:leader="none" w:pos="249" w:val="left"/>
        </w:tabs>
        <w:numPr>
          <w:ilvl w:val="0"/>
          <w:numId w:val="99"/>
        </w:numPr>
        <w:rPr>
          <w:rFonts w:ascii="Arial" w:cs="Arial" w:eastAsia="Arial" w:hAnsi="Arial"/>
          <w:sz w:val="16"/>
          <w:szCs w:val="16"/>
          <w:color w:val="auto"/>
        </w:rPr>
      </w:pPr>
      <w:r>
        <w:rPr>
          <w:rFonts w:ascii="Arial" w:cs="Arial" w:eastAsia="Arial" w:hAnsi="Arial"/>
          <w:sz w:val="16"/>
          <w:szCs w:val="16"/>
          <w:color w:val="auto"/>
        </w:rPr>
        <w:t>each Person who is a Beneficial or Constructive Owner of Equity Shares and each Person (including the shareholder of record) who is holding Equity Shares for a Beneficial or Constructive Owner shall provide to the Trust such information as the Trust may request, in good faith, in order to determine the Trust’s status as a REIT and to comply with requirements of any taxing authority or governmental authority or to determine such compliance.</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7.2.5 </w:t>
      </w:r>
      <w:r>
        <w:rPr>
          <w:rFonts w:ascii="Arial" w:cs="Arial" w:eastAsia="Arial" w:hAnsi="Arial"/>
          <w:sz w:val="18"/>
          <w:szCs w:val="18"/>
          <w:u w:val="single" w:color="auto"/>
          <w:color w:val="auto"/>
        </w:rPr>
        <w:t>Remedies Not Limited</w:t>
      </w:r>
      <w:r>
        <w:rPr>
          <w:rFonts w:ascii="Arial" w:cs="Arial" w:eastAsia="Arial" w:hAnsi="Arial"/>
          <w:sz w:val="18"/>
          <w:szCs w:val="18"/>
          <w:color w:val="auto"/>
        </w:rPr>
        <w:t>. Subject to Section 5.1 of the Declaration of Trust, nothing contained in this Section 7.2 shall limit the authority of the Board of Trustees to take such other action as it deems necessary or advisable to protect the Trust and the interests of its shareholders in preserving the Trust’s status as a REIT.</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Section 7.2.6 </w:t>
      </w:r>
      <w:r>
        <w:rPr>
          <w:rFonts w:ascii="Arial" w:cs="Arial" w:eastAsia="Arial" w:hAnsi="Arial"/>
          <w:sz w:val="18"/>
          <w:szCs w:val="18"/>
          <w:u w:val="single" w:color="auto"/>
          <w:color w:val="auto"/>
        </w:rPr>
        <w:t>Ambiguity</w:t>
      </w:r>
      <w:r>
        <w:rPr>
          <w:rFonts w:ascii="Arial" w:cs="Arial" w:eastAsia="Arial" w:hAnsi="Arial"/>
          <w:sz w:val="18"/>
          <w:szCs w:val="18"/>
          <w:color w:val="auto"/>
        </w:rPr>
        <w:t>. In the case of an ambiguity in the application of any of the provisions of this Section 7.2, Section 7.3 or any definition contained in Section 7.1, the Board of Trustees shall have the power to determine the application of the provisions of this Section 7.2 or Section 7.3 with respect to any situation based on the facts known to it. In the event Section 7.2 or 7.3 requires an action by the Board of Trustees and the Declaration of Trust fails to provide specific guidance with respect to such action, the Board of Trustees shall have the power to determine the action to be taken so long as such action is not contrary to the provisions of Sections 7.1, 7.2 or 7.3.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7.2.7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68" w:lineRule="auto"/>
        <w:tabs>
          <w:tab w:leader="none" w:pos="2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Section 7.2.1(a)(ii), the Board of Trustees, in its sole discretion, may exempt a Person from the Aggregate Share Ownership Limit and the Common Share Ownership Limit, as the case may be, and may establish or increase an Excepted Holder Limit for such Person if:</w:t>
      </w:r>
    </w:p>
    <w:p>
      <w:pPr>
        <w:spacing w:after="0" w:line="37" w:lineRule="exact"/>
        <w:rPr>
          <w:rFonts w:ascii="Arial" w:cs="Arial" w:eastAsia="Arial" w:hAnsi="Arial"/>
          <w:sz w:val="18"/>
          <w:szCs w:val="18"/>
          <w:color w:val="auto"/>
        </w:rPr>
      </w:pPr>
    </w:p>
    <w:p>
      <w:pPr>
        <w:ind w:left="460" w:right="440" w:firstLine="4"/>
        <w:spacing w:after="0" w:line="268" w:lineRule="auto"/>
        <w:tabs>
          <w:tab w:leader="none" w:pos="67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Board of Trustees obtains such representations and undertakings from such Person as are reasonably necessary to ascertain that no individual’s Beneficial or Constructive Ownership of such Equity Shares will violate Section 7.2.1(a)(ii);</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280" w:right="259" w:bottom="1440" w:gutter="0" w:footer="0" w:header="0"/>
        </w:sectPr>
      </w:pPr>
    </w:p>
    <w:bookmarkStart w:id="87" w:name="page88"/>
    <w:bookmarkEnd w:id="87"/>
    <w:p>
      <w:pPr>
        <w:ind w:left="460" w:right="20" w:firstLine="4"/>
        <w:spacing w:after="0" w:line="291" w:lineRule="auto"/>
        <w:tabs>
          <w:tab w:leader="none" w:pos="719" w:val="left"/>
        </w:tabs>
        <w:numPr>
          <w:ilvl w:val="1"/>
          <w:numId w:val="1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Person does not and represents that it will not own, actually or Constructively, an interest in a tenant of the Trust (or a tenant of any entity owned or controlled by the Trust) that would cause the Trust to own, actually or Constructively, more than a 9.8% interest (as set forth in Section 856(d)(2)(B) of the Code) in such tenant and the Board of Trustees obtains such representations and undertakings from such Person as are reasonably necessary to ascertain this fact (for this purpose, a tenant from whom the Trust (or an entity owned or controlled by the Trust) derives (and is expected to continue to derive) a sufficiently small amount of revenue such that, in the opinion of the Board of Trustees, rent from such tenant would not adversely affect the Trust’s ability to qualify as a REIT, shall not be treated as a tenant of the Trust); and</w:t>
      </w:r>
    </w:p>
    <w:p>
      <w:pPr>
        <w:spacing w:after="0" w:line="25" w:lineRule="exact"/>
        <w:rPr>
          <w:rFonts w:ascii="Arial" w:cs="Arial" w:eastAsia="Arial" w:hAnsi="Arial"/>
          <w:sz w:val="16"/>
          <w:szCs w:val="16"/>
          <w:color w:val="auto"/>
        </w:rPr>
      </w:pPr>
    </w:p>
    <w:p>
      <w:pPr>
        <w:ind w:left="460" w:right="140" w:firstLine="4"/>
        <w:spacing w:after="0" w:line="259" w:lineRule="auto"/>
        <w:tabs>
          <w:tab w:leader="none" w:pos="76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Person agrees that any violation or attempted violation of such representations or undertakings (or other action which is contrary to the restrictions contained in Sections 7.2.1 through 7.2.6) will result in such Equity Shares being automatically transferred to a Charitable Trust in accordance with Sections 7.2.1(b) and 7.3.</w:t>
      </w:r>
    </w:p>
    <w:p>
      <w:pPr>
        <w:spacing w:after="0" w:line="126" w:lineRule="exact"/>
        <w:rPr>
          <w:rFonts w:ascii="Arial" w:cs="Arial" w:eastAsia="Arial" w:hAnsi="Arial"/>
          <w:sz w:val="18"/>
          <w:szCs w:val="18"/>
          <w:color w:val="auto"/>
        </w:rPr>
      </w:pPr>
    </w:p>
    <w:p>
      <w:pPr>
        <w:ind w:right="240" w:firstLine="8"/>
        <w:spacing w:after="0" w:line="298" w:lineRule="auto"/>
        <w:tabs>
          <w:tab w:leader="none" w:pos="24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Prior to granting any exception pursuant to Section 7.2.7(a), the Board of Trustees may require a ruling from the Internal Revenue Service, or an opinion of counsel, in either case in form and substance satisfactory to the Board of Trustees in its sole discretion, as it may deem necessary or advisable in order to determine or ensure the Trust’s status as a REIT. Notwithstanding the receipt of any ruling or opinion, the Board of Trustees may impose such conditions or restrictions as it deems appropriate in connection with granting such exception.</w:t>
      </w:r>
    </w:p>
    <w:p>
      <w:pPr>
        <w:spacing w:after="0" w:line="99" w:lineRule="exact"/>
        <w:rPr>
          <w:rFonts w:ascii="Arial" w:cs="Arial" w:eastAsia="Arial" w:hAnsi="Arial"/>
          <w:sz w:val="16"/>
          <w:szCs w:val="16"/>
          <w:color w:val="auto"/>
        </w:rPr>
      </w:pPr>
    </w:p>
    <w:p>
      <w:pPr>
        <w:ind w:firstLine="8"/>
        <w:spacing w:after="0" w:line="256" w:lineRule="auto"/>
        <w:tabs>
          <w:tab w:leader="none" w:pos="2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Section 7.2.1(a)(ii), an underwriter which participates in a public offering or a private placement of Equity Shares (or securities convertible into or exchangeable for Equity Shares) may Beneficially Own or Constructively Own Equity Shares (or securities convertible into or exchangeable for Equity Shares) in excess of the Aggregate Share Ownership Limit, the Common Share Ownership Limit or both such limits, but only to the extent necessary to facilitate such public offering or private placement.</w:t>
      </w:r>
    </w:p>
    <w:p>
      <w:pPr>
        <w:spacing w:after="0" w:line="129" w:lineRule="exact"/>
        <w:rPr>
          <w:rFonts w:ascii="Arial" w:cs="Arial" w:eastAsia="Arial" w:hAnsi="Arial"/>
          <w:sz w:val="18"/>
          <w:szCs w:val="18"/>
          <w:color w:val="auto"/>
        </w:rPr>
      </w:pPr>
    </w:p>
    <w:p>
      <w:pPr>
        <w:ind w:right="80" w:firstLine="8"/>
        <w:spacing w:after="0" w:line="256" w:lineRule="auto"/>
        <w:tabs>
          <w:tab w:leader="none" w:pos="24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Board of Trustees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Share Ownership Limit.</w:t>
      </w:r>
    </w:p>
    <w:p>
      <w:pPr>
        <w:spacing w:after="0" w:line="13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Section 7.2.8 </w:t>
      </w:r>
      <w:r>
        <w:rPr>
          <w:rFonts w:ascii="Arial" w:cs="Arial" w:eastAsia="Arial" w:hAnsi="Arial"/>
          <w:sz w:val="18"/>
          <w:szCs w:val="18"/>
          <w:u w:val="single" w:color="auto"/>
          <w:color w:val="auto"/>
        </w:rPr>
        <w:t>Increase in Aggregate Share Ownership and Common Share Ownership Limits</w:t>
      </w:r>
      <w:r>
        <w:rPr>
          <w:rFonts w:ascii="Arial" w:cs="Arial" w:eastAsia="Arial" w:hAnsi="Arial"/>
          <w:sz w:val="18"/>
          <w:szCs w:val="18"/>
          <w:color w:val="auto"/>
        </w:rPr>
        <w:t>. The Board of Trustees may from time to time increase the Common Share Ownership Limit and the Aggregate Share Ownership Limit.</w:t>
      </w:r>
    </w:p>
    <w:p>
      <w:pPr>
        <w:spacing w:after="0" w:line="118"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 xml:space="preserve">Section 7.2.9 </w:t>
      </w:r>
      <w:r>
        <w:rPr>
          <w:rFonts w:ascii="Arial" w:cs="Arial" w:eastAsia="Arial" w:hAnsi="Arial"/>
          <w:sz w:val="18"/>
          <w:szCs w:val="18"/>
          <w:u w:val="single" w:color="auto"/>
          <w:color w:val="auto"/>
        </w:rPr>
        <w:t>Legend</w:t>
      </w:r>
      <w:r>
        <w:rPr>
          <w:rFonts w:ascii="Arial" w:cs="Arial" w:eastAsia="Arial" w:hAnsi="Arial"/>
          <w:sz w:val="18"/>
          <w:szCs w:val="18"/>
          <w:color w:val="auto"/>
        </w:rPr>
        <w:t>. Each certificate for Equity Shares issued after the effective date of this Declaration as accepted for record by the SDAT shall bear substantially the following legend:</w:t>
      </w:r>
    </w:p>
    <w:p>
      <w:pPr>
        <w:spacing w:after="0" w:line="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shares represented by this certificate are subject to restrictions on Beneficial and Constructive Ownership and Transfer for the purpose of the Trust’s maintenance of its status as a Real Estate Investment Trust (a “REIT”) under the Internal Revenue Code of 1986, as amended (the “Code”). Subject to certain further restrictions and except as expressly provided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280" w:right="239" w:bottom="1440" w:gutter="0" w:footer="0" w:header="0"/>
        </w:sectPr>
      </w:pPr>
    </w:p>
    <w:bookmarkStart w:id="88" w:name="page89"/>
    <w:bookmarkEnd w:id="88"/>
    <w:p>
      <w:pPr>
        <w:jc w:val="both"/>
        <w:ind w:right="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Trust’s Declaration of Trust, (i) no Person may Beneficially or Constructively Own Common Shares of the Trust in excess of 9.8 percent (in value or number of shares) of the outstanding Common Shares of the Trust unless such Person is an Excepted Holder (in which case the Excepted Holder Limit shall be applicable);</w:t>
      </w:r>
    </w:p>
    <w:p>
      <w:pPr>
        <w:ind w:right="20" w:firstLine="8"/>
        <w:spacing w:after="0" w:line="286" w:lineRule="auto"/>
        <w:tabs>
          <w:tab w:leader="none" w:pos="25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Person may Beneficially or Constructively Own Equity Shares of the Trust in excess of 9.8 percent of the value of the total outstanding Equity Shares of the Trust, unless such Person is an Excepted Holder (in which case the Excepted Holder Limit shall be applicable); (iii) no Person may Beneficially or Constructively Own Equity Shares that would result in the Trust being “closely held” under Section 856(h) of the Code or otherwise cause the Trust to fail to qualify as a REIT; and (iv) no Person may Transfer Equity Shares if such Transfer would result in Equity Shares of the Trust being owned by fewer than 100 Persons. Any Person who Beneficially or Constructively Owns or attempts to Beneficially or Constructively Own Equity Shares which cause or will cause a Person to Beneficially or Constructively Own Equity Shares in excess or in violation of the above limitations must immediately notify the Trust. If any of the restrictions on transfer or ownership are violated, the Equity Shares represented hereby will be automatically transferred to a Trustee of a Charitable Trust for the benefit of one or more Charitable Beneficiaries. In addition, upon the occurrence of certain events, attempted Transfers in violation of the restrictions described above may be void ab initio. All capitalized terms in this legend have the meanings defined in the Trust’s Declaration of Trust, as the same may be amended from time to time, a copy of which, including the restrictions on transfer and ownership, will be furnished to each holder of Equity Shares of the Trust on request and without charge.</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Instead of the foregoing legend, the certificate may state that the Trust will furnish a full statement about certain restrictions on transferability to a shareholder on request and without charge.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Transfer of Equity Shares in Trust</w:t>
      </w:r>
      <w:r>
        <w:rPr>
          <w:rFonts w:ascii="Arial" w:cs="Arial" w:eastAsia="Arial" w:hAnsi="Arial"/>
          <w:sz w:val="18"/>
          <w:szCs w:val="18"/>
          <w:color w:val="auto"/>
        </w:rPr>
        <w:t>.</w:t>
      </w:r>
    </w:p>
    <w:p>
      <w:pPr>
        <w:spacing w:after="0" w:line="77"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 xml:space="preserve">Section 7.3.1 </w:t>
      </w:r>
      <w:r>
        <w:rPr>
          <w:rFonts w:ascii="Arial" w:cs="Arial" w:eastAsia="Arial" w:hAnsi="Arial"/>
          <w:sz w:val="15"/>
          <w:szCs w:val="15"/>
          <w:u w:val="single" w:color="auto"/>
          <w:color w:val="auto"/>
        </w:rPr>
        <w:t>Ownership in Trust</w:t>
      </w:r>
      <w:r>
        <w:rPr>
          <w:rFonts w:ascii="Arial" w:cs="Arial" w:eastAsia="Arial" w:hAnsi="Arial"/>
          <w:sz w:val="15"/>
          <w:szCs w:val="15"/>
          <w:color w:val="auto"/>
        </w:rPr>
        <w:t>. Upon any purported Transfer or other event described in Section 7.2.1(b) that would result in a transfer of Equity Shares to a Charitable Trust, such Equity Shares shall be deemed to have been transferred to the Trustee as trustee of a Charitable Trust for the exclusive benefit of one or more Charitable Beneficiaries. Such transfer to the Trustee shall be deemed to be effective as of the close of business on the Business Day prior to the purported Transfer or other event that results in the transfer to the Charitable Trust pursuant to Section 7.2.1(b). The Trustee shall be appointed by the Trust and shall be a Person unaffiliated with the Trust and any Prohibited Owner. Each Charitable Beneficiary shall be designated by the Trust as provided in Section 7.3.6.</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Section 7.3.2 </w:t>
      </w:r>
      <w:r>
        <w:rPr>
          <w:rFonts w:ascii="Arial" w:cs="Arial" w:eastAsia="Arial" w:hAnsi="Arial"/>
          <w:sz w:val="18"/>
          <w:szCs w:val="18"/>
          <w:u w:val="single" w:color="auto"/>
          <w:color w:val="auto"/>
        </w:rPr>
        <w:t>Status of Shares Held by the Trustee</w:t>
      </w:r>
      <w:r>
        <w:rPr>
          <w:rFonts w:ascii="Arial" w:cs="Arial" w:eastAsia="Arial" w:hAnsi="Arial"/>
          <w:sz w:val="18"/>
          <w:szCs w:val="18"/>
          <w:color w:val="auto"/>
        </w:rPr>
        <w:t>. Equity Shares held by the Trustee shall be issued and outstanding Equity Shares of the Trust.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Charitable Trust.</w:t>
      </w:r>
    </w:p>
    <w:p>
      <w:pPr>
        <w:spacing w:after="0" w:line="13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Section 7.3.3 </w:t>
      </w:r>
      <w:r>
        <w:rPr>
          <w:rFonts w:ascii="Arial" w:cs="Arial" w:eastAsia="Arial" w:hAnsi="Arial"/>
          <w:sz w:val="16"/>
          <w:szCs w:val="16"/>
          <w:u w:val="single" w:color="auto"/>
          <w:color w:val="auto"/>
        </w:rPr>
        <w:t>Dividend and Voting Rights</w:t>
      </w:r>
      <w:r>
        <w:rPr>
          <w:rFonts w:ascii="Arial" w:cs="Arial" w:eastAsia="Arial" w:hAnsi="Arial"/>
          <w:sz w:val="16"/>
          <w:szCs w:val="16"/>
          <w:color w:val="auto"/>
        </w:rPr>
        <w:t>. The Trustee shall have all voting rights and rights to dividends or other distributions with respect to Equity Shares held in the Charitable Trust, which rights shall be exercised for the exclusive benefit of the Charitable Beneficiary. Any dividend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380"/>
          </w:cols>
          <w:pgMar w:left="240" w:top="280" w:right="279" w:bottom="1440" w:gutter="0" w:footer="0" w:header="0"/>
        </w:sectPr>
      </w:pPr>
    </w:p>
    <w:bookmarkStart w:id="89" w:name="page90"/>
    <w:bookmarkEnd w:id="8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distribution paid prior to the discovery by the Trust that Equity Shares have been transferred to the Trustee shall be paid with respect to such Equity Shares to the Trustee upon demand and any dividend or other distribution authorized but unpaid shall be paid when due to the Trustee. Any dividends or distributions so paid over to the Trustee shall be held in trust for the Charitable Beneficiary. The Prohibited Owner shall have no voting rights with respect to shares held in the Charitable Trust and, subject to Maryland law, effective as of the date that Equity Shares have been transferred to the Trustee, the Trustee shall have the authority (at the Trustee’s sole discretion) (i) to rescind as void any vote cast by a Prohibited Owner prior to the discovery by the Trust that Equity Shares have been transferred to the Trustee and (ii) to recast such vote in accordance with the desires of the Trustee acting for the benefit of the Charitable Beneficiary; provided, however, that if the Trust has already taken irreversible trust action, then the Trustee shall not have the authority to rescind and recast such vote. Notwithstanding the provisions of this Article VII, until the Trust has received notification that Equity Shares have been transferred into a Charitable Trust, the Trust shall be entitled to rely on its share transfer and other shareholder records for purposes of preparing lists of shareholders entitled to vote at meetings, determining the validity and authority of proxies and otherwise conducting votes of shareholders.</w:t>
      </w:r>
    </w:p>
    <w:p>
      <w:pPr>
        <w:spacing w:after="0" w:line="1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Section 7.3.4 </w:t>
      </w:r>
      <w:r>
        <w:rPr>
          <w:rFonts w:ascii="Arial" w:cs="Arial" w:eastAsia="Arial" w:hAnsi="Arial"/>
          <w:sz w:val="16"/>
          <w:szCs w:val="16"/>
          <w:u w:val="single" w:color="auto"/>
          <w:color w:val="auto"/>
        </w:rPr>
        <w:t>Sale of Shares by Trustee</w:t>
      </w:r>
      <w:r>
        <w:rPr>
          <w:rFonts w:ascii="Arial" w:cs="Arial" w:eastAsia="Arial" w:hAnsi="Arial"/>
          <w:sz w:val="16"/>
          <w:szCs w:val="16"/>
          <w:color w:val="auto"/>
        </w:rPr>
        <w:t>. Within 20 days of receiving notice from the Trust that Equity Shares have been transferred to the Charitable Trust, the Trustee of the Charitable Trust shall sell the shares held in the Charitable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 (1) the price paid by the Prohibited Owner for the shares or, if the Prohibited Owner did not give value for the shares in connection with the event causing the shares to be held in the Charitable Trust (e.g., in the case of a gift, devise or other such transaction), the Market Price of the shares on the day of the event causing the shares to be held in the Charitable Trust and (2) the price per share received by the Trustee from the sale or other disposition of the shares held in the Charitable Trust. Any net sales proceeds in excess of the amount payable to the Prohibited Owner shall be immediately paid to the Charitable Beneficiary. If, prior to the discovery by the Trust that Equity Shares have been transferred to the Trustee, such shares are sold by a Prohibited Owner, then (i) such shares shall be deemed to have been sold on behalf of the Charitable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1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Section 7.3.5 </w:t>
      </w:r>
      <w:r>
        <w:rPr>
          <w:rFonts w:ascii="Arial" w:cs="Arial" w:eastAsia="Arial" w:hAnsi="Arial"/>
          <w:sz w:val="18"/>
          <w:szCs w:val="18"/>
          <w:u w:val="single" w:color="auto"/>
          <w:color w:val="auto"/>
        </w:rPr>
        <w:t>Purchase Right in Shares Transferred to the Trustee</w:t>
      </w:r>
      <w:r>
        <w:rPr>
          <w:rFonts w:ascii="Arial" w:cs="Arial" w:eastAsia="Arial" w:hAnsi="Arial"/>
          <w:sz w:val="18"/>
          <w:szCs w:val="18"/>
          <w:color w:val="auto"/>
        </w:rPr>
        <w:t>. Equity Shares transferred to the Trustee shall be deemed to have been offered for sale to the Trust, or its designee, at a price per share equal to the lesser of (i) the price per share in the transaction that resulted in such transfer to the Charitable Trust (or, in the case of a devise or gift, the Market Price at the time of such devise or gift) and (ii) the Market Price on the date the Trust, or its designee, accepts such offer. The Trust shall have the right to accept such offer until the Trustee has sold the shares held in the Charitable Trust pursuant to Section 7.3.4. Upon such a sale to the Trust, the interest of the Charitable Beneficiary in the shares sold shall terminate and the Trustee shall distribute the net proceeds of the sale to the Prohibited Owner.</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60"/>
          </w:cols>
          <w:pgMar w:left="240" w:top="280" w:right="299" w:bottom="1440" w:gutter="0" w:footer="0" w:header="0"/>
        </w:sectPr>
      </w:pPr>
    </w:p>
    <w:bookmarkStart w:id="90" w:name="page91"/>
    <w:bookmarkEnd w:id="90"/>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7.3.6 </w:t>
      </w:r>
      <w:r>
        <w:rPr>
          <w:rFonts w:ascii="Arial" w:cs="Arial" w:eastAsia="Arial" w:hAnsi="Arial"/>
          <w:sz w:val="16"/>
          <w:szCs w:val="16"/>
          <w:u w:val="single" w:color="auto"/>
          <w:color w:val="auto"/>
        </w:rPr>
        <w:t>Designation of Charitable Beneficiaries</w:t>
      </w:r>
      <w:r>
        <w:rPr>
          <w:rFonts w:ascii="Arial" w:cs="Arial" w:eastAsia="Arial" w:hAnsi="Arial"/>
          <w:sz w:val="16"/>
          <w:szCs w:val="16"/>
          <w:color w:val="auto"/>
        </w:rPr>
        <w:t>. By written notice to the Trustee, the Trust shall designate one or more nonprofit organizations to be the Charitable Beneficiary of the interest in the Charitable Trust such that (i) Equity Shares held in the Charitable Trust would not violate the restrictions set forth in Section 7.2.1(a)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NYSE Transactions</w:t>
      </w:r>
      <w:r>
        <w:rPr>
          <w:rFonts w:ascii="Arial" w:cs="Arial" w:eastAsia="Arial" w:hAnsi="Arial"/>
          <w:sz w:val="16"/>
          <w:szCs w:val="16"/>
          <w:color w:val="auto"/>
        </w:rPr>
        <w:t>.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Enforcement</w:t>
      </w:r>
      <w:r>
        <w:rPr>
          <w:rFonts w:ascii="Arial" w:cs="Arial" w:eastAsia="Arial" w:hAnsi="Arial"/>
          <w:sz w:val="16"/>
          <w:szCs w:val="16"/>
          <w:color w:val="auto"/>
        </w:rPr>
        <w:t>. The Trust is authorized specifically to seek equitable relief, including injunctive relief, to enforce the provisions of this Article VII.</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Non-Waiver</w:t>
      </w:r>
      <w:r>
        <w:rPr>
          <w:rFonts w:ascii="Arial" w:cs="Arial" w:eastAsia="Arial" w:hAnsi="Arial"/>
          <w:sz w:val="18"/>
          <w:szCs w:val="18"/>
          <w:color w:val="auto"/>
        </w:rPr>
        <w:t>. No delay or failure on the part of the Trust or the Board of Trustees in exercising any right hereunder shall operate as a waiver of any right of the Trust or the Board of Trustees, as the case may be, except to the extent specifically waived in writing.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SHAREHOLDERS</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Meetings</w:t>
      </w:r>
      <w:r>
        <w:rPr>
          <w:rFonts w:ascii="Arial" w:cs="Arial" w:eastAsia="Arial" w:hAnsi="Arial"/>
          <w:sz w:val="16"/>
          <w:szCs w:val="16"/>
          <w:color w:val="auto"/>
        </w:rPr>
        <w:t>. There shall be an annual meeting of the shareholders, to be held on proper notice at such time (after the delivery of the annual report) and convenient location as shall be determined by or in the manner prescribed in the Bylaws, for the election of the Trustees, if required, and for the transaction of any other business within the powers of the Trust. Except as otherwise provided in the Declaration of Trust, special meetings of shareholders may be called in the manner provided in the Bylaws. If there are no Trustees, the officers of the Trust shall promptly call a special meeting of the shareholders entitled to vote for the election of successor Trustees. Any meeting may be adjourned and reconvened as the Trustees determine or as provided in the Bylaws.</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Voting Rights</w:t>
      </w:r>
      <w:r>
        <w:rPr>
          <w:rFonts w:ascii="Arial" w:cs="Arial" w:eastAsia="Arial" w:hAnsi="Arial"/>
          <w:sz w:val="16"/>
          <w:szCs w:val="16"/>
          <w:color w:val="auto"/>
        </w:rPr>
        <w:t>. Subject to the provisions of any class or series of Shares then outstanding, the shareholders shall be entitled to vote only on the following matters: (a) election of Trustees as provided in Section 5.2 and the removal of Trustees as provided in Section 5.3; (b) amendment of the Declaration of Trust as provided in Article X; (c) termination of the Trust as provided in Section 12.2; (d) to the extent required by Title 8, merger or consolidation of the Trust, or the sale or disposition of substantially all of the property of the Trust, as provided in Article XI; and (e) such other matters with respect to which the Board of Trustees has adopted a resolution declaring that a proposed action is advisable and directing that the matter be submitted to the shareholders for approval or ratification. Except with respect to the foregoing matters, no action taken by the shareholders at any meeting shall in any way bind the Board of Trustees.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00"/>
          </w:cols>
          <w:pgMar w:left="240" w:top="280" w:right="259" w:bottom="1440" w:gutter="0" w:footer="0" w:header="0"/>
        </w:sectPr>
      </w:pPr>
    </w:p>
    <w:bookmarkStart w:id="91" w:name="page92"/>
    <w:bookmarkEnd w:id="9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8.3 </w:t>
      </w:r>
      <w:r>
        <w:rPr>
          <w:rFonts w:ascii="Arial" w:cs="Arial" w:eastAsia="Arial" w:hAnsi="Arial"/>
          <w:sz w:val="16"/>
          <w:szCs w:val="16"/>
          <w:u w:val="single" w:color="auto"/>
          <w:color w:val="auto"/>
        </w:rPr>
        <w:t>Preemptive and Appraisal Rights</w:t>
      </w:r>
      <w:r>
        <w:rPr>
          <w:rFonts w:ascii="Arial" w:cs="Arial" w:eastAsia="Arial" w:hAnsi="Arial"/>
          <w:sz w:val="16"/>
          <w:szCs w:val="16"/>
          <w:color w:val="auto"/>
        </w:rPr>
        <w:t>. Except as may be provided by the Board of Trustees in setting the terms of classified or reclassified Shares pursuant to Section 6.5, or as may otherwise be provided by contract, no holder of Shares shall, as such holder, (a) have any preemptive right to purchase or subscribe for any additional Shares of the Trust or any other security of the Trust which it may issue or sell or (b), except as expressly required by Title 8, have any right to require the Trust to pay him the fair value of his Shares in an appraisal or similar proceeding.</w:t>
      </w:r>
    </w:p>
    <w:p>
      <w:pPr>
        <w:spacing w:after="0" w:line="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Extraordinary Actions</w:t>
      </w:r>
      <w:r>
        <w:rPr>
          <w:rFonts w:ascii="Arial" w:cs="Arial" w:eastAsia="Arial" w:hAnsi="Arial"/>
          <w:sz w:val="18"/>
          <w:szCs w:val="18"/>
          <w:color w:val="auto"/>
        </w:rPr>
        <w:t>. Except as specifically provided in Section 5.3 (relating to removal of Trustees) and in Section 10.3, notwithstanding any provision of law permitting or requiring any action to be taken or authorized by the affirmative vote of the holders of a greater number of votes, any such action shall be effective and valid if taken or approved by the affirmative vote of holders of Shares entitled to cast a majority of all the votes entitled to be cast on the matter.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Board Approval</w:t>
      </w:r>
      <w:r>
        <w:rPr>
          <w:rFonts w:ascii="Arial" w:cs="Arial" w:eastAsia="Arial" w:hAnsi="Arial"/>
          <w:sz w:val="16"/>
          <w:szCs w:val="16"/>
          <w:color w:val="auto"/>
        </w:rPr>
        <w:t>. The submission of any action to the shareholders for their consideration shall first be approved by the Board of Trustees.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Action By Shareholders without a Meeting</w:t>
      </w:r>
      <w:r>
        <w:rPr>
          <w:rFonts w:ascii="Arial" w:cs="Arial" w:eastAsia="Arial" w:hAnsi="Arial"/>
          <w:sz w:val="18"/>
          <w:szCs w:val="18"/>
          <w:color w:val="auto"/>
        </w:rPr>
        <w:t>. 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1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IX</w:t>
      </w:r>
    </w:p>
    <w:p>
      <w:pPr>
        <w:spacing w:after="0" w:line="15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LIABILITY LIMITATION, INDEMNIFICATION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TRANSACTIONS WITH THE TRUST</w:t>
      </w:r>
    </w:p>
    <w:p>
      <w:pPr>
        <w:spacing w:after="0" w:line="15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Limitation of Shareholder Liability</w:t>
      </w:r>
      <w:r>
        <w:rPr>
          <w:rFonts w:ascii="Arial" w:cs="Arial" w:eastAsia="Arial" w:hAnsi="Arial"/>
          <w:sz w:val="16"/>
          <w:szCs w:val="16"/>
          <w:color w:val="auto"/>
        </w:rPr>
        <w:t>. No shareholder shall be liable for any debt, claim, demand, judgment or obligation of any kind of, against or with respect to the Trust by reason of his being a shareholder, nor shall any shareholder be subject to any personal liability whatsoever, in tort, contract or otherwise, to any person in connection with the property or the affairs of the Trust by reason of his being a shareholder.</w:t>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Limitation of Trustee and Officer Liability</w:t>
      </w:r>
      <w:r>
        <w:rPr>
          <w:rFonts w:ascii="Arial" w:cs="Arial" w:eastAsia="Arial" w:hAnsi="Arial"/>
          <w:sz w:val="16"/>
          <w:szCs w:val="16"/>
          <w:color w:val="auto"/>
        </w:rPr>
        <w:t>. To the maximum extent that Maryland law in effect from time to time permits limitation of the liability of trustees and officers of a real estate investment trust, no Trustee or officer of the Trust shall be liable to the Trust or to any shareholder for money damages. Neither the amendment nor repeal of this Section 9.2, nor the adoption or amendment of any other provision of the Declaration of Trust inconsistent with this Section 9.2, shall apply to or affect in any respect the applicability of the preceding sentence with respect to any act or failure to act which occurred prior to such amendment, repeal or adoption. In the absence of any Maryland statute limiting the liability of trustees and officers of a Maryland real estate investment trust for money damages in a suit by or on behalf of the Trust or by any shareholder, no Trustee or officer of the Trust shall be liable to the Trust or to any shareholder for money damages except to the extent that (a) the Trustee or officer actually received an improper benefit or profit in money, property or services, for the amount of the benefit or profit in money, property or services actually received; or (b) a judgment or other final adjudication adverse to the Trustee or officer is entered in a proceeding based on a finding in the proceeding that the Trustee’s or officer’s action or failure to act was the result of active and deliberate dishonesty and was material to the cause of action adjudicated in the proceeding.</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00"/>
          </w:cols>
          <w:pgMar w:left="240" w:top="280" w:right="259" w:bottom="1440" w:gutter="0" w:footer="0" w:header="0"/>
        </w:sectPr>
      </w:pPr>
    </w:p>
    <w:bookmarkStart w:id="92" w:name="page93"/>
    <w:bookmarkEnd w:id="9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9.3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Trust shall have the power, to the maximum extent permitted by Maryland law in effect from time to time, to obligate itself to indemnify, and to pay or reimburse reasonable expenses in advance of final disposition of a proceeding to, (a) any individual who is a present or former shareholder, Trustee or officer of the Trust or (b) any individual who, while a Trustee of the Trust and at the request of the Trust, serves or has served as a director, officer, partner, trustee, employee or agent of another real estate investment trust, corporation, partnership, joint venture, trust, employee benefit plan or any other enterprise from and against any claim or liability to which such person may become subject or which such person may incur by reason of such status. The Trust shall have the power, with the approval of its Board of Trustees, to provide such indemnification and advancement of expenses to a person who served a predecessor of the Trust in any of the capacities described in (a) or (b) above and to any employee or agent of the Trust or a predecessor of the Trust.</w:t>
      </w:r>
    </w:p>
    <w:p>
      <w:pPr>
        <w:spacing w:after="0" w:line="105"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Transactions Between the Trust and its Trustees, Officers, Employees and Agents</w:t>
      </w:r>
      <w:r>
        <w:rPr>
          <w:rFonts w:ascii="Arial" w:cs="Arial" w:eastAsia="Arial" w:hAnsi="Arial"/>
          <w:sz w:val="18"/>
          <w:szCs w:val="18"/>
          <w:color w:val="auto"/>
        </w:rPr>
        <w:t>. Subject to any express restrictions in the Declaration of Trust or adopted by the Trustees in the Bylaws or by resolution, the Trust may enter into any contract or transaction of any kind with any person, including any Trustee, officer, employee or agent of the Trust or any person affiliated with a Trustee, officer, employee or agent of the Trust, whether or not any of them has a financial interest in such transaction.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1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General</w:t>
      </w:r>
      <w:r>
        <w:rPr>
          <w:rFonts w:ascii="Arial" w:cs="Arial" w:eastAsia="Arial" w:hAnsi="Arial"/>
          <w:sz w:val="16"/>
          <w:szCs w:val="16"/>
          <w:color w:val="auto"/>
        </w:rPr>
        <w:t>. The Trust reserves the right from time to time to make any amendment to the Declaration of Trust, now or hereafter authorized by law, including any amendment altering the terms or contract rights, as expressly set forth in the Declaration of Trust, of any Shares. All rights and powers conferred by the Declaration of Trust on shareholders, Trustees and officers are granted subject to this reservation. An amendment to the Declaration of Trust (a) shall be signed and acknowledged by at least a majority of the Trustees, or an officer duly authorized by at least a majority of the Trustees, (b) shall be filed for record as provided in Section 13.5 and (c) shall become effective as of the later of the time the SDAT accepts the amendment for record or the time established in the amendment, not to exceed 30 days after the amendment is accepted for record. All references to the Declaration of Trust shall include all amendments thereto.</w:t>
      </w:r>
    </w:p>
    <w:p>
      <w:pPr>
        <w:spacing w:after="0" w:line="10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By Trustees</w:t>
      </w:r>
      <w:r>
        <w:rPr>
          <w:rFonts w:ascii="Arial" w:cs="Arial" w:eastAsia="Arial" w:hAnsi="Arial"/>
          <w:sz w:val="16"/>
          <w:szCs w:val="16"/>
          <w:color w:val="auto"/>
        </w:rPr>
        <w:t>. The Trustees may amend the Declaration of Trust from time to time, in the manner provided by Title 8, without any action by the shareholders, to qualify as a real estate investment trust under the Code or under Title 8 and as otherwise provided in the Declaration of Trust.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By Shareholders</w:t>
      </w:r>
      <w:r>
        <w:rPr>
          <w:rFonts w:ascii="Arial" w:cs="Arial" w:eastAsia="Arial" w:hAnsi="Arial"/>
          <w:sz w:val="18"/>
          <w:szCs w:val="18"/>
          <w:color w:val="auto"/>
        </w:rPr>
        <w:t>.</w:t>
      </w:r>
    </w:p>
    <w:p>
      <w:pPr>
        <w:spacing w:after="0" w:line="77" w:lineRule="exact"/>
        <w:rPr>
          <w:sz w:val="20"/>
          <w:szCs w:val="20"/>
          <w:color w:val="auto"/>
        </w:rPr>
      </w:pPr>
    </w:p>
    <w:p>
      <w:pPr>
        <w:ind w:right="200" w:firstLine="8"/>
        <w:spacing w:after="0" w:line="268" w:lineRule="auto"/>
        <w:tabs>
          <w:tab w:leader="none" w:pos="2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provided in the Declaration of Trust and in subsection (b) of this Section 10.3, any amendment to the Declaration of Trust shall be valid only if approved by the affirmative vote of two-thirds of all votes entitled to be cast on the matter.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20"/>
          </w:cols>
          <w:pgMar w:left="240" w:top="280" w:right="239" w:bottom="1440" w:gutter="0" w:footer="0" w:header="0"/>
        </w:sectPr>
      </w:pPr>
    </w:p>
    <w:bookmarkStart w:id="93" w:name="page94"/>
    <w:bookmarkEnd w:id="93"/>
    <w:p>
      <w:pPr>
        <w:ind w:right="540" w:firstLine="8"/>
        <w:spacing w:after="0" w:line="268" w:lineRule="auto"/>
        <w:tabs>
          <w:tab w:leader="none" w:pos="249"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amendment to the Declaration of Trust which has been unanimously approved by the Board of Trustees shall require only the affirmative vote of a majority of all votes entitled to be cast on the matter.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CONSOLIDATION OR SALE OF TRUST PROPERTY</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Subject to the provisions of any class or series of Shares at the time outstanding, the Trust may (a) merge the Trust with or into another entity or merge another entity into the Trust, (b) consolidate the Trust with one or more other entities into a new entity or (c) sell, lease, exchange or otherwise transfer all or substantially all of the property of the Trust. Any such action must be approved by the Board of Trustees and, after notice to all shareholders entitled to vote on the matter, by the affirmative vote of two- thirds of all the votes entitled to be cast on the matter.</w:t>
      </w:r>
    </w:p>
    <w:p>
      <w:pPr>
        <w:spacing w:after="0" w:line="12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XII</w:t>
      </w:r>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DURATION AND TERMINATION OF TRUST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Duration</w:t>
      </w:r>
      <w:r>
        <w:rPr>
          <w:rFonts w:ascii="Arial" w:cs="Arial" w:eastAsia="Arial" w:hAnsi="Arial"/>
          <w:sz w:val="16"/>
          <w:szCs w:val="16"/>
          <w:color w:val="auto"/>
        </w:rPr>
        <w:t>. The Trust shall continue perpetually unless terminated pursuant to Section 12.2 or pursuant to any applicable provision of Title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77" w:lineRule="exact"/>
        <w:rPr>
          <w:sz w:val="20"/>
          <w:szCs w:val="20"/>
          <w:color w:val="auto"/>
        </w:rPr>
      </w:pPr>
    </w:p>
    <w:p>
      <w:pPr>
        <w:ind w:firstLine="8"/>
        <w:spacing w:after="0" w:line="347" w:lineRule="auto"/>
        <w:tabs>
          <w:tab w:leader="none" w:pos="23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Subject to the provisions of any class or series of Shares at the time outstanding, after approval by a majority of the entire Board of Trustees, the Trust may be terminated at any meeting of shareholders, by the affirmative vote of two-thirds of all the votes entitled to be cast on the matter. Upon the termination of the Trust:</w:t>
      </w:r>
    </w:p>
    <w:p>
      <w:pPr>
        <w:ind w:left="680" w:hanging="216"/>
        <w:spacing w:after="0"/>
        <w:tabs>
          <w:tab w:leader="none" w:pos="6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Trust shall carry on no business except for the purpose of winding up its affairs.</w:t>
      </w:r>
    </w:p>
    <w:p>
      <w:pPr>
        <w:spacing w:after="0" w:line="76" w:lineRule="exact"/>
        <w:rPr>
          <w:rFonts w:ascii="Arial" w:cs="Arial" w:eastAsia="Arial" w:hAnsi="Arial"/>
          <w:sz w:val="18"/>
          <w:szCs w:val="18"/>
          <w:color w:val="auto"/>
        </w:rPr>
      </w:pPr>
    </w:p>
    <w:p>
      <w:pPr>
        <w:ind w:left="460" w:right="80" w:firstLine="4"/>
        <w:spacing w:after="0" w:line="298" w:lineRule="auto"/>
        <w:tabs>
          <w:tab w:leader="none" w:pos="719"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The Trustees shall proceed to wind up the affairs of the Trust and all of the powers of the Trustees under the Declaration of Trust shall continue, including the powers to fulfill or discharge the Trust’s contracts, collect its assets, sell, convey, assign, exchange, transfer or otherwise dispose of all or any part of the remaining property of the Trust to one or more persons at public or private sale for consideration which may consist in whole or in part of cash, securities or other property of any kind, discharge or pay its liabilities and do all other acts appropriate to liquidate its business.</w:t>
      </w:r>
    </w:p>
    <w:p>
      <w:pPr>
        <w:spacing w:after="0" w:line="18" w:lineRule="exact"/>
        <w:rPr>
          <w:rFonts w:ascii="Arial" w:cs="Arial" w:eastAsia="Arial" w:hAnsi="Arial"/>
          <w:sz w:val="16"/>
          <w:szCs w:val="16"/>
          <w:color w:val="auto"/>
        </w:rPr>
      </w:pPr>
    </w:p>
    <w:p>
      <w:pPr>
        <w:ind w:left="460" w:right="280" w:firstLine="4"/>
        <w:spacing w:after="0" w:line="255" w:lineRule="auto"/>
        <w:tabs>
          <w:tab w:leader="none" w:pos="76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After paying or adequately providing for the payment of all liabilities, and upon receipt of such releases, indemnities and agreements as they deem necessary for their protection, the Trust may distribute the remaining property of the Trust among the shareholders so that after payment in full or the setting apart for payment of such preferential amounts, if any, to which the holders of any Shares at the time outstanding shall be entitled, the remaining property of the Trust shall, subject to any participating or similar rights of Shares at the time outstanding, be distributed ratably among the holders of Common Shares at the time outstanding.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280" w:right="239" w:bottom="1440" w:gutter="0" w:footer="0" w:header="0"/>
        </w:sectPr>
      </w:pPr>
    </w:p>
    <w:bookmarkStart w:id="94" w:name="page95"/>
    <w:bookmarkEnd w:id="94"/>
    <w:p>
      <w:pPr>
        <w:ind w:firstLine="8"/>
        <w:spacing w:after="0" w:line="259" w:lineRule="auto"/>
        <w:tabs>
          <w:tab w:leader="none" w:pos="2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termination of the Trust, the liquidation of its business and the distribution to the shareholders as herein provided, a majority of the Trustees shall execute and file with the Trust’s records a document certifying that the Trust has been duly terminated, and the Trustees shall be discharged from all liabilities and duties hereunder, and the rights and interests of all shareholders shall cease.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Governing Law</w:t>
      </w:r>
      <w:r>
        <w:rPr>
          <w:rFonts w:ascii="Arial" w:cs="Arial" w:eastAsia="Arial" w:hAnsi="Arial"/>
          <w:sz w:val="18"/>
          <w:szCs w:val="18"/>
          <w:color w:val="auto"/>
        </w:rPr>
        <w:t>. The Declaration of Trust is executed by the undersigned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Section 13.2 </w:t>
      </w:r>
      <w:r>
        <w:rPr>
          <w:rFonts w:ascii="Arial" w:cs="Arial" w:eastAsia="Arial" w:hAnsi="Arial"/>
          <w:sz w:val="16"/>
          <w:szCs w:val="16"/>
          <w:u w:val="single" w:color="auto"/>
          <w:color w:val="auto"/>
        </w:rPr>
        <w:t>Reliance by Third Parties</w:t>
      </w:r>
      <w:r>
        <w:rPr>
          <w:rFonts w:ascii="Arial" w:cs="Arial" w:eastAsia="Arial" w:hAnsi="Arial"/>
          <w:sz w:val="16"/>
          <w:szCs w:val="16"/>
          <w:color w:val="auto"/>
        </w:rPr>
        <w:t>. Any certificate shall be final and conclusive as to any person dealing with the Trust if executed by the Secretary or an Assistant Secretary of the Trust, or any executive officer of the Trust, or a Trustee, and if certifying to: (a) the number or identity of Trustees, officers of the Trust or shareholders; (b) the due authorization of the execution of any document; (c) the action or vote taken, and the existence of a quorum, at a meeting of the Board of Trustees or shareholders; (d) a copy of the Declaration of Trust or of the Bylaws as a true and complete copy as then in force; (e) an amendment to the Declaration of Trust; (f) the termination of the Trust; or (g) the existence of any fact relating to the affairs of the Trust. No purchaser, lender, transfer agent or other person shall be bound to make any inquiry concerning the validity of any transaction purporting to be made by the Trust on its behalf or by any officer, employee or agent of the Trust.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77" w:lineRule="exact"/>
        <w:rPr>
          <w:sz w:val="20"/>
          <w:szCs w:val="20"/>
          <w:color w:val="auto"/>
        </w:rPr>
      </w:pPr>
    </w:p>
    <w:p>
      <w:pPr>
        <w:ind w:right="20" w:firstLine="8"/>
        <w:spacing w:after="0" w:line="291" w:lineRule="auto"/>
        <w:tabs>
          <w:tab w:leader="none" w:pos="23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provisions of the Declaration of Trust are severable, and if the Board of Trustees shall determine, with the advice of counsel, that any one or more of such provisions (the “Conflicting Provisions”) are in conflict with the Code, Title 8 or other applicable federal or state laws, the Conflicting Provisions, to the extent of the conflict, shall be deemed never to have constituted a part of the Declaration of Trust, even without any amendment of the Declaration of Trust pursuant to Article X and without affecting or impairing any of the remaining provisions of the Declaration of Trust or rendering invalid or improper any action taken or omitted prior to such determination. No Trustee shall be liable for making or failing to make such a determination. In the event of any such determination by the Board of Trustees, the Board shall amend the Declaration of Trust in the manner provided in Section 10.2.</w:t>
      </w:r>
    </w:p>
    <w:p>
      <w:pPr>
        <w:spacing w:after="0" w:line="106" w:lineRule="exact"/>
        <w:rPr>
          <w:rFonts w:ascii="Arial" w:cs="Arial" w:eastAsia="Arial" w:hAnsi="Arial"/>
          <w:sz w:val="16"/>
          <w:szCs w:val="16"/>
          <w:color w:val="auto"/>
        </w:rPr>
      </w:pPr>
    </w:p>
    <w:p>
      <w:pPr>
        <w:jc w:val="both"/>
        <w:ind w:right="180" w:firstLine="8"/>
        <w:spacing w:after="0" w:line="259" w:lineRule="auto"/>
        <w:tabs>
          <w:tab w:leader="none" w:pos="24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any provision of the Declaration of Trust shall be held invalid or unenforceable in any jurisdiction, such holding shall apply only to the extent of any such invalidity or unenforceability and shall not in any manner affect, impair or render invalid or unenforceable such provision in any other jurisdiction or any other provision of the Declaration of Trust in any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400"/>
          </w:cols>
          <w:pgMar w:left="240" w:top="280" w:right="259" w:bottom="1440" w:gutter="0" w:footer="0" w:header="0"/>
        </w:sectPr>
      </w:pPr>
    </w:p>
    <w:bookmarkStart w:id="95" w:name="page96"/>
    <w:bookmarkEnd w:id="9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13.4 </w:t>
      </w:r>
      <w:r>
        <w:rPr>
          <w:rFonts w:ascii="Arial" w:cs="Arial" w:eastAsia="Arial" w:hAnsi="Arial"/>
          <w:sz w:val="18"/>
          <w:szCs w:val="18"/>
          <w:u w:val="single" w:color="auto"/>
          <w:color w:val="auto"/>
        </w:rPr>
        <w:t>Construction</w:t>
      </w:r>
      <w:r>
        <w:rPr>
          <w:rFonts w:ascii="Arial" w:cs="Arial" w:eastAsia="Arial" w:hAnsi="Arial"/>
          <w:sz w:val="18"/>
          <w:szCs w:val="18"/>
          <w:color w:val="auto"/>
        </w:rPr>
        <w:t>. In the Declaration of Trust, unless the context otherwise requires, words used in the singular or in the plural include both the plural and singular and words denoting any gender include all genders. The title and headings of different parts are inserted for convenience and shall not affect the meaning, construction or effect of the Declaration of Trust. In defining or interpreting the powers and duties of the Trust and its Trustees and officers, reference may be made by the Trustees or officers, to the extent appropriate and not inconsistent with the Code or Title 8, to Titles 1 through 3 of the Corporations and Associations Article of the Annotated Code of Maryland. In furtherance and not in limitation of the foregoing, in accordance with the provisions of Title 3, Subtitles 6 and 7, of the Corporations and Associations Article of the Annotated Code of Maryland, the Trust shall be included within the definition of “corporation” for purposes of such provisions.</w:t>
      </w:r>
    </w:p>
    <w:p>
      <w:pPr>
        <w:spacing w:after="0" w:line="13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Section 13.5 </w:t>
      </w:r>
      <w:r>
        <w:rPr>
          <w:rFonts w:ascii="Arial" w:cs="Arial" w:eastAsia="Arial" w:hAnsi="Arial"/>
          <w:sz w:val="16"/>
          <w:szCs w:val="16"/>
          <w:u w:val="single" w:color="auto"/>
          <w:color w:val="auto"/>
        </w:rPr>
        <w:t>Recordation</w:t>
      </w:r>
      <w:r>
        <w:rPr>
          <w:rFonts w:ascii="Arial" w:cs="Arial" w:eastAsia="Arial" w:hAnsi="Arial"/>
          <w:sz w:val="16"/>
          <w:szCs w:val="16"/>
          <w:color w:val="auto"/>
        </w:rPr>
        <w:t>. The Trust was formerly governed by the laws of the District of Columbia pursuant to a declaration of trust first made May 25, 1962, filed in the office of, and recorded by, the Recorder of Deeds, Washington, D.C., as subsequently amended. This Declaration of Trust has been filed with and accepted for record by the SDAT whereupon the Trust, as formerly existing as a common law business trust under the laws of the District of Columbia, shall cease to be governed by the laws of the District of Columbia and shall thereupon be subject to Title 8. Any amendment hereto shall be filed with and accepted for record with the SDAT and may also be filed or recorded in such other places as the Trustees deem appropriate, but failure to file for record this Declaration of Trust or any amendment hereto in any office other than the office of the SDAT shall not affect or impair the validity or effectiveness of the Declaration of Trust or any amendment hereto. A restated declaration of trust shall, upon filing, be conclusive evidence of all amendments contained therein and may thereafter be referred to in lieu of the original Declaration of Trust and the various amendments thereto.</w:t>
      </w:r>
    </w:p>
    <w:p>
      <w:pPr>
        <w:spacing w:after="0" w:line="1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Section 13.6 </w:t>
      </w:r>
      <w:r>
        <w:rPr>
          <w:rFonts w:ascii="Arial" w:cs="Arial" w:eastAsia="Arial" w:hAnsi="Arial"/>
          <w:sz w:val="16"/>
          <w:szCs w:val="16"/>
          <w:u w:val="single" w:color="auto"/>
          <w:color w:val="auto"/>
        </w:rPr>
        <w:t>Shares, Share Certificates and Rights</w:t>
      </w:r>
      <w:r>
        <w:rPr>
          <w:rFonts w:ascii="Arial" w:cs="Arial" w:eastAsia="Arial" w:hAnsi="Arial"/>
          <w:sz w:val="16"/>
          <w:szCs w:val="16"/>
          <w:color w:val="auto"/>
        </w:rPr>
        <w:t>. All issued and outstanding Common Shares of beneficial interest, no par value, of the Trust, as existing as a common law business trust under the laws of the District of Columbia immediately prior to the acceptance for record of this Declaration of Trust by the SDAT, shall upon the acceptance for record of this Declaration of Trust by the SDAT, without further action, be reclassified and continue to exist as Common Shares (as herein defined) of the Trust as existing under Title 8 and the laws of Maryland; and all issued and outstanding Series A Cumulative Redeemable Preferred Shares of beneficial interest, no par value, of the Trust, as existing as a common law business trust under the laws of the District of Columbia immediately prior to the acceptance for record of this Declaration of Trust by the SDAT, shall upon acceptance for record of this Declaration of Trust by the SDAT, and without further action, be reclassified and continue to exist as Series A Preferred Shares (as herein defined) of the Trust as existing under Title 8 and the laws of the State of Maryland. Certificates for Common Shares of beneficial interest, and certificates for Series A Cumulative Redeemable Preferred Shares of beneficial interest, respectively, each no par value, of the Trust as existing as a common law business trust under the laws of the District of Columbia immediately prior to the acceptance for record of this Declaration of Trust by the SDAT, shall, upon acceptance for record of this Declaration of Trust by the SDAT, and thereafter, represent Common Shares and Series A Preferred Shares of the Trust as existing under Title 8 and the laws of the State of Maryland. All options, rights, warrants to purchase or subscribe for Common Shares of beneficial interest, no par value, of the Trust, as existing as a common law business trust under the laws of the District of Columbia immediately prior to the filing of this Declaration of Trust with the SDAT, shall upon acceptance for record of this Declaration of Trust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280" w:right="239" w:bottom="1440" w:gutter="0" w:footer="0" w:header="0"/>
        </w:sectPr>
      </w:pPr>
    </w:p>
    <w:bookmarkStart w:id="96" w:name="page97"/>
    <w:bookmarkEnd w:id="96"/>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SDAT, without any further action, entitle the holders thereof to purchase or subscribe for a like number of Common Shares of the Trust as existing under Title 8 and the laws of the State of Maryland, on the same terms.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Section 13.7 </w:t>
      </w:r>
      <w:r>
        <w:rPr>
          <w:rFonts w:ascii="Arial" w:cs="Arial" w:eastAsia="Arial" w:hAnsi="Arial"/>
          <w:sz w:val="18"/>
          <w:szCs w:val="18"/>
          <w:u w:val="single" w:color="auto"/>
          <w:color w:val="auto"/>
        </w:rPr>
        <w:t>Unsolicited Takeovers</w:t>
      </w:r>
      <w:r>
        <w:rPr>
          <w:rFonts w:ascii="Arial" w:cs="Arial" w:eastAsia="Arial" w:hAnsi="Arial"/>
          <w:sz w:val="18"/>
          <w:szCs w:val="18"/>
          <w:color w:val="auto"/>
        </w:rPr>
        <w:t>. The Trust shall not elect to be subject to any provision of Subtitle 8 (“Corporations and Real Estate Investment Trusts — Unsolicited Takeovers”) of Title 3 of the Corporations and Associations Article of the Annotated Code of Maryland.</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Declaration of Trust is executed by the Trustees and delivered in the State of Maryland with reference to the laws thereof, and the rights of all parties and the validity, construction and effect of every provision hereof shall be subject to and construed according to the laws of the State of Maryland without regard to conflicts of laws provisions thereof.</w:t>
      </w:r>
    </w:p>
    <w:p>
      <w:pPr>
        <w:spacing w:after="0" w:line="15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WITNESS WHEREOF, this Declaration of Trust has been executed on this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May, 1999 by the undersigned Trustees, who acknowledge that this document is their act, that to the best of their knowledge, information, and belief, the matters and facts set forth herein are true in all material respects and that this statement is made under the penalties for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6715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15125"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Steven J. Guttman</w:t>
            </w:r>
          </w:p>
        </w:tc>
        <w:tc>
          <w:tcPr>
            <w:tcW w:w="11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 Cornet De Ways Ruart</w:t>
            </w:r>
          </w:p>
        </w:tc>
      </w:tr>
      <w:tr>
        <w:trPr>
          <w:trHeight w:val="407"/>
        </w:trPr>
        <w:tc>
          <w:tcPr>
            <w:tcW w:w="49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Mark S. Ordan</w:t>
            </w:r>
          </w:p>
        </w:tc>
        <w:tc>
          <w:tcPr>
            <w:tcW w:w="11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Walter F. Loeb</w:t>
            </w:r>
          </w:p>
        </w:tc>
      </w:tr>
      <w:tr>
        <w:trPr>
          <w:trHeight w:val="407"/>
        </w:trPr>
        <w:tc>
          <w:tcPr>
            <w:tcW w:w="49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Kenneth D. Brody</w:t>
            </w:r>
          </w:p>
        </w:tc>
        <w:tc>
          <w:tcPr>
            <w:tcW w:w="11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Dennis L. Berman</w:t>
            </w:r>
          </w:p>
        </w:tc>
      </w:tr>
      <w:tr>
        <w:trPr>
          <w:trHeight w:val="407"/>
        </w:trPr>
        <w:tc>
          <w:tcPr>
            <w:tcW w:w="492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16"/>
        </w:trPr>
        <w:tc>
          <w:tcPr>
            <w:tcW w:w="4920" w:type="dxa"/>
            <w:vAlign w:val="bottom"/>
          </w:tcPr>
          <w:p>
            <w:pPr>
              <w:spacing w:after="0"/>
              <w:rPr>
                <w:sz w:val="20"/>
                <w:szCs w:val="20"/>
                <w:color w:val="auto"/>
              </w:rPr>
            </w:pPr>
            <w:r>
              <w:rPr>
                <w:rFonts w:ascii="Arial" w:cs="Arial" w:eastAsia="Arial" w:hAnsi="Arial"/>
                <w:sz w:val="18"/>
                <w:szCs w:val="18"/>
                <w:color w:val="auto"/>
              </w:rPr>
              <w:t>Kristin Gamble</w:t>
            </w:r>
          </w:p>
        </w:tc>
        <w:tc>
          <w:tcPr>
            <w:tcW w:w="1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365"/>
        </w:trPr>
        <w:tc>
          <w:tcPr>
            <w:tcW w:w="4920" w:type="dxa"/>
            <w:vAlign w:val="bottom"/>
          </w:tcPr>
          <w:p>
            <w:pPr>
              <w:spacing w:after="0"/>
              <w:rPr>
                <w:sz w:val="24"/>
                <w:szCs w:val="24"/>
                <w:color w:val="auto"/>
              </w:rPr>
            </w:pPr>
          </w:p>
        </w:tc>
        <w:tc>
          <w:tcPr>
            <w:tcW w:w="5660" w:type="dxa"/>
            <w:vAlign w:val="bottom"/>
            <w:gridSpan w:val="2"/>
          </w:tcPr>
          <w:p>
            <w:pPr>
              <w:ind w:left="520"/>
              <w:spacing w:after="0"/>
              <w:rPr>
                <w:sz w:val="20"/>
                <w:szCs w:val="20"/>
                <w:color w:val="auto"/>
              </w:rPr>
            </w:pPr>
            <w:r>
              <w:rPr>
                <w:rFonts w:ascii="Arial" w:cs="Arial" w:eastAsia="Arial" w:hAnsi="Arial"/>
                <w:sz w:val="18"/>
                <w:szCs w:val="18"/>
                <w:color w:val="auto"/>
              </w:rPr>
              <w:t>Page 28</w:t>
            </w:r>
          </w:p>
        </w:tc>
      </w:tr>
    </w:tbl>
    <w:p>
      <w:pPr>
        <w:sectPr>
          <w:pgSz w:w="11900" w:h="16838" w:orient="portrait"/>
          <w:cols w:equalWidth="0" w:num="1">
            <w:col w:w="11420"/>
          </w:cols>
          <w:pgMar w:left="240" w:top="280" w:right="2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ARTICLES OF AMENDMENT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15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(the “Declaration of Trust”) filed with the Maryland State Department of Assessments and Taxation on May 21, 1999, and in accordance with the applicable provisions of Maryland law that:</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 </w:t>
      </w:r>
      <w:r>
        <w:rPr>
          <w:rFonts w:ascii="Arial" w:cs="Arial" w:eastAsia="Arial" w:hAnsi="Arial"/>
          <w:sz w:val="16"/>
          <w:szCs w:val="16"/>
          <w:color w:val="auto"/>
        </w:rPr>
        <w:t>The Board has adopted resolutions to amend the Declaration of Trust as hereinafter set forth and has declared that such amendment is advisable.</w:t>
      </w:r>
    </w:p>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B. </w:t>
      </w:r>
      <w:r>
        <w:rPr>
          <w:rFonts w:ascii="Arial" w:cs="Arial" w:eastAsia="Arial" w:hAnsi="Arial"/>
          <w:sz w:val="18"/>
          <w:szCs w:val="18"/>
          <w:color w:val="auto"/>
        </w:rPr>
        <w:t>Pursuant to Section 10.3(b) of the Declaration of Trust, the amendment to the Declaration of Trust set forth below shall be approved by the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Trust by the affirmative vote of at least a majority of all the votes entitled to be cast on the matter.</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C. </w:t>
      </w:r>
      <w:r>
        <w:rPr>
          <w:rFonts w:ascii="Arial" w:cs="Arial" w:eastAsia="Arial" w:hAnsi="Arial"/>
          <w:sz w:val="18"/>
          <w:szCs w:val="18"/>
          <w:color w:val="auto"/>
        </w:rPr>
        <w:t>The amendment has been approved by the shareholders of the Trust by the affirmative vote of at least a majority of the shareholders entitled to notice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vote at, the Annual Meeting of the shareholders of the Trust held on May 5,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Declaration of Trust is hereby amended as follows.</w:t>
      </w:r>
    </w:p>
    <w:p>
      <w:pPr>
        <w:spacing w:after="0" w:line="158" w:lineRule="exact"/>
        <w:rPr>
          <w:sz w:val="20"/>
          <w:szCs w:val="20"/>
          <w:color w:val="auto"/>
        </w:rPr>
      </w:pPr>
    </w:p>
    <w:p>
      <w:pPr>
        <w:ind w:right="260" w:firstLine="464"/>
        <w:spacing w:after="0" w:line="268" w:lineRule="auto"/>
        <w:tabs>
          <w:tab w:leader="none" w:pos="632" w:val="left"/>
        </w:tabs>
        <w:numPr>
          <w:ilvl w:val="0"/>
          <w:numId w:val="109"/>
        </w:numPr>
        <w:rPr>
          <w:rFonts w:ascii="Arial" w:cs="Arial" w:eastAsia="Arial" w:hAnsi="Arial"/>
          <w:sz w:val="18"/>
          <w:szCs w:val="18"/>
          <w:b w:val="1"/>
          <w:bCs w:val="1"/>
          <w:i w:val="1"/>
          <w:iCs w:val="1"/>
          <w:color w:val="auto"/>
        </w:rPr>
      </w:pPr>
      <w:r>
        <w:rPr>
          <w:rFonts w:ascii="Arial" w:cs="Arial" w:eastAsia="Arial" w:hAnsi="Arial"/>
          <w:sz w:val="18"/>
          <w:szCs w:val="18"/>
          <w:color w:val="auto"/>
        </w:rPr>
        <w:t>Section 5.2 is hereby amended by deleting the proviso at the end of the first sentence thereof and replacing it with the following: “provided, however, that the total number of Trustees shall be at least three (3) and not more than ten (10).”</w:t>
      </w:r>
    </w:p>
    <w:p>
      <w:pPr>
        <w:spacing w:after="0" w:line="118" w:lineRule="exact"/>
        <w:rPr>
          <w:rFonts w:ascii="Arial" w:cs="Arial" w:eastAsia="Arial" w:hAnsi="Arial"/>
          <w:sz w:val="18"/>
          <w:szCs w:val="18"/>
          <w:b w:val="1"/>
          <w:bCs w:val="1"/>
          <w:i w:val="1"/>
          <w:iCs w:val="1"/>
          <w:color w:val="auto"/>
        </w:rPr>
      </w:pPr>
    </w:p>
    <w:p>
      <w:pPr>
        <w:ind w:left="640" w:hanging="176"/>
        <w:spacing w:after="0"/>
        <w:tabs>
          <w:tab w:leader="none" w:pos="640" w:val="left"/>
        </w:tabs>
        <w:numPr>
          <w:ilvl w:val="0"/>
          <w:numId w:val="109"/>
        </w:numPr>
        <w:rPr>
          <w:rFonts w:ascii="Arial" w:cs="Arial" w:eastAsia="Arial" w:hAnsi="Arial"/>
          <w:sz w:val="16"/>
          <w:szCs w:val="16"/>
          <w:b w:val="1"/>
          <w:bCs w:val="1"/>
          <w:i w:val="1"/>
          <w:iCs w:val="1"/>
          <w:color w:val="auto"/>
        </w:rPr>
      </w:pPr>
      <w:r>
        <w:rPr>
          <w:rFonts w:ascii="Arial" w:cs="Arial" w:eastAsia="Arial" w:hAnsi="Arial"/>
          <w:sz w:val="16"/>
          <w:szCs w:val="16"/>
          <w:color w:val="auto"/>
        </w:rPr>
        <w:t>Section 5.3 is hereby amended by deleting the second sentence in its entirety and inserting in its place, as the second sentence thereof, the following:</w:t>
      </w:r>
    </w:p>
    <w:p>
      <w:pPr>
        <w:spacing w:after="0" w:line="100"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Subject to the rights of holders of one or more classes or series of Preferred Shares to elect or remove one or more Trustees, a Trustee may be removed at any time, (i) with or without cause, at any meeting of the shareholders called for the purpose, by the affirmative vote of the holders of not less than two-thirds of the Shares then outstanding and entitled to vote thereon, or (ii) with cause, by the vote of all the other Trustees.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00"/>
          </w:cols>
          <w:pgMar w:left="240" w:top="274" w:right="259" w:bottom="1440" w:gutter="0" w:footer="0" w:header="0"/>
        </w:sectPr>
      </w:pPr>
    </w:p>
    <w:bookmarkStart w:id="98" w:name="page99"/>
    <w:bookmarkEnd w:id="98"/>
    <w:p>
      <w:pPr>
        <w:ind w:right="260" w:firstLine="456"/>
        <w:spacing w:after="0" w:line="36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attested by Dawn M. Becker, its Secretary, and its corporate seal to be hereunto affixed on this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May, 2004.</w:t>
      </w: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760" w:type="dxa"/>
            <w:vAlign w:val="bottom"/>
            <w:gridSpan w:val="3"/>
          </w:tcPr>
          <w:p>
            <w:pPr>
              <w:ind w:left="680"/>
              <w:spacing w:after="0"/>
              <w:rPr>
                <w:sz w:val="20"/>
                <w:szCs w:val="20"/>
                <w:color w:val="auto"/>
              </w:rPr>
            </w:pPr>
            <w:r>
              <w:rPr>
                <w:rFonts w:ascii="Arial" w:cs="Arial" w:eastAsia="Arial" w:hAnsi="Arial"/>
                <w:sz w:val="18"/>
                <w:szCs w:val="18"/>
                <w:b w:val="1"/>
                <w:bCs w:val="1"/>
                <w:color w:val="auto"/>
                <w:w w:val="94"/>
              </w:rPr>
              <w:t xml:space="preserve">FEDERAL REALTY INVESTMENT TRUST, </w:t>
            </w:r>
            <w:r>
              <w:rPr>
                <w:rFonts w:ascii="Arial" w:cs="Arial" w:eastAsia="Arial" w:hAnsi="Arial"/>
                <w:sz w:val="18"/>
                <w:szCs w:val="18"/>
                <w:color w:val="auto"/>
                <w:w w:val="94"/>
              </w:rPr>
              <w:t>a Maryland real estate</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760" w:type="dxa"/>
            <w:vAlign w:val="bottom"/>
            <w:gridSpan w:val="3"/>
          </w:tcPr>
          <w:p>
            <w:pPr>
              <w:ind w:left="680"/>
              <w:spacing w:after="0"/>
              <w:rPr>
                <w:sz w:val="20"/>
                <w:szCs w:val="20"/>
                <w:color w:val="auto"/>
              </w:rPr>
            </w:pPr>
            <w:r>
              <w:rPr>
                <w:rFonts w:ascii="Arial" w:cs="Arial" w:eastAsia="Arial" w:hAnsi="Arial"/>
                <w:sz w:val="18"/>
                <w:szCs w:val="18"/>
                <w:color w:val="auto"/>
              </w:rPr>
              <w:t>investment trust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w:t>
            </w:r>
          </w:p>
        </w:tc>
        <w:tc>
          <w:tcPr>
            <w:tcW w:w="5760" w:type="dxa"/>
            <w:vAlign w:val="bottom"/>
            <w:gridSpan w:val="3"/>
          </w:tcPr>
          <w:p>
            <w:pPr>
              <w:ind w:left="680"/>
              <w:spacing w:after="0"/>
              <w:rPr>
                <w:sz w:val="20"/>
                <w:szCs w:val="20"/>
                <w:color w:val="auto"/>
              </w:rPr>
            </w:pPr>
            <w:r>
              <w:rPr>
                <w:rFonts w:ascii="Arial" w:cs="Arial" w:eastAsia="Arial" w:hAnsi="Arial"/>
                <w:sz w:val="18"/>
                <w:szCs w:val="18"/>
                <w:color w:val="auto"/>
              </w:rPr>
              <w:t>By:</w:t>
            </w:r>
          </w:p>
        </w:tc>
      </w:tr>
      <w:tr>
        <w:trPr>
          <w:trHeight w:val="43"/>
        </w:trPr>
        <w:tc>
          <w:tcPr>
            <w:tcW w:w="36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309"/>
        </w:trPr>
        <w:tc>
          <w:tcPr>
            <w:tcW w:w="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Dawn M. Becker</w:t>
            </w:r>
          </w:p>
        </w:tc>
        <w:tc>
          <w:tcPr>
            <w:tcW w:w="104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Donald C. Wood</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 General Counsel and Secretary</w:t>
            </w:r>
          </w:p>
        </w:tc>
        <w:tc>
          <w:tcPr>
            <w:tcW w:w="104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[Corporate Seal]</w:t>
            </w:r>
          </w:p>
        </w:tc>
        <w:tc>
          <w:tcPr>
            <w:tcW w:w="10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4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as of the 6</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2004.</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00"/>
          </w:cols>
          <w:pgMar w:left="240" w:top="274" w:right="25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 OF CORRECTION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(the “Declaration of Trust”) filed with the Maryland State Department of Assessments and Taxation on May 21, 1999, and in accordance with the applicable provisions of Maryland law that:</w:t>
      </w:r>
    </w:p>
    <w:p>
      <w:pPr>
        <w:spacing w:after="0" w:line="12"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 </w:t>
      </w:r>
      <w:r>
        <w:rPr>
          <w:rFonts w:ascii="Arial" w:cs="Arial" w:eastAsia="Arial" w:hAnsi="Arial"/>
          <w:sz w:val="18"/>
          <w:szCs w:val="18"/>
          <w:color w:val="auto"/>
        </w:rPr>
        <w:t>Articles of Amendment of Declaration of Trust of Federal Realty Investment Trust (the “Articles of Amendment”) were filed with the Maryland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of Assessments and Taxation on May 7, 2004.</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 </w:t>
      </w:r>
      <w:r>
        <w:rPr>
          <w:rFonts w:ascii="Arial" w:cs="Arial" w:eastAsia="Arial" w:hAnsi="Arial"/>
          <w:sz w:val="18"/>
          <w:szCs w:val="18"/>
          <w:color w:val="auto"/>
        </w:rPr>
        <w:t>Paragraph 1 of the Articles of Amendment as filed on May 7, 2004 amended Section 5.2 of the Declaration of Trust by deleting the proviso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first sentence thereof and replacing it with the following: “provided, however, that the total number of Trustees shall be at least three (3) and not more than ten (10).”</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Paragraph 1 of the Articles of Amendment as filed on May 7, 2004 contained a typographical error.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Articles of Amendment are hereby corrected as follows.</w:t>
      </w:r>
    </w:p>
    <w:p>
      <w:pPr>
        <w:spacing w:after="0" w:line="158" w:lineRule="exact"/>
        <w:rPr>
          <w:sz w:val="20"/>
          <w:szCs w:val="20"/>
          <w:color w:val="auto"/>
        </w:rPr>
      </w:pPr>
    </w:p>
    <w:p>
      <w:pPr>
        <w:ind w:right="620" w:firstLine="464"/>
        <w:spacing w:after="0" w:line="332" w:lineRule="auto"/>
        <w:tabs>
          <w:tab w:leader="none" w:pos="632" w:val="left"/>
        </w:tabs>
        <w:numPr>
          <w:ilvl w:val="0"/>
          <w:numId w:val="110"/>
        </w:numPr>
        <w:rPr>
          <w:rFonts w:ascii="Arial" w:cs="Arial" w:eastAsia="Arial" w:hAnsi="Arial"/>
          <w:sz w:val="16"/>
          <w:szCs w:val="16"/>
          <w:b w:val="1"/>
          <w:bCs w:val="1"/>
          <w:i w:val="1"/>
          <w:iCs w:val="1"/>
          <w:color w:val="auto"/>
        </w:rPr>
      </w:pPr>
      <w:r>
        <w:rPr>
          <w:rFonts w:ascii="Arial" w:cs="Arial" w:eastAsia="Arial" w:hAnsi="Arial"/>
          <w:sz w:val="16"/>
          <w:szCs w:val="16"/>
          <w:color w:val="auto"/>
        </w:rPr>
        <w:t>Section 5.2 of the Declaration of Trust is hereby amended by deleting the proviso at the end of the first sentence thereof and replacing it with the following: “provided, however, that the total number of Trustees shall be at least five (5) and not more than ten (10).”</w:t>
      </w:r>
    </w:p>
    <w:p>
      <w:pPr>
        <w:spacing w:after="0" w:line="66" w:lineRule="exact"/>
        <w:rPr>
          <w:sz w:val="20"/>
          <w:szCs w:val="20"/>
          <w:color w:val="auto"/>
        </w:rPr>
      </w:pPr>
    </w:p>
    <w:p>
      <w:pPr>
        <w:ind w:right="200" w:firstLine="456"/>
        <w:spacing w:after="0" w:line="304" w:lineRule="auto"/>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Trust has caused this Certificate of Correction of the Articles of Amendment to be signed and executed in its 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name by Donald C. Wood, its President and Chief Executive Officer, attested by Dawn M. Becker, its Secretary, and its corporate seal to be hereunto affixed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June, 2004.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6280" w:type="dxa"/>
            <w:vAlign w:val="bottom"/>
            <w:gridSpan w:val="2"/>
          </w:tcPr>
          <w:p>
            <w:pPr>
              <w:ind w:left="680"/>
              <w:spacing w:after="0"/>
              <w:rPr>
                <w:sz w:val="20"/>
                <w:szCs w:val="20"/>
                <w:color w:val="auto"/>
              </w:rPr>
            </w:pPr>
            <w:r>
              <w:rPr>
                <w:rFonts w:ascii="Arial" w:cs="Arial" w:eastAsia="Arial" w:hAnsi="Arial"/>
                <w:sz w:val="18"/>
                <w:szCs w:val="18"/>
                <w:b w:val="1"/>
                <w:bCs w:val="1"/>
                <w:color w:val="auto"/>
              </w:rPr>
              <w:t xml:space="preserve">FEDERAL REALTY INVESTMENT TRUST, </w:t>
            </w:r>
            <w:r>
              <w:rPr>
                <w:rFonts w:ascii="Arial" w:cs="Arial" w:eastAsia="Arial" w:hAnsi="Arial"/>
                <w:sz w:val="18"/>
                <w:szCs w:val="18"/>
                <w:color w:val="auto"/>
              </w:rPr>
              <w:t>a Maryland real estate</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6280" w:type="dxa"/>
            <w:vAlign w:val="bottom"/>
            <w:gridSpan w:val="2"/>
          </w:tcPr>
          <w:p>
            <w:pPr>
              <w:ind w:left="680"/>
              <w:spacing w:after="0"/>
              <w:rPr>
                <w:sz w:val="20"/>
                <w:szCs w:val="20"/>
                <w:color w:val="auto"/>
              </w:rPr>
            </w:pPr>
            <w:r>
              <w:rPr>
                <w:rFonts w:ascii="Arial" w:cs="Arial" w:eastAsia="Arial" w:hAnsi="Arial"/>
                <w:sz w:val="18"/>
                <w:szCs w:val="18"/>
                <w:color w:val="auto"/>
              </w:rPr>
              <w:t>investment trust</w:t>
            </w:r>
          </w:p>
        </w:tc>
      </w:tr>
      <w:tr>
        <w:trPr>
          <w:trHeight w:val="432"/>
        </w:trPr>
        <w:tc>
          <w:tcPr>
            <w:tcW w:w="5140" w:type="dxa"/>
            <w:vAlign w:val="bottom"/>
            <w:gridSpan w:val="2"/>
          </w:tcPr>
          <w:p>
            <w:pPr>
              <w:spacing w:after="0"/>
              <w:rPr>
                <w:sz w:val="20"/>
                <w:szCs w:val="20"/>
                <w:color w:val="auto"/>
              </w:rPr>
            </w:pPr>
            <w:r>
              <w:rPr>
                <w:rFonts w:ascii="Arial" w:cs="Arial" w:eastAsia="Arial" w:hAnsi="Arial"/>
                <w:sz w:val="18"/>
                <w:szCs w:val="18"/>
                <w:color w:val="auto"/>
              </w:rPr>
              <w:t>By:</w:t>
            </w:r>
          </w:p>
        </w:tc>
        <w:tc>
          <w:tcPr>
            <w:tcW w:w="628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43"/>
        </w:trPr>
        <w:tc>
          <w:tcPr>
            <w:tcW w:w="36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04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r>
      <w:tr>
        <w:trPr>
          <w:trHeight w:val="309"/>
        </w:trPr>
        <w:tc>
          <w:tcPr>
            <w:tcW w:w="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Dawn M. Becker</w:t>
            </w:r>
          </w:p>
        </w:tc>
        <w:tc>
          <w:tcPr>
            <w:tcW w:w="104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22"/>
        </w:trPr>
        <w:tc>
          <w:tcPr>
            <w:tcW w:w="3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 General Counsel and Secretary</w:t>
            </w:r>
          </w:p>
        </w:tc>
        <w:tc>
          <w:tcPr>
            <w:tcW w:w="10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[Corporate Seal]</w:t>
            </w:r>
          </w:p>
        </w:tc>
        <w:tc>
          <w:tcPr>
            <w:tcW w:w="104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65"/>
        </w:trPr>
        <w:tc>
          <w:tcPr>
            <w:tcW w:w="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280" w:type="dxa"/>
            <w:vAlign w:val="bottom"/>
            <w:gridSpan w:val="2"/>
          </w:tcPr>
          <w:p>
            <w:pPr>
              <w:ind w:left="300"/>
              <w:spacing w:after="0"/>
              <w:rPr>
                <w:sz w:val="20"/>
                <w:szCs w:val="20"/>
                <w:color w:val="auto"/>
              </w:rPr>
            </w:pPr>
            <w:r>
              <w:rPr>
                <w:rFonts w:ascii="Arial" w:cs="Arial" w:eastAsia="Arial" w:hAnsi="Arial"/>
                <w:sz w:val="18"/>
                <w:szCs w:val="18"/>
                <w:color w:val="auto"/>
              </w:rPr>
              <w:t>Page 31</w:t>
            </w:r>
          </w:p>
        </w:tc>
      </w:tr>
    </w:tbl>
    <w:p>
      <w:pPr>
        <w:sectPr>
          <w:pgSz w:w="11900" w:h="16838" w:orient="portrait"/>
          <w:cols w:equalWidth="0" w:num="1">
            <w:col w:w="11420"/>
          </w:cols>
          <w:pgMar w:left="240" w:top="274" w:right="239" w:bottom="1440" w:gutter="0" w:footer="0" w:header="0"/>
        </w:sectPr>
      </w:pPr>
    </w:p>
    <w:bookmarkStart w:id="100" w:name="page101"/>
    <w:bookmarkEnd w:id="100"/>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Donald C. Wood, the President and Chief Executive Officer of the Trust, acknowledge: (a) that I have been authorized by the Board of Trustees of the Trust to file this Certificate of Correction of Articles of Amendment with the Maryland State Department of Assessments and Taxation; (b) that this Certificate of Correction of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hereunto set his hand as of the 17</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2004.</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360"/>
          </w:cols>
          <w:pgMar w:left="240" w:top="280" w:right="29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ARTICLES OF AMENDMENT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DECLARATION OF TRUST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FEDERAL REALTY INVESTMENT TRUST</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undersigned, having been authorized by the Board of Trustees (the “Board”) of Federal Realty Investment Trust, a Maryland real estate investment trust (the “Trust”), does hereby certify pursuant to the provisions of Article X of the Declaration of Trust of the Trust, as amended (the “Declaration of Trust”) filed with the Maryland State Department of Assessments and Taxation on May 21, 1999, and in accordance with the applicable provisions of Maryland law that:</w:t>
      </w:r>
    </w:p>
    <w:p>
      <w:pPr>
        <w:spacing w:after="0" w:line="93" w:lineRule="exact"/>
        <w:rPr>
          <w:sz w:val="20"/>
          <w:szCs w:val="20"/>
          <w:color w:val="auto"/>
        </w:rPr>
      </w:pPr>
    </w:p>
    <w:p>
      <w:pPr>
        <w:ind w:left="800" w:hanging="336"/>
        <w:spacing w:after="0"/>
        <w:tabs>
          <w:tab w:leader="none" w:pos="800" w:val="left"/>
        </w:tabs>
        <w:numPr>
          <w:ilvl w:val="0"/>
          <w:numId w:val="111"/>
        </w:numPr>
        <w:rPr>
          <w:rFonts w:ascii="Arial" w:cs="Arial" w:eastAsia="Arial" w:hAnsi="Arial"/>
          <w:sz w:val="16"/>
          <w:szCs w:val="16"/>
          <w:b w:val="1"/>
          <w:bCs w:val="1"/>
          <w:i w:val="1"/>
          <w:iCs w:val="1"/>
          <w:color w:val="auto"/>
        </w:rPr>
      </w:pPr>
      <w:r>
        <w:rPr>
          <w:rFonts w:ascii="Arial" w:cs="Arial" w:eastAsia="Arial" w:hAnsi="Arial"/>
          <w:sz w:val="16"/>
          <w:szCs w:val="16"/>
          <w:color w:val="auto"/>
        </w:rPr>
        <w:t>The Board has unanimously adopted resolutions to amend the Declaration of Trust as hereinafter set forth and has declared that such amendment is</w:t>
      </w:r>
    </w:p>
    <w:p>
      <w:pPr>
        <w:spacing w:after="0" w:line="38"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18"/>
          <w:szCs w:val="18"/>
          <w:color w:val="auto"/>
        </w:rPr>
        <w:t>advisable.</w:t>
      </w:r>
    </w:p>
    <w:p>
      <w:pPr>
        <w:spacing w:after="0" w:line="151" w:lineRule="exact"/>
        <w:rPr>
          <w:rFonts w:ascii="Arial" w:cs="Arial" w:eastAsia="Arial" w:hAnsi="Arial"/>
          <w:sz w:val="16"/>
          <w:szCs w:val="16"/>
          <w:b w:val="1"/>
          <w:bCs w:val="1"/>
          <w:i w:val="1"/>
          <w:iCs w:val="1"/>
          <w:color w:val="auto"/>
        </w:rPr>
      </w:pPr>
    </w:p>
    <w:p>
      <w:pPr>
        <w:ind w:right="820" w:firstLine="464"/>
        <w:spacing w:after="0" w:line="332" w:lineRule="auto"/>
        <w:tabs>
          <w:tab w:leader="none" w:pos="793" w:val="left"/>
        </w:tabs>
        <w:numPr>
          <w:ilvl w:val="0"/>
          <w:numId w:val="111"/>
        </w:numPr>
        <w:rPr>
          <w:rFonts w:ascii="Arial" w:cs="Arial" w:eastAsia="Arial" w:hAnsi="Arial"/>
          <w:sz w:val="16"/>
          <w:szCs w:val="16"/>
          <w:b w:val="1"/>
          <w:bCs w:val="1"/>
          <w:i w:val="1"/>
          <w:iCs w:val="1"/>
          <w:color w:val="auto"/>
        </w:rPr>
      </w:pPr>
      <w:r>
        <w:rPr>
          <w:rFonts w:ascii="Arial" w:cs="Arial" w:eastAsia="Arial" w:hAnsi="Arial"/>
          <w:sz w:val="16"/>
          <w:szCs w:val="16"/>
          <w:color w:val="auto"/>
        </w:rPr>
        <w:t>Pursuant to Section 10.3(b) of the Declaration of Trust, the amendment to the Declaration of Trust set forth below shall be approved by the shareholders of the Trust by the affirmative vote of at least a majority of all the votes entitled to be cast on the matter.</w:t>
      </w:r>
    </w:p>
    <w:p>
      <w:pPr>
        <w:spacing w:after="0" w:line="71" w:lineRule="exact"/>
        <w:rPr>
          <w:rFonts w:ascii="Arial" w:cs="Arial" w:eastAsia="Arial" w:hAnsi="Arial"/>
          <w:sz w:val="16"/>
          <w:szCs w:val="16"/>
          <w:b w:val="1"/>
          <w:bCs w:val="1"/>
          <w:i w:val="1"/>
          <w:iCs w:val="1"/>
          <w:color w:val="auto"/>
        </w:rPr>
      </w:pPr>
    </w:p>
    <w:p>
      <w:pPr>
        <w:ind w:right="100" w:firstLine="464"/>
        <w:spacing w:after="0" w:line="268" w:lineRule="auto"/>
        <w:tabs>
          <w:tab w:leader="none" w:pos="793"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color w:val="auto"/>
        </w:rPr>
        <w:t>The amendment has been approved by the shareholders of the Trust by the affirmative vote of at least a majority of the shareholders entitled to notice of, and to vote at, the Annual Meeting of the shareholders of the Trust held on May 6, 2009.</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Declaration of Trust is hereby amended as follows:</w:t>
      </w:r>
    </w:p>
    <w:p>
      <w:pPr>
        <w:spacing w:after="0" w:line="77"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color w:val="auto"/>
        </w:rPr>
        <w:t>By deleting Section 5.2 in its entirety and inserting in its place, the following:</w:t>
      </w:r>
    </w:p>
    <w:p>
      <w:pPr>
        <w:spacing w:after="0" w:line="76" w:lineRule="exact"/>
        <w:rPr>
          <w:rFonts w:ascii="Arial" w:cs="Arial" w:eastAsia="Arial" w:hAnsi="Arial"/>
          <w:sz w:val="18"/>
          <w:szCs w:val="18"/>
          <w:b w:val="1"/>
          <w:bCs w:val="1"/>
          <w:i w:val="1"/>
          <w:iCs w:val="1"/>
          <w:color w:val="auto"/>
        </w:rPr>
      </w:pPr>
    </w:p>
    <w:p>
      <w:pPr>
        <w:ind w:left="460" w:right="240"/>
        <w:spacing w:after="0" w:line="305" w:lineRule="auto"/>
        <w:rPr>
          <w:rFonts w:ascii="Arial" w:cs="Arial" w:eastAsia="Arial" w:hAnsi="Arial"/>
          <w:sz w:val="18"/>
          <w:szCs w:val="18"/>
          <w:b w:val="1"/>
          <w:bCs w:val="1"/>
          <w:i w:val="1"/>
          <w:iCs w:val="1"/>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Number and Classification</w:t>
      </w:r>
      <w:r>
        <w:rPr>
          <w:rFonts w:ascii="Arial" w:cs="Arial" w:eastAsia="Arial" w:hAnsi="Arial"/>
          <w:sz w:val="15"/>
          <w:szCs w:val="15"/>
          <w:color w:val="auto"/>
        </w:rPr>
        <w:t>. Upon acceptance for record of this Declaration of Trust, the number of Trustees (hereinafter the “Trustees”) is seven, which number may be increased or decreased by the Board of Trustees; provided, however, that the total number of Trustees shall be at least five</w:t>
      </w:r>
    </w:p>
    <w:p>
      <w:pPr>
        <w:ind w:left="46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(5) and not more than ten (10). Except for Trustees elected solely by holders of one or more series of Preferred Shares and subject to the phasing-in process described below, the Trustees shall be elected at every annual meeting of shareholders beginning with the annual meeting of shareholders in 2010 in the manner provided in the Bylaws or, in order to fill any vacancy on the Board of Trustees, in the manner provided in the Bylaws.</w:t>
      </w:r>
    </w:p>
    <w:p>
      <w:pPr>
        <w:spacing w:after="0" w:line="15"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Common Shares entitled to vote thereon and present in person or by proxy at any meeting of the shareholders called for that purpose. It shall not be necessary to list in the Declaration of Trust the names and addresses of any Trustees hereinafter elected.</w:t>
      </w:r>
    </w:p>
    <w:p>
      <w:pPr>
        <w:spacing w:after="0" w:line="48" w:lineRule="exact"/>
        <w:rPr>
          <w:sz w:val="20"/>
          <w:szCs w:val="20"/>
          <w:color w:val="auto"/>
        </w:rPr>
      </w:pPr>
    </w:p>
    <w:p>
      <w:pPr>
        <w:jc w:val="both"/>
        <w:ind w:left="460" w:right="60"/>
        <w:spacing w:after="0" w:line="318" w:lineRule="auto"/>
        <w:rPr>
          <w:sz w:val="20"/>
          <w:szCs w:val="20"/>
          <w:color w:val="auto"/>
        </w:rPr>
      </w:pPr>
      <w:r>
        <w:rPr>
          <w:rFonts w:ascii="Arial" w:cs="Arial" w:eastAsia="Arial" w:hAnsi="Arial"/>
          <w:sz w:val="15"/>
          <w:szCs w:val="15"/>
          <w:color w:val="auto"/>
        </w:rPr>
        <w:t>The class of Trustees whose current term expires at the annual meeting of shareholders in 2010 shall hold office until that term expires and the successors to that class of Trustees shall be elected for a one year term to hold office until the 2011 annual meeting of shareholders and until their successors are duly elected and qualify. The class of Trustees whose current term expires at the annual meeting of shareholders in 2011 shall hold office until that term expires and the successors to that class of Trustees, together with Trustees elected at the 2010 annual meeting of shareholders, shall be elected for a one year term to hold office until the 2012 annual meeting of shareholders and until their successors are duly elected and qualify. The class of Trustees elected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380"/>
          </w:cols>
          <w:pgMar w:left="240" w:top="274" w:right="279" w:bottom="1440" w:gutter="0" w:footer="0" w:header="0"/>
        </w:sectPr>
      </w:pPr>
    </w:p>
    <w:bookmarkStart w:id="102" w:name="page103"/>
    <w:bookmarkEnd w:id="102"/>
    <w:p>
      <w:pPr>
        <w:ind w:left="460"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annual meeting of shareholders in 2009 whose term expires at the annual meeting of shareholders in 2012 shall hold office until that term expires and the successors to that class of Trustees, together with all other Trustees, shall be elected for a one year term to hold office until the next annual meeting of shareholders and until their successors are duly elected and qualify beginning with the annual meeting of shareholders in 2012.</w:t>
      </w:r>
    </w:p>
    <w:p>
      <w:pPr>
        <w:spacing w:after="0" w:line="87" w:lineRule="exact"/>
        <w:rPr>
          <w:sz w:val="20"/>
          <w:szCs w:val="20"/>
          <w:color w:val="auto"/>
        </w:rPr>
      </w:pPr>
    </w:p>
    <w:p>
      <w:pPr>
        <w:ind w:right="280" w:firstLine="456"/>
        <w:spacing w:after="0" w:line="360" w:lineRule="auto"/>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Trust has caused these Articles of Amendment to be signed and executed in its corporate name by Donald C. Wood, its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attested by Dawn M. Becker, its Secretary, and its corporate seal to be hereunto affixed on this 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May, 2009.</w:t>
      </w:r>
    </w:p>
    <w:tbl>
      <w:tblPr>
        <w:tblLayout w:type="fixed"/>
        <w:tblInd w:w="0" w:type="dxa"/>
        <w:tblCellMar>
          <w:top w:w="0" w:type="dxa"/>
          <w:left w:w="0" w:type="dxa"/>
          <w:bottom w:w="0" w:type="dxa"/>
          <w:right w:w="0" w:type="dxa"/>
        </w:tblCellMar>
      </w:tblP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FEDERAL REALTY INVESTMENT</w:t>
            </w:r>
          </w:p>
        </w:tc>
      </w:tr>
      <w:tr>
        <w:trPr>
          <w:trHeight w:val="228"/>
        </w:trPr>
        <w:tc>
          <w:tcPr>
            <w:tcW w:w="46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572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TRUST, </w:t>
            </w:r>
            <w:r>
              <w:rPr>
                <w:rFonts w:ascii="Arial" w:cs="Arial" w:eastAsia="Arial" w:hAnsi="Arial"/>
                <w:sz w:val="18"/>
                <w:szCs w:val="18"/>
                <w:color w:val="auto"/>
              </w:rPr>
              <w:t>a Maryland real estate investment trust</w:t>
            </w:r>
          </w:p>
        </w:tc>
      </w:tr>
      <w:tr>
        <w:trPr>
          <w:trHeight w:val="446"/>
        </w:trPr>
        <w:tc>
          <w:tcPr>
            <w:tcW w:w="5700" w:type="dxa"/>
            <w:vAlign w:val="bottom"/>
            <w:gridSpan w:val="2"/>
          </w:tcPr>
          <w:p>
            <w:pPr>
              <w:spacing w:after="0"/>
              <w:rPr>
                <w:sz w:val="20"/>
                <w:szCs w:val="20"/>
                <w:color w:val="auto"/>
              </w:rPr>
            </w:pPr>
            <w:r>
              <w:rPr>
                <w:rFonts w:ascii="Arial" w:cs="Arial" w:eastAsia="Arial" w:hAnsi="Arial"/>
                <w:sz w:val="18"/>
                <w:szCs w:val="18"/>
                <w:color w:val="auto"/>
              </w:rPr>
              <w:t>By:</w:t>
            </w:r>
          </w:p>
        </w:tc>
        <w:tc>
          <w:tcPr>
            <w:tcW w:w="5720" w:type="dxa"/>
            <w:vAlign w:val="bottom"/>
            <w:gridSpan w:val="2"/>
          </w:tcPr>
          <w:p>
            <w:pPr>
              <w:ind w:left="120"/>
              <w:spacing w:after="0"/>
              <w:rPr>
                <w:sz w:val="20"/>
                <w:szCs w:val="20"/>
                <w:color w:val="auto"/>
              </w:rPr>
            </w:pPr>
            <w:r>
              <w:rPr>
                <w:rFonts w:ascii="Arial" w:cs="Arial" w:eastAsia="Arial" w:hAnsi="Arial"/>
                <w:sz w:val="18"/>
                <w:szCs w:val="18"/>
                <w:color w:val="auto"/>
              </w:rPr>
              <w:t>By:</w:t>
            </w:r>
          </w:p>
        </w:tc>
      </w:tr>
      <w:tr>
        <w:trPr>
          <w:trHeight w:val="43"/>
        </w:trPr>
        <w:tc>
          <w:tcPr>
            <w:tcW w:w="46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r>
      <w:tr>
        <w:trPr>
          <w:trHeight w:val="309"/>
        </w:trPr>
        <w:tc>
          <w:tcPr>
            <w:tcW w:w="5700" w:type="dxa"/>
            <w:vAlign w:val="bottom"/>
            <w:gridSpan w:val="2"/>
          </w:tcPr>
          <w:p>
            <w:pPr>
              <w:ind w:left="460"/>
              <w:spacing w:after="0"/>
              <w:rPr>
                <w:sz w:val="20"/>
                <w:szCs w:val="20"/>
                <w:color w:val="auto"/>
              </w:rPr>
            </w:pPr>
            <w:r>
              <w:rPr>
                <w:rFonts w:ascii="Arial" w:cs="Arial" w:eastAsia="Arial" w:hAnsi="Arial"/>
                <w:sz w:val="18"/>
                <w:szCs w:val="18"/>
                <w:color w:val="auto"/>
              </w:rPr>
              <w:t>Dawn M. Becker</w:t>
            </w:r>
          </w:p>
        </w:tc>
        <w:tc>
          <w:tcPr>
            <w:tcW w:w="48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5700" w:type="dxa"/>
            <w:vAlign w:val="bottom"/>
            <w:gridSpan w:val="2"/>
          </w:tcPr>
          <w:p>
            <w:pPr>
              <w:ind w:left="460"/>
              <w:spacing w:after="0"/>
              <w:rPr>
                <w:sz w:val="20"/>
                <w:szCs w:val="20"/>
                <w:color w:val="auto"/>
              </w:rPr>
            </w:pPr>
            <w:r>
              <w:rPr>
                <w:rFonts w:ascii="Arial" w:cs="Arial" w:eastAsia="Arial" w:hAnsi="Arial"/>
                <w:sz w:val="18"/>
                <w:szCs w:val="18"/>
                <w:color w:val="auto"/>
              </w:rPr>
              <w:t>Executive Vice President – General</w:t>
            </w:r>
          </w:p>
        </w:tc>
        <w:tc>
          <w:tcPr>
            <w:tcW w:w="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w:t>
            </w:r>
          </w:p>
        </w:tc>
      </w:tr>
      <w:tr>
        <w:trPr>
          <w:trHeight w:val="222"/>
        </w:trPr>
        <w:tc>
          <w:tcPr>
            <w:tcW w:w="5700" w:type="dxa"/>
            <w:vAlign w:val="bottom"/>
            <w:gridSpan w:val="2"/>
          </w:tcPr>
          <w:p>
            <w:pPr>
              <w:ind w:left="460"/>
              <w:spacing w:after="0"/>
              <w:rPr>
                <w:sz w:val="20"/>
                <w:szCs w:val="20"/>
                <w:color w:val="auto"/>
              </w:rPr>
            </w:pPr>
            <w:r>
              <w:rPr>
                <w:rFonts w:ascii="Arial" w:cs="Arial" w:eastAsia="Arial" w:hAnsi="Arial"/>
                <w:sz w:val="18"/>
                <w:szCs w:val="18"/>
                <w:color w:val="auto"/>
              </w:rPr>
              <w:t>Counsel and Secretary</w:t>
            </w:r>
          </w:p>
        </w:tc>
        <w:tc>
          <w:tcPr>
            <w:tcW w:w="4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Seal]</w:t>
      </w:r>
    </w:p>
    <w:p>
      <w:pPr>
        <w:spacing w:after="0" w:line="8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 Donald C. Wood, the President and Chief Executive Officer of the Trust, acknowledge: (a) that I have been authorized by the Board of Trustees of the Trust to file these Articles of Amendment with the Maryland State Department of Assessments and Taxation; (b) that these Articles of Amendment are the act of the Trust; and (c) that, as to all matters or facts required to be verified under oath, these matters and facts are, to the best of my knowledge, information and belief, true in all material respects and that this statement is made under the penalties of perjury.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hereunto set his hand as of the 6</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2009.</w:t>
      </w:r>
    </w:p>
    <w:p>
      <w:pPr>
        <w:spacing w:after="0" w:line="13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20"/>
          </w:cols>
          <w:pgMar w:left="240" w:top="2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109220</wp:posOffset>
            </wp:positionV>
            <wp:extent cx="4802505" cy="5918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025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Amended and Restated 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(February 12, 2003)</w:t>
      </w:r>
    </w:p>
    <w:p>
      <w:pPr>
        <w:spacing w:after="0" w:line="151"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ARTICLE I</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b w:val="1"/>
          <w:bCs w:val="1"/>
          <w:i w:val="1"/>
          <w:iCs w:val="1"/>
          <w:color w:val="auto"/>
        </w:rPr>
        <w:t>OFFICES</w:t>
      </w:r>
    </w:p>
    <w:p>
      <w:pPr>
        <w:spacing w:after="0" w:line="1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color w:val="auto"/>
        </w:rPr>
        <w:t>PRINCIPAL OFFICE. The principal office of the Trust shall be located at such place or places as the Board of Trustees may designate.</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Section 2. ADDITIONAL OFFICES. The Trust may have additional offices at such places as the Board of Trustees may from time to time determine or the business of the Trust may require.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MEETINGS OF SHAREHOLDERS</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130"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105"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8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12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Section 6. ORGANIZATION. The Chairman of the Board shall preside over every meeting of the shareholders. If there is no Chairman or the Chairman is not present at any meeting of the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25" w:right="239" w:bottom="1440" w:gutter="0" w:footer="0" w:header="0"/>
        </w:sectPr>
      </w:pPr>
    </w:p>
    <w:bookmarkStart w:id="104" w:name="page105"/>
    <w:bookmarkEnd w:id="10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10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02"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color w:val="auto"/>
        </w:rPr>
        <w:t>Section 8. VOTING. A plurality of all the votes cast at a meeting of shareholders duly called and at which a quorum is present shall be sufficient to elect a Trustee; provided, however, that if any Trustee does not receive a majority of all the votes cast at any meeting where the number of nominees is the same as the number of Trustees to be elected, the Trustee shall tender his or her resignation to the Chair of the Nominating and Corporate Governance Committee within five</w:t>
      </w:r>
    </w:p>
    <w:p>
      <w:pPr>
        <w:spacing w:after="0" w:line="1" w:lineRule="exact"/>
        <w:rPr>
          <w:sz w:val="20"/>
          <w:szCs w:val="20"/>
          <w:color w:val="auto"/>
        </w:rPr>
      </w:pPr>
    </w:p>
    <w:p>
      <w:pPr>
        <w:ind w:firstLine="8"/>
        <w:spacing w:after="0" w:line="295" w:lineRule="auto"/>
        <w:tabs>
          <w:tab w:leader="none" w:pos="24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business days after certification of the vote. The Nominating and Corporate Governance Committee (or if votes were withheld from a majority of the members of such committee, then a committee appointed by and from among disinterested, independent directors) will promptly consider the resignation and make a recommendation to the Board of Trustees whether to accept or reject the tendered resignation. The Trustee who tenders his or her resignation will not participate in the recommendation of the Nominating and Corporate Governance Committee or the decision of the Board.</w:t>
      </w:r>
    </w:p>
    <w:p>
      <w:pPr>
        <w:spacing w:after="0" w:line="10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In deciding whether to accept or reject a resignation that has been tendered, the Nominating and Corporate Governance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New York Stock Exchange, rules and regulations of the Securities and Exchange Commission and other applicable rules and regulations; (d) our corporate governance guidelines; and (e) such other factors as the Nominating and Corporate Governance Committee or the Board deems appropriate. Any rejection of a resignation may (but does not have to) be conditioned on curing the underlying reason for the withheld votes.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Board will take action on any resignation no later than sixty (60) days after the certification of the vote. The action taken by the Board with respect to any resignation will be disclosed in a Form 8-K filed with the Securities and Exchange Commission within four (4) business days after the Board’s decision and will include a full explanation of the process by which the Board reached its decision and the reason for its decision. If a Trustee’s resignation is accepted by the Board of Trustees, then the Board of Trustees may fill the resulting vacancy pursuant to the provision of Section 10 of Article III of these Bylaws. For purposes of this Section, a majority of the votes cast means that the number of shares voted “for” a Trustee must exceed 50% of the votes cast with respect to that Trustee. Each share may be voted for as many individuals as there are Trustees to be elected and for whose election the share is entitled to be voted.</w:t>
      </w:r>
    </w:p>
    <w:p>
      <w:pPr>
        <w:spacing w:after="0" w:line="10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80" w:right="239" w:bottom="1440" w:gutter="0" w:footer="0" w:header="0"/>
        </w:sectPr>
      </w:pPr>
    </w:p>
    <w:bookmarkStart w:id="105" w:name="page106"/>
    <w:bookmarkEnd w:id="105"/>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PROXIES. A shareholder may cast the votes entitled to be cast by the shares owned of record by him either in person or by proxy executed by the shareholder or by his duly 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10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10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10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2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106" w:name="page107"/>
    <w:bookmarkEnd w:id="106"/>
    <w:p>
      <w:pPr>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w:t>
      </w:r>
      <w:r>
        <w:rPr>
          <w:sz w:val="20"/>
          <w:szCs w:val="20"/>
          <w:color w:val="auto"/>
        </w:rPr>
        <w:tab/>
      </w:r>
      <w:r>
        <w:rPr>
          <w:rFonts w:ascii="Arial" w:cs="Arial" w:eastAsia="Arial" w:hAnsi="Arial"/>
          <w:sz w:val="16"/>
          <w:szCs w:val="16"/>
          <w:color w:val="auto"/>
        </w:rPr>
        <w:t>NOMINATIONS AND PROPOSALS BY SHAREHOLDERS.</w:t>
      </w:r>
    </w:p>
    <w:p>
      <w:pPr>
        <w:spacing w:after="0" w:line="158"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Annual Meetings of Shareholders.</w:t>
      </w:r>
    </w:p>
    <w:p>
      <w:pPr>
        <w:spacing w:after="0" w:line="76" w:lineRule="exact"/>
        <w:rPr>
          <w:rFonts w:ascii="Arial" w:cs="Arial" w:eastAsia="Arial" w:hAnsi="Arial"/>
          <w:sz w:val="18"/>
          <w:szCs w:val="18"/>
          <w:color w:val="auto"/>
        </w:rPr>
      </w:pPr>
    </w:p>
    <w:p>
      <w:pPr>
        <w:jc w:val="both"/>
        <w:ind w:left="460" w:right="200" w:firstLine="4"/>
        <w:spacing w:after="0" w:line="298" w:lineRule="auto"/>
        <w:tabs>
          <w:tab w:leader="none" w:pos="8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18" w:lineRule="exact"/>
        <w:rPr>
          <w:rFonts w:ascii="Arial" w:cs="Arial" w:eastAsia="Arial" w:hAnsi="Arial"/>
          <w:sz w:val="16"/>
          <w:szCs w:val="16"/>
          <w:color w:val="auto"/>
        </w:rPr>
      </w:pPr>
    </w:p>
    <w:p>
      <w:pPr>
        <w:ind w:left="460" w:firstLine="4"/>
        <w:spacing w:after="0" w:line="280" w:lineRule="auto"/>
        <w:tabs>
          <w:tab w:leader="none" w:pos="884" w:val="left"/>
        </w:tabs>
        <w:numPr>
          <w:ilvl w:val="1"/>
          <w:numId w:val="114"/>
        </w:numPr>
        <w:rPr>
          <w:rFonts w:ascii="Arial" w:cs="Arial" w:eastAsia="Arial" w:hAnsi="Arial"/>
          <w:sz w:val="15"/>
          <w:szCs w:val="15"/>
          <w:color w:val="auto"/>
        </w:rPr>
      </w:pPr>
      <w:r>
        <w:rPr>
          <w:rFonts w:ascii="Arial" w:cs="Arial" w:eastAsia="Arial" w:hAnsi="Arial"/>
          <w:sz w:val="15"/>
          <w:szCs w:val="15"/>
          <w:color w:val="auto"/>
        </w:rPr>
        <w:t>For nominations or other business to be properly brought before an annual meeting by a shareholder pursuant to clause (C) of paragraph (a)(1)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 written consent to being named in the proxy statement as a nominee and to serving as a Trustee if elected);</w:t>
      </w:r>
    </w:p>
    <w:p>
      <w:pPr>
        <w:spacing w:after="0" w:line="3" w:lineRule="exact"/>
        <w:rPr>
          <w:rFonts w:ascii="Arial" w:cs="Arial" w:eastAsia="Arial" w:hAnsi="Arial"/>
          <w:sz w:val="15"/>
          <w:szCs w:val="15"/>
          <w:color w:val="auto"/>
        </w:rPr>
      </w:pPr>
    </w:p>
    <w:p>
      <w:pPr>
        <w:ind w:left="460" w:right="20"/>
        <w:spacing w:after="0" w:line="264" w:lineRule="auto"/>
        <w:rPr>
          <w:rFonts w:ascii="Arial" w:cs="Arial" w:eastAsia="Arial" w:hAnsi="Arial"/>
          <w:sz w:val="15"/>
          <w:szCs w:val="15"/>
          <w:color w:val="auto"/>
        </w:rPr>
      </w:pPr>
      <w:r>
        <w:rPr>
          <w:rFonts w:ascii="Arial" w:cs="Arial" w:eastAsia="Arial" w:hAnsi="Arial"/>
          <w:sz w:val="16"/>
          <w:szCs w:val="16"/>
          <w:color w:val="auto"/>
        </w:rPr>
        <w:t>(B)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w:t>
      </w:r>
    </w:p>
    <w:p>
      <w:pPr>
        <w:ind w:left="460"/>
        <w:spacing w:after="0"/>
        <w:rPr>
          <w:rFonts w:ascii="Arial" w:cs="Arial" w:eastAsia="Arial" w:hAnsi="Arial"/>
          <w:sz w:val="15"/>
          <w:szCs w:val="15"/>
          <w:color w:val="auto"/>
        </w:rPr>
      </w:pPr>
      <w:r>
        <w:rPr>
          <w:rFonts w:ascii="Arial" w:cs="Arial" w:eastAsia="Arial" w:hAnsi="Arial"/>
          <w:sz w:val="16"/>
          <w:szCs w:val="16"/>
          <w:color w:val="auto"/>
        </w:rPr>
        <w:t>(ii) the number of each class of shares of the Trust which are owned beneficially and of record by such shareholder and such beneficial owner.</w:t>
      </w:r>
    </w:p>
    <w:p>
      <w:pPr>
        <w:spacing w:after="0" w:line="112" w:lineRule="exact"/>
        <w:rPr>
          <w:rFonts w:ascii="Arial" w:cs="Arial" w:eastAsia="Arial" w:hAnsi="Arial"/>
          <w:sz w:val="15"/>
          <w:szCs w:val="15"/>
          <w:color w:val="auto"/>
        </w:rPr>
      </w:pPr>
    </w:p>
    <w:p>
      <w:pPr>
        <w:ind w:left="460" w:right="40" w:firstLine="4"/>
        <w:spacing w:after="0" w:line="291" w:lineRule="auto"/>
        <w:tabs>
          <w:tab w:leader="none" w:pos="8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06" w:lineRule="exact"/>
        <w:rPr>
          <w:rFonts w:ascii="Arial" w:cs="Arial" w:eastAsia="Arial" w:hAnsi="Arial"/>
          <w:sz w:val="16"/>
          <w:szCs w:val="16"/>
          <w:color w:val="auto"/>
        </w:rPr>
      </w:pPr>
    </w:p>
    <w:p>
      <w:pPr>
        <w:jc w:val="both"/>
        <w:ind w:firstLine="8"/>
        <w:spacing w:after="0" w:line="259" w:lineRule="auto"/>
        <w:tabs>
          <w:tab w:leader="none" w:pos="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80" w:right="239" w:bottom="1440" w:gutter="0" w:footer="0" w:header="0"/>
        </w:sectPr>
      </w:pPr>
    </w:p>
    <w:bookmarkStart w:id="107" w:name="page108"/>
    <w:bookmarkEnd w:id="10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direction of the Board of Trustees; or (iii) 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109" w:lineRule="exact"/>
        <w:rPr>
          <w:sz w:val="20"/>
          <w:szCs w:val="20"/>
          <w:color w:val="auto"/>
        </w:rPr>
      </w:pPr>
    </w:p>
    <w:p>
      <w:pPr>
        <w:ind w:left="420" w:hanging="412"/>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General.</w:t>
      </w:r>
    </w:p>
    <w:p>
      <w:pPr>
        <w:spacing w:after="0" w:line="76" w:lineRule="exact"/>
        <w:rPr>
          <w:rFonts w:ascii="Arial" w:cs="Arial" w:eastAsia="Arial" w:hAnsi="Arial"/>
          <w:sz w:val="18"/>
          <w:szCs w:val="18"/>
          <w:color w:val="auto"/>
        </w:rPr>
      </w:pPr>
    </w:p>
    <w:p>
      <w:pPr>
        <w:ind w:left="460" w:right="100" w:firstLine="4"/>
        <w:spacing w:after="0" w:line="294" w:lineRule="auto"/>
        <w:tabs>
          <w:tab w:leader="none" w:pos="884" w:val="left"/>
        </w:tabs>
        <w:numPr>
          <w:ilvl w:val="1"/>
          <w:numId w:val="115"/>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 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21" w:lineRule="exact"/>
        <w:rPr>
          <w:rFonts w:ascii="Arial" w:cs="Arial" w:eastAsia="Arial" w:hAnsi="Arial"/>
          <w:sz w:val="16"/>
          <w:szCs w:val="16"/>
          <w:color w:val="auto"/>
        </w:rPr>
      </w:pPr>
    </w:p>
    <w:p>
      <w:pPr>
        <w:ind w:left="460" w:firstLine="4"/>
        <w:spacing w:after="0" w:line="259" w:lineRule="auto"/>
        <w:tabs>
          <w:tab w:leader="none" w:pos="88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45" w:lineRule="exact"/>
        <w:rPr>
          <w:rFonts w:ascii="Arial" w:cs="Arial" w:eastAsia="Arial" w:hAnsi="Arial"/>
          <w:sz w:val="18"/>
          <w:szCs w:val="18"/>
          <w:color w:val="auto"/>
        </w:rPr>
      </w:pPr>
    </w:p>
    <w:p>
      <w:pPr>
        <w:ind w:left="460" w:right="20" w:firstLine="4"/>
        <w:spacing w:after="0" w:line="256" w:lineRule="auto"/>
        <w:tabs>
          <w:tab w:leader="none" w:pos="88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13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color w:val="auto"/>
        </w:rPr>
        <w:t>INFORMAL ACTION BY SHAREHOLDERS.</w:t>
      </w:r>
    </w:p>
    <w:p>
      <w:pPr>
        <w:spacing w:after="0" w:line="158" w:lineRule="exact"/>
        <w:rPr>
          <w:sz w:val="20"/>
          <w:szCs w:val="20"/>
          <w:color w:val="auto"/>
        </w:rPr>
      </w:pPr>
    </w:p>
    <w:p>
      <w:pPr>
        <w:ind w:right="300" w:firstLine="8"/>
        <w:spacing w:after="0" w:line="332" w:lineRule="auto"/>
        <w:tabs>
          <w:tab w:leader="none" w:pos="4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71" w:lineRule="exact"/>
        <w:rPr>
          <w:rFonts w:ascii="Arial" w:cs="Arial" w:eastAsia="Arial" w:hAnsi="Arial"/>
          <w:sz w:val="16"/>
          <w:szCs w:val="16"/>
          <w:color w:val="auto"/>
        </w:rPr>
      </w:pPr>
    </w:p>
    <w:p>
      <w:pPr>
        <w:ind w:right="20" w:firstLine="8"/>
        <w:spacing w:after="0" w:line="288" w:lineRule="auto"/>
        <w:tabs>
          <w:tab w:leader="none" w:pos="42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0" w:right="239" w:bottom="1440" w:gutter="0" w:footer="0" w:header="0"/>
        </w:sectPr>
      </w:pPr>
    </w:p>
    <w:bookmarkStart w:id="108" w:name="page109"/>
    <w:bookmarkEnd w:id="108"/>
    <w:p>
      <w:pPr>
        <w:ind w:right="6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w:t>
      </w:r>
    </w:p>
    <w:p>
      <w:pPr>
        <w:ind w:right="180" w:firstLine="8"/>
        <w:spacing w:after="0" w:line="255" w:lineRule="auto"/>
        <w:tabs>
          <w:tab w:leader="none" w:pos="3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1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15. VOTING BY BALLOT. Voting on any question or in any election may be viva voce unless the presiding officer shall order or any shareholder shall demand that voting be by ballot.</w:t>
      </w:r>
    </w:p>
    <w:p>
      <w:pPr>
        <w:spacing w:after="0" w:line="118"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III</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TRUSTEES</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more than one Trustee on the Board of Trustees that fails to satisfy the definitions for independence as established from time to time in the Securities Exchange Act of 1934, the New York Stock Exchange’s Listed Company Manual and other laws, rules and regulations applicable to the Trust from time to time except during a period of no more than ninety (90) days following changed circumstances.</w:t>
      </w:r>
    </w:p>
    <w:p>
      <w:pPr>
        <w:spacing w:after="0" w:line="10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five (5) or more than ten (10).</w:t>
      </w:r>
    </w:p>
    <w:p>
      <w:pPr>
        <w:spacing w:after="0" w:line="7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93"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 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10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109" w:name="page110"/>
    <w:bookmarkEnd w:id="10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further notice, and provided further that if, pursuant to the Declaration of Trust or these Bylaws, the vote of a majority of a particular group of Trustees is required for action, a quorum must also include a majority of such group.</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7" w:lineRule="exact"/>
        <w:rPr>
          <w:sz w:val="20"/>
          <w:szCs w:val="20"/>
          <w:color w:val="auto"/>
        </w:rPr>
      </w:pPr>
    </w:p>
    <w:p>
      <w:pPr>
        <w:jc w:val="both"/>
        <w:ind w:right="620"/>
        <w:spacing w:after="0" w:line="370" w:lineRule="auto"/>
        <w:rPr>
          <w:sz w:val="20"/>
          <w:szCs w:val="20"/>
          <w:color w:val="auto"/>
        </w:rPr>
      </w:pPr>
      <w:r>
        <w:rPr>
          <w:rFonts w:ascii="Arial" w:cs="Arial" w:eastAsia="Arial" w:hAnsi="Arial"/>
          <w:sz w:val="15"/>
          <w:szCs w:val="15"/>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1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COMPENSATION; FINANCIAL ASSISTANCE.</w:t>
      </w:r>
    </w:p>
    <w:p>
      <w:pPr>
        <w:spacing w:after="0" w:line="158" w:lineRule="exact"/>
        <w:rPr>
          <w:sz w:val="20"/>
          <w:szCs w:val="20"/>
          <w:color w:val="auto"/>
        </w:rPr>
      </w:pPr>
    </w:p>
    <w:p>
      <w:pPr>
        <w:ind w:right="220" w:firstLine="8"/>
        <w:spacing w:after="0" w:line="294" w:lineRule="auto"/>
        <w:tabs>
          <w:tab w:leader="none" w:pos="41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 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102" w:lineRule="exact"/>
        <w:rPr>
          <w:rFonts w:ascii="Arial" w:cs="Arial" w:eastAsia="Arial" w:hAnsi="Arial"/>
          <w:sz w:val="16"/>
          <w:szCs w:val="16"/>
          <w:color w:val="auto"/>
        </w:rPr>
      </w:pPr>
    </w:p>
    <w:p>
      <w:pPr>
        <w:ind w:right="140" w:firstLine="8"/>
        <w:spacing w:after="0" w:line="259" w:lineRule="auto"/>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1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color w:val="auto"/>
        </w:rPr>
        <w:t>REMOVAL OF TRUSTEES. The shareholders may, at any time, remove any Trustee in the manner provided in the Declaration of Trust.</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Section 14. SURETY BONDS. Unless required by law, no Trustee shall be obligated to give any bond or surety or other security for the performance of any of his duties.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80" w:right="239" w:bottom="1440" w:gutter="0" w:footer="0" w:header="0"/>
        </w:sectPr>
      </w:pPr>
    </w:p>
    <w:bookmarkStart w:id="110" w:name="page111"/>
    <w:bookmarkEnd w:id="110"/>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9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1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 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w:t>
      </w:r>
    </w:p>
    <w:p>
      <w:pPr>
        <w:spacing w:after="0" w:line="15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10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Section 2. POWERS. The Trustees may delegate to committees appointed under Section 1 of this Article any of the powers of the Trustees, except as prohibited by law.</w:t>
      </w:r>
    </w:p>
    <w:p>
      <w:pPr>
        <w:spacing w:after="0" w:line="11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12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280" w:right="259" w:bottom="1440" w:gutter="0" w:footer="0" w:header="0"/>
        </w:sectPr>
      </w:pPr>
    </w:p>
    <w:bookmarkStart w:id="111" w:name="page112"/>
    <w:bookmarkEnd w:id="111"/>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Section 5. INFORMAL ACTION BY COMMITTEES. Any action required or permitted to be taken at any meeting of a committee of the Trustees may be taken without a meeting, if a consent in writing to such action is signed by each member of the committee and such written consent is filed with the minutes of proceedings of such committee.</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i w:val="1"/>
          <w:iCs w:val="1"/>
          <w:color w:val="auto"/>
        </w:rPr>
        <w:t>ARTICLE V</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b w:val="1"/>
          <w:bCs w:val="1"/>
          <w:i w:val="1"/>
          <w:iCs w:val="1"/>
          <w:color w:val="auto"/>
        </w:rPr>
        <w:t>OFFICERS</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11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80"/>
          </w:cols>
          <w:pgMar w:left="240" w:top="280" w:right="279" w:bottom="1440" w:gutter="0" w:footer="0" w:header="0"/>
        </w:sectPr>
      </w:pPr>
    </w:p>
    <w:bookmarkStart w:id="112" w:name="page113"/>
    <w:bookmarkEnd w:id="112"/>
    <w:p>
      <w:pPr>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1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105" w:lineRule="exact"/>
        <w:rPr>
          <w:sz w:val="20"/>
          <w:szCs w:val="20"/>
          <w:color w:val="auto"/>
        </w:rPr>
      </w:pPr>
    </w:p>
    <w:p>
      <w:pPr>
        <w:jc w:val="both"/>
        <w:ind w:right="280"/>
        <w:spacing w:after="0" w:line="294" w:lineRule="auto"/>
        <w:rPr>
          <w:sz w:val="20"/>
          <w:szCs w:val="20"/>
          <w:color w:val="auto"/>
        </w:rPr>
      </w:pPr>
      <w:r>
        <w:rPr>
          <w:rFonts w:ascii="Arial" w:cs="Arial" w:eastAsia="Arial" w:hAnsi="Arial"/>
          <w:sz w:val="16"/>
          <w:szCs w:val="16"/>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1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 (c) 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13" w:name="page114"/>
    <w:bookmarkEnd w:id="113"/>
    <w:p>
      <w:pPr>
        <w:jc w:val="both"/>
        <w:ind w:left="240" w:right="260" w:hanging="2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w:t>
      </w:r>
      <w:r>
        <w:rPr>
          <w:sz w:val="20"/>
          <w:szCs w:val="20"/>
          <w:color w:val="auto"/>
        </w:rPr>
        <w:t xml:space="preserve"> </w:t>
      </w:r>
      <w:r>
        <w:rPr>
          <w:rFonts w:ascii="Arial" w:cs="Arial" w:eastAsia="Arial" w:hAnsi="Arial"/>
          <w:sz w:val="18"/>
          <w:szCs w:val="18"/>
          <w:color w:val="auto"/>
        </w:rPr>
        <w:t>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12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13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CONTRACTS, LOANS, CHECKS AND DEPOSITS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SHARES</w:t>
      </w:r>
    </w:p>
    <w:p>
      <w:pPr>
        <w:spacing w:after="0" w:line="1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80" w:right="239" w:bottom="1440" w:gutter="0" w:footer="0" w:header="0"/>
        </w:sectPr>
      </w:pPr>
    </w:p>
    <w:bookmarkStart w:id="114" w:name="page115"/>
    <w:bookmarkEnd w:id="114"/>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11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3. REPLACEMENT CERTIFICATE. Any officer designated by the Trustees may 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1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1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30"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280" w:right="239" w:bottom="1440" w:gutter="0" w:footer="0" w:header="0"/>
        </w:sectPr>
      </w:pPr>
    </w:p>
    <w:bookmarkStart w:id="115" w:name="page116"/>
    <w:bookmarkEnd w:id="1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 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ACCOUNTING YEAR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Trustees shall have the power, from time to time, to fix the fiscal year of the Trust by a duly adopted resolution.</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i w:val="1"/>
          <w:iCs w:val="1"/>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DISTRIBUTIONS</w:t>
      </w:r>
    </w:p>
    <w:p>
      <w:pPr>
        <w:spacing w:after="0" w:line="15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SEAL</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INDEMNIFICATION AND ADVANCE OF EXPENSES</w:t>
      </w:r>
    </w:p>
    <w:p>
      <w:pPr>
        <w:spacing w:after="0" w:line="15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280" w:right="259" w:bottom="1440" w:gutter="0" w:footer="0" w:header="0"/>
        </w:sectPr>
      </w:pPr>
    </w:p>
    <w:bookmarkStart w:id="116" w:name="page117"/>
    <w:bookmarkEnd w:id="11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 (2) 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10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WAIVER OF NOTICE</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ARTICLE XIV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AMENDMENT OF BYLAWS</w:t>
      </w:r>
    </w:p>
    <w:p>
      <w:pPr>
        <w:spacing w:after="0" w:line="15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72"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280" w:right="239" w:bottom="1440" w:gutter="0" w:footer="0" w:header="0"/>
        </w:sectPr>
      </w:pPr>
    </w:p>
    <w:bookmarkStart w:id="117" w:name="page118"/>
    <w:bookmarkEnd w:id="117"/>
    <w:p>
      <w:pPr>
        <w:jc w:val="center"/>
        <w:ind w:right="-1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XV</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i w:val="1"/>
          <w:iCs w:val="1"/>
          <w:color w:val="auto"/>
        </w:rPr>
        <w:t>MISCELLANEOUS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the Declaration of Trust shall include any amendments thereto.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Amended on October 29,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Amended on May 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February 17,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Amended on May 6, 2009</w:t>
      </w:r>
    </w:p>
    <w:p>
      <w:pPr>
        <w:spacing w:after="0" w:line="15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0219"/>
          </w:cols>
          <w:pgMar w:left="240" w:top="280"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PILLSBURY WINTHROP SHAW PITTMAN LLP]</w:t>
      </w:r>
    </w:p>
    <w:p>
      <w:pPr>
        <w:spacing w:after="0" w:line="171"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June 16,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Registration Statement on Form S-3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0" w:firstLine="456"/>
        <w:spacing w:after="0" w:line="283"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a registration statement on Form S-3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Rule 462(e) under the Securities Act of 1933 (the “</w:t>
      </w:r>
      <w:r>
        <w:rPr>
          <w:rFonts w:ascii="Arial" w:cs="Arial" w:eastAsia="Arial" w:hAnsi="Arial"/>
          <w:sz w:val="16"/>
          <w:szCs w:val="16"/>
          <w:u w:val="single" w:color="auto"/>
          <w:color w:val="auto"/>
        </w:rPr>
        <w:t>Act</w:t>
      </w:r>
      <w:r>
        <w:rPr>
          <w:rFonts w:ascii="Arial" w:cs="Arial" w:eastAsia="Arial" w:hAnsi="Arial"/>
          <w:sz w:val="16"/>
          <w:szCs w:val="16"/>
          <w:color w:val="auto"/>
        </w:rPr>
        <w:t>”). The Registration Statement relates to the proposed offering and sale from time to time of securities, which may be all or any combination of: (1) debt securities of the Company which may be either senior debt securities or subordinated debt securities (the “</w:t>
      </w:r>
      <w:r>
        <w:rPr>
          <w:rFonts w:ascii="Arial" w:cs="Arial" w:eastAsia="Arial" w:hAnsi="Arial"/>
          <w:sz w:val="16"/>
          <w:szCs w:val="16"/>
          <w:u w:val="single" w:color="auto"/>
          <w:color w:val="auto"/>
        </w:rPr>
        <w:t>Debt Securities</w:t>
      </w:r>
      <w:r>
        <w:rPr>
          <w:rFonts w:ascii="Arial" w:cs="Arial" w:eastAsia="Arial" w:hAnsi="Arial"/>
          <w:sz w:val="16"/>
          <w:szCs w:val="16"/>
          <w:color w:val="auto"/>
        </w:rPr>
        <w:t>”),</w:t>
      </w:r>
    </w:p>
    <w:p>
      <w:pPr>
        <w:spacing w:after="0" w:line="3" w:lineRule="exact"/>
        <w:rPr>
          <w:sz w:val="20"/>
          <w:szCs w:val="20"/>
          <w:color w:val="auto"/>
        </w:rPr>
      </w:pPr>
    </w:p>
    <w:p>
      <w:pPr>
        <w:ind w:right="220" w:firstLine="8"/>
        <w:spacing w:after="0" w:line="255" w:lineRule="auto"/>
        <w:tabs>
          <w:tab w:leader="none" w:pos="24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preferred shares of beneficial interest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(3) preferred shares of beneficial interest represented by depositary shares (the “</w:t>
      </w:r>
      <w:r>
        <w:rPr>
          <w:rFonts w:ascii="Arial" w:cs="Arial" w:eastAsia="Arial" w:hAnsi="Arial"/>
          <w:sz w:val="18"/>
          <w:szCs w:val="18"/>
          <w:u w:val="single" w:color="auto"/>
          <w:color w:val="auto"/>
        </w:rPr>
        <w:t>Depositary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(4) common shares of beneficial interest including rights to acquire common shares that are attached to, or trade with, common shares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and/or (5) warrants to purchase Common Shares or Preferred Shares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Debt Securities, the Preferred Shares, the Depositary Shares, the Common Shares and the Warrants are collectively referred to herein as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w:t>
      </w:r>
      <w:r>
        <w:rPr>
          <w:rFonts w:ascii="Arial" w:cs="Arial" w:eastAsia="Arial" w:hAnsi="Arial"/>
          <w:sz w:val="15"/>
          <w:szCs w:val="15"/>
          <w:color w:val="auto"/>
        </w:rPr>
        <w:t>.” The Debt Securities will be offered and sold pursuant to one or more indentures, including the senior indenture dated September 1, 1998 between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and U.S. Bank National Association, successor to Wachovia Bank National Association (formerly First Union National Bank) (the “</w:t>
      </w:r>
      <w:r>
        <w:rPr>
          <w:rFonts w:ascii="Arial" w:cs="Arial" w:eastAsia="Arial" w:hAnsi="Arial"/>
          <w:sz w:val="16"/>
          <w:szCs w:val="16"/>
          <w:u w:val="single" w:color="auto"/>
          <w:color w:val="auto"/>
        </w:rPr>
        <w:t>Trustee</w:t>
      </w:r>
      <w:r>
        <w:rPr>
          <w:rFonts w:ascii="Arial" w:cs="Arial" w:eastAsia="Arial" w:hAnsi="Arial"/>
          <w:sz w:val="16"/>
          <w:szCs w:val="16"/>
          <w:color w:val="auto"/>
        </w:rPr>
        <w: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filed as an exhibit to the Company’s registration statement on Form S-3 filed on September 17, 1998 (the “</w:t>
      </w:r>
      <w:r>
        <w:rPr>
          <w:rFonts w:ascii="Arial" w:cs="Arial" w:eastAsia="Arial" w:hAnsi="Arial"/>
          <w:sz w:val="16"/>
          <w:szCs w:val="16"/>
          <w:u w:val="single" w:color="auto"/>
          <w:color w:val="auto"/>
        </w:rPr>
        <w:t>Senior Indenture</w:t>
      </w:r>
      <w:r>
        <w:rPr>
          <w:rFonts w:ascii="Arial" w:cs="Arial" w:eastAsia="Arial" w:hAnsi="Arial"/>
          <w:sz w:val="16"/>
          <w:szCs w:val="16"/>
          <w:color w:val="auto"/>
        </w:rPr>
        <w:t>”), and any additional indentures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entered into from time to time (the “Indentures”). The Common Shares and/or Preferred Shares may be offered in any class or series and to the extent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offered and sold pursuant to articles supplementary and/or amendments to the Declaration of Trust (as defined below), which are to be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Maryland State Department of Assessments and Taxation (“</w:t>
      </w:r>
      <w:r>
        <w:rPr>
          <w:rFonts w:ascii="Arial" w:cs="Arial" w:eastAsia="Arial" w:hAnsi="Arial"/>
          <w:sz w:val="16"/>
          <w:szCs w:val="16"/>
          <w:u w:val="single" w:color="auto"/>
          <w:color w:val="auto"/>
        </w:rPr>
        <w:t>SDAT</w:t>
      </w:r>
      <w:r>
        <w:rPr>
          <w:rFonts w:ascii="Arial" w:cs="Arial" w:eastAsia="Arial" w:hAnsi="Arial"/>
          <w:sz w:val="16"/>
          <w:szCs w:val="16"/>
          <w:color w:val="auto"/>
        </w:rPr>
        <w:t>”). Any Depositary Shares will be issued under one or more deposit agreements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Agreement</w:t>
      </w:r>
      <w:r>
        <w:rPr>
          <w:rFonts w:ascii="Arial" w:cs="Arial" w:eastAsia="Arial" w:hAnsi="Arial"/>
          <w:sz w:val="16"/>
          <w:szCs w:val="16"/>
          <w:color w:val="auto"/>
        </w:rPr>
        <w:t>”), each between the Company and a financial institution identified therein as the depositary (each, a “</w:t>
      </w:r>
      <w:r>
        <w:rPr>
          <w:rFonts w:ascii="Arial" w:cs="Arial" w:eastAsia="Arial" w:hAnsi="Arial"/>
          <w:sz w:val="16"/>
          <w:szCs w:val="16"/>
          <w:u w:val="single" w:color="auto"/>
          <w:color w:val="auto"/>
        </w:rPr>
        <w:t>Depositary</w:t>
      </w:r>
      <w:r>
        <w:rPr>
          <w:rFonts w:ascii="Arial" w:cs="Arial" w:eastAsia="Arial" w:hAnsi="Arial"/>
          <w:sz w:val="16"/>
          <w:szCs w:val="16"/>
          <w:color w:val="auto"/>
        </w:rPr>
        <w:t>”). Any Warrants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under one or more warrant agreements (each, a “</w:t>
      </w:r>
      <w:r>
        <w:rPr>
          <w:rFonts w:ascii="Arial" w:cs="Arial" w:eastAsia="Arial" w:hAnsi="Arial"/>
          <w:sz w:val="16"/>
          <w:szCs w:val="16"/>
          <w:u w:val="single" w:color="auto"/>
          <w:color w:val="auto"/>
        </w:rPr>
        <w:t>Warrant Agreement</w:t>
      </w:r>
      <w:r>
        <w:rPr>
          <w:rFonts w:ascii="Arial" w:cs="Arial" w:eastAsia="Arial" w:hAnsi="Arial"/>
          <w:sz w:val="16"/>
          <w:szCs w:val="16"/>
          <w:color w:val="auto"/>
        </w:rPr>
        <w:t>”), each between the Company and a financial institution identified therein as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agent (each, a “</w:t>
      </w:r>
      <w:r>
        <w:rPr>
          <w:rFonts w:ascii="Arial" w:cs="Arial" w:eastAsia="Arial" w:hAnsi="Arial"/>
          <w:sz w:val="18"/>
          <w:szCs w:val="18"/>
          <w:u w:val="single" w:color="auto"/>
          <w:color w:val="auto"/>
        </w:rPr>
        <w:t>Warrant Agent</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the following documents:</w:t>
      </w:r>
    </w:p>
    <w:p>
      <w:pPr>
        <w:spacing w:after="0" w:line="9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executed copy of the Registration Statement;</w:t>
      </w:r>
    </w:p>
    <w:p>
      <w:pPr>
        <w:spacing w:after="0" w:line="90" w:lineRule="exact"/>
        <w:rPr>
          <w:rFonts w:ascii="Arial" w:cs="Arial" w:eastAsia="Arial" w:hAnsi="Arial"/>
          <w:sz w:val="18"/>
          <w:szCs w:val="18"/>
          <w:color w:val="auto"/>
        </w:rPr>
      </w:pPr>
    </w:p>
    <w:p>
      <w:pPr>
        <w:ind w:left="460" w:right="100" w:hanging="452"/>
        <w:spacing w:after="0" w:line="298"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Declaration of Trust of the Company dated May 5, 1999, as amended by the Articles of Amendment of Declaration of Trust of the Company dated May 6, 2004, as corrected by the Certificate of Correction of Articles of Amendment of Declaration of Trust of the Company dated June 17, 2004, as amended by the Articles of Amendment of Declaration of Trust of the Company dated May 6, 2009 (the “</w:t>
      </w:r>
      <w:r>
        <w:rPr>
          <w:rFonts w:ascii="Arial" w:cs="Arial" w:eastAsia="Arial" w:hAnsi="Arial"/>
          <w:sz w:val="16"/>
          <w:szCs w:val="16"/>
          <w:u w:val="single" w:color="auto"/>
          <w:color w:val="auto"/>
        </w:rPr>
        <w:t>Declaration of Trust</w:t>
      </w:r>
      <w:r>
        <w:rPr>
          <w:rFonts w:ascii="Arial" w:cs="Arial" w:eastAsia="Arial" w:hAnsi="Arial"/>
          <w:sz w:val="16"/>
          <w:szCs w:val="16"/>
          <w:color w:val="auto"/>
        </w:rPr>
        <w:t>”), as certified by SDAT on May 20, 2009 and as certified to us by the Secretary of the Company as being in effect as of the date hereof;</w:t>
      </w:r>
    </w:p>
    <w:p>
      <w:pPr>
        <w:spacing w:after="0" w:line="31"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Amended and Restated Bylaws of the Company dated February 12, 2003, as amended October 29, 2003, May 5, 2004, February 17, 2006 and May 6, 2009 (the “</w:t>
      </w:r>
      <w:r>
        <w:rPr>
          <w:rFonts w:ascii="Arial" w:cs="Arial" w:eastAsia="Arial" w:hAnsi="Arial"/>
          <w:sz w:val="18"/>
          <w:szCs w:val="18"/>
          <w:u w:val="single" w:color="auto"/>
          <w:color w:val="auto"/>
        </w:rPr>
        <w:t>Bylaws</w:t>
      </w:r>
      <w:r>
        <w:rPr>
          <w:rFonts w:ascii="Arial" w:cs="Arial" w:eastAsia="Arial" w:hAnsi="Arial"/>
          <w:sz w:val="18"/>
          <w:szCs w:val="18"/>
          <w:color w:val="auto"/>
        </w:rPr>
        <w:t>”), as certified to us by the Secretary of the Company as being in effect as of the date hereof;</w:t>
      </w:r>
    </w:p>
    <w:p>
      <w:pPr>
        <w:spacing w:after="0" w:line="5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Articles Supplementary relating to the 5.417% Series 1 Cumulative Convertible Preferred shares of Beneficial Interest dated March 8, 2007, as certified by SDAT on May 20, 2009 and as certified to us by the Secretary of the Company as being in effect as of the date hereof;</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Senior Indenture;</w:t>
      </w:r>
    </w:p>
    <w:p>
      <w:pPr>
        <w:spacing w:after="0" w:line="90"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Amended and Restated Rights Agreement, dated March 11, 1999, between the Company and American Stock Transfer &amp; Trust Company, as amended by the First Amendment to Amended and Restated Rights Agreement, dated as of November 23, 2003, between the Company and American Stock Transfer &amp; Trust Company, as amended by the Second Amendment to the Amended and Restated Rights Agreement, dated as of March 11, 2009, between the Company and American Stock Transfer &amp; Trust Company;</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resolutions of the Board of Trustees of the Company adopted at a meeting held on May 5, 2009 (the “</w:t>
      </w:r>
      <w:r>
        <w:rPr>
          <w:rFonts w:ascii="Arial" w:cs="Arial" w:eastAsia="Arial" w:hAnsi="Arial"/>
          <w:sz w:val="18"/>
          <w:szCs w:val="18"/>
          <w:u w:val="single" w:color="auto"/>
          <w:color w:val="auto"/>
        </w:rPr>
        <w:t>Resolutions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w:t>
      </w:r>
    </w:p>
    <w:p>
      <w:pPr>
        <w:sectPr>
          <w:pgSz w:w="11900" w:h="16838" w:orient="portrait"/>
          <w:cols w:equalWidth="0" w:num="1">
            <w:col w:w="11340"/>
          </w:cols>
          <w:pgMar w:left="240" w:top="280" w:right="31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sale and delivery of any Securities pursuant to the Registration Statement, (i) the Board of Trustees of the Company (or the committee of the Board or the officer authorized to act on behalf of the Company) will have duly established the rights, powers, privileges and preferences and other terms, if any, of any class or series, as applicable, of the Debt Securities, the Preferred Shares, the Depositary Shares, the Common Shares or the Warrants, and shall have authorized the sale of such Securities, (ii) the Resolutions will have not been amended, modified or rescinded, (iii) the Registration Statement will have been declared effective and no stop order suspending the effectiveness of the Registration Statement will have been issued and no proceedings with respect thereto will have been commenced or threatened, and (iv) a Prospectus Supplement will have been prepared and filed with the Commission describing the Securities offered thereby, and (v) there will not have occurred any change in law materially and adversely affecting the power of the Company to offer and sell the Securities or the validity of the Securities.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also assumed that the terms of any Debt Securities, Preferred Shares, Depositary Shares, Common Shares or Warrants to be established subsequent to the date hereof, the offering, sale and delivery of any such Securities, and compliance by the Company with the rights, powers, privileges and preferences and other terms, if any, of such Debt Securities, Preferred Shares, Depositary Shares, Common Shares or Warrants will not at the time of such offering, sale and delivery violate or conflict with (i) the Declaration of Trust, as then amended, restated and supplemented, and the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Common Shares or Preferred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 We have also assumed that prior to the offering and sale (i) in the case of Debt Securities, any supplement to the Indentures will have been executed and delivered by the Company, the trustee and the other parties thereto that complies with the Trust Indenture Act of 1939 and any other applicable laws; (ii) in the case of Preferred Shares and Depositary Shares, as applicable, articles supplementary will have been filed with, and accepted for record by, SDAT; (iii) in the case of Depositary Shares, a Deposit Agreement will have been executed and delivered by the Company (and any other maker thereof); and (iv) in the case of Warrants, a Warrant Agreement will have been executed and delivered by the Company (and any other maker thereof).</w:t>
      </w:r>
    </w:p>
    <w:p>
      <w:pPr>
        <w:spacing w:after="0" w:line="12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obligations of the Company with respect to the Securities may be dependent upon such matters, we assume for purposes of this opinion that the other party under the Indentures or any supplements thereto for any Debt Securities, under a Deposit Agreement for any Depositary Shares and under a Warrant Agreement for any Warrants, namely, the trustee, the Depositary or the Warrant Agent, respectively, is duly organized, validly existing and in good standing under the laws of its jurisdiction of organization; that such other party is duly qualified to engage in the activities contemplated by the Indentures or any supplements thereto,</w:t>
      </w:r>
    </w:p>
    <w:p>
      <w:pPr>
        <w:sectPr>
          <w:pgSz w:w="11900" w:h="16838" w:orient="portrait"/>
          <w:cols w:equalWidth="0" w:num="1">
            <w:col w:w="11420"/>
          </w:cols>
          <w:pgMar w:left="240" w:top="280"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Deposit Agreement or Warrant Agreement, as applicable; that the Indentures or any supplements thereto, Deposit Agreement or Warrant Agreement, as applicable, has been duly authorized, executed and delivered by the other party and constitutes the legal, valid and binding obligation of the other party enforceable against the other party in accordance with its terms; that such other party is in compliance with respect to performance of its obligations under the Indentures or any supplements thereto, Deposit Agreement or Warrant Agreement, and with all applicable laws and regulations; and that such other party has the requisite organizational and legal power and authority to perform its obligations under the Indentures or any supplements thereto, Deposit Agreement or Warrant Agreement, as applicable.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subject to and limited by the foregoing, we are of the opinion that:</w:t>
      </w:r>
    </w:p>
    <w:p>
      <w:pPr>
        <w:spacing w:after="0" w:line="90" w:lineRule="exact"/>
        <w:rPr>
          <w:sz w:val="20"/>
          <w:szCs w:val="20"/>
          <w:color w:val="auto"/>
        </w:rPr>
      </w:pPr>
    </w:p>
    <w:p>
      <w:pPr>
        <w:ind w:left="460" w:right="120" w:hanging="452"/>
        <w:spacing w:after="0" w:line="289" w:lineRule="auto"/>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Debt Securities will constitute legally valid and binding obligations of the Company, enforceable against the Company in accordance with their terms and entitled to the benefits of the Indentures and any applicable supplements thereto when (i) the final terms of the Debt Securities and any applicable supplements to the Indentures have been duly established in accordance with the Declaration of Trust and applicable law; (ii) the Board of Trustees or a duly authorized committee thereof has adopted a resolution, in form and content as required by applicable law, establishing the final terms of the Debt Securities and any applicable supplements to the Indentures and duly authorizing the issuance and delivery of the Debt Securities; and (iii) the Debt Securities are duly executed, authenticated and delivered by the Company against payment therefor and countersigned by the applicable trustee in accordance with any applicable supplements to the Indentures and sold, delivered to and paid for by the purchasers of the Debt Securities in the manner contemplated by the Registration Statement, the applicable prospectus supplement and such resolution.</w:t>
      </w:r>
    </w:p>
    <w:p>
      <w:pPr>
        <w:spacing w:after="0" w:line="37" w:lineRule="exact"/>
        <w:rPr>
          <w:rFonts w:ascii="Arial" w:cs="Arial" w:eastAsia="Arial" w:hAnsi="Arial"/>
          <w:sz w:val="16"/>
          <w:szCs w:val="16"/>
          <w:color w:val="auto"/>
        </w:rPr>
      </w:pPr>
    </w:p>
    <w:p>
      <w:pPr>
        <w:ind w:left="460" w:hanging="452"/>
        <w:spacing w:after="0" w:line="289" w:lineRule="auto"/>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Upon adoption by the Board of Trustees or an authorized committee thereof of a resolution in form and content as required by applicable law approving the issuance and establishing the terms of any particular series of Preferred Shares (including any Preferred Shares represented by Depositary Shares), the offering thereof and related matters, including the filing of articles supplementary conforming to the Maryland General Corporation Law regarding the Preferred Shares with SDAT, and upon issuance and delivery of and payment in the manner contemplated by, and in accordance with, the Registration Statement, the applicable prospectus supplement and such resolution, the Preferred Shares (including any Preferred Shares represented by Depositary Shares, any Preferred Shares duly issued upon conversion, exchange or exercise of any other Security in accordance with the terms of such Security or the instrument governing such Security providing for such conversion, exchange or exercise as approved by the Board of Trustees) offered and sold pursuant to the Registration Statement will be legally issued, fully paid and nonassessable.</w:t>
      </w:r>
    </w:p>
    <w:p>
      <w:pPr>
        <w:spacing w:after="0" w:line="37"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Upon adoption by the Board of Trustees or an authorized committee thereof of a resolution in form and content as required by applicable law approving the issuance and establishing the terms of the offering of Common Shares and related matters, and upon issuance and delivery of and payment in the manner contemplated by, and in accordance with, the Registration Statement, the applicable prospectus supplement and such resolution, the Common Shares (including any Common Shares duly issued upon conversion, exchange or exercise of any</w:t>
      </w:r>
    </w:p>
    <w:p>
      <w:pPr>
        <w:sectPr>
          <w:pgSz w:w="11900" w:h="16838" w:orient="portrait"/>
          <w:cols w:equalWidth="0" w:num="1">
            <w:col w:w="11400"/>
          </w:cols>
          <w:pgMar w:left="240" w:top="280"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left="460" w:right="20"/>
        <w:spacing w:after="0" w:line="357" w:lineRule="auto"/>
        <w:rPr>
          <w:sz w:val="20"/>
          <w:szCs w:val="20"/>
          <w:color w:val="auto"/>
        </w:rPr>
      </w:pPr>
      <w:r>
        <w:rPr>
          <w:rFonts w:ascii="Arial" w:cs="Arial" w:eastAsia="Arial" w:hAnsi="Arial"/>
          <w:sz w:val="15"/>
          <w:szCs w:val="15"/>
          <w:color w:val="auto"/>
        </w:rPr>
        <w:t>other Security in accordance with the terms of such Security or the instrument governing such Security providing for such conversion, exchange or exercise as approved by the Board of Trustees) offered and sold pursuant to the Registration Statement will be legally issued, fully paid and nonassessable.</w:t>
      </w:r>
    </w:p>
    <w:p>
      <w:pPr>
        <w:ind w:left="460" w:hanging="452"/>
        <w:spacing w:after="0" w:line="288"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Upon (i) adoption by the Board of Trustees or an authorized committee thereof, of a resolution in form and content as required by applicable law, establishing or authorizing the terms of the series of Preferred Shares to be offered in connection with the Depositary Shares, the terms of the Depositary Shares and the applicable Deposit Agreement and specifically authorizing for issuance the depositary receipts evidencing the Depositary Shares and (ii) due execution by the Company of the depositary receipts evidencing the Depositary Shares and approving related matters, including the filing of an Articles Supplementary conforming to the Maryland General Corporation Law regarding the Preferred Shares with SDAT, satisfaction of all conditions for delivery of such depositary receipts established by the authorization of the Company’s Board of Trustees or an authorized committee thereof, and delivery of such depositary receipts by the Company against payment therefor in the manner contemplated by, and in accordance with, the Registration Statement, the applicable prospectus supplement, the Deposit Agreement relating thereto, and such resolution, the depositary receipts evidencing the Depositary Shares will entitle the holders thereof to the rights specified in such depositary receipts.</w:t>
      </w:r>
    </w:p>
    <w:p>
      <w:pPr>
        <w:spacing w:after="0" w:line="38" w:lineRule="exact"/>
        <w:rPr>
          <w:rFonts w:ascii="Arial" w:cs="Arial" w:eastAsia="Arial" w:hAnsi="Arial"/>
          <w:sz w:val="16"/>
          <w:szCs w:val="16"/>
          <w:color w:val="auto"/>
        </w:rPr>
      </w:pPr>
    </w:p>
    <w:p>
      <w:pPr>
        <w:ind w:left="460" w:right="180" w:hanging="452"/>
        <w:spacing w:after="0" w:line="291"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Upon (i) adoption by the Board of Trustees or an authorized committee thereof, of a resolution in form and content as required by applicable law, establishing or authorizing the terms of the Warrants and the applicable Warrant Agreement and (ii) due execution by the Company of such Warrants and such Warrant Agreement, satisfaction of all conditions for delivery of such Warrants established by the authorization of the Company’s Board of Trustees or an authorized committee thereof, and delivery of such Warrants by the Company against payment therefor in the manner contemplated by, and in accordance with, the Registration Statement, the applicable prospectus supplement, the Warrant Agreement relating thereto, and such resolution, such Warrants will constitute valid and binding obligations of the Company, enforceable against the Company in accordance with their terms.</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opinions in Paragraphs 1, 4 and 5 above are subject to and limited by the effect of bankruptcy, insolvency, fraudulent conveyance and other similar laws affecting or relating to the rights of creditors generally, and are limited by general equitable principles.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opinion is limited to the laws of the United States, the State of Maryland and, with respect to the opinion expressed in Paragraph 1 above, the State of New York contract law (but not including any statutes, ordinances, administrative decisions, rules or regulations of any political subdivision of the State of New York), in each case excluding choice-of-law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 This opinion has been prepared solely for your use in</w:t>
      </w:r>
    </w:p>
    <w:p>
      <w:pPr>
        <w:sectPr>
          <w:pgSz w:w="11900" w:h="16838" w:orient="portrait"/>
          <w:cols w:equalWidth="0" w:num="1">
            <w:col w:w="11420"/>
          </w:cols>
          <w:pgMar w:left="240" w:top="280"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connection with the filing of the Registration Statement, and should not be quoted in whole or in part or otherwise be referred to, nor otherwise be filed with or furnished to, any governmental agency or other person or entity, without our express prior written consent.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letter as an exhibit to the Registration Statement and to the use of our name therein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380"/>
          </w:cols>
          <w:pgMar w:left="240" w:top="280" w:right="2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8.1</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Pillsbury Winthrop Shaw Pittman LLP</w:t>
      </w:r>
    </w:p>
    <w:p>
      <w:pPr>
        <w:spacing w:after="0"/>
        <w:rPr>
          <w:sz w:val="20"/>
          <w:szCs w:val="20"/>
          <w:color w:val="auto"/>
        </w:rPr>
      </w:pPr>
      <w:r>
        <w:rPr>
          <w:rFonts w:ascii="Arial" w:cs="Arial" w:eastAsia="Arial" w:hAnsi="Arial"/>
          <w:sz w:val="14"/>
          <w:szCs w:val="14"/>
          <w:color w:val="auto"/>
        </w:rPr>
        <w:t>2300 N Street, NW | Washington, DC 20037-1122 | tel 202.663.8000 | fax 202.663.8007</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16,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dated June 15, 2009 (the “Registration Statement,” which term includes a prospectus (the “Prospectus”)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3"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2009;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(2009) taxable year and for future taxable years, and (iii) the discussions in (x) the Prospectus under the caption “Material Federal Income Tax Considerations,” and (y) the Company’s Annual Report on Form 10-K for the year ended December 31, 2008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“Material Federal Income Tax Considerations” are hereby confirmed.</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00"/>
          </w:cols>
          <w:pgMar w:left="240" w:top="280" w:right="259" w:bottom="1440" w:gutter="0" w:footer="0" w:header="0"/>
        </w:sectPr>
      </w:pPr>
    </w:p>
    <w:bookmarkStart w:id="127" w:name="page128"/>
    <w:bookmarkEnd w:id="127"/>
    <w:p>
      <w:pPr>
        <w:ind w:left="10520"/>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ind w:right="4480"/>
        <w:spacing w:after="0" w:line="261" w:lineRule="auto"/>
        <w:rPr>
          <w:sz w:val="20"/>
          <w:szCs w:val="20"/>
          <w:color w:val="auto"/>
        </w:rPr>
      </w:pPr>
      <w:r>
        <w:rPr>
          <w:rFonts w:ascii="Arial" w:cs="Arial" w:eastAsia="Arial" w:hAnsi="Arial"/>
          <w:sz w:val="18"/>
          <w:szCs w:val="18"/>
          <w:b w:val="1"/>
          <w:bCs w:val="1"/>
          <w:color w:val="auto"/>
        </w:rPr>
        <w:t>Computation of Ratio of Earnings to Combined Fixed Charges &amp; Preferred Share Dividends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w w:val="93"/>
              </w:rPr>
              <w:t>Income from continuing operations before noncontrolling interests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and income or loss from equity investees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$10,862</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$30,175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119,438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96,032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92,194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86,508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66,422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Distributed income of equity investees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Fixed charges (excluding capitalized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23,952</w:t>
            </w:r>
          </w:p>
        </w:tc>
        <w:tc>
          <w:tcPr>
            <w:tcW w:w="1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24,935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101,143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113,462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97,332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83,429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79,930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Noncontrolling interests in income of subsidiaries with no fixed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Total earnings (A)</w:t>
            </w: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gridSpan w:val="2"/>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34,206</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54,788</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219,466</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209,500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188,768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168,680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$23,569</w:t>
            </w:r>
          </w:p>
        </w:tc>
        <w:tc>
          <w:tcPr>
            <w:tcW w:w="1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8"/>
              </w:rPr>
              <w:t>$24,353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99,163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111,365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95,234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81,617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interest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Portion of rents representing interest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25,319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26,725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106,444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121,327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101,401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89,120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420"/>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11,475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redemption costs</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Total fixed charges and preferred stock dividends (C)</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25,454</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26,860</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106,985</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121,769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116,599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100,595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 (A divided by B)</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0"/>
              </w:rPr>
              <w:t>Ratio of earnings to combined fixed charges and preferred stock dividends</w:t>
            </w: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(A divided by 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issued our reports dated February 25, 2009, with respect to the consolidated financial statements and internal control over financial reporting included in the Annual Report of Federal Realty Investment Trust on Form 10-K for the year ended December 31, 2008 which is incorporated by reference in this Registration Statement. We consent to the incorporation by reference of the aforementioned reports in the Registration Statement of Federal Realty Investment Trust and to the use of our name as it appears under the caption “Experts.”</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15, 2009</w:t>
      </w:r>
    </w:p>
    <w:p>
      <w:pPr>
        <w:sectPr>
          <w:pgSz w:w="11900" w:h="16838" w:orient="portrait"/>
          <w:cols w:equalWidth="0" w:num="1">
            <w:col w:w="11420"/>
          </w:cols>
          <w:pgMar w:left="240" w:top="12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Andrew P. Blocher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SIGNATURE</w:t>
            </w:r>
          </w:p>
        </w:tc>
        <w:tc>
          <w:tcPr>
            <w:tcW w:w="17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c>
          <w:tcPr>
            <w:tcW w:w="280" w:type="dxa"/>
            <w:vAlign w:val="bottom"/>
          </w:tcPr>
          <w:p>
            <w:pPr>
              <w:spacing w:after="0"/>
              <w:rPr>
                <w:sz w:val="14"/>
                <w:szCs w:val="14"/>
                <w:color w:val="auto"/>
              </w:rPr>
            </w:pPr>
          </w:p>
        </w:tc>
      </w:tr>
      <w:tr>
        <w:trPr>
          <w:trHeight w:val="42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w w:val="97"/>
              </w:rPr>
              <w:t>President, Chief Executive Officer and Trustee (principal executive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8"/>
        </w:trPr>
        <w:tc>
          <w:tcPr>
            <w:tcW w:w="254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8"/>
                <w:szCs w:val="18"/>
                <w:color w:val="auto"/>
              </w:rPr>
            </w:pPr>
          </w:p>
        </w:tc>
        <w:tc>
          <w:tcPr>
            <w:tcW w:w="54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officer)</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7"/>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P. Blocher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Chief Financial Officer and Treasurer</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8"/>
        </w:trPr>
        <w:tc>
          <w:tcPr>
            <w:tcW w:w="254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1700" w:type="dxa"/>
            <w:vAlign w:val="bottom"/>
          </w:tcPr>
          <w:p>
            <w:pPr>
              <w:spacing w:after="0"/>
              <w:rPr>
                <w:sz w:val="18"/>
                <w:szCs w:val="18"/>
                <w:color w:val="auto"/>
              </w:rPr>
            </w:pPr>
          </w:p>
        </w:tc>
        <w:tc>
          <w:tcPr>
            <w:tcW w:w="54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Non-Executive Chairman</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8"/>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Trustee</w:t>
            </w:r>
          </w:p>
        </w:tc>
        <w:tc>
          <w:tcPr>
            <w:tcW w:w="1420" w:type="dxa"/>
            <w:vAlign w:val="bottom"/>
            <w:gridSpan w:val="3"/>
          </w:tcPr>
          <w:p>
            <w:pPr>
              <w:jc w:val="center"/>
              <w:ind w:left="352"/>
              <w:spacing w:after="0"/>
              <w:rPr>
                <w:sz w:val="20"/>
                <w:szCs w:val="20"/>
                <w:color w:val="auto"/>
              </w:rPr>
            </w:pPr>
            <w:r>
              <w:rPr>
                <w:rFonts w:ascii="Arial" w:cs="Arial" w:eastAsia="Arial" w:hAnsi="Arial"/>
                <w:sz w:val="18"/>
                <w:szCs w:val="18"/>
                <w:color w:val="auto"/>
                <w:w w:val="85"/>
              </w:rPr>
              <w:t>June 16, 2009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1)"/>
      <w:numFmt w:val="decimal"/>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1)"/>
      <w:numFmt w:val="decimal"/>
      <w:start w:val="30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lvl w:ilvl="1">
      <w:lvlJc w:val="left"/>
      <w:lvlText w:val="•"/>
      <w:numFmt w:val="bullet"/>
      <w:start w:val="1"/>
    </w:lvl>
  </w:abstractNum>
  <w:abstractNum w:abstractNumId="17">
    <w:nsid w:val="5F5E7FD0"/>
    <w:multiLevelType w:val="hybridMultilevel"/>
    <w:lvl w:ilvl="0">
      <w:lvlJc w:val="left"/>
      <w:lvlText w:val="•"/>
      <w:numFmt w:val="bullet"/>
      <w:start w:val="1"/>
    </w:lvl>
    <w:lvl w:ilvl="1">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decimal"/>
      <w:start w:val="1"/>
    </w:lvl>
  </w:abstractNum>
  <w:abstractNum w:abstractNumId="23">
    <w:nsid w:val="1EBA5D23"/>
    <w:multiLevelType w:val="hybridMultilevel"/>
    <w:lvl w:ilvl="0">
      <w:lvlJc w:val="left"/>
      <w:lvlText w:val="%1."/>
      <w:numFmt w:val="decimal"/>
      <w:start w:val="2"/>
    </w:lvl>
    <w:lvl w:ilvl="1">
      <w:lvlJc w:val="left"/>
      <w:lvlText w:val="(%2)"/>
      <w:numFmt w:val="lowerLetter"/>
      <w:start w:val="1"/>
    </w:lvl>
  </w:abstractNum>
  <w:abstractNum w:abstractNumId="24">
    <w:nsid w:val="661E3F1E"/>
    <w:multiLevelType w:val="hybridMultilevel"/>
    <w:lvl w:ilvl="0">
      <w:lvlJc w:val="left"/>
      <w:lvlText w:val="%1."/>
      <w:numFmt w:val="decimal"/>
      <w:start w:val="7"/>
    </w:lvl>
    <w:lvl w:ilvl="1">
      <w:lvlJc w:val="left"/>
      <w:lvlText w:val="(%2)"/>
      <w:numFmt w:val="lowerLetter"/>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lvl w:ilvl="1">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lvl w:ilvl="1">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
      <w:numFmt w:val="bullet"/>
      <w:start w:val="1"/>
    </w:lvl>
    <w:lvl w:ilvl="1">
      <w:lvlJc w:val="left"/>
      <w:lvlText w:val="•"/>
      <w:numFmt w:val="bullet"/>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1)"/>
      <w:numFmt w:val="lowerRoman"/>
      <w:start w:val="3"/>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1."/>
      <w:numFmt w:val="decimal"/>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
      <w:numFmt w:val="bullet"/>
      <w:start w:val="1"/>
    </w:lvl>
  </w:abstractNum>
  <w:abstractNum w:abstractNumId="64">
    <w:nsid w:val="43F18422"/>
    <w:multiLevelType w:val="hybridMultilevel"/>
    <w:lvl w:ilvl="0">
      <w:lvlJc w:val="left"/>
      <w:lvlText w:val="•"/>
      <w:numFmt w:val="bullet"/>
      <w:start w:val="1"/>
    </w:lvl>
    <w:lvl w:ilvl="1">
      <w:lvlJc w:val="left"/>
      <w:lvlText w:val="•"/>
      <w:numFmt w:val="bullet"/>
      <w:start w:val="1"/>
    </w:lvl>
  </w:abstractNum>
  <w:abstractNum w:abstractNumId="65">
    <w:nsid w:val="60EF0119"/>
    <w:multiLevelType w:val="hybridMultilevel"/>
    <w:lvl w:ilvl="0">
      <w:lvlJc w:val="left"/>
      <w:lvlText w:val="(%1)"/>
      <w:numFmt w:val="lowerRoman"/>
      <w:start w:val="2"/>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
      <w:numFmt w:val="bullet"/>
      <w:start w:val="1"/>
    </w:lvl>
  </w:abstractNum>
  <w:abstractNum w:abstractNumId="69">
    <w:nsid w:val="7055A5F5"/>
    <w:multiLevelType w:val="hybridMultilevel"/>
    <w:lvl w:ilvl="0">
      <w:lvlJc w:val="left"/>
      <w:lvlText w:val="•"/>
      <w:numFmt w:val="bullet"/>
      <w:start w:val="1"/>
    </w:lvl>
  </w:abstractNum>
  <w:abstractNum w:abstractNumId="70">
    <w:nsid w:val="5FB8370B"/>
    <w:multiLevelType w:val="hybridMultilevel"/>
    <w:lvl w:ilvl="0">
      <w:lvlJc w:val="left"/>
      <w:lvlText w:val="(%1)"/>
      <w:numFmt w:val="decimal"/>
      <w:start w:val="4"/>
    </w:lvl>
  </w:abstractNum>
  <w:abstractNum w:abstractNumId="71">
    <w:nsid w:val="50801EE1"/>
    <w:multiLevelType w:val="hybridMultilevel"/>
    <w:lvl w:ilvl="0">
      <w:lvlJc w:val="left"/>
      <w:lvlText w:val="•"/>
      <w:numFmt w:val="bullet"/>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1)"/>
      <w:numFmt w:val="decimal"/>
      <w:start w:val="1"/>
    </w:lvl>
  </w:abstractNum>
  <w:abstractNum w:abstractNumId="75">
    <w:nsid w:val="7672BD23"/>
    <w:multiLevelType w:val="hybridMultilevel"/>
    <w:lvl w:ilvl="0">
      <w:lvlJc w:val="left"/>
      <w:lvlText w:val="(%1)"/>
      <w:numFmt w:val="lowerRoman"/>
      <w:start w:val="2"/>
    </w:lvl>
  </w:abstractNum>
  <w:abstractNum w:abstractNumId="76">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7">
    <w:nsid w:val="6A5F7029"/>
    <w:multiLevelType w:val="hybridMultilevel"/>
    <w:lvl w:ilvl="0">
      <w:lvlJc w:val="left"/>
      <w:lvlText w:val="(%1)"/>
      <w:numFmt w:val="decimal"/>
      <w:start w:val="2"/>
    </w:lvl>
    <w:lvl w:ilvl="1">
      <w:lvlJc w:val="left"/>
      <w:lvlText w:val="(%2)"/>
      <w:numFmt w:val="lowerRoman"/>
      <w:start w:val="1"/>
    </w:lvl>
  </w:abstractNum>
  <w:abstractNum w:abstractNumId="78">
    <w:nsid w:val="7D5E18F8"/>
    <w:multiLevelType w:val="hybridMultilevel"/>
    <w:lvl w:ilvl="0">
      <w:lvlJc w:val="left"/>
      <w:lvlText w:val="(%1)"/>
      <w:numFmt w:val="decimal"/>
      <w:start w:val="5"/>
    </w:lvl>
  </w:abstractNum>
  <w:abstractNum w:abstractNumId="79">
    <w:nsid w:val="5F3534A4"/>
    <w:multiLevelType w:val="hybridMultilevel"/>
    <w:lvl w:ilvl="0">
      <w:lvlJc w:val="left"/>
      <w:lvlText w:val="%1"/>
      <w:numFmt w:val="lowerLetter"/>
      <w:start w:val="1"/>
    </w:lvl>
    <w:lvl w:ilvl="1">
      <w:lvlJc w:val="left"/>
      <w:lvlText w:val="(%2)"/>
      <w:numFmt w:val="lowerRoman"/>
      <w:start w:val="1"/>
    </w:lvl>
  </w:abstractNum>
  <w:abstractNum w:abstractNumId="80">
    <w:nsid w:val="73A1821B"/>
    <w:multiLevelType w:val="hybridMultilevel"/>
    <w:lvl w:ilvl="0">
      <w:lvlJc w:val="left"/>
      <w:lvlText w:val="(%1)"/>
      <w:numFmt w:val="lowerLetter"/>
      <w:start w:val="2"/>
    </w:lvl>
    <w:lvl w:ilvl="1">
      <w:lvlJc w:val="left"/>
      <w:lvlText w:val="%2"/>
      <w:numFmt w:val="lowerRoman"/>
      <w:start w:val="1"/>
    </w:lvl>
  </w:abstractNum>
  <w:abstractNum w:abstractNumId="81">
    <w:nsid w:val="7DE67713"/>
    <w:multiLevelType w:val="hybridMultilevel"/>
    <w:lvl w:ilvl="0">
      <w:lvlJc w:val="left"/>
      <w:lvlText w:val="(%1)"/>
      <w:numFmt w:val="lowerLetter"/>
      <w:start w:val="1"/>
    </w:lvl>
  </w:abstractNum>
  <w:abstractNum w:abstractNumId="82">
    <w:nsid w:val="555C55B5"/>
    <w:multiLevelType w:val="hybridMultilevel"/>
    <w:lvl w:ilvl="0">
      <w:lvlJc w:val="left"/>
      <w:lvlText w:val="(%1)"/>
      <w:numFmt w:val="lowerLetter"/>
      <w:start w:val="5"/>
    </w:lvl>
  </w:abstractNum>
  <w:abstractNum w:abstractNumId="83">
    <w:nsid w:val="3FA62ACA"/>
    <w:multiLevelType w:val="hybridMultilevel"/>
    <w:lvl w:ilvl="0">
      <w:lvlJc w:val="left"/>
      <w:lvlText w:val="(%1)"/>
      <w:numFmt w:val="lowerLetter"/>
      <w:start w:val="1"/>
    </w:lvl>
  </w:abstractNum>
  <w:abstractNum w:abstractNumId="84">
    <w:nsid w:val="14FCE74E"/>
    <w:multiLevelType w:val="hybridMultilevel"/>
    <w:lvl w:ilvl="0">
      <w:lvlJc w:val="left"/>
      <w:lvlText w:val="(%1)"/>
      <w:numFmt w:val="lowerLetter"/>
      <w:start w:val="6"/>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Roman"/>
      <w:start w:val="2"/>
    </w:lvl>
  </w:abstractNum>
  <w:abstractNum w:abstractNumId="87">
    <w:nsid w:val="9DAF632"/>
    <w:multiLevelType w:val="hybridMultilevel"/>
    <w:lvl w:ilvl="0">
      <w:lvlJc w:val="left"/>
      <w:lvlText w:val="(%1)"/>
      <w:numFmt w:val="lowerLetter"/>
      <w:start w:val="2"/>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2"/>
    </w:lvl>
  </w:abstractNum>
  <w:abstractNum w:abstractNumId="91">
    <w:nsid w:val="1D545C4D"/>
    <w:multiLevelType w:val="hybridMultilevel"/>
    <w:lvl w:ilvl="0">
      <w:lvlJc w:val="left"/>
      <w:lvlText w:val="(%1)"/>
      <w:numFmt w:val="lowerLetter"/>
      <w:start w:val="1"/>
    </w:lvl>
  </w:abstractNum>
  <w:abstractNum w:abstractNumId="92">
    <w:nsid w:val="59ADEA3D"/>
    <w:multiLevelType w:val="hybridMultilevel"/>
    <w:lvl w:ilvl="0">
      <w:lvlJc w:val="left"/>
      <w:lvlText w:val="(%1)"/>
      <w:numFmt w:val="lowerLetter"/>
      <w:start w:val="3"/>
    </w:lvl>
  </w:abstractNum>
  <w:abstractNum w:abstractNumId="93">
    <w:nsid w:val="288F1A34"/>
    <w:multiLevelType w:val="hybridMultilevel"/>
    <w:lvl w:ilvl="0">
      <w:lvlJc w:val="left"/>
      <w:lvlText w:val="(%1)"/>
      <w:numFmt w:val="lowerLetter"/>
      <w:start w:val="1"/>
    </w:lvl>
  </w:abstractNum>
  <w:abstractNum w:abstractNumId="94">
    <w:nsid w:val="2A155DBC"/>
    <w:multiLevelType w:val="hybridMultilevel"/>
    <w:lvl w:ilvl="0">
      <w:lvlJc w:val="left"/>
      <w:lvlText w:val="(%1)"/>
      <w:numFmt w:val="lowerLetter"/>
      <w:start w:val="3"/>
    </w:lvl>
  </w:abstractNum>
  <w:abstractNum w:abstractNumId="95">
    <w:nsid w:val="1D9F6E5F"/>
    <w:multiLevelType w:val="hybridMultilevel"/>
    <w:lvl w:ilvl="0">
      <w:lvlJc w:val="left"/>
      <w:lvlText w:val="(%1)"/>
      <w:numFmt w:val="lowerLetter"/>
      <w:start w:val="1"/>
    </w:lvl>
    <w:lvl w:ilvl="1">
      <w:lvlJc w:val="left"/>
      <w:lvlText w:val="(%2)"/>
      <w:numFmt w:val="lowerRoman"/>
      <w:start w:val="1"/>
    </w:lvl>
  </w:abstractNum>
  <w:abstractNum w:abstractNumId="96">
    <w:nsid w:val="97E1B4E"/>
    <w:multiLevelType w:val="hybridMultilevel"/>
    <w:lvl w:ilvl="0">
      <w:lvlJc w:val="left"/>
      <w:lvlText w:val="%1"/>
      <w:numFmt w:val="lowerLetter"/>
      <w:start w:val="1"/>
    </w:lvl>
    <w:lvl w:ilvl="1">
      <w:lvlJc w:val="left"/>
      <w:lvlText w:val="(%2)"/>
      <w:numFmt w:val="lowerLetter"/>
      <w:start w:val="61"/>
    </w:lvl>
  </w:abstractNum>
  <w:abstractNum w:abstractNumId="97">
    <w:nsid w:val="51088277"/>
    <w:multiLevelType w:val="hybridMultilevel"/>
    <w:lvl w:ilvl="0">
      <w:lvlJc w:val="left"/>
      <w:lvlText w:val="(%1)"/>
      <w:numFmt w:val="lowerLetter"/>
      <w:start w:val="2"/>
    </w:lvl>
    <w:lvl w:ilvl="1">
      <w:lvlJc w:val="left"/>
      <w:lvlText w:val="(%2)"/>
      <w:numFmt w:val="lowerLetter"/>
      <w:start w:val="9"/>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1"/>
    </w:lvl>
    <w:lvl w:ilvl="1">
      <w:lvlJc w:val="left"/>
      <w:lvlText w:val="(%2)"/>
      <w:numFmt w:val="lowerLetter"/>
      <w:start w:val="9"/>
    </w:lvl>
  </w:abstractNum>
  <w:abstractNum w:abstractNumId="100">
    <w:nsid w:val="415E286C"/>
    <w:multiLevelType w:val="hybridMultilevel"/>
    <w:lvl w:ilvl="0">
      <w:lvlJc w:val="left"/>
      <w:lvlText w:val="%1"/>
      <w:numFmt w:val="lowerLetter"/>
      <w:start w:val="1"/>
    </w:lvl>
    <w:lvl w:ilvl="1">
      <w:lvlJc w:val="left"/>
      <w:lvlText w:val="(%2)"/>
      <w:numFmt w:val="lowerRoman"/>
      <w:start w:val="2"/>
    </w:lvl>
  </w:abstractNum>
  <w:abstractNum w:abstractNumId="101">
    <w:nsid w:val="7C58FD05"/>
    <w:multiLevelType w:val="hybridMultilevel"/>
    <w:lvl w:ilvl="0">
      <w:lvlJc w:val="left"/>
      <w:lvlText w:val="(%1)"/>
      <w:numFmt w:val="lowerLetter"/>
      <w:start w:val="2"/>
    </w:lvl>
    <w:lvl w:ilvl="1">
      <w:lvlJc w:val="left"/>
      <w:lvlText w:val="%2"/>
      <w:numFmt w:val="lowerRoman"/>
      <w:start w:val="1"/>
    </w:lvl>
  </w:abstractNum>
  <w:abstractNum w:abstractNumId="102">
    <w:nsid w:val="23D86AAC"/>
    <w:multiLevelType w:val="hybridMultilevel"/>
    <w:lvl w:ilvl="0">
      <w:lvlJc w:val="left"/>
      <w:lvlText w:val="(%1)"/>
      <w:numFmt w:val="lowerRoman"/>
      <w:start w:val="2"/>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1)"/>
      <w:numFmt w:val="lowerLetter"/>
      <w:start w:val="2"/>
    </w:lvl>
  </w:abstractNum>
  <w:abstractNum w:abstractNumId="105">
    <w:nsid w:val="E7FFA2B"/>
    <w:multiLevelType w:val="hybridMultilevel"/>
    <w:lvl w:ilvl="0">
      <w:lvlJc w:val="left"/>
      <w:lvlText w:val="(%1)"/>
      <w:numFmt w:val="lowerLetter"/>
      <w:start w:val="1"/>
    </w:lvl>
    <w:lvl w:ilvl="1">
      <w:lvlJc w:val="left"/>
      <w:lvlText w:val="(%2)"/>
      <w:numFmt w:val="lowerRoman"/>
      <w:start w:val="1"/>
    </w:lvl>
  </w:abstractNum>
  <w:abstractNum w:abstractNumId="106">
    <w:nsid w:val="3C5991AA"/>
    <w:multiLevelType w:val="hybridMultilevel"/>
    <w:lvl w:ilvl="0">
      <w:lvlJc w:val="left"/>
      <w:lvlText w:val="(%1)"/>
      <w:numFmt w:val="lowerLetter"/>
      <w:start w:val="2"/>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decimal"/>
      <w:start w:val="1"/>
    </w:lvl>
  </w:abstractNum>
  <w:abstractNum w:abstractNumId="109">
    <w:nsid w:val="39B7AAA2"/>
    <w:multiLevelType w:val="hybridMultilevel"/>
    <w:lvl w:ilvl="0">
      <w:lvlJc w:val="left"/>
      <w:lvlText w:val="%1."/>
      <w:numFmt w:val="decimal"/>
      <w:start w:val="1"/>
    </w:lvl>
  </w:abstractNum>
  <w:abstractNum w:abstractNumId="110">
    <w:nsid w:val="2B0D8DBE"/>
    <w:multiLevelType w:val="hybridMultilevel"/>
    <w:lvl w:ilvl="0">
      <w:lvlJc w:val="left"/>
      <w:lvlText w:val="%1."/>
      <w:numFmt w:val="upperLetter"/>
      <w:start w:val="1"/>
    </w:lvl>
  </w:abstractNum>
  <w:abstractNum w:abstractNumId="111">
    <w:nsid w:val="6C80EC70"/>
    <w:multiLevelType w:val="hybridMultilevel"/>
    <w:lvl w:ilvl="0">
      <w:lvlJc w:val="left"/>
      <w:lvlText w:val="%1."/>
      <w:numFmt w:val="decimal"/>
      <w:start w:val="1"/>
    </w:lvl>
  </w:abstractNum>
  <w:abstractNum w:abstractNumId="112">
    <w:nsid w:val="379E21B5"/>
    <w:multiLevelType w:val="hybridMultilevel"/>
    <w:lvl w:ilvl="0">
      <w:lvlJc w:val="left"/>
      <w:lvlText w:val="(%1)"/>
      <w:numFmt w:val="decimal"/>
      <w:start w:val="5"/>
    </w:lvl>
  </w:abstractNum>
  <w:abstractNum w:abstractNumId="113">
    <w:nsid w:val="69E373"/>
    <w:multiLevelType w:val="hybridMultilevel"/>
    <w:lvl w:ilvl="0">
      <w:lvlJc w:val="left"/>
      <w:lvlText w:val="(%1)"/>
      <w:numFmt w:val="lowerLetter"/>
      <w:start w:val="1"/>
    </w:lvl>
    <w:lvl w:ilvl="1">
      <w:lvlJc w:val="left"/>
      <w:lvlText w:val="(%2)"/>
      <w:numFmt w:val="decimal"/>
      <w:start w:val="1"/>
    </w:lvl>
  </w:abstractNum>
  <w:abstractNum w:abstractNumId="114">
    <w:nsid w:val="2C27173B"/>
    <w:multiLevelType w:val="hybridMultilevel"/>
    <w:lvl w:ilvl="0">
      <w:lvlJc w:val="left"/>
      <w:lvlText w:val="(%1)"/>
      <w:numFmt w:val="lowerLetter"/>
      <w:start w:val="3"/>
    </w:lvl>
    <w:lvl w:ilvl="1">
      <w:lvlJc w:val="left"/>
      <w:lvlText w:val="(%2)"/>
      <w:numFmt w:val="decimal"/>
      <w:start w:val="1"/>
    </w:lvl>
  </w:abstractNum>
  <w:abstractNum w:abstractNumId="115">
    <w:nsid w:val="4C9B0904"/>
    <w:multiLevelType w:val="hybridMultilevel"/>
    <w:lvl w:ilvl="0">
      <w:lvlJc w:val="left"/>
      <w:lvlText w:val="(%1)"/>
      <w:numFmt w:val="lowerLetter"/>
      <w:start w:val="1"/>
    </w:lvl>
  </w:abstractNum>
  <w:abstractNum w:abstractNumId="116">
    <w:nsid w:val="6AA7B75C"/>
    <w:multiLevelType w:val="hybridMultilevel"/>
    <w:lvl w:ilvl="0">
      <w:lvlJc w:val="left"/>
      <w:lvlText w:val="(%1)"/>
      <w:numFmt w:val="decimal"/>
      <w:start w:val="10"/>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decimal"/>
      <w:start w:val="2"/>
    </w:lvl>
  </w:abstractNum>
  <w:abstractNum w:abstractNumId="119">
    <w:nsid w:val="3DD15094"/>
    <w:multiLevelType w:val="hybridMultilevel"/>
    <w:lvl w:ilvl="0">
      <w:lvlJc w:val="left"/>
      <w:lvlText w:val="%1."/>
      <w:numFmt w:val="decimal"/>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2019-12-10T00:11:35Z</dcterms:created>
  <dcterms:modified xsi:type="dcterms:W3CDTF">2019-12-10T00:11:35Z</dcterms:modified>
</cp:coreProperties>
</file>