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10, 2014, Federal Realty Investment Trust (the “Registrant”) entered into an underwriting agreement with Wells Fargo Securities, LLC, Deutsche Bank Securities Inc. and Merrill Lynch, Pierce, Fenner &amp; Smith Incorporated, as representatives of the several underwriters named in Schedule I to the related pricing agreement, whereby the Registrant agreed to issue and sell $250,000,000 aggregate principal amount of 4.50% Notes due 2044 (the “Notes”) in an underwritten public offering. The Notes will be governed by the Indenture, dated as of September 1, 1998, between the Registrant and U.S. Bank National Association (successor trustee to Wachovia Bank, National Association (successor trustee to First Union National Bank)). The offering closed on November 14, 2014.</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Notes will be senior unsecured obligations of the Registrant and will rank equally with all of the Registrant’s other senior unsecured indebtedness. The Notes will bear interest at 4.50% per annum, and interest will be payable on June 1 and December 1 of each year, beginning on June 1, 2015. The Notes will mature on December 1, 2044.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303"/>
        </w:trPr>
        <w:tc>
          <w:tcPr>
            <w:tcW w:w="72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w w:val="94"/>
              </w:rPr>
              <w:t>Underwriting Agreement, dated November 10, 2014, by and among the Registrant and Wells Fargo Securities, LLC, Deutsche Bank</w:t>
            </w:r>
          </w:p>
        </w:tc>
      </w:tr>
      <w:tr>
        <w:trPr>
          <w:trHeight w:val="216"/>
        </w:trPr>
        <w:tc>
          <w:tcPr>
            <w:tcW w:w="720" w:type="dxa"/>
            <w:vAlign w:val="bottom"/>
          </w:tcPr>
          <w:p>
            <w:pPr>
              <w:spacing w:after="0"/>
              <w:rPr>
                <w:sz w:val="18"/>
                <w:szCs w:val="18"/>
                <w:color w:val="auto"/>
              </w:rPr>
            </w:pP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w w:val="90"/>
              </w:rPr>
              <w:t>Securities Inc. and Merrill Lynch, Pierce, Fenner &amp; Smith Incorporated, as representatives of the underwriters named in Schedule I to the</w:t>
            </w:r>
          </w:p>
        </w:tc>
      </w:tr>
      <w:tr>
        <w:trPr>
          <w:trHeight w:val="230"/>
        </w:trPr>
        <w:tc>
          <w:tcPr>
            <w:tcW w:w="720" w:type="dxa"/>
            <w:vAlign w:val="bottom"/>
          </w:tcPr>
          <w:p>
            <w:pPr>
              <w:spacing w:after="0"/>
              <w:rPr>
                <w:sz w:val="20"/>
                <w:szCs w:val="20"/>
                <w:color w:val="auto"/>
              </w:rPr>
            </w:pP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rPr>
              <w:t>related pricing agreement</w:t>
            </w:r>
          </w:p>
        </w:tc>
      </w:tr>
      <w:tr>
        <w:trPr>
          <w:trHeight w:val="310"/>
        </w:trPr>
        <w:tc>
          <w:tcPr>
            <w:tcW w:w="72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w w:val="90"/>
              </w:rPr>
              <w:t>Pricing Agreement, dated November 10, 2014, by and among the Registrant and Wells Fargo Securities, LLC, Deutsche Bank Securities</w:t>
            </w:r>
          </w:p>
        </w:tc>
      </w:tr>
      <w:tr>
        <w:trPr>
          <w:trHeight w:val="230"/>
        </w:trPr>
        <w:tc>
          <w:tcPr>
            <w:tcW w:w="720" w:type="dxa"/>
            <w:vAlign w:val="bottom"/>
          </w:tcPr>
          <w:p>
            <w:pPr>
              <w:spacing w:after="0"/>
              <w:rPr>
                <w:sz w:val="20"/>
                <w:szCs w:val="20"/>
                <w:color w:val="auto"/>
              </w:rPr>
            </w:pP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rPr>
              <w:t>Inc. and Merrill Lynch, Pierce, Fenner &amp; Smith Incorporated, as representatives of the underwriters named therein</w:t>
            </w:r>
          </w:p>
        </w:tc>
      </w:tr>
      <w:tr>
        <w:trPr>
          <w:trHeight w:val="324"/>
        </w:trPr>
        <w:tc>
          <w:tcPr>
            <w:tcW w:w="72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rPr>
              <w:t>Form of 4.50% Note due 2044</w:t>
            </w:r>
          </w:p>
        </w:tc>
      </w:tr>
      <w:tr>
        <w:trPr>
          <w:trHeight w:val="324"/>
        </w:trPr>
        <w:tc>
          <w:tcPr>
            <w:tcW w:w="72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rPr>
              <w:t>Opinion of Pillsbury Winthrop Shaw Pittman LLP relating to legality of the securities being issued by the Registrant</w:t>
            </w:r>
          </w:p>
        </w:tc>
      </w:tr>
      <w:tr>
        <w:trPr>
          <w:trHeight w:val="324"/>
        </w:trPr>
        <w:tc>
          <w:tcPr>
            <w:tcW w:w="720" w:type="dxa"/>
            <w:vAlign w:val="bottom"/>
          </w:tcPr>
          <w:p>
            <w:pPr>
              <w:jc w:val="right"/>
              <w:ind w:right="152"/>
              <w:spacing w:after="0"/>
              <w:rPr>
                <w:sz w:val="20"/>
                <w:szCs w:val="20"/>
                <w:color w:val="auto"/>
              </w:rPr>
            </w:pPr>
            <w:r>
              <w:rPr>
                <w:rFonts w:ascii="Arial" w:cs="Arial" w:eastAsia="Arial" w:hAnsi="Arial"/>
                <w:sz w:val="18"/>
                <w:szCs w:val="18"/>
                <w:color w:val="auto"/>
              </w:rPr>
              <w:t>8.1</w:t>
            </w: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720" w:type="dxa"/>
            <w:vAlign w:val="bottom"/>
          </w:tcPr>
          <w:p>
            <w:pPr>
              <w:jc w:val="right"/>
              <w:ind w:right="152"/>
              <w:spacing w:after="0"/>
              <w:rPr>
                <w:sz w:val="20"/>
                <w:szCs w:val="20"/>
                <w:color w:val="auto"/>
              </w:rPr>
            </w:pPr>
            <w:r>
              <w:rPr>
                <w:rFonts w:ascii="Arial" w:cs="Arial" w:eastAsia="Arial" w:hAnsi="Arial"/>
                <w:sz w:val="18"/>
                <w:szCs w:val="18"/>
                <w:color w:val="auto"/>
              </w:rPr>
              <w:t>12.1</w:t>
            </w: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24"/>
        </w:trPr>
        <w:tc>
          <w:tcPr>
            <w:tcW w:w="720" w:type="dxa"/>
            <w:vAlign w:val="bottom"/>
          </w:tcPr>
          <w:p>
            <w:pPr>
              <w:jc w:val="right"/>
              <w:ind w:right="152"/>
              <w:spacing w:after="0"/>
              <w:rPr>
                <w:sz w:val="20"/>
                <w:szCs w:val="20"/>
                <w:color w:val="auto"/>
              </w:rPr>
            </w:pPr>
            <w:r>
              <w:rPr>
                <w:rFonts w:ascii="Arial" w:cs="Arial" w:eastAsia="Arial" w:hAnsi="Arial"/>
                <w:sz w:val="18"/>
                <w:szCs w:val="18"/>
                <w:color w:val="auto"/>
              </w:rPr>
              <w:t>23.1</w:t>
            </w:r>
          </w:p>
        </w:tc>
        <w:tc>
          <w:tcPr>
            <w:tcW w:w="10540" w:type="dxa"/>
            <w:vAlign w:val="bottom"/>
            <w:gridSpan w:val="3"/>
          </w:tcPr>
          <w:p>
            <w:pPr>
              <w:ind w:left="66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320"/>
          </w:cols>
          <w:pgMar w:left="240" w:top="2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14, 2014</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i w:val="1"/>
          <w:iCs w:val="1"/>
          <w:color w:val="auto"/>
        </w:rPr>
        <w:t>E</w:t>
      </w:r>
      <w:r>
        <w:rPr>
          <w:rFonts w:ascii="Arial" w:cs="Arial" w:eastAsia="Arial" w:hAnsi="Arial"/>
          <w:sz w:val="15"/>
          <w:szCs w:val="15"/>
          <w:b w:val="1"/>
          <w:bCs w:val="1"/>
          <w:i w:val="1"/>
          <w:iCs w:val="1"/>
          <w:color w:val="auto"/>
        </w:rPr>
        <w:t>XECUTION</w:t>
      </w:r>
      <w:r>
        <w:rPr>
          <w:rFonts w:ascii="Arial" w:cs="Arial" w:eastAsia="Arial" w:hAnsi="Arial"/>
          <w:sz w:val="18"/>
          <w:szCs w:val="18"/>
          <w:b w:val="1"/>
          <w:bCs w:val="1"/>
          <w:i w:val="1"/>
          <w:iCs w:val="1"/>
          <w:color w:val="auto"/>
        </w:rPr>
        <w:t xml:space="preserve"> V</w:t>
      </w:r>
      <w:r>
        <w:rPr>
          <w:rFonts w:ascii="Arial" w:cs="Arial" w:eastAsia="Arial" w:hAnsi="Arial"/>
          <w:sz w:val="15"/>
          <w:szCs w:val="15"/>
          <w:b w:val="1"/>
          <w:bCs w:val="1"/>
          <w:i w:val="1"/>
          <w:iCs w:val="1"/>
          <w:color w:val="auto"/>
        </w:rPr>
        <w:t>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firstLine="464"/>
        <w:spacing w:after="0" w:line="286"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71" w:lineRule="exact"/>
        <w:rPr>
          <w:rFonts w:ascii="Arial" w:cs="Arial" w:eastAsia="Arial" w:hAnsi="Arial"/>
          <w:sz w:val="16"/>
          <w:szCs w:val="16"/>
          <w:color w:val="auto"/>
        </w:rPr>
      </w:pPr>
    </w:p>
    <w:p>
      <w:pPr>
        <w:ind w:left="640" w:hanging="176"/>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represents and warrants to, and agrees with, each of the Underwriters as of the date hereof, the Applicable Time referred to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2(c) hereof and the Time of Delivery referred to in Section 4 hereof that:</w:t>
      </w:r>
    </w:p>
    <w:p>
      <w:pPr>
        <w:spacing w:after="0" w:line="103" w:lineRule="exact"/>
        <w:rPr>
          <w:sz w:val="20"/>
          <w:szCs w:val="20"/>
          <w:color w:val="auto"/>
        </w:rPr>
      </w:pPr>
    </w:p>
    <w:p>
      <w:pPr>
        <w:ind w:left="460" w:firstLine="443"/>
        <w:spacing w:after="0" w:line="285" w:lineRule="auto"/>
        <w:tabs>
          <w:tab w:leader="none" w:pos="1143"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333-181236),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w:t>
      </w:r>
    </w:p>
    <w:p>
      <w:pPr>
        <w:spacing w:after="0" w:line="2" w:lineRule="exact"/>
        <w:rPr>
          <w:rFonts w:ascii="Arial" w:cs="Arial" w:eastAsia="Arial" w:hAnsi="Arial"/>
          <w:sz w:val="16"/>
          <w:szCs w:val="16"/>
          <w:color w:val="auto"/>
        </w:rPr>
      </w:pPr>
    </w:p>
    <w:p>
      <w:pPr>
        <w:ind w:left="460" w:right="120" w:firstLine="4"/>
        <w:spacing w:after="0" w:line="255" w:lineRule="auto"/>
        <w:tabs>
          <w:tab w:leader="none" w:pos="7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70" w:lineRule="exact"/>
        <w:rPr>
          <w:sz w:val="20"/>
          <w:szCs w:val="20"/>
          <w:color w:val="auto"/>
        </w:rPr>
      </w:pPr>
    </w:p>
    <w:p>
      <w:pPr>
        <w:ind w:right="100" w:firstLine="438"/>
        <w:spacing w:after="0" w:line="271" w:lineRule="auto"/>
        <w:rPr>
          <w:sz w:val="20"/>
          <w:szCs w:val="20"/>
          <w:color w:val="auto"/>
        </w:rPr>
      </w:pPr>
      <w:r>
        <w:rPr>
          <w:rFonts w:ascii="Arial" w:cs="Arial" w:eastAsia="Arial" w:hAnsi="Arial"/>
          <w:sz w:val="17"/>
          <w:szCs w:val="17"/>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71" w:lineRule="exact"/>
        <w:rPr>
          <w:sz w:val="20"/>
          <w:szCs w:val="20"/>
          <w:color w:val="auto"/>
        </w:rPr>
      </w:pPr>
    </w:p>
    <w:p>
      <w:pPr>
        <w:ind w:right="120" w:firstLine="443"/>
        <w:spacing w:after="0" w:line="285" w:lineRule="auto"/>
        <w:tabs>
          <w:tab w:leader="none" w:pos="693" w:val="left"/>
        </w:tabs>
        <w:numPr>
          <w:ilvl w:val="1"/>
          <w:numId w:val="5"/>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w:t>
      </w:r>
    </w:p>
    <w:p>
      <w:pPr>
        <w:spacing w:after="0" w:line="2" w:lineRule="exact"/>
        <w:rPr>
          <w:rFonts w:ascii="Arial" w:cs="Arial" w:eastAsia="Arial" w:hAnsi="Arial"/>
          <w:sz w:val="16"/>
          <w:szCs w:val="16"/>
          <w:color w:val="auto"/>
        </w:rPr>
      </w:pPr>
    </w:p>
    <w:p>
      <w:pPr>
        <w:ind w:right="120" w:firstLine="4"/>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Act) of the Designated Securities, (E) at the date hereof and (F) at the date of each Pricing Agreement the Company was, is and will be a “well-known seasoned issuer” as defined in Rule 405 under the Act</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6" w:name="page7"/>
    <w:bookmarkEnd w:id="6"/>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63" w:lineRule="exact"/>
        <w:rPr>
          <w:sz w:val="20"/>
          <w:szCs w:val="20"/>
          <w:color w:val="auto"/>
        </w:rPr>
      </w:pPr>
    </w:p>
    <w:p>
      <w:pPr>
        <w:jc w:val="both"/>
        <w:ind w:right="100" w:firstLine="443"/>
        <w:spacing w:after="0" w:line="302" w:lineRule="auto"/>
        <w:tabs>
          <w:tab w:leader="none" w:pos="68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May 8, 2012,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46"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80" w:lineRule="exact"/>
        <w:rPr>
          <w:sz w:val="20"/>
          <w:szCs w:val="20"/>
          <w:color w:val="auto"/>
        </w:rPr>
      </w:pPr>
    </w:p>
    <w:p>
      <w:pPr>
        <w:ind w:firstLine="443"/>
        <w:spacing w:after="0" w:line="297" w:lineRule="auto"/>
        <w:tabs>
          <w:tab w:leader="none" w:pos="733"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50" w:lineRule="exact"/>
        <w:rPr>
          <w:sz w:val="20"/>
          <w:szCs w:val="20"/>
          <w:color w:val="auto"/>
        </w:rPr>
      </w:pPr>
    </w:p>
    <w:p>
      <w:pPr>
        <w:ind w:right="160"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was issued and at the Time of Delivery, complied and will comply, in all material respects with the requirements of the Act and neither the Prospectus nor any amendments or supplements thereto, at the time of the Prospectus or any such amendment or supplement was issued, or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7" w:name="page8"/>
    <w:bookmarkEnd w:id="7"/>
    <w:p>
      <w:pPr>
        <w:ind w:right="30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46" w:lineRule="exact"/>
        <w:rPr>
          <w:sz w:val="20"/>
          <w:szCs w:val="20"/>
          <w:color w:val="auto"/>
        </w:rPr>
      </w:pPr>
    </w:p>
    <w:p>
      <w:pPr>
        <w:ind w:right="20" w:firstLine="438"/>
        <w:spacing w:after="0" w:line="302"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117" w:lineRule="exact"/>
        <w:rPr>
          <w:sz w:val="20"/>
          <w:szCs w:val="20"/>
          <w:color w:val="auto"/>
        </w:rPr>
      </w:pPr>
    </w:p>
    <w:p>
      <w:pPr>
        <w:ind w:right="200" w:firstLine="438"/>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62" w:lineRule="exact"/>
        <w:rPr>
          <w:sz w:val="20"/>
          <w:szCs w:val="20"/>
          <w:color w:val="auto"/>
        </w:rPr>
      </w:pPr>
    </w:p>
    <w:p>
      <w:pPr>
        <w:ind w:right="140" w:firstLine="43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70" w:lineRule="exact"/>
        <w:rPr>
          <w:sz w:val="20"/>
          <w:szCs w:val="20"/>
          <w:color w:val="auto"/>
        </w:rPr>
      </w:pPr>
    </w:p>
    <w:p>
      <w:pPr>
        <w:ind w:right="140" w:firstLine="438"/>
        <w:spacing w:after="0" w:line="277" w:lineRule="auto"/>
        <w:rPr>
          <w:sz w:val="20"/>
          <w:szCs w:val="20"/>
          <w:color w:val="auto"/>
        </w:rPr>
      </w:pPr>
      <w:r>
        <w:rPr>
          <w:rFonts w:ascii="Arial" w:cs="Arial" w:eastAsia="Arial" w:hAnsi="Arial"/>
          <w:sz w:val="18"/>
          <w:szCs w:val="18"/>
          <w:color w:val="auto"/>
        </w:rPr>
        <w:t>“Statutory Prospectus” as of any time means the prospectus that is included in the Registration Statement immediately prior to that time and the preliminary prospectus supplement relating to a particular issuance of Designated</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set forth in the Pricing Agreement, including the documents incorporated by reference therein and any other preliminary or other prospectus deemed to be a part thereof.</w:t>
      </w:r>
    </w:p>
    <w:p>
      <w:pPr>
        <w:spacing w:after="0" w:line="62" w:lineRule="exact"/>
        <w:rPr>
          <w:sz w:val="20"/>
          <w:szCs w:val="20"/>
          <w:color w:val="auto"/>
        </w:rPr>
      </w:pPr>
    </w:p>
    <w:p>
      <w:pPr>
        <w:ind w:right="360" w:firstLine="443"/>
        <w:spacing w:after="0" w:line="312" w:lineRule="auto"/>
        <w:tabs>
          <w:tab w:leader="none" w:pos="69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right="160" w:firstLine="443"/>
        <w:spacing w:after="0" w:line="255" w:lineRule="auto"/>
        <w:tabs>
          <w:tab w:leader="none" w:pos="683"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81" w:lineRule="exact"/>
        <w:rPr>
          <w:rFonts w:ascii="Arial" w:cs="Arial" w:eastAsia="Arial" w:hAnsi="Arial"/>
          <w:sz w:val="18"/>
          <w:szCs w:val="18"/>
          <w:color w:val="auto"/>
        </w:rPr>
      </w:pPr>
    </w:p>
    <w:p>
      <w:pPr>
        <w:ind w:firstLine="443"/>
        <w:spacing w:after="0" w:line="268" w:lineRule="auto"/>
        <w:tabs>
          <w:tab w:leader="none" w:pos="66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S-X)(each, a “Subsidiary” and collectively, the “Subsidiaries”) has been duly organized and is validly existing as a corporation, partnership, limited liability company, trust or joint venture, as the case may be, in good standing under the laws of the jurisdiction of their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w:t>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 w:name="page10"/>
    <w:bookmarkEnd w:id="9"/>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50" w:lineRule="exact"/>
        <w:rPr>
          <w:sz w:val="20"/>
          <w:szCs w:val="20"/>
          <w:color w:val="auto"/>
        </w:rPr>
      </w:pPr>
    </w:p>
    <w:p>
      <w:pPr>
        <w:ind w:right="20" w:firstLine="443"/>
        <w:spacing w:after="0" w:line="284" w:lineRule="auto"/>
        <w:tabs>
          <w:tab w:leader="none" w:pos="693"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w:t>
      </w:r>
    </w:p>
    <w:p>
      <w:pPr>
        <w:spacing w:after="0" w:line="4" w:lineRule="exact"/>
        <w:rPr>
          <w:rFonts w:ascii="Arial" w:cs="Arial" w:eastAsia="Arial" w:hAnsi="Arial"/>
          <w:sz w:val="16"/>
          <w:szCs w:val="16"/>
          <w:color w:val="auto"/>
        </w:rPr>
      </w:pPr>
    </w:p>
    <w:p>
      <w:pPr>
        <w:ind w:firstLine="4"/>
        <w:spacing w:after="0" w:line="286" w:lineRule="auto"/>
        <w:tabs>
          <w:tab w:leader="none" w:pos="2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February 12, 2014 between the Company and Wells Fargo Securities, LLC and (b) the Equity Distribution Agreement dated February 12, 2014 between the Company and Merrill Lynch, Pierce, Fenner &amp; Smith Incorporated,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58" w:lineRule="exact"/>
        <w:rPr>
          <w:rFonts w:ascii="Arial" w:cs="Arial" w:eastAsia="Arial" w:hAnsi="Arial"/>
          <w:sz w:val="16"/>
          <w:szCs w:val="16"/>
          <w:color w:val="auto"/>
        </w:rPr>
      </w:pPr>
    </w:p>
    <w:p>
      <w:pPr>
        <w:ind w:right="200" w:firstLine="443"/>
        <w:spacing w:after="0" w:line="277" w:lineRule="auto"/>
        <w:tabs>
          <w:tab w:leader="none" w:pos="69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the latest financial statements, audited or unaudited, as applicable, included or incorporated by reference in the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 w:name="page11"/>
    <w:bookmarkEnd w:id="10"/>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the General Disclosure Package and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73" w:lineRule="exact"/>
        <w:rPr>
          <w:sz w:val="20"/>
          <w:szCs w:val="20"/>
          <w:color w:val="auto"/>
        </w:rPr>
      </w:pPr>
    </w:p>
    <w:p>
      <w:pPr>
        <w:ind w:right="20" w:firstLine="443"/>
        <w:spacing w:after="0" w:line="277" w:lineRule="auto"/>
        <w:tabs>
          <w:tab w:leader="none" w:pos="6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right="100" w:firstLine="443"/>
        <w:spacing w:after="0" w:line="270" w:lineRule="auto"/>
        <w:tabs>
          <w:tab w:leader="none" w:pos="6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Designated Securities have been duly and validly authorized,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73" w:lineRule="exact"/>
        <w:rPr>
          <w:rFonts w:ascii="Arial" w:cs="Arial" w:eastAsia="Arial" w:hAnsi="Arial"/>
          <w:sz w:val="17"/>
          <w:szCs w:val="17"/>
          <w:color w:val="auto"/>
        </w:rPr>
      </w:pPr>
    </w:p>
    <w:p>
      <w:pPr>
        <w:ind w:firstLine="443"/>
        <w:spacing w:after="0" w:line="253"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charter or by-laws or similar organizational documents; (ii) no subsidiary of the Company not referred to in clause (i)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1" w:name="page12"/>
    <w:bookmarkEnd w:id="11"/>
    <w:p>
      <w:pPr>
        <w:ind w:right="20" w:firstLine="443"/>
        <w:spacing w:after="0" w:line="268" w:lineRule="auto"/>
        <w:tabs>
          <w:tab w:leader="none" w:pos="653"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79" w:lineRule="exact"/>
        <w:rPr>
          <w:rFonts w:ascii="Arial" w:cs="Arial" w:eastAsia="Arial" w:hAnsi="Arial"/>
          <w:sz w:val="17"/>
          <w:szCs w:val="17"/>
          <w:color w:val="auto"/>
        </w:rPr>
      </w:pPr>
    </w:p>
    <w:p>
      <w:pPr>
        <w:ind w:firstLine="443"/>
        <w:spacing w:after="0" w:line="255" w:lineRule="auto"/>
        <w:tabs>
          <w:tab w:leader="none" w:pos="7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right="40" w:firstLine="443"/>
        <w:spacing w:after="0" w:line="272" w:lineRule="auto"/>
        <w:tabs>
          <w:tab w:leader="none" w:pos="6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ind w:right="20" w:firstLine="443"/>
        <w:spacing w:after="0" w:line="259"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firstLine="443"/>
        <w:spacing w:after="0" w:line="257"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80"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73" w:lineRule="exact"/>
        <w:rPr>
          <w:rFonts w:ascii="Arial" w:cs="Arial" w:eastAsia="Arial" w:hAnsi="Arial"/>
          <w:sz w:val="18"/>
          <w:szCs w:val="18"/>
          <w:color w:val="auto"/>
        </w:rPr>
      </w:pPr>
    </w:p>
    <w:p>
      <w:pPr>
        <w:ind w:right="260" w:firstLine="443"/>
        <w:spacing w:after="0" w:line="257" w:lineRule="auto"/>
        <w:tabs>
          <w:tab w:leader="none" w:pos="6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2013 and the consolidated statements of operations, consolidated statements of shareholders’ equity and consolidated statements of cash flows for the year ended December 31, 2013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80" w:lineRule="exact"/>
        <w:rPr>
          <w:rFonts w:ascii="Arial" w:cs="Arial" w:eastAsia="Arial" w:hAnsi="Arial"/>
          <w:sz w:val="18"/>
          <w:szCs w:val="18"/>
          <w:color w:val="auto"/>
        </w:rPr>
      </w:pPr>
    </w:p>
    <w:p>
      <w:pPr>
        <w:ind w:firstLine="443"/>
        <w:spacing w:after="0" w:line="276" w:lineRule="auto"/>
        <w:tabs>
          <w:tab w:leader="none" w:pos="67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7" w:lineRule="exact"/>
        <w:rPr>
          <w:sz w:val="20"/>
          <w:szCs w:val="20"/>
          <w:color w:val="auto"/>
        </w:rPr>
      </w:pPr>
    </w:p>
    <w:p>
      <w:pPr>
        <w:ind w:right="340" w:firstLine="443"/>
        <w:spacing w:after="0" w:line="308" w:lineRule="auto"/>
        <w:tabs>
          <w:tab w:leader="none" w:pos="6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38" w:lineRule="exact"/>
        <w:rPr>
          <w:rFonts w:ascii="Arial" w:cs="Arial" w:eastAsia="Arial" w:hAnsi="Arial"/>
          <w:sz w:val="17"/>
          <w:szCs w:val="17"/>
          <w:color w:val="auto"/>
        </w:rPr>
      </w:pPr>
    </w:p>
    <w:p>
      <w:pPr>
        <w:ind w:right="40" w:firstLine="443"/>
        <w:spacing w:after="0" w:line="291" w:lineRule="auto"/>
        <w:tabs>
          <w:tab w:leader="none" w:pos="69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of this Underwriting Agreement,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9" w:lineRule="exact"/>
        <w:rPr>
          <w:rFonts w:ascii="Arial" w:cs="Arial" w:eastAsia="Arial" w:hAnsi="Arial"/>
          <w:sz w:val="16"/>
          <w:szCs w:val="16"/>
          <w:color w:val="auto"/>
        </w:rPr>
      </w:pPr>
    </w:p>
    <w:p>
      <w:pPr>
        <w:ind w:right="140" w:firstLine="443"/>
        <w:spacing w:after="0" w:line="257"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14" w:name="page15"/>
    <w:bookmarkEnd w:id="14"/>
    <w:p>
      <w:pPr>
        <w:ind w:firstLine="443"/>
        <w:spacing w:after="0" w:line="293" w:lineRule="auto"/>
        <w:tabs>
          <w:tab w:leader="none" w:pos="733"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56" w:lineRule="exact"/>
        <w:rPr>
          <w:rFonts w:ascii="Arial" w:cs="Arial" w:eastAsia="Arial" w:hAnsi="Arial"/>
          <w:sz w:val="16"/>
          <w:szCs w:val="16"/>
          <w:color w:val="auto"/>
        </w:rPr>
      </w:pPr>
    </w:p>
    <w:p>
      <w:pPr>
        <w:ind w:right="60" w:firstLine="443"/>
        <w:spacing w:after="0" w:line="288" w:lineRule="auto"/>
        <w:tabs>
          <w:tab w:leader="none" w:pos="6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61" w:lineRule="exact"/>
        <w:rPr>
          <w:rFonts w:ascii="Arial" w:cs="Arial" w:eastAsia="Arial" w:hAnsi="Arial"/>
          <w:sz w:val="16"/>
          <w:szCs w:val="16"/>
          <w:color w:val="auto"/>
        </w:rPr>
      </w:pPr>
    </w:p>
    <w:p>
      <w:pPr>
        <w:ind w:left="700" w:hanging="257"/>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w:t>
      </w:r>
    </w:p>
    <w:p>
      <w:pPr>
        <w:spacing w:after="0" w:line="34" w:lineRule="exact"/>
        <w:rPr>
          <w:rFonts w:ascii="Arial" w:cs="Arial" w:eastAsia="Arial" w:hAnsi="Arial"/>
          <w:sz w:val="17"/>
          <w:szCs w:val="17"/>
          <w:color w:val="auto"/>
        </w:rPr>
      </w:pPr>
    </w:p>
    <w:p>
      <w:pPr>
        <w:ind w:right="20"/>
        <w:spacing w:after="0" w:line="253" w:lineRule="auto"/>
        <w:rPr>
          <w:rFonts w:ascii="Arial" w:cs="Arial" w:eastAsia="Arial" w:hAnsi="Arial"/>
          <w:sz w:val="17"/>
          <w:szCs w:val="17"/>
          <w:color w:val="auto"/>
        </w:rPr>
      </w:pPr>
      <w:r>
        <w:rPr>
          <w:rFonts w:ascii="Arial" w:cs="Arial" w:eastAsia="Arial" w:hAnsi="Arial"/>
          <w:sz w:val="18"/>
          <w:szCs w:val="18"/>
          <w:color w:val="auto"/>
        </w:rPr>
        <w:t>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83" w:lineRule="exact"/>
        <w:rPr>
          <w:rFonts w:ascii="Arial" w:cs="Arial" w:eastAsia="Arial" w:hAnsi="Arial"/>
          <w:sz w:val="17"/>
          <w:szCs w:val="17"/>
          <w:color w:val="auto"/>
        </w:rPr>
      </w:pPr>
    </w:p>
    <w:p>
      <w:pPr>
        <w:ind w:left="680" w:hanging="237"/>
        <w:spacing w:after="0"/>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trustee, officer, agent, employee or affiliate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5" w:name="page16"/>
    <w:bookmarkEnd w:id="15"/>
    <w:p>
      <w:pPr>
        <w:ind w:left="420"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178" w:lineRule="exact"/>
        <w:rPr>
          <w:sz w:val="20"/>
          <w:szCs w:val="20"/>
          <w:color w:val="auto"/>
        </w:rPr>
      </w:pPr>
    </w:p>
    <w:p>
      <w:pPr>
        <w:jc w:val="both"/>
        <w:ind w:left="-40" w:right="40" w:firstLine="464"/>
        <w:spacing w:after="0" w:line="264" w:lineRule="auto"/>
        <w:tabs>
          <w:tab w:leader="none" w:pos="5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1" w:lineRule="exact"/>
        <w:rPr>
          <w:rFonts w:ascii="Arial" w:cs="Arial" w:eastAsia="Arial" w:hAnsi="Arial"/>
          <w:sz w:val="18"/>
          <w:szCs w:val="18"/>
          <w:color w:val="auto"/>
        </w:rPr>
      </w:pPr>
    </w:p>
    <w:p>
      <w:pPr>
        <w:ind w:left="-40" w:firstLine="464"/>
        <w:spacing w:after="0" w:line="291" w:lineRule="auto"/>
        <w:tabs>
          <w:tab w:leader="none" w:pos="5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67" w:lineRule="exact"/>
        <w:rPr>
          <w:rFonts w:ascii="Arial" w:cs="Arial" w:eastAsia="Arial" w:hAnsi="Arial"/>
          <w:sz w:val="16"/>
          <w:szCs w:val="16"/>
          <w:color w:val="auto"/>
        </w:rPr>
      </w:pPr>
    </w:p>
    <w:p>
      <w:pPr>
        <w:ind w:left="600" w:hanging="176"/>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117" w:lineRule="exact"/>
        <w:rPr>
          <w:rFonts w:ascii="Arial" w:cs="Arial" w:eastAsia="Arial" w:hAnsi="Arial"/>
          <w:sz w:val="18"/>
          <w:szCs w:val="18"/>
          <w:color w:val="auto"/>
        </w:rPr>
      </w:pPr>
    </w:p>
    <w:p>
      <w:pPr>
        <w:ind w:left="420" w:right="20" w:firstLine="443"/>
        <w:spacing w:after="0" w:line="255" w:lineRule="auto"/>
        <w:tabs>
          <w:tab w:leader="none" w:pos="110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6" w:name="page17"/>
    <w:bookmarkEnd w:id="1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65" w:lineRule="exact"/>
        <w:rPr>
          <w:sz w:val="20"/>
          <w:szCs w:val="20"/>
          <w:color w:val="auto"/>
        </w:rPr>
      </w:pPr>
    </w:p>
    <w:p>
      <w:pPr>
        <w:ind w:firstLine="443"/>
        <w:spacing w:after="0" w:line="269" w:lineRule="auto"/>
        <w:tabs>
          <w:tab w:leader="none" w:pos="693" w:val="left"/>
        </w:tabs>
        <w:numPr>
          <w:ilvl w:val="0"/>
          <w:numId w:val="18"/>
        </w:numPr>
        <w:rPr>
          <w:rFonts w:ascii="Arial" w:cs="Arial" w:eastAsia="Arial" w:hAnsi="Arial"/>
          <w:sz w:val="17"/>
          <w:szCs w:val="17"/>
          <w:color w:val="auto"/>
        </w:rPr>
      </w:pPr>
      <w:r>
        <w:rPr>
          <w:rFonts w:ascii="Arial" w:cs="Arial" w:eastAsia="Arial" w:hAnsi="Arial"/>
          <w:sz w:val="17"/>
          <w:szCs w:val="17"/>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71" w:lineRule="exact"/>
        <w:rPr>
          <w:rFonts w:ascii="Arial" w:cs="Arial" w:eastAsia="Arial" w:hAnsi="Arial"/>
          <w:sz w:val="17"/>
          <w:szCs w:val="17"/>
          <w:color w:val="auto"/>
        </w:rPr>
      </w:pPr>
    </w:p>
    <w:p>
      <w:pPr>
        <w:ind w:left="680" w:hanging="237"/>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agrees</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700" w:top="274" w:right="299" w:bottom="1440" w:gutter="0" w:footer="0" w:header="0"/>
        </w:sectPr>
      </w:pPr>
    </w:p>
    <w:bookmarkStart w:id="17" w:name="page18"/>
    <w:bookmarkEnd w:id="17"/>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74" w:lineRule="exact"/>
        <w:rPr>
          <w:sz w:val="20"/>
          <w:szCs w:val="20"/>
          <w:color w:val="auto"/>
        </w:rPr>
      </w:pPr>
    </w:p>
    <w:p>
      <w:pPr>
        <w:ind w:right="80" w:firstLine="443"/>
        <w:spacing w:after="0" w:line="257" w:lineRule="auto"/>
        <w:tabs>
          <w:tab w:leader="none" w:pos="6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80" w:lineRule="exact"/>
        <w:rPr>
          <w:rFonts w:ascii="Arial" w:cs="Arial" w:eastAsia="Arial" w:hAnsi="Arial"/>
          <w:sz w:val="18"/>
          <w:szCs w:val="18"/>
          <w:color w:val="auto"/>
        </w:rPr>
      </w:pPr>
    </w:p>
    <w:p>
      <w:pPr>
        <w:ind w:firstLine="443"/>
        <w:spacing w:after="0" w:line="255" w:lineRule="auto"/>
        <w:tabs>
          <w:tab w:leader="none" w:pos="6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81" w:lineRule="exact"/>
        <w:rPr>
          <w:rFonts w:ascii="Arial" w:cs="Arial" w:eastAsia="Arial" w:hAnsi="Arial"/>
          <w:sz w:val="18"/>
          <w:szCs w:val="18"/>
          <w:color w:val="auto"/>
        </w:rPr>
      </w:pPr>
    </w:p>
    <w:p>
      <w:pPr>
        <w:ind w:right="220" w:firstLine="443"/>
        <w:spacing w:after="0" w:line="279" w:lineRule="auto"/>
        <w:tabs>
          <w:tab w:leader="none" w:pos="6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18" w:name="page19"/>
    <w:bookmarkEnd w:id="18"/>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70" w:lineRule="exact"/>
        <w:rPr>
          <w:sz w:val="20"/>
          <w:szCs w:val="20"/>
          <w:color w:val="auto"/>
        </w:rPr>
      </w:pPr>
    </w:p>
    <w:p>
      <w:pPr>
        <w:ind w:firstLine="443"/>
        <w:spacing w:after="0" w:line="285" w:lineRule="auto"/>
        <w:tabs>
          <w:tab w:leader="none" w:pos="6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9" w:name="page20"/>
    <w:bookmarkEnd w:id="19"/>
    <w:p>
      <w:pPr>
        <w:ind w:right="160" w:firstLine="443"/>
        <w:spacing w:after="0" w:line="264" w:lineRule="auto"/>
        <w:tabs>
          <w:tab w:leader="none" w:pos="693"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73" w:lineRule="exact"/>
        <w:rPr>
          <w:rFonts w:ascii="Arial" w:cs="Arial" w:eastAsia="Arial" w:hAnsi="Arial"/>
          <w:sz w:val="18"/>
          <w:szCs w:val="18"/>
          <w:color w:val="auto"/>
        </w:rPr>
      </w:pPr>
    </w:p>
    <w:p>
      <w:pPr>
        <w:ind w:firstLine="443"/>
        <w:spacing w:after="0" w:line="291" w:lineRule="auto"/>
        <w:tabs>
          <w:tab w:leader="none" w:pos="653"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100" w:firstLine="4"/>
        <w:spacing w:after="0" w:line="302"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47" w:lineRule="exact"/>
        <w:rPr>
          <w:rFonts w:ascii="Arial" w:cs="Arial" w:eastAsia="Arial" w:hAnsi="Arial"/>
          <w:sz w:val="16"/>
          <w:szCs w:val="16"/>
          <w:color w:val="auto"/>
        </w:rPr>
      </w:pPr>
    </w:p>
    <w:p>
      <w:pPr>
        <w:ind w:right="280" w:firstLine="443"/>
        <w:spacing w:after="0" w:line="277" w:lineRule="auto"/>
        <w:tabs>
          <w:tab w:leader="none" w:pos="6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62" w:lineRule="exact"/>
        <w:rPr>
          <w:rFonts w:ascii="Arial" w:cs="Arial" w:eastAsia="Arial" w:hAnsi="Arial"/>
          <w:sz w:val="18"/>
          <w:szCs w:val="18"/>
          <w:color w:val="auto"/>
        </w:rPr>
      </w:pPr>
    </w:p>
    <w:p>
      <w:pPr>
        <w:ind w:right="420" w:firstLine="443"/>
        <w:spacing w:after="0" w:line="277" w:lineRule="auto"/>
        <w:tabs>
          <w:tab w:leader="none" w:pos="6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62" w:lineRule="exact"/>
        <w:rPr>
          <w:rFonts w:ascii="Arial" w:cs="Arial" w:eastAsia="Arial" w:hAnsi="Arial"/>
          <w:sz w:val="18"/>
          <w:szCs w:val="18"/>
          <w:color w:val="auto"/>
        </w:rPr>
      </w:pPr>
    </w:p>
    <w:p>
      <w:pPr>
        <w:ind w:right="40" w:firstLine="443"/>
        <w:spacing w:after="0" w:line="288" w:lineRule="auto"/>
        <w:tabs>
          <w:tab w:leader="none" w:pos="653"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0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74" w:right="339" w:bottom="1440" w:gutter="0" w:footer="0" w:header="0"/>
        </w:sectPr>
      </w:pPr>
    </w:p>
    <w:bookmarkStart w:id="20" w:name="page21"/>
    <w:bookmarkEnd w:id="20"/>
    <w:p>
      <w:pPr>
        <w:ind w:left="-8" w:right="40" w:firstLine="464"/>
        <w:spacing w:after="0" w:line="284" w:lineRule="auto"/>
        <w:tabs>
          <w:tab w:leader="none" w:pos="628"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w:t>
      </w:r>
    </w:p>
    <w:p>
      <w:pPr>
        <w:spacing w:after="0" w:line="1" w:lineRule="exact"/>
        <w:rPr>
          <w:rFonts w:ascii="Arial" w:cs="Arial" w:eastAsia="Arial" w:hAnsi="Arial"/>
          <w:sz w:val="16"/>
          <w:szCs w:val="16"/>
          <w:color w:val="auto"/>
        </w:rPr>
      </w:pPr>
    </w:p>
    <w:p>
      <w:pPr>
        <w:ind w:left="-8" w:firstLine="8"/>
        <w:spacing w:after="0" w:line="251" w:lineRule="auto"/>
        <w:tabs>
          <w:tab w:leader="none" w:pos="2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98" w:lineRule="exact"/>
        <w:rPr>
          <w:rFonts w:ascii="Arial" w:cs="Arial" w:eastAsia="Arial" w:hAnsi="Arial"/>
          <w:sz w:val="18"/>
          <w:szCs w:val="18"/>
          <w:color w:val="auto"/>
        </w:rPr>
      </w:pPr>
    </w:p>
    <w:p>
      <w:pPr>
        <w:ind w:left="-8" w:right="100" w:firstLine="464"/>
        <w:spacing w:after="0" w:line="257" w:lineRule="auto"/>
        <w:tabs>
          <w:tab w:leader="none" w:pos="6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80" w:lineRule="exact"/>
        <w:rPr>
          <w:rFonts w:ascii="Arial" w:cs="Arial" w:eastAsia="Arial" w:hAnsi="Arial"/>
          <w:sz w:val="18"/>
          <w:szCs w:val="18"/>
          <w:color w:val="auto"/>
        </w:rPr>
      </w:pPr>
    </w:p>
    <w:p>
      <w:pPr>
        <w:ind w:left="452" w:firstLine="443"/>
        <w:spacing w:after="0" w:line="257" w:lineRule="auto"/>
        <w:tabs>
          <w:tab w:leader="none" w:pos="1135"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74" w:right="279" w:bottom="1440" w:gutter="0" w:footer="0" w:header="0"/>
        </w:sectPr>
      </w:pPr>
    </w:p>
    <w:bookmarkStart w:id="21" w:name="page22"/>
    <w:bookmarkEnd w:id="21"/>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80" w:lineRule="exact"/>
        <w:rPr>
          <w:sz w:val="20"/>
          <w:szCs w:val="20"/>
          <w:color w:val="auto"/>
        </w:rPr>
      </w:pPr>
    </w:p>
    <w:p>
      <w:pPr>
        <w:ind w:right="60" w:firstLine="443"/>
        <w:spacing w:after="0" w:line="276" w:lineRule="auto"/>
        <w:tabs>
          <w:tab w:leader="none" w:pos="693"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Sidley Austin </w:t>
      </w:r>
      <w:r>
        <w:rPr>
          <w:rFonts w:ascii="Arial" w:cs="Arial" w:eastAsia="Arial" w:hAnsi="Arial"/>
          <w:sz w:val="14"/>
          <w:szCs w:val="14"/>
          <w:color w:val="auto"/>
        </w:rPr>
        <w:t>LLP</w:t>
      </w:r>
      <w:r>
        <w:rPr>
          <w:rFonts w:ascii="Arial" w:cs="Arial" w:eastAsia="Arial" w:hAnsi="Arial"/>
          <w:sz w:val="17"/>
          <w:szCs w:val="17"/>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7"/>
          <w:szCs w:val="17"/>
          <w:color w:val="auto"/>
        </w:rPr>
        <w:t xml:space="preserve"> may rely, as to all matters arising under or governed by the laws of the State of Maryland, on the opinion of Pillsbury Winthrop Shaw Pittman LLP);</w:t>
      </w:r>
    </w:p>
    <w:p>
      <w:pPr>
        <w:spacing w:after="0" w:line="64" w:lineRule="exact"/>
        <w:rPr>
          <w:rFonts w:ascii="Arial" w:cs="Arial" w:eastAsia="Arial" w:hAnsi="Arial"/>
          <w:sz w:val="17"/>
          <w:szCs w:val="17"/>
          <w:color w:val="auto"/>
        </w:rPr>
      </w:pPr>
    </w:p>
    <w:p>
      <w:pPr>
        <w:ind w:firstLine="443"/>
        <w:spacing w:after="0" w:line="312" w:lineRule="auto"/>
        <w:tabs>
          <w:tab w:leader="none" w:pos="683" w:val="left"/>
        </w:tabs>
        <w:numPr>
          <w:ilvl w:val="0"/>
          <w:numId w:val="25"/>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38" w:lineRule="exact"/>
        <w:rPr>
          <w:rFonts w:ascii="Arial" w:cs="Arial" w:eastAsia="Arial" w:hAnsi="Arial"/>
          <w:sz w:val="16"/>
          <w:szCs w:val="16"/>
          <w:color w:val="auto"/>
        </w:rPr>
      </w:pPr>
    </w:p>
    <w:p>
      <w:pPr>
        <w:jc w:val="both"/>
        <w:ind w:right="500" w:firstLine="443"/>
        <w:spacing w:after="0" w:line="264" w:lineRule="auto"/>
        <w:tabs>
          <w:tab w:leader="none" w:pos="6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73" w:lineRule="exact"/>
        <w:rPr>
          <w:rFonts w:ascii="Arial" w:cs="Arial" w:eastAsia="Arial" w:hAnsi="Arial"/>
          <w:sz w:val="18"/>
          <w:szCs w:val="18"/>
          <w:color w:val="auto"/>
        </w:rPr>
      </w:pPr>
    </w:p>
    <w:p>
      <w:pPr>
        <w:jc w:val="both"/>
        <w:ind w:right="240" w:firstLine="443"/>
        <w:spacing w:after="0" w:line="312" w:lineRule="auto"/>
        <w:tabs>
          <w:tab w:leader="none" w:pos="683"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the Time of Delivery for such Designated Securities, the Designated Securities shall be rated at least A3 by Moody’s Investor’s Service Inc. and A-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38" w:lineRule="exact"/>
        <w:rPr>
          <w:rFonts w:ascii="Arial" w:cs="Arial" w:eastAsia="Arial" w:hAnsi="Arial"/>
          <w:sz w:val="16"/>
          <w:szCs w:val="16"/>
          <w:color w:val="auto"/>
        </w:rPr>
      </w:pPr>
    </w:p>
    <w:p>
      <w:pPr>
        <w:ind w:right="220" w:firstLine="443"/>
        <w:spacing w:after="0" w:line="302" w:lineRule="auto"/>
        <w:tabs>
          <w:tab w:leader="none" w:pos="663"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Neither the Company nor any of its subsidiaries, considered as one enterprise, since the date of the last audited financial statements included or incorporated by reference in the Registration Statement,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 w:name="page23"/>
    <w:bookmarkEnd w:id="2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w:t>
      </w:r>
    </w:p>
    <w:p>
      <w:pPr>
        <w:ind w:firstLine="4"/>
        <w:spacing w:after="0" w:line="267" w:lineRule="auto"/>
        <w:tabs>
          <w:tab w:leader="none" w:pos="2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February 12, 2014 between the Company and Wells Fargo Securities, LLC and (b) the Equity Distribution Agreement dated February 12, 2014 between the Company and Merrill Lynch, Pierce, Fenner &amp; Smith Incorporated,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74" w:lineRule="exact"/>
        <w:rPr>
          <w:rFonts w:ascii="Arial" w:cs="Arial" w:eastAsia="Arial" w:hAnsi="Arial"/>
          <w:sz w:val="17"/>
          <w:szCs w:val="17"/>
          <w:color w:val="auto"/>
        </w:rPr>
      </w:pPr>
    </w:p>
    <w:p>
      <w:pPr>
        <w:ind w:right="60" w:firstLine="443"/>
        <w:spacing w:after="0" w:line="279" w:lineRule="auto"/>
        <w:tabs>
          <w:tab w:leader="none" w:pos="693" w:val="left"/>
        </w:tabs>
        <w:numPr>
          <w:ilvl w:val="1"/>
          <w:numId w:val="26"/>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63" w:lineRule="exact"/>
        <w:rPr>
          <w:rFonts w:ascii="Arial" w:cs="Arial" w:eastAsia="Arial" w:hAnsi="Arial"/>
          <w:sz w:val="17"/>
          <w:szCs w:val="17"/>
          <w:color w:val="auto"/>
        </w:rPr>
      </w:pPr>
    </w:p>
    <w:p>
      <w:pPr>
        <w:ind w:right="260" w:firstLine="443"/>
        <w:spacing w:after="0" w:line="257" w:lineRule="auto"/>
        <w:tabs>
          <w:tab w:leader="none" w:pos="6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74" w:right="299" w:bottom="1440" w:gutter="0" w:footer="0" w:header="0"/>
        </w:sectPr>
      </w:pPr>
    </w:p>
    <w:bookmarkStart w:id="23" w:name="page24"/>
    <w:bookmarkEnd w:id="23"/>
    <w:p>
      <w:pPr>
        <w:jc w:val="both"/>
        <w:ind w:left="440"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57" w:lineRule="exact"/>
        <w:rPr>
          <w:sz w:val="20"/>
          <w:szCs w:val="20"/>
          <w:color w:val="auto"/>
        </w:rPr>
      </w:pPr>
    </w:p>
    <w:p>
      <w:pPr>
        <w:ind w:left="440" w:right="320" w:firstLine="443"/>
        <w:spacing w:after="0" w:line="277" w:lineRule="auto"/>
        <w:tabs>
          <w:tab w:leader="none" w:pos="10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62" w:lineRule="exact"/>
        <w:rPr>
          <w:rFonts w:ascii="Arial" w:cs="Arial" w:eastAsia="Arial" w:hAnsi="Arial"/>
          <w:sz w:val="18"/>
          <w:szCs w:val="18"/>
          <w:color w:val="auto"/>
        </w:rPr>
      </w:pPr>
    </w:p>
    <w:p>
      <w:pPr>
        <w:ind w:left="440" w:firstLine="443"/>
        <w:spacing w:after="0" w:line="257" w:lineRule="auto"/>
        <w:tabs>
          <w:tab w:leader="none" w:pos="10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80" w:lineRule="exact"/>
        <w:rPr>
          <w:rFonts w:ascii="Arial" w:cs="Arial" w:eastAsia="Arial" w:hAnsi="Arial"/>
          <w:sz w:val="18"/>
          <w:szCs w:val="18"/>
          <w:color w:val="auto"/>
        </w:rPr>
      </w:pPr>
    </w:p>
    <w:p>
      <w:pPr>
        <w:ind w:left="-20" w:right="20" w:firstLine="464"/>
        <w:spacing w:after="0" w:line="268"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4" w:name="page25"/>
    <w:bookmarkEnd w:id="24"/>
    <w:p>
      <w:pPr>
        <w:ind w:left="-20" w:firstLine="464"/>
        <w:spacing w:after="0" w:line="286" w:lineRule="auto"/>
        <w:tabs>
          <w:tab w:leader="none" w:pos="691"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74" w:lineRule="exact"/>
        <w:rPr>
          <w:rFonts w:ascii="Arial" w:cs="Arial" w:eastAsia="Arial" w:hAnsi="Arial"/>
          <w:sz w:val="16"/>
          <w:szCs w:val="16"/>
          <w:color w:val="auto"/>
        </w:rPr>
      </w:pPr>
    </w:p>
    <w:p>
      <w:pPr>
        <w:ind w:left="-20" w:right="40" w:firstLine="464"/>
        <w:spacing w:after="0" w:line="268" w:lineRule="auto"/>
        <w:tabs>
          <w:tab w:leader="none" w:pos="681"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74" w:right="239" w:bottom="1440" w:gutter="0" w:footer="0" w:header="0"/>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0" w:lineRule="exact"/>
        <w:rPr>
          <w:sz w:val="20"/>
          <w:szCs w:val="20"/>
          <w:color w:val="auto"/>
        </w:rPr>
      </w:pPr>
    </w:p>
    <w:p>
      <w:pPr>
        <w:ind w:left="720" w:hanging="256"/>
        <w:spacing w:after="0"/>
        <w:tabs>
          <w:tab w:leader="none" w:pos="7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46" w:lineRule="exact"/>
        <w:rPr>
          <w:rFonts w:ascii="Arial" w:cs="Arial" w:eastAsia="Arial" w:hAnsi="Arial"/>
          <w:sz w:val="16"/>
          <w:szCs w:val="16"/>
          <w:color w:val="auto"/>
        </w:rPr>
      </w:pPr>
    </w:p>
    <w:p>
      <w:pPr>
        <w:ind w:firstLine="8"/>
        <w:spacing w:after="0" w:line="283"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obligations of the Underwriters of Designated Securities in this subsection (d) to contribute are several in proportion to their respective underwriting obligations with respect to such Securities and not joint.</w:t>
      </w:r>
    </w:p>
    <w:p>
      <w:pPr>
        <w:spacing w:after="0" w:line="170" w:lineRule="exact"/>
        <w:rPr>
          <w:sz w:val="20"/>
          <w:szCs w:val="20"/>
          <w:color w:val="auto"/>
        </w:rPr>
      </w:pPr>
    </w:p>
    <w:p>
      <w:pPr>
        <w:ind w:right="80" w:firstLine="464"/>
        <w:spacing w:after="0" w:line="257"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88" w:lineRule="exact"/>
        <w:rPr>
          <w:sz w:val="20"/>
          <w:szCs w:val="20"/>
          <w:color w:val="auto"/>
        </w:rPr>
      </w:pPr>
    </w:p>
    <w:p>
      <w:pPr>
        <w:ind w:right="20" w:firstLine="464"/>
        <w:spacing w:after="0" w:line="287" w:lineRule="auto"/>
        <w:tabs>
          <w:tab w:leader="none" w:pos="6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69" w:lineRule="exact"/>
        <w:rPr>
          <w:sz w:val="20"/>
          <w:szCs w:val="20"/>
          <w:color w:val="auto"/>
        </w:rPr>
      </w:pPr>
    </w:p>
    <w:p>
      <w:pPr>
        <w:ind w:firstLine="464"/>
        <w:spacing w:after="0" w:line="255"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Designated Securities of such defaulting Underwriter or Underwriters for which such arrangements have not been made; but nothing herein shall relieve a defaulting Underwriter from liability for its default.</w:t>
      </w:r>
    </w:p>
    <w:p>
      <w:pPr>
        <w:spacing w:after="0" w:line="170" w:lineRule="exact"/>
        <w:rPr>
          <w:sz w:val="20"/>
          <w:szCs w:val="20"/>
          <w:color w:val="auto"/>
        </w:rPr>
      </w:pPr>
    </w:p>
    <w:p>
      <w:pPr>
        <w:ind w:right="160" w:firstLine="464"/>
        <w:spacing w:after="0" w:line="288" w:lineRule="auto"/>
        <w:tabs>
          <w:tab w:leader="none" w:pos="701"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w:t>
      </w:r>
    </w:p>
    <w:p>
      <w:pPr>
        <w:jc w:val="both"/>
        <w:ind w:right="120" w:firstLine="8"/>
        <w:spacing w:after="0" w:line="271"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79" w:lineRule="exact"/>
        <w:rPr>
          <w:sz w:val="20"/>
          <w:szCs w:val="20"/>
          <w:color w:val="auto"/>
        </w:rPr>
      </w:pPr>
    </w:p>
    <w:p>
      <w:pPr>
        <w:ind w:right="40" w:firstLine="464"/>
        <w:spacing w:after="0" w:line="302" w:lineRule="auto"/>
        <w:tabs>
          <w:tab w:leader="none" w:pos="7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54" w:lineRule="exact"/>
        <w:rPr>
          <w:rFonts w:ascii="Arial" w:cs="Arial" w:eastAsia="Arial" w:hAnsi="Arial"/>
          <w:sz w:val="16"/>
          <w:szCs w:val="16"/>
          <w:color w:val="auto"/>
        </w:rPr>
      </w:pPr>
    </w:p>
    <w:p>
      <w:pPr>
        <w:ind w:firstLine="464"/>
        <w:spacing w:after="0" w:line="255"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89" w:lineRule="exact"/>
        <w:rPr>
          <w:rFonts w:ascii="Arial" w:cs="Arial" w:eastAsia="Arial" w:hAnsi="Arial"/>
          <w:sz w:val="18"/>
          <w:szCs w:val="18"/>
          <w:color w:val="auto"/>
        </w:rPr>
      </w:pPr>
    </w:p>
    <w:p>
      <w:pPr>
        <w:ind w:right="20" w:firstLine="464"/>
        <w:spacing w:after="0" w:line="286" w:lineRule="auto"/>
        <w:tabs>
          <w:tab w:leader="none" w:pos="72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8" w:name="page29"/>
    <w:bookmarkEnd w:id="28"/>
    <w:p>
      <w:pPr>
        <w:ind w:right="8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78" w:lineRule="exact"/>
        <w:rPr>
          <w:sz w:val="20"/>
          <w:szCs w:val="20"/>
          <w:color w:val="auto"/>
        </w:rPr>
      </w:pPr>
    </w:p>
    <w:p>
      <w:pPr>
        <w:ind w:right="140" w:firstLine="464"/>
        <w:spacing w:after="0" w:line="277" w:lineRule="auto"/>
        <w:tabs>
          <w:tab w:leader="none" w:pos="7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464"/>
        <w:spacing w:after="0" w:line="276" w:lineRule="auto"/>
        <w:tabs>
          <w:tab w:leader="none" w:pos="7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72" w:lineRule="exact"/>
        <w:rPr>
          <w:rFonts w:ascii="Arial" w:cs="Arial" w:eastAsia="Arial" w:hAnsi="Arial"/>
          <w:sz w:val="17"/>
          <w:szCs w:val="17"/>
          <w:color w:val="auto"/>
        </w:rPr>
      </w:pPr>
    </w:p>
    <w:p>
      <w:pPr>
        <w:ind w:right="500" w:firstLine="464"/>
        <w:spacing w:after="0" w:line="277" w:lineRule="auto"/>
        <w:tabs>
          <w:tab w:leader="none" w:pos="7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210" w:lineRule="exact"/>
        <w:rPr>
          <w:rFonts w:ascii="Arial" w:cs="Arial" w:eastAsia="Arial" w:hAnsi="Arial"/>
          <w:sz w:val="16"/>
          <w:szCs w:val="16"/>
          <w:color w:val="auto"/>
        </w:rPr>
      </w:pPr>
    </w:p>
    <w:p>
      <w:pPr>
        <w:ind w:right="120" w:firstLine="464"/>
        <w:spacing w:after="0" w:line="342" w:lineRule="auto"/>
        <w:tabs>
          <w:tab w:leader="none" w:pos="7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James M. Taylor, Jr.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9759"/>
          </w:cols>
          <w:pgMar w:left="70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w:t>
      </w:r>
      <w:r>
        <w:rPr>
          <w:rFonts w:ascii="Arial" w:cs="Arial" w:eastAsia="Arial" w:hAnsi="Arial"/>
          <w:sz w:val="15"/>
          <w:szCs w:val="15"/>
          <w:color w:val="auto"/>
        </w:rPr>
        <w:t>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Jared Birnbaum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Jared Birbaum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Debt Capital Markets Coverage - Corporates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Scott Flieger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Scott Flieger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Shawn D. Cepeda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Shawn D. Cepeda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ectPr>
          <w:pgSz w:w="11900" w:h="16838" w:orient="portrait"/>
          <w:cols w:equalWidth="0" w:num="1">
            <w:col w:w="10219"/>
          </w:cols>
          <w:pgMar w:left="240" w:top="27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November 10, 2014 (the “Underwriting Agreement”), between the Company on the one hand and Wells Fargo Securities, LLC, Deutsche Bank Securities Inc. and Merrill Lynch, Pierce, Fenner &amp; Smith Incorporated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0" w:right="239" w:bottom="1440" w:gutter="0" w:footer="0" w:header="0"/>
        </w:sectPr>
      </w:pPr>
    </w:p>
    <w:bookmarkStart w:id="32" w:name="page33"/>
    <w:bookmarkEnd w:id="32"/>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280"/>
          </w:cols>
          <w:pgMar w:left="240" w:top="274" w:right="379" w:bottom="1440" w:gutter="0" w:footer="0" w:header="0"/>
        </w:sectPr>
      </w:pPr>
    </w:p>
    <w:bookmarkStart w:id="33" w:name="page34"/>
    <w:bookmarkEnd w:id="3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0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3120" w:type="dxa"/>
            <w:vAlign w:val="bottom"/>
            <w:gridSpan w:val="2"/>
            <w:vMerge w:val="continue"/>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02"/>
        </w:trPr>
        <w:tc>
          <w:tcPr>
            <w:tcW w:w="4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Incorporated</w:t>
            </w:r>
          </w:p>
        </w:tc>
        <w:tc>
          <w:tcPr>
            <w:tcW w:w="6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Regions Securities LLC</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Capital One Securities, Inc.</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23"/>
        </w:trPr>
        <w:tc>
          <w:tcPr>
            <w:tcW w:w="4000" w:type="dxa"/>
            <w:vAlign w:val="bottom"/>
            <w:gridSpan w:val="3"/>
          </w:tcPr>
          <w:p>
            <w:pPr>
              <w:spacing w:after="0"/>
              <w:rPr>
                <w:sz w:val="20"/>
                <w:szCs w:val="20"/>
                <w:color w:val="auto"/>
              </w:rPr>
            </w:pPr>
            <w:r>
              <w:rPr>
                <w:rFonts w:ascii="Arial" w:cs="Arial" w:eastAsia="Arial" w:hAnsi="Arial"/>
                <w:sz w:val="18"/>
                <w:szCs w:val="18"/>
                <w:color w:val="auto"/>
              </w:rPr>
              <w:t>TD Securities (USA) LLC</w:t>
            </w: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6300" w:type="dxa"/>
            <w:vAlign w:val="bottom"/>
            <w:gridSpan w:val="2"/>
            <w:shd w:val="clear" w:color="auto" w:fill="CCEEFF"/>
          </w:tcPr>
          <w:p>
            <w:pPr>
              <w:ind w:left="60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1420"/>
          </w:cols>
          <w:pgMar w:left="240" w:top="274" w:right="239" w:bottom="1440" w:gutter="0" w:footer="0" w:header="0"/>
        </w:sectPr>
      </w:pPr>
    </w:p>
    <w:bookmarkStart w:id="36" w:name="page37"/>
    <w:bookmarkEnd w:id="36"/>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Notes due 2044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98.86% of the principal amount of the Designated Securities, plus accrued interest from November 14,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97.985%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2044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beginning on June 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040"/>
          </w:cols>
          <w:pgMar w:left="240" w:top="274" w:right="6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3:45 p.m. (Eastern time) on November 10, 2014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14,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797-4561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Rockefeller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NY1-050-12-01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High Grade Transaction Management / Legal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855-5958</w:t>
      </w:r>
    </w:p>
    <w:p>
      <w:pPr>
        <w:spacing w:after="0" w:line="14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219"/>
          </w:cols>
          <w:pgMar w:left="240" w:top="27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1826"/>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56" w:lineRule="exact"/>
        <w:rPr>
          <w:sz w:val="20"/>
          <w:szCs w:val="20"/>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Final Term Sheet, attached hereto as Schedule I to this Exhibit B</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0966"/>
          </w:cols>
          <w:pgMar w:left="694" w:top="270" w:right="239" w:bottom="1440" w:gutter="0" w:footer="0" w:header="0"/>
        </w:sectPr>
      </w:pPr>
    </w:p>
    <w:bookmarkStart w:id="39" w:name="page40"/>
    <w:bookmarkEnd w:id="39"/>
    <w:p>
      <w:pPr>
        <w:ind w:left="96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Exhibit B</w:t>
      </w:r>
    </w:p>
    <w:p>
      <w:pPr>
        <w:spacing w:after="0" w:line="252" w:lineRule="exact"/>
        <w:rPr>
          <w:sz w:val="20"/>
          <w:szCs w:val="20"/>
          <w:color w:val="auto"/>
        </w:rPr>
      </w:pPr>
    </w:p>
    <w:p>
      <w:pPr>
        <w:ind w:left="9500"/>
        <w:spacing w:after="0"/>
        <w:rPr>
          <w:sz w:val="20"/>
          <w:szCs w:val="20"/>
          <w:color w:val="auto"/>
        </w:rPr>
      </w:pPr>
      <w:r>
        <w:rPr>
          <w:rFonts w:ascii="Arial" w:cs="Arial" w:eastAsia="Arial" w:hAnsi="Arial"/>
          <w:sz w:val="16"/>
          <w:szCs w:val="16"/>
          <w:color w:val="auto"/>
        </w:rPr>
        <w:t>Filed Pursuant to Rule 433</w:t>
      </w:r>
    </w:p>
    <w:p>
      <w:pPr>
        <w:spacing w:after="0" w:line="46" w:lineRule="exact"/>
        <w:rPr>
          <w:sz w:val="20"/>
          <w:szCs w:val="20"/>
          <w:color w:val="auto"/>
        </w:rPr>
      </w:pPr>
    </w:p>
    <w:p>
      <w:pPr>
        <w:ind w:left="9520"/>
        <w:spacing w:after="0"/>
        <w:rPr>
          <w:sz w:val="20"/>
          <w:szCs w:val="20"/>
          <w:color w:val="auto"/>
        </w:rPr>
      </w:pPr>
      <w:r>
        <w:rPr>
          <w:rFonts w:ascii="Arial" w:cs="Arial" w:eastAsia="Arial" w:hAnsi="Arial"/>
          <w:sz w:val="16"/>
          <w:szCs w:val="16"/>
          <w:color w:val="auto"/>
        </w:rPr>
        <w:t>Dated November 10, 2014</w:t>
      </w:r>
    </w:p>
    <w:p>
      <w:pPr>
        <w:spacing w:after="0" w:line="32"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Registration Statement No. 333-181236</w:t>
      </w:r>
    </w:p>
    <w:p>
      <w:pPr>
        <w:spacing w:after="0" w:line="32" w:lineRule="exact"/>
        <w:rPr>
          <w:sz w:val="20"/>
          <w:szCs w:val="20"/>
          <w:color w:val="auto"/>
        </w:rPr>
      </w:pPr>
    </w:p>
    <w:p>
      <w:pPr>
        <w:ind w:left="10620"/>
        <w:spacing w:after="0"/>
        <w:rPr>
          <w:sz w:val="20"/>
          <w:szCs w:val="20"/>
          <w:color w:val="auto"/>
        </w:rPr>
      </w:pPr>
      <w:r>
        <w:rPr>
          <w:rFonts w:ascii="Arial" w:cs="Arial" w:eastAsia="Arial" w:hAnsi="Arial"/>
          <w:sz w:val="16"/>
          <w:szCs w:val="16"/>
          <w:color w:val="auto"/>
        </w:rPr>
        <w:t>Relating to</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Preliminary Prospectus Supplement Dated November 10, 2014 to</w:t>
      </w:r>
    </w:p>
    <w:p>
      <w:pPr>
        <w:spacing w:after="0" w:line="32" w:lineRule="exact"/>
        <w:rPr>
          <w:sz w:val="20"/>
          <w:szCs w:val="20"/>
          <w:color w:val="auto"/>
        </w:rPr>
      </w:pPr>
    </w:p>
    <w:p>
      <w:pPr>
        <w:ind w:left="9240"/>
        <w:spacing w:after="0"/>
        <w:rPr>
          <w:sz w:val="20"/>
          <w:szCs w:val="20"/>
          <w:color w:val="auto"/>
        </w:rPr>
      </w:pPr>
      <w:r>
        <w:rPr>
          <w:rFonts w:ascii="Arial" w:cs="Arial" w:eastAsia="Arial" w:hAnsi="Arial"/>
          <w:sz w:val="16"/>
          <w:szCs w:val="16"/>
          <w:color w:val="auto"/>
        </w:rPr>
        <w:t>Prospectus dated May 8, 2012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 Notes due 2044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Term sheet dated November 10, 2014</w:t>
      </w:r>
    </w:p>
    <w:p>
      <w:pPr>
        <w:sectPr>
          <w:pgSz w:w="11900" w:h="16838" w:orient="portrait"/>
          <w:cols w:equalWidth="0" w:num="1">
            <w:col w:w="11420"/>
          </w:cols>
          <w:pgMar w:left="240" w:top="270" w:right="23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4.50% Notes due 2044</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Expected Ratings*:</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7"/>
          <w:szCs w:val="17"/>
          <w:color w:val="auto"/>
        </w:rPr>
        <w:t>[RESERVED]</w:t>
      </w:r>
    </w:p>
    <w:p>
      <w:pPr>
        <w:spacing w:after="0" w:line="35"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(Moody’s / S&amp;P / Fitch)</w:t>
      </w:r>
    </w:p>
    <w:p>
      <w:pPr>
        <w:sectPr>
          <w:pgSz w:w="11900" w:h="16838" w:orient="portrait"/>
          <w:cols w:equalWidth="0" w:num="1">
            <w:col w:w="11420"/>
          </w:cols>
          <w:pgMar w:left="240" w:top="270" w:right="2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$250,000,000</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10, 2014</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14, 2014 (T+3)</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December 1, 2044</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 and December 1, beginning on June 1, 2015</w:t>
      </w:r>
    </w:p>
    <w:p>
      <w:pPr>
        <w:spacing w:after="0" w:line="151"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3.375% due May 15, 2044</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105-16 / 3.09%</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jc w:val="center"/>
        <w:ind w:right="4100"/>
        <w:spacing w:after="0"/>
        <w:rPr>
          <w:sz w:val="20"/>
          <w:szCs w:val="20"/>
          <w:color w:val="auto"/>
        </w:rPr>
      </w:pPr>
      <w:r>
        <w:rPr>
          <w:rFonts w:ascii="Arial" w:cs="Arial" w:eastAsia="Arial" w:hAnsi="Arial"/>
          <w:sz w:val="16"/>
          <w:szCs w:val="16"/>
          <w:color w:val="auto"/>
        </w:rPr>
        <w:t>+148 basis points</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jc w:val="center"/>
        <w:ind w:right="4900"/>
        <w:spacing w:after="0"/>
        <w:rPr>
          <w:sz w:val="20"/>
          <w:szCs w:val="20"/>
          <w:color w:val="auto"/>
        </w:rPr>
      </w:pPr>
      <w:r>
        <w:rPr>
          <w:rFonts w:ascii="Arial" w:cs="Arial" w:eastAsia="Arial" w:hAnsi="Arial"/>
          <w:sz w:val="16"/>
          <w:szCs w:val="16"/>
          <w:color w:val="auto"/>
        </w:rPr>
        <w:t>4.57%</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color w:val="auto"/>
        </w:rPr>
        <w:t>4.50% per year</w:t>
      </w:r>
    </w:p>
    <w:p>
      <w:pPr>
        <w:spacing w:after="0" w:line="14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98.86% of principal amount, plus accrued interest, if any, from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14, 2014</w:t>
      </w:r>
    </w:p>
    <w:p>
      <w:pPr>
        <w:spacing w:after="0" w:line="103"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6"/>
          <w:szCs w:val="16"/>
          <w:color w:val="auto"/>
        </w:rPr>
        <w:t>At any time before June 1, 2044, make-whole call based on U.S. Treasury plus 25 basis points (0.25%); if redeemed on or after June 1, 2044, at</w:t>
      </w:r>
    </w:p>
    <w:p>
      <w:pPr>
        <w:sectPr>
          <w:pgSz w:w="11900" w:h="16838" w:orient="portrait"/>
          <w:cols w:equalWidth="0" w:num="2">
            <w:col w:w="5340" w:space="720"/>
            <w:col w:w="5360"/>
          </w:cols>
          <w:pgMar w:left="240" w:top="270" w:right="239" w:bottom="1440" w:gutter="0" w:footer="0" w:header="0"/>
          <w:type w:val="continuous"/>
        </w:sectPr>
      </w:pPr>
    </w:p>
    <w:bookmarkStart w:id="40" w:name="page41"/>
    <w:bookmarkEnd w:id="40"/>
    <w:p>
      <w:pPr>
        <w:ind w:left="60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100% of the principal amount of the notes being</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redeemed, in each case plus accrued and unpaid</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interest thereon to, but excluding,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redemption date</w:t>
      </w:r>
    </w:p>
    <w:p>
      <w:pPr>
        <w:sectPr>
          <w:pgSz w:w="11900" w:h="16838" w:orient="portrait"/>
          <w:cols w:equalWidth="0" w:num="1">
            <w:col w:w="11380"/>
          </w:cols>
          <w:pgMar w:left="240" w:top="274" w:right="27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313747 AV9 / US 313747AV99</w:t>
      </w:r>
    </w:p>
    <w:p>
      <w:pPr>
        <w:spacing w:after="0" w:line="140"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116"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Regions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5340" w:space="720"/>
            <w:col w:w="5320"/>
          </w:cols>
          <w:pgMar w:left="240" w:top="274" w:right="27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7"/>
          <w:szCs w:val="17"/>
          <w:color w:val="auto"/>
        </w:rPr>
        <w:t>A</w:t>
      </w:r>
      <w:r>
        <w:rPr>
          <w:rFonts w:ascii="Arial" w:cs="Arial" w:eastAsia="Arial" w:hAnsi="Arial"/>
          <w:sz w:val="17"/>
          <w:szCs w:val="17"/>
          <w:b w:val="1"/>
          <w:bCs w:val="1"/>
          <w:color w:val="auto"/>
        </w:rPr>
        <w:t>lternatively, the issuer, any underwriter or any dealer participating in the offering will arrange to send you the prospectus supplement and prospectus if you request it from (i) Wells Fargo Securities, LLC toll free at 1-800-645-3751, (ii) Deutsche Bank Securities Inc. toll free at 1-800-503-4611, or (iii) Merrill Lynch, Pierce, Fenner &amp; Smith Incorporated toll free at 1-800-294-1322.</w:t>
      </w:r>
    </w:p>
    <w:p>
      <w:pPr>
        <w:spacing w:after="0" w:line="172"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ectPr>
          <w:pgSz w:w="11900" w:h="16838" w:orient="portrait"/>
          <w:cols w:equalWidth="0" w:num="1">
            <w:col w:w="11380"/>
          </w:cols>
          <w:pgMar w:left="240" w:top="274" w:right="27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10,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November 10, 2014 (the “Underwriting Agreement”), between the Company on the one hand and Wells Fargo Securities, LLC, Deutsche Bank Securities Inc. and Merrill Lynch, Pierce, Fenner &amp; Smith Incorporated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2" w:name="page43"/>
    <w:bookmarkEnd w:id="42"/>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4" w:right="419" w:bottom="1440" w:gutter="0" w:footer="0" w:header="0"/>
        </w:sectPr>
      </w:pPr>
    </w:p>
    <w:bookmarkStart w:id="43" w:name="page44"/>
    <w:bookmarkEnd w:id="4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M. Taylor,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and Treasurer</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220"/>
          </w:cols>
          <w:pgMar w:left="240" w:top="274"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Jared Birnbaum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Jared Birbaum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Debt Capital Markets Coverage - Corporates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Scott Flieger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Scott Flieger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Shawn D. Cepeda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Shawn D. Cepeda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0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3120" w:type="dxa"/>
            <w:vAlign w:val="bottom"/>
            <w:gridSpan w:val="2"/>
            <w:vMerge w:val="continue"/>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02"/>
        </w:trPr>
        <w:tc>
          <w:tcPr>
            <w:tcW w:w="4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Incorporated</w:t>
            </w:r>
          </w:p>
        </w:tc>
        <w:tc>
          <w:tcPr>
            <w:tcW w:w="6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Regions Securities LLC</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Capital One Securities, Inc.</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23"/>
        </w:trPr>
        <w:tc>
          <w:tcPr>
            <w:tcW w:w="4000" w:type="dxa"/>
            <w:vAlign w:val="bottom"/>
            <w:gridSpan w:val="3"/>
          </w:tcPr>
          <w:p>
            <w:pPr>
              <w:spacing w:after="0"/>
              <w:rPr>
                <w:sz w:val="20"/>
                <w:szCs w:val="20"/>
                <w:color w:val="auto"/>
              </w:rPr>
            </w:pPr>
            <w:r>
              <w:rPr>
                <w:rFonts w:ascii="Arial" w:cs="Arial" w:eastAsia="Arial" w:hAnsi="Arial"/>
                <w:sz w:val="18"/>
                <w:szCs w:val="18"/>
                <w:color w:val="auto"/>
              </w:rPr>
              <w:t>TD Securities (USA) LLC</w:t>
            </w: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6300" w:type="dxa"/>
            <w:vAlign w:val="bottom"/>
            <w:gridSpan w:val="2"/>
            <w:shd w:val="clear" w:color="auto" w:fill="CCEEFF"/>
          </w:tcPr>
          <w:p>
            <w:pPr>
              <w:ind w:left="60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w:t>
      </w:r>
    </w:p>
    <w:p>
      <w:pPr>
        <w:sectPr>
          <w:pgSz w:w="11900" w:h="16838" w:orient="portrait"/>
          <w:cols w:equalWidth="0" w:num="1">
            <w:col w:w="11420"/>
          </w:cols>
          <w:pgMar w:left="240" w:top="274" w:right="239" w:bottom="1440" w:gutter="0" w:footer="0" w:header="0"/>
        </w:sectPr>
      </w:pPr>
    </w:p>
    <w:bookmarkStart w:id="46" w:name="page47"/>
    <w:bookmarkEnd w:id="46"/>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Notes due 2044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98.86% of the principal amount of the Designated Securities, plus accrued interest from November 14,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97.985%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2044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beginning on June 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w:t>
      </w:r>
    </w:p>
    <w:p>
      <w:pPr>
        <w:sectPr>
          <w:pgSz w:w="11900" w:h="16838" w:orient="portrait"/>
          <w:cols w:equalWidth="0" w:num="1">
            <w:col w:w="11040"/>
          </w:cols>
          <w:pgMar w:left="240" w:top="274" w:right="6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3:45 p.m. (Eastern time) on November 10, 2014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14,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797-4561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Rockefeller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NY1-050-12-01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High Grade Transaction Management / Legal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855-5958</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 II - 2</w:t>
      </w:r>
    </w:p>
    <w:p>
      <w:pPr>
        <w:sectPr>
          <w:pgSz w:w="11900" w:h="16838" w:orient="portrait"/>
          <w:cols w:equalWidth="0" w:num="1">
            <w:col w:w="10219"/>
          </w:cols>
          <w:pgMar w:left="240" w:top="270"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 Note due 2044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CUSIP No. 313747 AV9</w:t>
            </w:r>
          </w:p>
        </w:tc>
        <w:tc>
          <w:tcPr>
            <w:tcW w:w="5320" w:type="dxa"/>
            <w:vAlign w:val="bottom"/>
          </w:tcPr>
          <w:p>
            <w:pPr>
              <w:jc w:val="right"/>
              <w:spacing w:after="0"/>
              <w:rPr>
                <w:sz w:val="20"/>
                <w:szCs w:val="20"/>
                <w:color w:val="auto"/>
              </w:rPr>
            </w:pPr>
            <w:r>
              <w:rPr>
                <w:rFonts w:ascii="Arial" w:cs="Arial" w:eastAsia="Arial" w:hAnsi="Arial"/>
                <w:sz w:val="18"/>
                <w:szCs w:val="18"/>
                <w:color w:val="auto"/>
              </w:rPr>
              <w:t>$250,000,000</w:t>
            </w:r>
          </w:p>
        </w:tc>
      </w:tr>
    </w:tbl>
    <w:p>
      <w:pPr>
        <w:spacing w:after="0" w:line="21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6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Two Hundred Fifty Million Dollars ($250,000,000) on December 1, 2044 (the “Stated Maturity Date”) or the date fixed for earlier redemption (the “Redemption Date,” and together with the Stated Maturity Date with respect to principal repayable on such date, the “Maturity Date”), and to pay interest on the outstanding principal amount thereof from November 14, 2014 or from the most recent interest payment date to which interest has been paid or duly provided for, semi-annually on June 1 and December 1 in each year (each, an “Interest Payment Date”), commencing June 1, 2015, at the rate of 4.50%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May 15 or November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ectPr>
          <w:pgSz w:w="11900" w:h="16838" w:orient="portrait"/>
          <w:cols w:equalWidth="0" w:num="1">
            <w:col w:w="11420"/>
          </w:cols>
          <w:pgMar w:left="240" w:top="125" w:right="23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8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November 14, 2014,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 funds.</w:t>
      </w:r>
    </w:p>
    <w:p>
      <w:pPr>
        <w:spacing w:after="0" w:line="23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0" w:name="page51"/>
    <w:bookmarkEnd w:id="5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M. Taylor,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080"/>
          </w:cols>
          <w:pgMar w:left="240" w:top="274" w:right="57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4.50% Note due 2044</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“4.50% Notes due 2044” (collectively, the “Notes”), and the aggregate principal amount of the Notes to be issued under such series is initially limited to $250,000,000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8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460" w:right="440" w:firstLine="443"/>
        <w:spacing w:after="0" w:line="277" w:lineRule="auto"/>
        <w:tabs>
          <w:tab w:leader="none" w:pos="11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pacing w:after="0" w:line="117" w:lineRule="exact"/>
        <w:rPr>
          <w:rFonts w:ascii="Arial" w:cs="Arial" w:eastAsia="Arial" w:hAnsi="Arial"/>
          <w:sz w:val="18"/>
          <w:szCs w:val="18"/>
          <w:color w:val="auto"/>
        </w:rPr>
      </w:pPr>
    </w:p>
    <w:p>
      <w:pPr>
        <w:ind w:left="460" w:right="640" w:firstLine="443"/>
        <w:spacing w:after="0" w:line="277" w:lineRule="auto"/>
        <w:tabs>
          <w:tab w:leader="none" w:pos="11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the performance, or a breach, of any covenant or agreement by the Company under the Indenture (other than a covenant or agreement a default in whose</w:t>
      </w:r>
    </w:p>
    <w:p>
      <w:pPr>
        <w:sectPr>
          <w:pgSz w:w="11900" w:h="16838" w:orient="portrait"/>
          <w:cols w:equalWidth="0" w:num="1">
            <w:col w:w="11360"/>
          </w:cols>
          <w:pgMar w:left="240" w:top="274" w:right="299" w:bottom="1440" w:gutter="0" w:footer="0" w:header="0"/>
        </w:sectPr>
      </w:pPr>
    </w:p>
    <w:bookmarkStart w:id="52" w:name="page53"/>
    <w:bookmarkEnd w:id="5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79" w:lineRule="exact"/>
        <w:rPr>
          <w:sz w:val="20"/>
          <w:szCs w:val="20"/>
          <w:color w:val="auto"/>
        </w:rPr>
      </w:pPr>
    </w:p>
    <w:p>
      <w:pPr>
        <w:ind w:firstLine="443"/>
        <w:spacing w:after="0" w:line="290" w:lineRule="auto"/>
        <w:tabs>
          <w:tab w:leader="none" w:pos="693"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58" w:lineRule="exact"/>
        <w:rPr>
          <w:rFonts w:ascii="Arial" w:cs="Arial" w:eastAsia="Arial" w:hAnsi="Arial"/>
          <w:sz w:val="16"/>
          <w:szCs w:val="16"/>
          <w:color w:val="auto"/>
        </w:rPr>
      </w:pPr>
    </w:p>
    <w:p>
      <w:pPr>
        <w:ind w:left="700" w:hanging="25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ind w:left="1040" w:right="320" w:hanging="8"/>
        <w:spacing w:after="0" w:line="277" w:lineRule="auto"/>
        <w:tabs>
          <w:tab w:leader="none" w:pos="1285" w:val="left"/>
        </w:tabs>
        <w:numPr>
          <w:ilvl w:val="1"/>
          <w:numId w:val="41"/>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53" w:name="page54"/>
    <w:bookmarkEnd w:id="53"/>
    <w:p>
      <w:pPr>
        <w:ind w:right="3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June 1, 2044,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(twenty-five one-hundredths of one percent) plus, in each case, accrued interest thereon to, but excluding, the Redemption Date or (y) if the Notes are redeemed on or after June 1, 2044,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ind w:left="460" w:right="60" w:firstLine="4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7" w:lineRule="exact"/>
        <w:rPr>
          <w:sz w:val="20"/>
          <w:szCs w:val="20"/>
          <w:color w:val="auto"/>
        </w:rPr>
      </w:pPr>
    </w:p>
    <w:p>
      <w:pPr>
        <w:ind w:left="460" w:right="220" w:firstLine="438"/>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17" w:lineRule="exact"/>
        <w:rPr>
          <w:sz w:val="20"/>
          <w:szCs w:val="20"/>
          <w:color w:val="auto"/>
        </w:rPr>
      </w:pPr>
    </w:p>
    <w:p>
      <w:pPr>
        <w:ind w:left="460" w:firstLine="43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(1) a Primary Treasury Dealer (as defined below) selected by Wells Fargo Securities, LLC, Merrill Lynch, Pierce, Fenner &amp; Smith Incorporated and Deutsche Bank Securities Inc.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of the Reference Treasury Dealers ceases to be a primary U.S. Government securities dealer (a “Primary Treasury Dealer”), the Company will substitute therefor another Primary Treasury Dealer, and (2) any two other Primary Treasury Dealers selected by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4" w:name="page55"/>
    <w:bookmarkEnd w:id="54"/>
    <w:p>
      <w:pPr>
        <w:ind w:left="460" w:right="2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20 nor more than 60 days prior to the Redemption Date, all as provided in the Indenture.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6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5" w:name="page56"/>
    <w:bookmarkEnd w:id="55"/>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66"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8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56" w:name="page57"/>
    <w:bookmarkEnd w:id="56"/>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3" w:lineRule="exact"/>
        <w:rPr>
          <w:sz w:val="20"/>
          <w:szCs w:val="20"/>
          <w:color w:val="auto"/>
        </w:rPr>
      </w:pPr>
    </w:p>
    <w:p>
      <w:pPr>
        <w:ind w:left="460" w:right="4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3"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60" w:right="1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 (iii) above, that any such items (other than letters of credit) would appear as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7" w:name="page58"/>
    <w:bookmarkEnd w:id="5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81" w:lineRule="exact"/>
        <w:rPr>
          <w:sz w:val="20"/>
          <w:szCs w:val="20"/>
          <w:color w:val="auto"/>
        </w:rPr>
      </w:pPr>
    </w:p>
    <w:p>
      <w:pPr>
        <w:ind w:right="28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jc w:val="both"/>
        <w:ind w:right="140" w:firstLine="4"/>
        <w:spacing w:after="0" w:line="255"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right="3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right="16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6" w:lineRule="exact"/>
        <w:rPr>
          <w:sz w:val="20"/>
          <w:szCs w:val="20"/>
          <w:color w:val="auto"/>
        </w:rPr>
      </w:pPr>
    </w:p>
    <w:p>
      <w:pPr>
        <w:ind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3" w:lineRule="exact"/>
        <w:rPr>
          <w:sz w:val="20"/>
          <w:szCs w:val="20"/>
          <w:color w:val="auto"/>
        </w:rPr>
      </w:pPr>
    </w:p>
    <w:p>
      <w:pPr>
        <w:ind w:firstLine="43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Unencumbered Total Asset Value</w:t>
      </w:r>
      <w:r>
        <w:rPr>
          <w:rFonts w:ascii="Arial" w:cs="Arial" w:eastAsia="Arial" w:hAnsi="Arial"/>
          <w:sz w:val="17"/>
          <w:szCs w:val="17"/>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58" w:name="page59"/>
    <w:bookmarkEnd w:id="58"/>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58"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24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59" w:name="page60"/>
    <w:bookmarkEnd w:id="59"/>
    <w:p>
      <w:pPr>
        <w:jc w:val="center"/>
        <w:ind w:right="-159"/>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Washington, DC 20037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$250,000,000 aggregate principal amount of 4.50% Notes due 2044 (the “Notes”) of the Company, pursuant to the Underwriting Agreement and related Pricing Agreement, each dated November 10, 2014,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 dated November 14, 2014 setting forth the terms of the Notes, the “Indenture”).</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reviewed (a) the Agreement, (b) the Indenture, (c) the Registration Statement on Form S-3 (File No. 333-181236) (the “Registration Statement”) filed by the Company to register the offer and sale of the Notes with the Securities and Exchange Commission (the “Commission”) under the Securities Act of 1933 (the “Securities Act”), (d) the Prospectus dated May 8, 2012, as supplemented by the Prospectus Supplement dated November 10, 2014,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w:t>
      </w:r>
    </w:p>
    <w:p>
      <w:pPr>
        <w:sectPr>
          <w:pgSz w:w="11900" w:h="16838" w:orient="portrait"/>
          <w:cols w:equalWidth="0" w:num="1">
            <w:col w:w="11260"/>
          </w:cols>
          <w:pgMar w:left="240" w:top="125" w:right="399" w:bottom="1440" w:gutter="0" w:footer="0" w:header="0"/>
        </w:sectPr>
      </w:pPr>
    </w:p>
    <w:bookmarkStart w:id="60" w:name="page61"/>
    <w:bookmarkEnd w:id="60"/>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the law of the States of New York and Maryland, in each case as in effect on the date hereof.</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filed by the Company with the Commission on the date hereof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November 10, 2014 (the “Prospectus Supplement”) to a prospectus (the “Base Prospectus”) filed as part of a registration statement on Form S-3 (File No. 333-181236,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5" w:right="239" w:bottom="1440" w:gutter="0" w:footer="0" w:header="0"/>
        </w:sectPr>
      </w:pPr>
    </w:p>
    <w:bookmarkStart w:id="62" w:name="page63"/>
    <w:bookmarkEnd w:id="62"/>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2014;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(2014) taxable year and for future taxable years, and (iii) the discussions in (x) the Prospectus under the caption “Material Federal Income Tax Considerations,” (y) the Prospectus Supplement under the caption “Additional Material Federal Income Tax Considerations,” and (z) the Company’s Annual Report on Form 10-K for the year ended December 31, 2013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6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400"/>
          </w:cols>
          <w:pgMar w:left="240" w:top="274" w:right="259" w:bottom="1440" w:gutter="0" w:footer="0" w:header="0"/>
        </w:sectPr>
      </w:pPr>
    </w:p>
    <w:bookmarkStart w:id="63" w:name="page64"/>
    <w:bookmarkEnd w:id="63"/>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assurance can be given as to whether, for any given taxable year, the actual ownership of the Company’s stock and its actual operating results and distributions satisfy the tests necessary to achieve and maintain its status as a REIT.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64" w:name="page65"/>
    <w:bookmarkEnd w:id="64"/>
    <w:p>
      <w:pPr>
        <w:ind w:left="10480"/>
        <w:spacing w:after="0"/>
        <w:rPr>
          <w:sz w:val="20"/>
          <w:szCs w:val="20"/>
          <w:color w:val="auto"/>
        </w:rPr>
      </w:pPr>
      <w:r>
        <w:rPr>
          <w:rFonts w:ascii="Arial" w:cs="Arial" w:eastAsia="Arial" w:hAnsi="Arial"/>
          <w:sz w:val="16"/>
          <w:szCs w:val="16"/>
          <w:b w:val="1"/>
          <w:bCs w:val="1"/>
          <w:color w:val="auto"/>
        </w:rPr>
        <w:t>Exhibit 12.1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right="476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September 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8"/>
          </w:tcPr>
          <w:p>
            <w:pPr>
              <w:jc w:val="right"/>
              <w:ind w:right="860"/>
              <w:spacing w:after="0"/>
              <w:rPr>
                <w:sz w:val="20"/>
                <w:szCs w:val="20"/>
                <w:color w:val="auto"/>
              </w:rPr>
            </w:pPr>
            <w:r>
              <w:rPr>
                <w:rFonts w:ascii="Arial" w:cs="Arial" w:eastAsia="Arial" w:hAnsi="Arial"/>
                <w:sz w:val="14"/>
                <w:szCs w:val="14"/>
                <w:color w:val="auto"/>
              </w:rPr>
              <w:t>Year Ended December 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2014</w:t>
            </w:r>
          </w:p>
        </w:tc>
        <w:tc>
          <w:tcPr>
            <w:tcW w:w="180" w:type="dxa"/>
            <w:vAlign w:val="bottom"/>
          </w:tcPr>
          <w:p>
            <w:pPr>
              <w:spacing w:after="0"/>
              <w:rPr>
                <w:sz w:val="12"/>
                <w:szCs w:val="12"/>
                <w:color w:val="auto"/>
              </w:rPr>
            </w:pPr>
          </w:p>
        </w:tc>
        <w:tc>
          <w:tcPr>
            <w:tcW w:w="80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2011</w:t>
            </w:r>
          </w:p>
        </w:tc>
        <w:tc>
          <w:tcPr>
            <w:tcW w:w="180" w:type="dxa"/>
            <w:vAlign w:val="bottom"/>
          </w:tcPr>
          <w:p>
            <w:pPr>
              <w:spacing w:after="0"/>
              <w:rPr>
                <w:sz w:val="12"/>
                <w:szCs w:val="12"/>
                <w:color w:val="auto"/>
              </w:rPr>
            </w:pPr>
          </w:p>
        </w:tc>
        <w:tc>
          <w:tcPr>
            <w:tcW w:w="80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2010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340"/>
              <w:spacing w:after="0" w:line="201" w:lineRule="exact"/>
              <w:rPr>
                <w:sz w:val="20"/>
                <w:szCs w:val="20"/>
                <w:color w:val="auto"/>
              </w:rPr>
            </w:pPr>
            <w:r>
              <w:rPr>
                <w:rFonts w:ascii="Arial" w:cs="Arial" w:eastAsia="Arial" w:hAnsi="Arial"/>
                <w:sz w:val="18"/>
                <w:szCs w:val="18"/>
                <w:color w:val="auto"/>
                <w:w w:val="95"/>
              </w:rPr>
              <w:t>Income from continuing operations before income or loss from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520"/>
              <w:spacing w:after="0"/>
              <w:rPr>
                <w:sz w:val="20"/>
                <w:szCs w:val="20"/>
                <w:color w:val="auto"/>
              </w:rPr>
            </w:pPr>
            <w:r>
              <w:rPr>
                <w:rFonts w:ascii="Arial" w:cs="Arial" w:eastAsia="Arial" w:hAnsi="Arial"/>
                <w:sz w:val="18"/>
                <w:szCs w:val="18"/>
                <w:color w:val="auto"/>
              </w:rPr>
              <w:t>equity investees</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128,957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$134,986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$139,380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126,715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$122,436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Distributed income of equity investees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2,034</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3,287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Fixed charges (excluding capitalized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70,260</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118,920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114,066</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98,851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105,700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112,906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Noncontrolling interests in income of subsidiaries with no fixed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(3,442)</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(3,995)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(3,519)</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earnings (A)</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253,198</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253,540</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225,664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227,253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69,772</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$ 118,281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$ 113,336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98,169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$104,683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16,181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10,105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Portion of rents representing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488</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639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86,228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135,101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124,171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106,948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7"/>
              </w:rPr>
              <w:t>$ 111,985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340"/>
              <w:spacing w:after="0"/>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fixed charges and preferred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(C)</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86,634</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135,642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124,712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107,489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112,526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118,996</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(A divided by B)</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Ratio of earning to combined fixed charges and preferred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(A divided by C)</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lowerLetter"/>
      <w:start w:val="1"/>
    </w:lvl>
    <w:lvl w:ilvl="1">
      <w:lvlJc w:val="left"/>
      <w:lvlText w:val="(%2)"/>
      <w:numFmt w:val="lowerLetter"/>
      <w:start w:val="1"/>
    </w:lvl>
  </w:abstractNum>
  <w:abstractNum w:abstractNumId="3">
    <w:nsid w:val="6763845E"/>
    <w:multiLevelType w:val="hybridMultilevel"/>
    <w:lvl w:ilvl="0">
      <w:lvlJc w:val="left"/>
      <w:lvlText w:val="(%1)"/>
      <w:numFmt w:val="lowerLetter"/>
      <w:start w:val="2"/>
    </w:lvl>
    <w:lvl w:ilvl="1">
      <w:lvlJc w:val="left"/>
      <w:lvlText w:val="%2"/>
      <w:numFmt w:val="lowerLetter"/>
      <w:start w:val="1"/>
    </w:lvl>
  </w:abstractNum>
  <w:abstractNum w:abstractNumId="4">
    <w:nsid w:val="75A2A8D4"/>
    <w:multiLevelType w:val="hybridMultilevel"/>
    <w:lvl w:ilvl="0">
      <w:lvlJc w:val="left"/>
      <w:lvlText w:val="%1"/>
      <w:numFmt w:val="decimal"/>
      <w:start w:val="1"/>
    </w:lvl>
    <w:lvl w:ilvl="1">
      <w:lvlJc w:val="left"/>
      <w:lvlText w:val="(%2)"/>
      <w:numFmt w:val="lowerLetter"/>
      <w:start w:val="2"/>
    </w:lvl>
  </w:abstractNum>
  <w:abstractNum w:abstractNumId="5">
    <w:nsid w:val="8EDBDAB"/>
    <w:multiLevelType w:val="hybridMultilevel"/>
    <w:lvl w:ilvl="0">
      <w:lvlJc w:val="left"/>
      <w:lvlText w:val="(%1)"/>
      <w:numFmt w:val="decimal"/>
      <w:start w:val="2"/>
    </w:lvl>
    <w:lvl w:ilvl="1">
      <w:lvlJc w:val="left"/>
      <w:lvlText w:val="%2"/>
      <w:numFmt w:val="lowerLetter"/>
      <w:start w:val="1"/>
    </w:lvl>
  </w:abstractNum>
  <w:abstractNum w:abstractNumId="6">
    <w:nsid w:val="79838CB2"/>
    <w:multiLevelType w:val="hybridMultilevel"/>
    <w:lvl w:ilvl="0">
      <w:lvlJc w:val="left"/>
      <w:lvlText w:val="(%1)"/>
      <w:numFmt w:val="lowerLetter"/>
      <w:start w:val="3"/>
    </w:lvl>
  </w:abstractNum>
  <w:abstractNum w:abstractNumId="7">
    <w:nsid w:val="4353D0CD"/>
    <w:multiLevelType w:val="hybridMultilevel"/>
    <w:lvl w:ilvl="0">
      <w:lvlJc w:val="left"/>
      <w:lvlText w:val="(%1)"/>
      <w:numFmt w:val="upperLetter"/>
      <w:start w:val="1"/>
    </w:lvl>
  </w:abstractNum>
  <w:abstractNum w:abstractNumId="8">
    <w:nsid w:val="B03E0C6"/>
    <w:multiLevelType w:val="hybridMultilevel"/>
    <w:lvl w:ilvl="0">
      <w:lvlJc w:val="left"/>
      <w:lvlText w:val="(%1)"/>
      <w:numFmt w:val="lowerLetter"/>
      <w:start w:val="4"/>
    </w:lvl>
  </w:abstractNum>
  <w:abstractNum w:abstractNumId="9">
    <w:nsid w:val="189A769B"/>
    <w:multiLevelType w:val="hybridMultilevel"/>
    <w:lvl w:ilvl="0">
      <w:lvlJc w:val="left"/>
      <w:lvlText w:val="%1"/>
      <w:numFmt w:val="lowerLetter"/>
      <w:start w:val="1"/>
    </w:lvl>
    <w:lvl w:ilvl="1">
      <w:lvlJc w:val="left"/>
      <w:lvlText w:val="(%2)"/>
      <w:numFmt w:val="lowerLetter"/>
      <w:start w:val="7"/>
    </w:lvl>
  </w:abstractNum>
  <w:abstractNum w:abstractNumId="10">
    <w:nsid w:val="54E49EB4"/>
    <w:multiLevelType w:val="hybridMultilevel"/>
    <w:lvl w:ilvl="0">
      <w:lvlJc w:val="left"/>
      <w:lvlText w:val="(%1)"/>
      <w:numFmt w:val="lowerLetter"/>
      <w:start w:val="9"/>
    </w:lvl>
    <w:lvl w:ilvl="1">
      <w:lvlJc w:val="left"/>
      <w:lvlText w:val="(%2)"/>
      <w:numFmt w:val="lowerLetter"/>
      <w:start w:val="8"/>
    </w:lvl>
  </w:abstractNum>
  <w:abstractNum w:abstractNumId="11">
    <w:nsid w:val="71F32454"/>
    <w:multiLevelType w:val="hybridMultilevel"/>
    <w:lvl w:ilvl="0">
      <w:lvlJc w:val="left"/>
      <w:lvlText w:val="(%1)"/>
      <w:numFmt w:val="lowerLetter"/>
      <w:start w:val="9"/>
    </w:lvl>
  </w:abstractNum>
  <w:abstractNum w:abstractNumId="12">
    <w:nsid w:val="2CA88611"/>
    <w:multiLevelType w:val="hybridMultilevel"/>
    <w:lvl w:ilvl="0">
      <w:lvlJc w:val="left"/>
      <w:lvlText w:val="(%1)"/>
      <w:numFmt w:val="lowerLetter"/>
      <w:start w:val="12"/>
    </w:lvl>
  </w:abstractNum>
  <w:abstractNum w:abstractNumId="13">
    <w:nsid w:val="836C40E"/>
    <w:multiLevelType w:val="hybridMultilevel"/>
    <w:lvl w:ilvl="0">
      <w:lvlJc w:val="left"/>
      <w:lvlText w:val="(%1)"/>
      <w:numFmt w:val="lowerLetter"/>
      <w:start w:val="15"/>
    </w:lvl>
  </w:abstractNum>
  <w:abstractNum w:abstractNumId="14">
    <w:nsid w:val="2901D82"/>
    <w:multiLevelType w:val="hybridMultilevel"/>
    <w:lvl w:ilvl="0">
      <w:lvlJc w:val="left"/>
      <w:lvlText w:val="(%1)"/>
      <w:numFmt w:val="lowerLetter"/>
      <w:start w:val="20"/>
    </w:lvl>
  </w:abstractNum>
  <w:abstractNum w:abstractNumId="15">
    <w:nsid w:val="3A95F874"/>
    <w:multiLevelType w:val="hybridMultilevel"/>
    <w:lvl w:ilvl="0">
      <w:lvlJc w:val="left"/>
      <w:lvlText w:val="(%1)"/>
      <w:numFmt w:val="lowerLetter"/>
      <w:start w:val="23"/>
    </w:lvl>
  </w:abstractNum>
  <w:abstractNum w:abstractNumId="16">
    <w:nsid w:val="8138641"/>
    <w:multiLevelType w:val="hybridMultilevel"/>
    <w:lvl w:ilvl="0">
      <w:lvlJc w:val="left"/>
      <w:lvlText w:val="%1."/>
      <w:numFmt w:val="decimal"/>
      <w:start w:val="3"/>
    </w:lvl>
    <w:lvl w:ilvl="1">
      <w:lvlJc w:val="left"/>
      <w:lvlText w:val="(%2)"/>
      <w:numFmt w:val="lowerLetter"/>
      <w:start w:val="1"/>
    </w:lvl>
  </w:abstractNum>
  <w:abstractNum w:abstractNumId="17">
    <w:nsid w:val="1E7FF521"/>
    <w:multiLevelType w:val="hybridMultilevel"/>
    <w:lvl w:ilvl="0">
      <w:lvlJc w:val="left"/>
      <w:lvlText w:val="(%1)"/>
      <w:numFmt w:val="lowerLetter"/>
      <w:start w:val="2"/>
    </w:lvl>
  </w:abstractNum>
  <w:abstractNum w:abstractNumId="18">
    <w:nsid w:val="7C3DBD3D"/>
    <w:multiLevelType w:val="hybridMultilevel"/>
    <w:lvl w:ilvl="0">
      <w:lvlJc w:val="left"/>
      <w:lvlText w:val="(%1)"/>
      <w:numFmt w:val="lowerLetter"/>
      <w:start w:val="4"/>
    </w:lvl>
  </w:abstractNum>
  <w:abstractNum w:abstractNumId="19">
    <w:nsid w:val="737B8DDC"/>
    <w:multiLevelType w:val="hybridMultilevel"/>
    <w:lvl w:ilvl="0">
      <w:lvlJc w:val="left"/>
      <w:lvlText w:val="(%1)"/>
      <w:numFmt w:val="lowerLetter"/>
      <w:start w:val="7"/>
    </w:lvl>
  </w:abstractNum>
  <w:abstractNum w:abstractNumId="20">
    <w:nsid w:val="6CEAF087"/>
    <w:multiLevelType w:val="hybridMultilevel"/>
    <w:lvl w:ilvl="0">
      <w:lvlJc w:val="left"/>
      <w:lvlText w:val="%1"/>
      <w:numFmt w:val="lowerLetter"/>
      <w:start w:val="1"/>
    </w:lvl>
    <w:lvl w:ilvl="1">
      <w:lvlJc w:val="left"/>
      <w:lvlText w:val="(%2)"/>
      <w:numFmt w:val="lowerLetter"/>
      <w:start w:val="8"/>
    </w:lvl>
  </w:abstractNum>
  <w:abstractNum w:abstractNumId="21">
    <w:nsid w:val="22221A70"/>
    <w:multiLevelType w:val="hybridMultilevel"/>
    <w:lvl w:ilvl="0">
      <w:lvlJc w:val="left"/>
      <w:lvlText w:val="(%1)"/>
      <w:numFmt w:val="lowerLetter"/>
      <w:start w:val="35"/>
    </w:lvl>
    <w:lvl w:ilvl="1">
      <w:lvlJc w:val="left"/>
      <w:lvlText w:val="(%2)"/>
      <w:numFmt w:val="lowerLetter"/>
      <w:start w:val="10"/>
    </w:lvl>
  </w:abstractNum>
  <w:abstractNum w:abstractNumId="22">
    <w:nsid w:val="4516DDE9"/>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3">
    <w:nsid w:val="3006C83E"/>
    <w:multiLevelType w:val="hybridMultilevel"/>
    <w:lvl w:ilvl="0">
      <w:lvlJc w:val="left"/>
      <w:lvlText w:val="(%1)"/>
      <w:numFmt w:val="lowerRoman"/>
      <w:start w:val="4"/>
    </w:lvl>
    <w:lvl w:ilvl="1">
      <w:lvlJc w:val="left"/>
      <w:lvlText w:val="%2."/>
      <w:numFmt w:val="decimal"/>
      <w:start w:val="7"/>
    </w:lvl>
    <w:lvl w:ilvl="2">
      <w:lvlJc w:val="left"/>
      <w:lvlText w:val="(%3)"/>
      <w:numFmt w:val="lowerLetter"/>
      <w:start w:val="1"/>
    </w:lvl>
  </w:abstractNum>
  <w:abstractNum w:abstractNumId="24">
    <w:nsid w:val="614FD4A1"/>
    <w:multiLevelType w:val="hybridMultilevel"/>
    <w:lvl w:ilvl="0">
      <w:lvlJc w:val="left"/>
      <w:lvlText w:val="(%1)"/>
      <w:numFmt w:val="lowerLetter"/>
      <w:start w:val="2"/>
    </w:lvl>
  </w:abstractNum>
  <w:abstractNum w:abstractNumId="25">
    <w:nsid w:val="419AC241"/>
    <w:multiLevelType w:val="hybridMultilevel"/>
    <w:lvl w:ilvl="0">
      <w:lvlJc w:val="left"/>
      <w:lvlText w:val="(%1)"/>
      <w:numFmt w:val="lowerLetter"/>
      <w:start w:val="9"/>
    </w:lvl>
    <w:lvl w:ilvl="1">
      <w:lvlJc w:val="left"/>
      <w:lvlText w:val="(%2)"/>
      <w:numFmt w:val="lowerLetter"/>
      <w:start w:val="7"/>
    </w:lvl>
  </w:abstractNum>
  <w:abstractNum w:abstractNumId="26">
    <w:nsid w:val="5577F8E1"/>
    <w:multiLevelType w:val="hybridMultilevel"/>
    <w:lvl w:ilvl="0">
      <w:lvlJc w:val="left"/>
      <w:lvlText w:val="%1"/>
      <w:numFmt w:val="decimal"/>
      <w:start w:val="1"/>
    </w:lvl>
    <w:lvl w:ilvl="1">
      <w:lvlJc w:val="left"/>
      <w:lvlText w:val="(%2)"/>
      <w:numFmt w:val="lowerLetter"/>
      <w:start w:val="9"/>
    </w:lvl>
  </w:abstractNum>
  <w:abstractNum w:abstractNumId="27">
    <w:nsid w:val="440BADFC"/>
    <w:multiLevelType w:val="hybridMultilevel"/>
    <w:lvl w:ilvl="0">
      <w:lvlJc w:val="left"/>
      <w:lvlText w:val="%1."/>
      <w:numFmt w:val="decimal"/>
      <w:start w:val="8"/>
    </w:lvl>
    <w:lvl w:ilvl="1">
      <w:lvlJc w:val="left"/>
      <w:lvlText w:val="%2"/>
      <w:numFmt w:val="lowerLetter"/>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1"/>
    </w:lvl>
    <w:lvl w:ilvl="1">
      <w:lvlJc w:val="left"/>
      <w:lvlText w:val="(%2)"/>
      <w:numFmt w:val="lowerLetter"/>
      <w:start w:val="4"/>
    </w:lvl>
  </w:abstractNum>
  <w:abstractNum w:abstractNumId="30">
    <w:nsid w:val="77465F01"/>
    <w:multiLevelType w:val="hybridMultilevel"/>
    <w:lvl w:ilvl="0">
      <w:lvlJc w:val="left"/>
      <w:lvlText w:val="(%1)"/>
      <w:numFmt w:val="lowerLetter"/>
      <w:start w:val="2"/>
    </w:lvl>
    <w:lvl w:ilvl="1">
      <w:lvlJc w:val="left"/>
      <w:lvlText w:val="%2"/>
      <w:numFmt w:val="lowerLetter"/>
      <w:start w:val="1"/>
    </w:lvl>
  </w:abstractNum>
  <w:abstractNum w:abstractNumId="31">
    <w:nsid w:val="7724C67E"/>
    <w:multiLevelType w:val="hybridMultilevel"/>
    <w:lvl w:ilvl="0">
      <w:lvlJc w:val="left"/>
      <w:lvlText w:val="(%1)"/>
      <w:numFmt w:val="lowerLetter"/>
      <w:start w:val="5"/>
    </w:lvl>
  </w:abstractNum>
  <w:abstractNum w:abstractNumId="32">
    <w:nsid w:val="5C482A97"/>
    <w:multiLevelType w:val="hybridMultilevel"/>
    <w:lvl w:ilvl="0">
      <w:lvlJc w:val="left"/>
      <w:lvlText w:val="%1."/>
      <w:numFmt w:val="decimal"/>
      <w:start w:val="9"/>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1"/>
      <w:numFmt w:val="lowerLetter"/>
      <w:start w:val="1"/>
    </w:lvl>
    <w:lvl w:ilvl="1">
      <w:lvlJc w:val="left"/>
      <w:lvlText w:val="(%2)"/>
      <w:numFmt w:val="lowerLetter"/>
      <w:start w:val="3"/>
    </w:lvl>
  </w:abstractNum>
  <w:abstractNum w:abstractNumId="35">
    <w:nsid w:val="51EAD36B"/>
    <w:multiLevelType w:val="hybridMultilevel"/>
    <w:lvl w:ilvl="0">
      <w:lvlJc w:val="left"/>
      <w:lvlText w:val="(%1)"/>
      <w:numFmt w:val="lowerLetter"/>
      <w:start w:val="2"/>
    </w:lvl>
    <w:lvl w:ilvl="1">
      <w:lvlJc w:val="left"/>
      <w:lvlText w:val="%2"/>
      <w:numFmt w:val="lowerLetter"/>
      <w:start w:val="1"/>
    </w:lvl>
  </w:abstractNum>
  <w:abstractNum w:abstractNumId="36">
    <w:nsid w:val="2D517796"/>
    <w:multiLevelType w:val="hybridMultilevel"/>
    <w:lvl w:ilvl="0">
      <w:lvlJc w:val="left"/>
      <w:lvlText w:val="%1."/>
      <w:numFmt w:val="decimal"/>
      <w:start w:val="10"/>
    </w:lvl>
  </w:abstractNum>
  <w:abstractNum w:abstractNumId="37">
    <w:nsid w:val="580BD78F"/>
    <w:multiLevelType w:val="hybridMultilevel"/>
    <w:lvl w:ilvl="0">
      <w:lvlJc w:val="left"/>
      <w:lvlText w:val="%1."/>
      <w:numFmt w:val="decimal"/>
      <w:start w:val="13"/>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5"/>
    </w:lvl>
    <w:lvl w:ilvl="1">
      <w:lvlJc w:val="left"/>
      <w:lvlText w:val="(%2)"/>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2019-12-05T09:06:28Z</dcterms:created>
  <dcterms:modified xsi:type="dcterms:W3CDTF">2019-12-05T09:06:28Z</dcterms:modified>
</cp:coreProperties>
</file>