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99"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FF4338"/>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JUNE 20, 2017</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100965</wp:posOffset>
            </wp:positionV>
            <wp:extent cx="218694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We are offering $ aggregate principal amount of our % Notes due 20 . The notes will bear interest at the rate of % per year. Interest on the notes will be payable semi-annually in arears on and of each year, beginning on , 2017. The notes will mature</w:t>
      </w:r>
    </w:p>
    <w:p>
      <w:pPr>
        <w:spacing w:after="0" w:line="1"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color w:val="auto"/>
        </w:rPr>
        <w:t>on , 20 . We may redeem some or all of the notes at any time before maturity at the applicable redemption price discussed under the caption “Description of Notes — Optional Redemption.”</w:t>
      </w:r>
    </w:p>
    <w:p>
      <w:pPr>
        <w:spacing w:after="0" w:line="7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ind w:right="2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on page 3 of the accompanying prospectus and in our Annual Report on Form 10-K for the year ended December 31, 2016, filed with the Securities and Exchange Commission, or the SEC, on February 13, 2017.</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Per Note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1160" w:type="dxa"/>
            <w:vAlign w:val="bottom"/>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65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74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20" w:type="dxa"/>
            <w:vAlign w:val="bottom"/>
            <w:gridSpan w:val="4"/>
          </w:tcPr>
          <w:p>
            <w:pPr>
              <w:spacing w:after="0"/>
              <w:rPr>
                <w:sz w:val="20"/>
                <w:szCs w:val="20"/>
                <w:color w:val="auto"/>
              </w:rPr>
            </w:pPr>
            <w:r>
              <w:rPr>
                <w:rFonts w:ascii="Arial" w:cs="Arial" w:eastAsia="Arial" w:hAnsi="Arial"/>
                <w:sz w:val="18"/>
                <w:szCs w:val="18"/>
                <w:color w:val="auto"/>
              </w:rPr>
              <w:t>(1)   Plus accrued interest from June  , 2017, if settlement occurs after that date.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June , 2017.</w:t>
      </w:r>
    </w:p>
    <w:p>
      <w:pPr>
        <w:spacing w:after="0" w:line="58" w:lineRule="exact"/>
        <w:rPr>
          <w:sz w:val="24"/>
          <w:szCs w:val="24"/>
          <w:color w:val="auto"/>
        </w:rPr>
      </w:pPr>
    </w:p>
    <w:p>
      <w:pPr>
        <w:ind w:right="80"/>
        <w:spacing w:after="0" w:line="31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82550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156" w:lineRule="exact"/>
        <w:rPr>
          <w:sz w:val="24"/>
          <w:szCs w:val="24"/>
          <w:color w:val="auto"/>
        </w:rPr>
      </w:pPr>
    </w:p>
    <w:p>
      <w:pPr>
        <w:sectPr>
          <w:pgSz w:w="11900" w:h="16838" w:orient="portrait"/>
          <w:cols w:equalWidth="0" w:num="4">
            <w:col w:w="2040" w:space="720"/>
            <w:col w:w="3420" w:space="720"/>
            <w:col w:w="1400" w:space="720"/>
            <w:col w:w="2400"/>
          </w:cols>
          <w:pgMar w:left="240" w:top="230" w:right="239" w:bottom="1440" w:gutter="0" w:footer="0" w:header="0"/>
          <w:type w:val="continuous"/>
        </w:sectPr>
      </w:pPr>
    </w:p>
    <w:p>
      <w:pPr>
        <w:ind w:left="3480"/>
        <w:spacing w:after="0"/>
        <w:rPr>
          <w:sz w:val="20"/>
          <w:szCs w:val="20"/>
          <w:color w:val="auto"/>
        </w:rPr>
      </w:pPr>
      <w:r>
        <w:rPr>
          <w:rFonts w:ascii="Arial" w:cs="Arial" w:eastAsia="Arial" w:hAnsi="Arial"/>
          <w:sz w:val="15"/>
          <w:szCs w:val="15"/>
          <w:b w:val="1"/>
          <w:bCs w:val="1"/>
          <w:color w:val="auto"/>
        </w:rPr>
        <w:t>The date of this prospectus supplement is June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 2017.</w:t>
      </w:r>
    </w:p>
    <w:p>
      <w:pPr>
        <w:sectPr>
          <w:pgSz w:w="11900" w:h="16838" w:orient="portrait"/>
          <w:cols w:equalWidth="0" w:num="2">
            <w:col w:w="7060" w:space="400"/>
            <w:col w:w="396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80" w:type="dxa"/>
            <w:vAlign w:val="bottom"/>
            <w:gridSpan w:val="2"/>
          </w:tcPr>
          <w:p>
            <w:pPr>
              <w:jc w:val="right"/>
              <w:ind w:right="459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80" w:type="dxa"/>
            <w:vAlign w:val="bottom"/>
            <w:gridSpan w:val="2"/>
          </w:tcPr>
          <w:p>
            <w:pPr>
              <w:jc w:val="right"/>
              <w:ind w:right="4652"/>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Additional Material Federal Income Tax Considerations</w:t>
              </w:r>
            </w:hyperlink>
          </w:p>
        </w:tc>
        <w:tc>
          <w:tcPr>
            <w:tcW w:w="6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6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27">
              <w:r>
                <w:rPr>
                  <w:rFonts w:ascii="Arial" w:cs="Arial" w:eastAsia="Arial" w:hAnsi="Arial"/>
                  <w:sz w:val="18"/>
                  <w:szCs w:val="18"/>
                  <w:color w:val="0000EE"/>
                </w:rPr>
                <w:t>Underwriting (Conflicts of Interest)</w:t>
              </w:r>
            </w:hyperlink>
          </w:p>
        </w:tc>
        <w:tc>
          <w:tcPr>
            <w:tcW w:w="638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638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38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2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6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2016,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real estate investment trust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2017, we owned or had a majority interest in community and neighborhood shopping centers and mixed-use properties which are operated as 98 predominantly retail real estate projects comprising approximately 23.1 million square feet. In total, the real estate projects were 94.6% leased and 93.1% occupied at March 31, 2017. We have paid quarterly dividends to our shareholders continuously since our founding in 1962 and have increased our dividends per common share for 49 consecutive years.</w:t>
      </w:r>
    </w:p>
    <w:p>
      <w:pPr>
        <w:spacing w:after="0" w:line="16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214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1"/>
              </w:rPr>
              <w:t>For the Years Ended 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Ended March 31,</w:t>
            </w:r>
          </w:p>
        </w:tc>
        <w:tc>
          <w:tcPr>
            <w:tcW w:w="300" w:type="dxa"/>
            <w:vAlign w:val="bottom"/>
          </w:tcPr>
          <w:p>
            <w:pPr>
              <w:spacing w:after="0"/>
              <w:rPr>
                <w:sz w:val="14"/>
                <w:szCs w:val="14"/>
                <w:color w:val="auto"/>
              </w:rPr>
            </w:pPr>
          </w:p>
        </w:tc>
        <w:tc>
          <w:tcPr>
            <w:tcW w:w="214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380" w:type="dxa"/>
            <w:vAlign w:val="bottom"/>
            <w:tcBorders>
              <w:top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38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78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278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Issuer</w:t>
            </w:r>
          </w:p>
        </w:tc>
        <w:tc>
          <w:tcPr>
            <w:tcW w:w="3820" w:type="dxa"/>
            <w:vAlign w:val="bottom"/>
            <w:gridSpan w:val="2"/>
          </w:tcPr>
          <w:p>
            <w:pPr>
              <w:ind w:left="1340"/>
              <w:spacing w:after="0"/>
              <w:rPr>
                <w:sz w:val="20"/>
                <w:szCs w:val="20"/>
                <w:color w:val="auto"/>
              </w:rPr>
            </w:pPr>
            <w:r>
              <w:rPr>
                <w:rFonts w:ascii="Arial" w:cs="Arial" w:eastAsia="Arial" w:hAnsi="Arial"/>
                <w:sz w:val="18"/>
                <w:szCs w:val="18"/>
                <w:color w:val="auto"/>
                <w:w w:val="94"/>
              </w:rPr>
              <w:t>Federal Realty Investment Trust.</w:t>
            </w:r>
          </w:p>
        </w:tc>
        <w:tc>
          <w:tcPr>
            <w:tcW w:w="1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Securities offered</w:t>
            </w:r>
          </w:p>
        </w:tc>
        <w:tc>
          <w:tcPr>
            <w:tcW w:w="1880" w:type="dxa"/>
            <w:vAlign w:val="bottom"/>
          </w:tcPr>
          <w:p>
            <w:pPr>
              <w:ind w:left="134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w w:val="99"/>
              </w:rPr>
              <w:t>million aggregate principal amount of</w:t>
            </w: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 Notes due 20  .</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Maturity</w:t>
            </w: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rPr>
              <w:t>Unless redeemed prior to maturity as described below, the notes will mature on</w:t>
            </w:r>
          </w:p>
        </w:tc>
        <w:tc>
          <w:tcPr>
            <w:tcW w:w="260" w:type="dxa"/>
            <w:vAlign w:val="bottom"/>
          </w:tcPr>
          <w:p>
            <w:pPr>
              <w:jc w:val="right"/>
              <w:ind w:right="110"/>
              <w:spacing w:after="0"/>
              <w:rPr>
                <w:sz w:val="20"/>
                <w:szCs w:val="20"/>
                <w:color w:val="auto"/>
              </w:rPr>
            </w:pPr>
            <w:r>
              <w:rPr>
                <w:rFonts w:ascii="Arial" w:cs="Arial" w:eastAsia="Arial" w:hAnsi="Arial"/>
                <w:sz w:val="18"/>
                <w:szCs w:val="18"/>
                <w:color w:val="auto"/>
                <w:w w:val="78"/>
              </w:rPr>
              <w:t>,</w:t>
            </w:r>
          </w:p>
        </w:tc>
      </w:tr>
      <w:tr>
        <w:trPr>
          <w:trHeight w:val="230"/>
        </w:trPr>
        <w:tc>
          <w:tcPr>
            <w:tcW w:w="2960" w:type="dxa"/>
            <w:vAlign w:val="bottom"/>
          </w:tcPr>
          <w:p>
            <w:pPr>
              <w:spacing w:after="0"/>
              <w:rPr>
                <w:sz w:val="20"/>
                <w:szCs w:val="20"/>
                <w:color w:val="auto"/>
              </w:rPr>
            </w:pPr>
          </w:p>
        </w:tc>
        <w:tc>
          <w:tcPr>
            <w:tcW w:w="1880" w:type="dxa"/>
            <w:vAlign w:val="bottom"/>
          </w:tcPr>
          <w:p>
            <w:pPr>
              <w:ind w:left="1340"/>
              <w:spacing w:after="0"/>
              <w:rPr>
                <w:sz w:val="20"/>
                <w:szCs w:val="20"/>
                <w:color w:val="auto"/>
              </w:rPr>
            </w:pPr>
            <w:r>
              <w:rPr>
                <w:rFonts w:ascii="Arial" w:cs="Arial" w:eastAsia="Arial" w:hAnsi="Arial"/>
                <w:sz w:val="18"/>
                <w:szCs w:val="18"/>
                <w:color w:val="auto"/>
              </w:rPr>
              <w:t>20  .</w:t>
            </w: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720" w:type="dxa"/>
            <w:vAlign w:val="bottom"/>
            <w:gridSpan w:val="4"/>
          </w:tcPr>
          <w:p>
            <w:pPr>
              <w:ind w:left="1340"/>
              <w:spacing w:after="0"/>
              <w:rPr>
                <w:sz w:val="20"/>
                <w:szCs w:val="20"/>
                <w:color w:val="auto"/>
              </w:rPr>
            </w:pPr>
            <w:r>
              <w:rPr>
                <w:rFonts w:ascii="Arial" w:cs="Arial" w:eastAsia="Arial" w:hAnsi="Arial"/>
                <w:sz w:val="18"/>
                <w:szCs w:val="18"/>
                <w:color w:val="auto"/>
              </w:rPr>
              <w:t>Interest on the notes will be payable semi-annually in arrears on</w:t>
            </w:r>
          </w:p>
        </w:tc>
        <w:tc>
          <w:tcPr>
            <w:tcW w:w="1080" w:type="dxa"/>
            <w:vAlign w:val="bottom"/>
          </w:tcPr>
          <w:p>
            <w:pPr>
              <w:ind w:left="180"/>
              <w:spacing w:after="0"/>
              <w:rPr>
                <w:sz w:val="20"/>
                <w:szCs w:val="20"/>
                <w:color w:val="auto"/>
              </w:rPr>
            </w:pPr>
            <w:r>
              <w:rPr>
                <w:rFonts w:ascii="Arial" w:cs="Arial" w:eastAsia="Arial" w:hAnsi="Arial"/>
                <w:sz w:val="18"/>
                <w:szCs w:val="18"/>
                <w:color w:val="auto"/>
              </w:rPr>
              <w:t>and</w:t>
            </w:r>
          </w:p>
        </w:tc>
        <w:tc>
          <w:tcPr>
            <w:tcW w:w="26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3820" w:type="dxa"/>
            <w:vAlign w:val="bottom"/>
            <w:gridSpan w:val="2"/>
          </w:tcPr>
          <w:p>
            <w:pPr>
              <w:ind w:left="1340"/>
              <w:spacing w:after="0"/>
              <w:rPr>
                <w:sz w:val="20"/>
                <w:szCs w:val="20"/>
                <w:color w:val="auto"/>
              </w:rPr>
            </w:pPr>
            <w:r>
              <w:rPr>
                <w:rFonts w:ascii="Arial" w:cs="Arial" w:eastAsia="Arial" w:hAnsi="Arial"/>
                <w:sz w:val="18"/>
                <w:szCs w:val="18"/>
                <w:color w:val="auto"/>
              </w:rPr>
              <w:t>of each year, beginning on</w:t>
            </w:r>
          </w:p>
        </w:tc>
        <w:tc>
          <w:tcPr>
            <w:tcW w:w="4240" w:type="dxa"/>
            <w:vAlign w:val="bottom"/>
            <w:gridSpan w:val="4"/>
          </w:tcPr>
          <w:p>
            <w:pPr>
              <w:jc w:val="center"/>
              <w:ind w:right="110"/>
              <w:spacing w:after="0"/>
              <w:rPr>
                <w:sz w:val="20"/>
                <w:szCs w:val="20"/>
                <w:color w:val="auto"/>
              </w:rPr>
            </w:pPr>
            <w:r>
              <w:rPr>
                <w:rFonts w:ascii="Arial" w:cs="Arial" w:eastAsia="Arial" w:hAnsi="Arial"/>
                <w:sz w:val="18"/>
                <w:szCs w:val="18"/>
                <w:color w:val="auto"/>
                <w:w w:val="90"/>
              </w:rPr>
              <w:t>, 2017, and at maturity (or any earlier redemption date).</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Ranking</w:t>
            </w: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2"/>
              </w:rPr>
              <w:t xml:space="preserve">The notes will be our senior unsecured obligations and will rank </w:t>
            </w:r>
            <w:r>
              <w:rPr>
                <w:rFonts w:ascii="Arial" w:cs="Arial" w:eastAsia="Arial" w:hAnsi="Arial"/>
                <w:sz w:val="18"/>
                <w:szCs w:val="18"/>
                <w:i w:val="1"/>
                <w:iCs w:val="1"/>
                <w:color w:val="auto"/>
                <w:w w:val="92"/>
              </w:rPr>
              <w:t>pari passu</w:t>
            </w:r>
            <w:r>
              <w:rPr>
                <w:rFonts w:ascii="Arial" w:cs="Arial" w:eastAsia="Arial" w:hAnsi="Arial"/>
                <w:sz w:val="18"/>
                <w:szCs w:val="18"/>
                <w:color w:val="auto"/>
                <w:w w:val="92"/>
              </w:rPr>
              <w:t>, or equally, with</w:t>
            </w: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0"/>
              </w:rPr>
              <w:t>all of our other unsecured and unsubordinated indebtedness. The notes will be effectively</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0"/>
              </w:rPr>
              <w:t>subordinated to the prior claims of each secured mortgage lender to any specific property</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6"/>
              </w:rPr>
              <w:t>that secures such lender’s mortgage and to all of the unsecured indebtedness of our</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2"/>
              </w:rPr>
              <w:t>subsidiaries. At March 31, 2017, we had outstanding approximately $465 million (excluding</w:t>
            </w: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1"/>
              </w:rPr>
              <w:t>net unamortized premium and debt issuance costs) of secured indebtedness, which was</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2"/>
              </w:rPr>
              <w:t>issued by our subsidiaries and is collateralized by all or parts of 9 properties, and which will</w:t>
            </w: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4"/>
              </w:rPr>
              <w:t>rank senior to the notes to the extent of the securing collateral and will also be structurally</w:t>
            </w: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3"/>
              </w:rPr>
              <w:t>senior to the notes, approximately $5 million (excluding net unamortized debt issuance</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0"/>
              </w:rPr>
              <w:t>costs) of unsecured indebtedness issued by our subsidiaries, which will be structurally senior</w:t>
            </w: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1"/>
              </w:rPr>
              <w:t>to the notes, and approximately $2,486 million of unsecured indebtedness (excluding net</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1"/>
              </w:rPr>
              <w:t>unamortized discount and debt issuance costs), which will rank equally with the notes. Since</w:t>
            </w: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4"/>
              </w:rPr>
              <w:t>March 31, 2017, $50 million of secured indebtedness was repaid with the proceeds of</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4"/>
              </w:rPr>
              <w:t>borrowings under our unsecured revolving credit facility and via contributions from our</w:t>
            </w:r>
          </w:p>
        </w:tc>
        <w:tc>
          <w:tcPr>
            <w:tcW w:w="2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1"/>
              </w:rPr>
              <w:t>partners in the related partnership; accordingly, and taking into account regular payments of</w:t>
            </w: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1"/>
              </w:rPr>
              <w:t>principal with respect to our secured indebtedness, as of June 19, 2017, we had outstanding</w:t>
            </w: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1"/>
              </w:rPr>
              <w:t>approximately $413 million (excluding net unamortized premium and debt issuance costs) of</w:t>
            </w:r>
          </w:p>
        </w:tc>
      </w:tr>
      <w:tr>
        <w:trPr>
          <w:trHeight w:val="230"/>
        </w:trPr>
        <w:tc>
          <w:tcPr>
            <w:tcW w:w="2960" w:type="dxa"/>
            <w:vAlign w:val="bottom"/>
          </w:tcPr>
          <w:p>
            <w:pPr>
              <w:spacing w:after="0"/>
              <w:rPr>
                <w:sz w:val="20"/>
                <w:szCs w:val="20"/>
                <w:color w:val="auto"/>
              </w:rPr>
            </w:pPr>
          </w:p>
        </w:tc>
        <w:tc>
          <w:tcPr>
            <w:tcW w:w="3820" w:type="dxa"/>
            <w:vAlign w:val="bottom"/>
            <w:gridSpan w:val="2"/>
          </w:tcPr>
          <w:p>
            <w:pPr>
              <w:ind w:left="1340"/>
              <w:spacing w:after="0"/>
              <w:rPr>
                <w:sz w:val="20"/>
                <w:szCs w:val="20"/>
                <w:color w:val="auto"/>
              </w:rPr>
            </w:pPr>
            <w:r>
              <w:rPr>
                <w:rFonts w:ascii="Arial" w:cs="Arial" w:eastAsia="Arial" w:hAnsi="Arial"/>
                <w:sz w:val="18"/>
                <w:szCs w:val="18"/>
                <w:color w:val="auto"/>
              </w:rPr>
              <w:t>secured indebtedness.</w:t>
            </w:r>
          </w:p>
        </w:tc>
        <w:tc>
          <w:tcPr>
            <w:tcW w:w="1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Use of proceeds</w:t>
            </w:r>
          </w:p>
        </w:tc>
        <w:tc>
          <w:tcPr>
            <w:tcW w:w="7800" w:type="dxa"/>
            <w:vAlign w:val="bottom"/>
            <w:gridSpan w:val="5"/>
          </w:tcPr>
          <w:p>
            <w:pPr>
              <w:ind w:left="1340"/>
              <w:spacing w:after="0"/>
              <w:rPr>
                <w:sz w:val="20"/>
                <w:szCs w:val="20"/>
                <w:color w:val="auto"/>
              </w:rPr>
            </w:pPr>
            <w:r>
              <w:rPr>
                <w:rFonts w:ascii="Arial" w:cs="Arial" w:eastAsia="Arial" w:hAnsi="Arial"/>
                <w:sz w:val="18"/>
                <w:szCs w:val="18"/>
                <w:color w:val="auto"/>
                <w:w w:val="90"/>
              </w:rPr>
              <w:t>We intend to use the net proceeds from this offering to pay down the outstanding balance</w:t>
            </w:r>
          </w:p>
        </w:tc>
        <w:tc>
          <w:tcPr>
            <w:tcW w:w="2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8060" w:type="dxa"/>
            <w:vAlign w:val="bottom"/>
            <w:gridSpan w:val="6"/>
          </w:tcPr>
          <w:p>
            <w:pPr>
              <w:ind w:left="1340"/>
              <w:spacing w:after="0"/>
              <w:rPr>
                <w:sz w:val="20"/>
                <w:szCs w:val="20"/>
                <w:color w:val="auto"/>
              </w:rPr>
            </w:pPr>
            <w:r>
              <w:rPr>
                <w:rFonts w:ascii="Arial" w:cs="Arial" w:eastAsia="Arial" w:hAnsi="Arial"/>
                <w:sz w:val="18"/>
                <w:szCs w:val="18"/>
                <w:color w:val="auto"/>
                <w:w w:val="90"/>
              </w:rPr>
              <w:t>under our revolving credit facility and for general corporate purposes. See “Use of Proceeds”</w:t>
            </w:r>
          </w:p>
        </w:tc>
      </w:tr>
      <w:tr>
        <w:trPr>
          <w:trHeight w:val="230"/>
        </w:trPr>
        <w:tc>
          <w:tcPr>
            <w:tcW w:w="2960" w:type="dxa"/>
            <w:vAlign w:val="bottom"/>
          </w:tcPr>
          <w:p>
            <w:pPr>
              <w:spacing w:after="0"/>
              <w:rPr>
                <w:sz w:val="20"/>
                <w:szCs w:val="20"/>
                <w:color w:val="auto"/>
              </w:rPr>
            </w:pPr>
          </w:p>
        </w:tc>
        <w:tc>
          <w:tcPr>
            <w:tcW w:w="3820" w:type="dxa"/>
            <w:vAlign w:val="bottom"/>
            <w:gridSpan w:val="2"/>
          </w:tcPr>
          <w:p>
            <w:pPr>
              <w:ind w:left="1340"/>
              <w:spacing w:after="0"/>
              <w:rPr>
                <w:sz w:val="20"/>
                <w:szCs w:val="20"/>
                <w:color w:val="auto"/>
              </w:rPr>
            </w:pPr>
            <w:r>
              <w:rPr>
                <w:rFonts w:ascii="Arial" w:cs="Arial" w:eastAsia="Arial" w:hAnsi="Arial"/>
                <w:sz w:val="18"/>
                <w:szCs w:val="18"/>
                <w:color w:val="auto"/>
                <w:w w:val="91"/>
              </w:rPr>
              <w:t>on page S-8 for more information.</w:t>
            </w:r>
          </w:p>
        </w:tc>
        <w:tc>
          <w:tcPr>
            <w:tcW w:w="1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83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Limitations on incurrence of debt</w:t>
      </w:r>
      <w:r>
        <w:rPr>
          <w:sz w:val="20"/>
          <w:szCs w:val="20"/>
          <w:color w:val="auto"/>
        </w:rPr>
        <w:tab/>
      </w:r>
      <w:r>
        <w:rPr>
          <w:rFonts w:ascii="Arial" w:cs="Arial" w:eastAsia="Arial" w:hAnsi="Arial"/>
          <w:sz w:val="16"/>
          <w:szCs w:val="16"/>
          <w:color w:val="auto"/>
        </w:rPr>
        <w:t>The notes contain various covenants, including the following:</w:t>
      </w:r>
    </w:p>
    <w:p>
      <w:pPr>
        <w:spacing w:after="0" w:line="117" w:lineRule="exact"/>
        <w:rPr>
          <w:sz w:val="20"/>
          <w:szCs w:val="20"/>
          <w:color w:val="auto"/>
        </w:rPr>
      </w:pPr>
    </w:p>
    <w:p>
      <w:pPr>
        <w:ind w:left="4500" w:firstLine="5"/>
        <w:spacing w:after="0" w:line="268" w:lineRule="auto"/>
        <w:tabs>
          <w:tab w:leader="none" w:pos="47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77" w:lineRule="exact"/>
        <w:rPr>
          <w:rFonts w:ascii="Arial" w:cs="Arial" w:eastAsia="Arial" w:hAnsi="Arial"/>
          <w:sz w:val="17"/>
          <w:szCs w:val="17"/>
          <w:color w:val="auto"/>
        </w:rPr>
      </w:pPr>
    </w:p>
    <w:p>
      <w:pPr>
        <w:ind w:left="4500" w:right="20" w:firstLine="5"/>
        <w:spacing w:after="0" w:line="267" w:lineRule="auto"/>
        <w:tabs>
          <w:tab w:leader="none" w:pos="475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for purposes of this limitation, the amount of obligations under capital leases</w:t>
      </w:r>
      <w:r>
        <w:rPr>
          <w:rFonts w:ascii="Arial" w:cs="Arial" w:eastAsia="Arial" w:hAnsi="Arial"/>
          <w:sz w:val="17"/>
          <w:szCs w:val="17"/>
          <w:i w:val="1"/>
          <w:iCs w:val="1"/>
          <w:color w:val="auto"/>
        </w:rPr>
        <w:t xml:space="preserve"> </w:t>
      </w:r>
      <w:r>
        <w:rPr>
          <w:rFonts w:ascii="Arial" w:cs="Arial" w:eastAsia="Arial" w:hAnsi="Arial"/>
          <w:sz w:val="17"/>
          <w:szCs w:val="17"/>
          <w:color w:val="auto"/>
        </w:rPr>
        <w:t>shown as a liability on our consolidated balance sheet shall be deducted from Debt and from Total Assets;</w:t>
      </w:r>
    </w:p>
    <w:p>
      <w:pPr>
        <w:spacing w:after="0" w:line="83" w:lineRule="exact"/>
        <w:rPr>
          <w:rFonts w:ascii="Arial" w:cs="Arial" w:eastAsia="Arial" w:hAnsi="Arial"/>
          <w:sz w:val="17"/>
          <w:szCs w:val="17"/>
          <w:color w:val="auto"/>
        </w:rPr>
      </w:pPr>
    </w:p>
    <w:p>
      <w:pPr>
        <w:ind w:left="4500" w:firstLine="5"/>
        <w:spacing w:after="0" w:line="284" w:lineRule="auto"/>
        <w:tabs>
          <w:tab w:leader="none" w:pos="475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spacing w:after="0" w:line="1" w:lineRule="exact"/>
        <w:rPr>
          <w:rFonts w:ascii="Arial" w:cs="Arial" w:eastAsia="Arial" w:hAnsi="Arial"/>
          <w:sz w:val="16"/>
          <w:szCs w:val="16"/>
          <w:color w:val="auto"/>
        </w:rPr>
      </w:pPr>
    </w:p>
    <w:p>
      <w:pPr>
        <w:ind w:left="4500" w:right="220"/>
        <w:spacing w:after="0" w:line="295" w:lineRule="auto"/>
        <w:rPr>
          <w:rFonts w:ascii="Arial" w:cs="Arial" w:eastAsia="Arial" w:hAnsi="Arial"/>
          <w:sz w:val="16"/>
          <w:szCs w:val="16"/>
          <w:color w:val="auto"/>
        </w:rPr>
      </w:pPr>
      <w:r>
        <w:rPr>
          <w:rFonts w:ascii="Arial" w:cs="Arial" w:eastAsia="Arial" w:hAnsi="Arial"/>
          <w:sz w:val="16"/>
          <w:szCs w:val="16"/>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5672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59" w:lineRule="exact"/>
        <w:rPr>
          <w:sz w:val="20"/>
          <w:szCs w:val="20"/>
          <w:color w:val="auto"/>
        </w:rPr>
      </w:pPr>
    </w:p>
    <w:p>
      <w:pPr>
        <w:ind w:right="60" w:firstLine="5"/>
        <w:spacing w:after="0" w:line="26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redeemable at any time at our option, in whole or in part. If the notes are</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redeemed before ( months prior to the maturity date), the redemption price will be equal to the greater of (1) 100% of the principal amount of the notes being redeemed, or</w:t>
      </w:r>
    </w:p>
    <w:p>
      <w:pPr>
        <w:ind w:right="200" w:firstLine="5"/>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discounted to the redemption date on a semi-annual basis at the Adjusted</w:t>
      </w:r>
    </w:p>
    <w:p>
      <w:pPr>
        <w:spacing w:after="0" w:line="1"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Treasury Rate plus basis points (0. %), plus, in each case, accrued and unpaid interest thereon to, but excluding, the redemption date. If the notes are redeemed on or</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after ( months prior to the maturity date), the redemption price will be equal to 100% of the principal amount of the notes being redeemed plus accrued and unpaid interest thereon to, but excluding, the redemption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2016, filed with the SEC on February 13, 2017,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3780" w:space="720"/>
            <w:col w:w="6660"/>
          </w:cols>
          <w:pgMar w:left="240" w:top="459" w:right="49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160"/>
          </w:cols>
          <w:pgMar w:left="24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2016 filed with the SEC on February 13, 2017 before you decide to purchase the notes. The risks and uncertainties described below and in the incorporated Form 10-K for the year ended December 31, 2016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2017, our subsidiaries had approximately $470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2017, we had approximately $465 million (excluding net unamortized premium and debt issuance costs) of secured debt outstanding, all of which was effectively senior to the notes to the extent of the value of the securing collateral. Since March 31, 2017, $50 million of secured indebtedness was repaid with the proceeds of borrowings under our unsecured revolving credit facility and via contributions from our partners in the related partnership; accordingly, and taking into account regular payments of principal with respect to our secured indebtedness, as of June 19, 2017, we had outstanding approximately $413 million (excluding net unamortized premium and debt issuance costs) of secured indebtedness.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1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8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1200" w:type="dxa"/>
            <w:vAlign w:val="bottom"/>
          </w:tcPr>
          <w:p>
            <w:pPr>
              <w:spacing w:after="0"/>
              <w:rPr>
                <w:sz w:val="24"/>
                <w:szCs w:val="24"/>
                <w:color w:val="auto"/>
              </w:rPr>
            </w:pPr>
          </w:p>
        </w:tc>
      </w:tr>
      <w:tr>
        <w:trPr>
          <w:trHeight w:val="432"/>
        </w:trPr>
        <w:tc>
          <w:tcPr>
            <w:tcW w:w="10140" w:type="dxa"/>
            <w:vAlign w:val="bottom"/>
            <w:gridSpan w:val="2"/>
          </w:tcPr>
          <w:p>
            <w:pPr>
              <w:spacing w:after="0"/>
              <w:rPr>
                <w:sz w:val="20"/>
                <w:szCs w:val="20"/>
                <w:color w:val="auto"/>
              </w:rPr>
            </w:pPr>
            <w:r>
              <w:rPr>
                <w:rFonts w:ascii="Arial" w:cs="Arial" w:eastAsia="Arial" w:hAnsi="Arial"/>
                <w:sz w:val="18"/>
                <w:szCs w:val="18"/>
                <w:color w:val="auto"/>
                <w:w w:val="91"/>
              </w:rPr>
              <w:t>The net proceeds to us from the issuance and sale of the notes offered by this prospectus supplement are estimated to be approximately $</w:t>
            </w:r>
          </w:p>
        </w:tc>
        <w:tc>
          <w:tcPr>
            <w:tcW w:w="1200" w:type="dxa"/>
            <w:vAlign w:val="bottom"/>
          </w:tcPr>
          <w:p>
            <w:pPr>
              <w:ind w:left="300"/>
              <w:spacing w:after="0"/>
              <w:rPr>
                <w:sz w:val="20"/>
                <w:szCs w:val="20"/>
                <w:color w:val="auto"/>
              </w:rPr>
            </w:pPr>
            <w:r>
              <w:rPr>
                <w:rFonts w:ascii="Arial" w:cs="Arial" w:eastAsia="Arial" w:hAnsi="Arial"/>
                <w:sz w:val="18"/>
                <w:szCs w:val="18"/>
                <w:color w:val="auto"/>
                <w:w w:val="95"/>
              </w:rPr>
              <w:t>million after</w:t>
            </w:r>
          </w:p>
        </w:tc>
      </w:tr>
    </w:tbl>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the underwriting discount and other estimated expenses of this offering payable by us.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2017, we had $217.0 million outstanding under our revolving credit facility ($344 million as of June 19, 2017).</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46"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which may be redeemed prior to that date in accordance with their terms.</w:t>
      </w:r>
    </w:p>
    <w:p>
      <w:pPr>
        <w:spacing w:after="0" w:line="211" w:lineRule="exact"/>
        <w:rPr>
          <w:sz w:val="20"/>
          <w:szCs w:val="20"/>
          <w:color w:val="auto"/>
        </w:rPr>
      </w:pPr>
    </w:p>
    <w:p>
      <w:pPr>
        <w:sectPr>
          <w:pgSz w:w="11900" w:h="16838" w:orient="portrait"/>
          <w:cols w:equalWidth="0" w:num="5">
            <w:col w:w="1260" w:space="400"/>
            <w:col w:w="1000" w:space="420"/>
            <w:col w:w="1480" w:space="600"/>
            <w:col w:w="260" w:space="180"/>
            <w:col w:w="5820"/>
          </w:cols>
          <w:pgMar w:left="240" w:top="459" w:right="239" w:bottom="1440" w:gutter="0" w:footer="0" w:header="0"/>
          <w:type w:val="continuous"/>
        </w:sectPr>
      </w:pPr>
    </w:p>
    <w:p>
      <w:pPr>
        <w:spacing w:after="0" w:line="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will pay interest on the notes semi-annually in arrears on and of each year, beginning , 2017, to the registered holders of the notes on the preceding and . Interest will be computed and paid on the basis of a 360-day year consisting of twelve 30-day months. If any</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will be effectively subordinated to the prior claims of each secured mortgage lender to any specific property that secures such lender’s mortgage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unsecured indebtedness of our subsidiaries. At March 31, 2017, we had outstanding approximately $465 million (excluding net unamortized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and debt issuance costs) of secured indebtedness, which was issued by our subsidiaries and is collateralized by all or parts of 9 properties, and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ranks senior to the notes to the extent of securing collateral and will also be structurally senior to the notes, approximately $5 million (excluding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of unsecured indebtedness issued by our subsidiaries, which will be structurally senior to the notes,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$2,486 million of unsecured indebtedness (excluding net unamortized discount and debt issuance costs), which will rank equally. Since March 31, 2017, $50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secured indebtedness was repaid with the proceeds of borrowings under our unsecured revolving credit facility and via contributions from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in the related partnership; accordingly, and taking into account regular payments of principal with respect to our secured indebtedness, as of June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we had outstanding approximately $413 million (excluding net unamortized premium and debt issuance costs) of secured indebtedness.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tabs>
          <w:tab w:leader="none" w:pos="8700" w:val="left"/>
        </w:tabs>
        <w:rPr>
          <w:sz w:val="20"/>
          <w:szCs w:val="20"/>
          <w:color w:val="auto"/>
        </w:rPr>
      </w:pPr>
      <w:r>
        <w:rPr>
          <w:rFonts w:ascii="Arial" w:cs="Arial" w:eastAsia="Arial" w:hAnsi="Arial"/>
          <w:sz w:val="18"/>
          <w:szCs w:val="18"/>
          <w:color w:val="auto"/>
        </w:rPr>
        <w:t>The notes will be redeemable at any time at our option, in whole or in part. If the notes are redeemed before</w:t>
      </w:r>
      <w:r>
        <w:rPr>
          <w:sz w:val="20"/>
          <w:szCs w:val="20"/>
          <w:color w:val="auto"/>
        </w:rPr>
        <w:tab/>
      </w:r>
      <w:r>
        <w:rPr>
          <w:rFonts w:ascii="Arial" w:cs="Arial" w:eastAsia="Arial" w:hAnsi="Arial"/>
          <w:sz w:val="16"/>
          <w:szCs w:val="16"/>
          <w:color w:val="auto"/>
        </w:rPr>
        <w:t>(the “Par Call Date”), the redemption</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price will be equal to the greater of (1) 100% of the principal amount of the notes being redeemed, or (2) as determined by the Quotation Agent (as defined below), the sum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w:t>
      </w:r>
    </w:p>
    <w:p>
      <w:pPr>
        <w:ind w:right="60"/>
        <w:spacing w:after="0" w:line="255" w:lineRule="auto"/>
        <w:rPr>
          <w:sz w:val="20"/>
          <w:szCs w:val="20"/>
          <w:color w:val="auto"/>
        </w:rPr>
      </w:pPr>
      <w:r>
        <w:rPr>
          <w:rFonts w:ascii="Arial" w:cs="Arial" w:eastAsia="Arial" w:hAnsi="Arial"/>
          <w:sz w:val="18"/>
          <w:szCs w:val="18"/>
          <w:color w:val="auto"/>
        </w:rPr>
        <w:t>defined below) plus basis points (0. %),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Citigroup Global Markets Inc., Deutsche Bank Securities Inc., J.P. Morgan Securities LLC and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three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40" w:firstLine="8"/>
        <w:spacing w:after="0" w:line="271" w:lineRule="auto"/>
        <w:tabs>
          <w:tab w:leader="none" w:pos="252"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i w:val="1"/>
          <w:iCs w:val="1"/>
          <w:color w:val="auto"/>
        </w:rPr>
        <w:t xml:space="preserve">“Unencumbered Total Asset Value” </w:t>
      </w:r>
      <w:r>
        <w:rPr>
          <w:rFonts w:ascii="Arial" w:cs="Arial" w:eastAsia="Arial" w:hAnsi="Arial"/>
          <w:sz w:val="17"/>
          <w:szCs w:val="17"/>
          <w:color w:val="auto"/>
        </w:rPr>
        <w:t>as of any date means the sum of (a) those Undepreciated Real Estate Assets not encumbered by any mortgage, lien,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determining Unencumbered Total Asset Value for purposes of the covenant set forth above in “— Maintenance of Unencumbered Total Asset Value,” all investments by us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117" w:lineRule="exact"/>
        <w:rPr>
          <w:sz w:val="20"/>
          <w:szCs w:val="20"/>
          <w:color w:val="auto"/>
        </w:rPr>
      </w:pPr>
    </w:p>
    <w:p>
      <w:pPr>
        <w:ind w:right="5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firstLine="8"/>
        <w:spacing w:after="0" w:line="271"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70" w:lineRule="exact"/>
        <w:rPr>
          <w:rFonts w:ascii="Arial" w:cs="Arial" w:eastAsia="Arial" w:hAnsi="Arial"/>
          <w:sz w:val="17"/>
          <w:szCs w:val="17"/>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Legislation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these discussions are limited to beneficial owners of notes that are U.S. Holders.</w:t>
      </w:r>
    </w:p>
    <w:p>
      <w:pPr>
        <w:spacing w:after="0" w:line="17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Affecting Taxation of Our Company</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 xml:space="preserve">Reduction in Built-in Gains Period. </w:t>
      </w:r>
      <w:r>
        <w:rPr>
          <w:rFonts w:ascii="Arial" w:cs="Arial" w:eastAsia="Arial" w:hAnsi="Arial"/>
          <w:sz w:val="16"/>
          <w:szCs w:val="16"/>
          <w:color w:val="auto"/>
        </w:rPr>
        <w:t>For taxable years beginning in 2015 and later, the “built-in gains” period (i.e., the period during which gains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or disposition of property acquired by a REIT from a C corporation in a tax-free merger or other carryover basis transaction is subject to C corporation tax) is reduced from ten years to five years. Subsequent to the enactment of the PATH Act the IRS enacted temporary Treasury regulations that extended the “built-in gains” period with respect to REITs from five years back to 10 years, applicable to acquisitions of assets in which a REIT’s basis in an asset is determined by reference to the basis of the assets in the hands of the transferor C corporation that occur on or after August 8, 2016 and on or before February 17, 2017. Pursuant to recently finalized Treasury regulations, the five-year recognition period applies to transactions that occur after February 17, 2017, and taxpayers may also apply the five-year recognition period to transactions that occurred on or after August 8, 2016 and on or before February 17, 2017.</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the percentage of our total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represented by securities of one or more taxable REIT subsidiaries is reduced from 25% to 20%.</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Prohibited Transaction Safe Harbors</w:t>
      </w:r>
      <w:r>
        <w:rPr>
          <w:rFonts w:ascii="Arial" w:cs="Arial" w:eastAsia="Arial" w:hAnsi="Arial"/>
          <w:sz w:val="16"/>
          <w:szCs w:val="16"/>
          <w:color w:val="auto"/>
        </w:rPr>
        <w:t>. We are subject to a 100% tax on net income from “prohibited transactions,” i.e., sales of dealer property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w:t>
      </w:r>
    </w:p>
    <w:p>
      <w:pPr>
        <w:spacing w:after="0" w:line="2" w:lineRule="exact"/>
        <w:rPr>
          <w:sz w:val="20"/>
          <w:szCs w:val="20"/>
          <w:color w:val="auto"/>
        </w:rPr>
      </w:pPr>
    </w:p>
    <w:p>
      <w:pPr>
        <w:jc w:val="both"/>
        <w:ind w:right="260" w:firstLine="8"/>
        <w:spacing w:after="0" w:line="302" w:lineRule="auto"/>
        <w:tabs>
          <w:tab w:leader="none" w:pos="3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60" w:lineRule="exact"/>
        <w:rPr>
          <w:rFonts w:ascii="Arial" w:cs="Arial" w:eastAsia="Arial" w:hAnsi="Arial"/>
          <w:sz w:val="16"/>
          <w:szCs w:val="16"/>
          <w:color w:val="auto"/>
        </w:rPr>
      </w:pPr>
    </w:p>
    <w:p>
      <w:pPr>
        <w:ind w:left="900" w:right="380" w:hanging="325"/>
        <w:spacing w:after="0" w:line="31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52" w:lineRule="exact"/>
        <w:rPr>
          <w:rFonts w:ascii="Arial" w:cs="Arial" w:eastAsia="Arial" w:hAnsi="Arial"/>
          <w:sz w:val="16"/>
          <w:szCs w:val="16"/>
          <w:color w:val="auto"/>
        </w:rPr>
      </w:pPr>
    </w:p>
    <w:p>
      <w:pPr>
        <w:ind w:left="900" w:right="100" w:hanging="325"/>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For taxable years beginning after 2015, if we rely on clauses (II) or (III), marketing and development expenditures made through a taxable REIT subsidiary, as well as those made through an independent contractor, are included in the “substantially all” test described above.</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that is required to file annual and periodic reports with the Securities and Exchange Commission under the Securities Exchange Act of 1934. We are a publicly offered REIT.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Limitations on Designation of Dividends by REITs. </w:t>
      </w:r>
      <w:r>
        <w:rPr>
          <w:rFonts w:ascii="Arial" w:cs="Arial" w:eastAsia="Arial" w:hAnsi="Arial"/>
          <w:sz w:val="16"/>
          <w:szCs w:val="16"/>
          <w:color w:val="auto"/>
        </w:rPr>
        <w:t>The aggregate amount of dividends that we may designate as qualified dividend income or as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Debt Instruments of Publicly Offered REITs and Mortgages Treated as Real Estate Assets. </w:t>
      </w:r>
      <w:r>
        <w:rPr>
          <w:rFonts w:ascii="Arial" w:cs="Arial" w:eastAsia="Arial" w:hAnsi="Arial"/>
          <w:sz w:val="16"/>
          <w:szCs w:val="16"/>
          <w:color w:val="auto"/>
        </w:rPr>
        <w:t>The PATH Act provides that debt instruments issued by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Asset and Income Test Clarification Regarding Ancillary Personal Property. </w:t>
      </w:r>
      <w:r>
        <w:rPr>
          <w:rFonts w:ascii="Arial" w:cs="Arial" w:eastAsia="Arial" w:hAnsi="Arial"/>
          <w:sz w:val="16"/>
          <w:szCs w:val="16"/>
          <w:color w:val="auto"/>
        </w:rPr>
        <w:t>Rent attributable to personal property which is leased under,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Income from hedging transactions that hedge certain REIT liabilities and currency risks is disregarded in applying the gross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14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us that exceed our earnings and profits.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Treatment of Certain Services Provided by Taxable REIT Subsidiaries. </w:t>
      </w:r>
      <w:r>
        <w:rPr>
          <w:rFonts w:ascii="Arial" w:cs="Arial" w:eastAsia="Arial" w:hAnsi="Arial"/>
          <w:sz w:val="17"/>
          <w:szCs w:val="17"/>
          <w:color w:val="auto"/>
        </w:rPr>
        <w:t>For taxable years beginning after 2015, a 100% excise tax is imposed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we are domestically controlled for purposes of the exception to FIRPTA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rule generally does not apply to audits of taxable years beginning before January 1, 2018. The Treasury has recently issued proposed regulations providing details of the new audit provisions. However, the timing and content of final regulations remains uncertain.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Unless a non-recognition provision applies, upon the sale, exchange, redemption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 intermediaries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refer to ‘‘—Non-U.S. Holders—FATCA Regime’’ below.</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40" w:hanging="325"/>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FATCA Regime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sections 1471 through 1474 of the Code, Treasury regulations and related guidance (commonly referred to as “FATCA”), a 30%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withholding tax will be imposed in certain circumstances on payments of (i) interest on the notes and (ii) gross proceeds from a sale or other disposition of the notes (which includes redemption and retirement of the notes) occurring after December 31, 2018.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intend to offer the notes through the underwriters named below, for whom Citigroup Global Markets Inc., Deutsche Bank Securities Inc., J.P. Morgan Securities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160" w:type="dxa"/>
            <w:vAlign w:val="bottom"/>
            <w:gridSpan w:val="3"/>
          </w:tcPr>
          <w:p>
            <w:pPr>
              <w:ind w:left="2440"/>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 Markets Inc.</w:t>
            </w:r>
          </w:p>
        </w:tc>
        <w:tc>
          <w:tcPr>
            <w:tcW w:w="2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the notes to the public at the initial public offering price on the cover page of this prospectus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p>
      <w:pPr>
        <w:ind w:left="8860"/>
        <w:spacing w:after="0"/>
        <w:rPr>
          <w:sz w:val="20"/>
          <w:szCs w:val="20"/>
          <w:color w:val="auto"/>
        </w:rPr>
      </w:pPr>
      <w:r>
        <w:rPr>
          <w:rFonts w:ascii="Arial" w:cs="Arial" w:eastAsia="Arial" w:hAnsi="Arial"/>
          <w:sz w:val="14"/>
          <w:szCs w:val="14"/>
          <w:b w:val="1"/>
          <w:bCs w:val="1"/>
          <w:u w:val="single" w:color="auto"/>
          <w:color w:val="auto"/>
        </w:rPr>
        <w:t>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6350</wp:posOffset>
            </wp:positionV>
            <wp:extent cx="49225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ind w:left="1840"/>
        <w:spacing w:after="0"/>
        <w:tabs>
          <w:tab w:leader="none" w:pos="9360" w:val="left"/>
        </w:tabs>
        <w:rPr>
          <w:sz w:val="20"/>
          <w:szCs w:val="20"/>
          <w:color w:val="auto"/>
        </w:rPr>
      </w:pPr>
      <w:r>
        <w:rPr>
          <w:rFonts w:ascii="Arial" w:cs="Arial" w:eastAsia="Arial" w:hAnsi="Arial"/>
          <w:sz w:val="18"/>
          <w:szCs w:val="18"/>
          <w:color w:val="auto"/>
        </w:rPr>
        <w:t>Per note</w:t>
      </w:r>
      <w:r>
        <w:rPr>
          <w:sz w:val="20"/>
          <w:szCs w:val="20"/>
          <w:color w:val="auto"/>
        </w:rPr>
        <w:tab/>
      </w:r>
      <w:r>
        <w:rPr>
          <w:rFonts w:ascii="Arial" w:cs="Arial" w:eastAsia="Arial" w:hAnsi="Arial"/>
          <w:sz w:val="17"/>
          <w:szCs w:val="17"/>
          <w:color w:val="auto"/>
        </w:rPr>
        <w: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225" w:lineRule="exact"/>
        <w:rPr>
          <w:rFonts w:ascii="Arial" w:cs="Arial" w:eastAsia="Arial" w:hAnsi="Arial"/>
          <w:sz w:val="16"/>
          <w:szCs w:val="16"/>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sz w:val="20"/>
          <w:szCs w:val="20"/>
          <w:color w:val="auto"/>
        </w:rPr>
      </w:pPr>
    </w:p>
    <w:p>
      <w:pPr>
        <w:ind w:right="18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29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9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Miscellaneous</w:t>
            </w:r>
          </w:p>
        </w:tc>
        <w:tc>
          <w:tcPr>
            <w:tcW w:w="26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7"/>
        </w:trPr>
        <w:tc>
          <w:tcPr>
            <w:tcW w:w="4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w:t>
            </w:r>
          </w:p>
        </w:tc>
      </w:tr>
      <w:tr>
        <w:trPr>
          <w:trHeight w:val="20"/>
        </w:trPr>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 for the securities offered by this prospectus.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8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tcPr>
          <w:p>
            <w:pPr>
              <w:spacing w:after="0"/>
              <w:rPr>
                <w:sz w:val="16"/>
                <w:szCs w:val="16"/>
                <w:color w:val="auto"/>
              </w:rPr>
            </w:pPr>
          </w:p>
        </w:tc>
      </w:tr>
      <w:tr>
        <w:trPr>
          <w:trHeight w:val="30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1.2</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10"/>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3.1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30"/>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bl>
    <w:p>
      <w:pPr>
        <w:jc w:val="both"/>
        <w:ind w:left="1500" w:right="160"/>
        <w:spacing w:after="0" w:line="255" w:lineRule="auto"/>
        <w:rPr>
          <w:sz w:val="20"/>
          <w:szCs w:val="20"/>
          <w:color w:val="auto"/>
        </w:rPr>
      </w:pPr>
      <w:r>
        <w:rPr>
          <w:rFonts w:ascii="Arial" w:cs="Arial" w:eastAsia="Arial" w:hAnsi="Arial"/>
          <w:sz w:val="18"/>
          <w:szCs w:val="18"/>
          <w:color w:val="auto"/>
        </w:rPr>
        <w:t>Declaration of Trust of Federal Realty Investment Trust dated June 17, 2004, as amended by the Articles of Amendment of Declaration of Trust of Federal Realty Investment Trust dated May 6, 2009 (previously filed as Exhibit 3.1 to the Trust’s Registration Statement on Form S-3 (File No. 333-160009) and incorporated herein by reference)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tcPr>
          <w:p>
            <w:pPr>
              <w:spacing w:after="0"/>
              <w:rPr>
                <w:sz w:val="16"/>
                <w:szCs w:val="16"/>
                <w:color w:val="auto"/>
              </w:rPr>
            </w:pPr>
          </w:p>
        </w:tc>
      </w:tr>
      <w:tr>
        <w:trPr>
          <w:trHeight w:val="29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February 17, 2006 and May 6, 2009 (previously filed as Exhibit 3.2 to the Trust’s Registration Statement on Form S-3 (File No. 333-</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7"/>
              </w:rPr>
              <w:t>as Exhibit 4.1 to the Trust’s Current Report on Form 8-K filed on March 13, 2007, (File No. 1-07533) and incorporated herein by</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Notes due 2024 and 4.50% Notes due 2044 (previously filed as Exhibit 4(a) to the Trust’s Registration Statement on Form S-3 (File</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3140" w:hanging="5612"/>
        <w:spacing w:after="0" w:line="449"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51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left="460" w:right="4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40" w:firstLine="421"/>
        <w:spacing w:after="0" w:line="274" w:lineRule="auto"/>
        <w:tabs>
          <w:tab w:leader="none" w:pos="160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20" w:firstLine="443"/>
        <w:spacing w:after="0" w:line="277"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5620" w:right="80" w:hanging="4279"/>
        <w:spacing w:after="0" w:line="449" w:lineRule="auto"/>
        <w:tabs>
          <w:tab w:leader="none" w:pos="15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52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firstLine="421"/>
        <w:spacing w:after="0" w:line="277" w:lineRule="auto"/>
        <w:tabs>
          <w:tab w:leader="none" w:pos="16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78"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President, Chief Executive</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Officer and Trustee (principal executive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tcPr>
          <w:p>
            <w:pPr>
              <w:spacing w:after="0"/>
              <w:rPr>
                <w:sz w:val="16"/>
                <w:szCs w:val="16"/>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3"/>
              </w:rPr>
              <w:t>of Trust of Federal Realty Investment Trust dated May 6, 2009 (previously filed as Exhibit 3.1 to the Trust’s Registration Statement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333-160009)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February 17, 2006 and May 6, 2009 (previously filed as Exhibit 3.2 to the Trust’s Registration Statement on Form S-3 (File No. 333-</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7"/>
              </w:rPr>
              <w:t>as Exhibit 4.1 to the Trust’s Current Report on Form 8-K filed on March 13, 2007, (File No. 1-07533) and incorporated herein by</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Notes due 2024 and 4.50% Notes due 2044 (previously filed as Exhibit 4(a) to the Trust’s Registration Statement on Form S-3 (File</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65"/>
        </w:trPr>
        <w:tc>
          <w:tcPr>
            <w:tcW w:w="720" w:type="dxa"/>
            <w:vAlign w:val="bottom"/>
          </w:tcPr>
          <w:p>
            <w:pPr>
              <w:spacing w:after="0"/>
              <w:rPr>
                <w:sz w:val="24"/>
                <w:szCs w:val="24"/>
                <w:color w:val="auto"/>
              </w:rPr>
            </w:pPr>
          </w:p>
        </w:tc>
        <w:tc>
          <w:tcPr>
            <w:tcW w:w="5380" w:type="dxa"/>
            <w:vAlign w:val="bottom"/>
          </w:tcPr>
          <w:p>
            <w:pPr>
              <w:ind w:left="490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00" w:type="dxa"/>
            <w:vAlign w:val="bottom"/>
          </w:tcPr>
          <w:p>
            <w:pPr>
              <w:spacing w:after="0"/>
              <w:rPr>
                <w:sz w:val="16"/>
                <w:szCs w:val="16"/>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w w:val="92"/>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1959" w:hanging="5612"/>
        <w:spacing w:after="0" w:line="449"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56</w:t>
      </w:r>
    </w:p>
    <w:p>
      <w:pPr>
        <w:sectPr>
          <w:pgSz w:w="11900" w:h="16838" w:orient="portrait"/>
          <w:cols w:equalWidth="0" w:num="1">
            <w:col w:w="10219"/>
          </w:cols>
          <w:pgMar w:left="24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340360</wp:posOffset>
            </wp:positionV>
            <wp:extent cx="2195195" cy="866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951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40"/>
        <w:spacing w:after="0"/>
        <w:rPr>
          <w:sz w:val="20"/>
          <w:szCs w:val="20"/>
          <w:color w:val="auto"/>
        </w:rPr>
      </w:pPr>
      <w:r>
        <w:rPr>
          <w:rFonts w:ascii="Arial" w:cs="Arial" w:eastAsia="Arial" w:hAnsi="Arial"/>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30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Citigroup</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Deutsche Bank Securities</w:t>
      </w:r>
    </w:p>
    <w:p>
      <w:pPr>
        <w:spacing w:after="0" w:line="129"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J.P. Morgan</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20"/>
        <w:spacing w:after="0"/>
        <w:tabs>
          <w:tab w:leader="none" w:pos="5840" w:val="left"/>
        </w:tabs>
        <w:rPr>
          <w:sz w:val="20"/>
          <w:szCs w:val="20"/>
          <w:color w:val="auto"/>
        </w:rPr>
      </w:pPr>
      <w:r>
        <w:rPr>
          <w:rFonts w:ascii="Arial" w:cs="Arial" w:eastAsia="Arial" w:hAnsi="Arial"/>
          <w:sz w:val="18"/>
          <w:szCs w:val="18"/>
          <w:b w:val="1"/>
          <w:bCs w:val="1"/>
          <w:color w:val="auto"/>
        </w:rPr>
        <w:t>June</w:t>
      </w:r>
      <w:r>
        <w:rPr>
          <w:sz w:val="20"/>
          <w:szCs w:val="20"/>
          <w:color w:val="auto"/>
        </w:rPr>
        <w:tab/>
      </w: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lvl w:ilvl="1">
      <w:lvlJc w:val="left"/>
      <w:lvlText w:val="•"/>
      <w:numFmt w:val="bullet"/>
      <w:start w:val="1"/>
    </w:lvl>
  </w:abstractNum>
  <w:abstractNum w:abstractNumId="1">
    <w:nsid w:val="374A3FE6"/>
    <w:multiLevelType w:val="hybridMultilevel"/>
    <w:lvl w:ilvl="0">
      <w:lvlJc w:val="left"/>
      <w:lvlText w:val="(%1)"/>
      <w:numFmt w:val="lowerLetter"/>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4"/>
    </w:lvl>
  </w:abstractNum>
  <w:abstractNum w:abstractNumId="4">
    <w:nsid w:val="649BB77C"/>
    <w:multiLevelType w:val="hybridMultilevel"/>
    <w:lvl w:ilvl="0">
      <w:lvlJc w:val="left"/>
      <w:lvlText w:val="(%1)"/>
      <w:numFmt w:val="decimal"/>
      <w:start w:val="2"/>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lowerLetter"/>
      <w:start w:val="1"/>
    </w:lvl>
  </w:abstractNum>
  <w:abstractNum w:abstractNumId="9">
    <w:nsid w:val="235BA861"/>
    <w:multiLevelType w:val="hybridMultilevel"/>
    <w:lvl w:ilvl="0">
      <w:lvlJc w:val="left"/>
      <w:lvlText w:val="%1."/>
      <w:numFmt w:val="decimal"/>
      <w:start w:val="5"/>
    </w:lvl>
  </w:abstractNum>
  <w:abstractNum w:abstractNumId="10">
    <w:nsid w:val="47398C89"/>
    <w:multiLevelType w:val="hybridMultilevel"/>
    <w:lvl w:ilvl="0">
      <w:lvlJc w:val="left"/>
      <w:lvlText w:val="(%1)"/>
      <w:numFmt w:val="lowerLetter"/>
      <w:start w:val="1"/>
    </w:lvl>
  </w:abstractNum>
  <w:abstractNum w:abstractNumId="11">
    <w:nsid w:val="354FE9F9"/>
    <w:multiLevelType w:val="hybridMultilevel"/>
    <w:lvl w:ilvl="0">
      <w:lvlJc w:val="left"/>
      <w:lvlText w:val="(%1)"/>
      <w:numFmt w:val="lowerLetter"/>
      <w:start w:val="1"/>
    </w:lvl>
  </w:abstractNum>
  <w:abstractNum w:abstractNumId="12">
    <w:nsid w:val="15B5AF5C"/>
    <w:multiLevelType w:val="hybridMultilevel"/>
    <w:lvl w:ilvl="0">
      <w:lvlJc w:val="left"/>
      <w:lvlText w:val="(%1)"/>
      <w:numFmt w:val="lowerLetter"/>
      <w:start w:val="2"/>
    </w:lvl>
  </w:abstractNum>
  <w:abstractNum w:abstractNumId="13">
    <w:nsid w:val="741226BB"/>
    <w:multiLevelType w:val="hybridMultilevel"/>
    <w:lvl w:ilvl="0">
      <w:lvlJc w:val="left"/>
      <w:lvlText w:val="(%1)"/>
      <w:numFmt w:val="upperLetter"/>
      <w:start w:val="61"/>
    </w:lvl>
    <w:lvl w:ilvl="1">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lvl w:ilvl="1">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lowerLetter"/>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lvl w:ilvl="1">
      <w:lvlJc w:val="left"/>
      <w:lvlText w:val="•"/>
      <w:numFmt w:val="bullet"/>
      <w:start w:val="1"/>
    </w:lvl>
  </w:abstractNum>
  <w:abstractNum w:abstractNumId="36">
    <w:nsid w:val="6B94764"/>
    <w:multiLevelType w:val="hybridMultilevel"/>
    <w:lvl w:ilvl="0">
      <w:lvlJc w:val="left"/>
      <w:lvlText w:val="•"/>
      <w:numFmt w:val="bullet"/>
      <w:start w:val="1"/>
    </w:lvl>
    <w:lvl w:ilvl="1">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decimal"/>
      <w:start w:val="5"/>
    </w:lvl>
  </w:abstractNum>
  <w:abstractNum w:abstractNumId="45">
    <w:nsid w:val="613EFDC5"/>
    <w:multiLevelType w:val="hybridMultilevel"/>
    <w:lvl w:ilvl="0">
      <w:lvlJc w:val="left"/>
      <w:lvlText w:val="(%1)"/>
      <w:numFmt w:val="lowerLetter"/>
      <w:start w:val="1"/>
    </w:lvl>
  </w:abstractNum>
  <w:abstractNum w:abstractNumId="46">
    <w:nsid w:val="BF72B14"/>
    <w:multiLevelType w:val="hybridMultilevel"/>
    <w:lvl w:ilvl="0">
      <w:lvlJc w:val="left"/>
      <w:lvlText w:val="(%1)"/>
      <w:numFmt w:val="lowerLetter"/>
      <w:start w:val="2"/>
    </w:lvl>
  </w:abstractNum>
  <w:abstractNum w:abstractNumId="47">
    <w:nsid w:val="11447B73"/>
    <w:multiLevelType w:val="hybridMultilevel"/>
    <w:lvl w:ilvl="0">
      <w:lvlJc w:val="left"/>
      <w:lvlText w:val="(%1)"/>
      <w:numFmt w:val="lowerLetter"/>
      <w:start w:val="1"/>
    </w:lvl>
  </w:abstractNum>
  <w:abstractNum w:abstractNumId="48">
    <w:nsid w:val="42963E5A"/>
    <w:multiLevelType w:val="hybridMultilevel"/>
    <w:lvl w:ilvl="0">
      <w:lvlJc w:val="left"/>
      <w:lvlText w:val="(%1)"/>
      <w:numFmt w:val="lowerLetter"/>
      <w:start w:val="2"/>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lvl w:ilvl="1">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lvl w:ilvl="1">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lvl w:ilvl="1">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lvl w:ilvl="1">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emdash "/>
      <w:numFmt w:val="bullet"/>
      <w:start w:val="1"/>
    </w:lvl>
  </w:abstractNum>
  <w:abstractNum w:abstractNumId="87">
    <w:nsid w:val="50801EE1"/>
    <w:multiLevelType w:val="hybridMultilevel"/>
    <w:lvl w:ilvl="0">
      <w:lvlJc w:val="left"/>
      <w:lvlText w:val="•"/>
      <w:numFmt w:val="bullet"/>
      <w:start w:val="1"/>
    </w:lvl>
    <w:lvl w:ilvl="1">
      <w:lvlJc w:val="left"/>
      <w:lvlText w:val="•"/>
      <w:numFmt w:val="bullet"/>
      <w:start w:val="1"/>
    </w:lvl>
  </w:abstractNum>
  <w:abstractNum w:abstractNumId="88">
    <w:nsid w:val="488AC1A"/>
    <w:multiLevelType w:val="hybridMultilevel"/>
    <w:lvl w:ilvl="0">
      <w:lvlJc w:val="left"/>
      <w:lvlText w:val="(%1)"/>
      <w:numFmt w:val="lowerRoman"/>
      <w:start w:val="2"/>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lowerRoman"/>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decimal"/>
      <w:start w:val="2"/>
    </w:lvl>
  </w:abstractNum>
  <w:abstractNum w:abstractNumId="95">
    <w:nsid w:val="5F3534A4"/>
    <w:multiLevelType w:val="hybridMultilevel"/>
    <w:lvl w:ilvl="0">
      <w:lvlJc w:val="left"/>
      <w:lvlText w:val="(%1)"/>
      <w:numFmt w:val="decimal"/>
      <w:start w:val="4"/>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1">
    <w:nsid w:val="6A3DD3E8"/>
    <w:multiLevelType w:val="hybridMultilevel"/>
    <w:lvl w:ilvl="0">
      <w:lvlJc w:val="left"/>
      <w:lvlText w:val="(%1)"/>
      <w:numFmt w:val="decimal"/>
      <w:start w:val="2"/>
    </w:lvl>
    <w:lvl w:ilvl="1">
      <w:lvlJc w:val="left"/>
      <w:lvlText w:val="(%2)"/>
      <w:numFmt w:val="lowerRoman"/>
      <w:start w:val="1"/>
    </w:lvl>
  </w:abstractNum>
  <w:abstractNum w:abstractNumId="102">
    <w:nsid w:val="71C91298"/>
    <w:multiLevelType w:val="hybridMultilevel"/>
    <w:lvl w:ilvl="0">
      <w:lvlJc w:val="left"/>
      <w:lvlText w:val="(%1)"/>
      <w:numFmt w:val="lowerRoman"/>
      <w:start w:val="1"/>
    </w:lvl>
  </w:abstractNum>
  <w:abstractNum w:abstractNumId="103">
    <w:nsid w:val="9DAF632"/>
    <w:multiLevelType w:val="hybridMultilevel"/>
    <w:lvl w:ilvl="0">
      <w:lvlJc w:val="left"/>
      <w:lvlText w:val="%1"/>
      <w:numFmt w:val="lowerLetter"/>
      <w:start w:val="1"/>
    </w:lvl>
    <w:lvl w:ilvl="1">
      <w:lvlJc w:val="left"/>
      <w:lvlText w:val="(%2)"/>
      <w:numFmt w:val="lowerRoman"/>
      <w:start w:val="2"/>
    </w:lvl>
  </w:abstractNum>
  <w:abstractNum w:abstractNumId="104">
    <w:nsid w:val="53299938"/>
    <w:multiLevelType w:val="hybridMultilevel"/>
    <w:lvl w:ilvl="0">
      <w:lvlJc w:val="left"/>
      <w:lvlText w:val="(%1)"/>
      <w:numFmt w:val="lowerLetter"/>
      <w:start w:val="2"/>
    </w:lvl>
    <w:lvl w:ilvl="1">
      <w:lvlJc w:val="left"/>
      <w:lvlText w:val="%2"/>
      <w:numFmt w:val="lowerRoman"/>
      <w:start w:val="1"/>
    </w:lvl>
  </w:abstractNum>
  <w:abstractNum w:abstractNumId="105">
    <w:nsid w:val="1FBFE8E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2019-12-05T03:04:32Z</dcterms:created>
  <dcterms:modified xsi:type="dcterms:W3CDTF">2019-12-05T03:04:32Z</dcterms:modified>
</cp:coreProperties>
</file>