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151130</wp:posOffset>
            </wp:positionH>
            <wp:positionV relativeFrom="page">
              <wp:posOffset>151130</wp:posOffset>
            </wp:positionV>
            <wp:extent cx="725868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29210"/>
                    </a:xfrm>
                    <a:prstGeom prst="rect">
                      <a:avLst/>
                    </a:prstGeom>
                    <a:noFill/>
                  </pic:spPr>
                </pic:pic>
              </a:graphicData>
            </a:graphic>
          </wp:anchor>
        </w:drawing>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3000375</wp:posOffset>
            </wp:positionH>
            <wp:positionV relativeFrom="paragraph">
              <wp:posOffset>188595</wp:posOffset>
            </wp:positionV>
            <wp:extent cx="1256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3000375</wp:posOffset>
            </wp:positionH>
            <wp:positionV relativeFrom="paragraph">
              <wp:posOffset>203835</wp:posOffset>
            </wp:positionV>
            <wp:extent cx="1256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CURRENT REPORT</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77"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Date of Report (Date of earliest event reported) November 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3000375</wp:posOffset>
            </wp:positionH>
            <wp:positionV relativeFrom="paragraph">
              <wp:posOffset>200025</wp:posOffset>
            </wp:positionV>
            <wp:extent cx="1256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299"/>
        <w:spacing w:after="0"/>
        <w:rPr>
          <w:sz w:val="20"/>
          <w:szCs w:val="20"/>
          <w:color w:val="auto"/>
        </w:rPr>
      </w:pPr>
      <w:r>
        <w:rPr>
          <w:rFonts w:ascii="Arial" w:cs="Arial" w:eastAsia="Arial" w:hAnsi="Arial"/>
          <w:sz w:val="41"/>
          <w:szCs w:val="41"/>
          <w:b w:val="1"/>
          <w:bCs w:val="1"/>
          <w:color w:val="auto"/>
        </w:rPr>
        <w:t>Federal Realty Investment Trust</w:t>
      </w:r>
    </w:p>
    <w:p>
      <w:pPr>
        <w:spacing w:after="0" w:line="42" w:lineRule="exact"/>
        <w:rPr>
          <w:sz w:val="24"/>
          <w:szCs w:val="24"/>
          <w:color w:val="auto"/>
        </w:rPr>
      </w:pPr>
    </w:p>
    <w:p>
      <w:pPr>
        <w:jc w:val="center"/>
        <w:ind w:right="-2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3000375</wp:posOffset>
            </wp:positionH>
            <wp:positionV relativeFrom="paragraph">
              <wp:posOffset>179705</wp:posOffset>
            </wp:positionV>
            <wp:extent cx="1256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ectPr>
          <w:pgSz w:w="11900" w:h="16838" w:orient="portrait"/>
          <w:cols w:equalWidth="0" w:num="1">
            <w:col w:w="11140"/>
          </w:cols>
          <w:pgMar w:left="240" w:top="343" w:right="519" w:bottom="1440" w:gutter="0" w:footer="0" w:header="0"/>
        </w:sectPr>
      </w:pPr>
    </w:p>
    <w:p>
      <w:pPr>
        <w:spacing w:after="0" w:line="200" w:lineRule="exact"/>
        <w:rPr>
          <w:sz w:val="24"/>
          <w:szCs w:val="24"/>
          <w:color w:val="auto"/>
        </w:rPr>
      </w:pPr>
    </w:p>
    <w:p>
      <w:pPr>
        <w:spacing w:after="0" w:line="37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jc w:val="center"/>
        <w:ind w:right="236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52-0782497</w:t>
      </w:r>
    </w:p>
    <w:p>
      <w:pPr>
        <w:spacing w:after="0" w:line="58" w:lineRule="exact"/>
        <w:rPr>
          <w:sz w:val="24"/>
          <w:szCs w:val="24"/>
          <w:color w:val="auto"/>
        </w:rPr>
      </w:pPr>
    </w:p>
    <w:p>
      <w:pPr>
        <w:sectPr>
          <w:pgSz w:w="11900" w:h="16838" w:orient="portrait"/>
          <w:cols w:equalWidth="0" w:num="3">
            <w:col w:w="4840" w:space="720"/>
            <w:col w:w="2920" w:space="720"/>
            <w:col w:w="1940"/>
          </w:cols>
          <w:pgMar w:left="240" w:top="343" w:right="519" w:bottom="1440" w:gutter="0" w:footer="0" w:header="0"/>
          <w:type w:val="continuous"/>
        </w:sectPr>
      </w:pPr>
    </w:p>
    <w:p>
      <w:pPr>
        <w:spacing w:after="0" w:line="7" w:lineRule="exact"/>
        <w:rPr>
          <w:sz w:val="24"/>
          <w:szCs w:val="24"/>
          <w:color w:val="auto"/>
        </w:rPr>
      </w:pPr>
    </w:p>
    <w:p>
      <w:pPr>
        <w:jc w:val="center"/>
        <w:ind w:right="480"/>
        <w:spacing w:after="0"/>
        <w:rPr>
          <w:sz w:val="20"/>
          <w:szCs w:val="20"/>
          <w:color w:val="auto"/>
        </w:rPr>
      </w:pPr>
      <w:r>
        <w:rPr>
          <w:rFonts w:ascii="Arial" w:cs="Arial" w:eastAsia="Arial" w:hAnsi="Arial"/>
          <w:sz w:val="11"/>
          <w:szCs w:val="11"/>
          <w:b w:val="1"/>
          <w:bCs w:val="1"/>
          <w:color w:val="auto"/>
        </w:rPr>
        <w:t>(State or other jurisdiction</w:t>
      </w:r>
    </w:p>
    <w:p>
      <w:pPr>
        <w:spacing w:after="0" w:line="16" w:lineRule="exact"/>
        <w:rPr>
          <w:sz w:val="24"/>
          <w:szCs w:val="24"/>
          <w:color w:val="auto"/>
        </w:rPr>
      </w:pPr>
    </w:p>
    <w:p>
      <w:pPr>
        <w:jc w:val="center"/>
        <w:ind w:right="4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3"/>
          <w:szCs w:val="13"/>
          <w:b w:val="1"/>
          <w:bCs w:val="1"/>
          <w:color w:val="auto"/>
        </w:rPr>
        <w:t>(IRS Employer</w:t>
      </w:r>
    </w:p>
    <w:p>
      <w:pPr>
        <w:jc w:val="center"/>
        <w:ind w:right="1040"/>
        <w:spacing w:after="0"/>
        <w:rPr>
          <w:sz w:val="20"/>
          <w:szCs w:val="20"/>
          <w:color w:val="auto"/>
        </w:rPr>
      </w:pPr>
      <w:r>
        <w:rPr>
          <w:rFonts w:ascii="Arial" w:cs="Arial" w:eastAsia="Arial" w:hAnsi="Arial"/>
          <w:sz w:val="11"/>
          <w:szCs w:val="11"/>
          <w:b w:val="1"/>
          <w:bCs w:val="1"/>
          <w:color w:val="auto"/>
        </w:rPr>
        <w:t>Identification No.)</w:t>
      </w:r>
    </w:p>
    <w:p>
      <w:pPr>
        <w:spacing w:after="0" w:line="204" w:lineRule="exact"/>
        <w:rPr>
          <w:sz w:val="24"/>
          <w:szCs w:val="24"/>
          <w:color w:val="auto"/>
        </w:rPr>
      </w:pPr>
    </w:p>
    <w:p>
      <w:pPr>
        <w:sectPr>
          <w:pgSz w:w="11900" w:h="16838" w:orient="portrait"/>
          <w:cols w:equalWidth="0" w:num="3">
            <w:col w:w="4380" w:space="720"/>
            <w:col w:w="3280" w:space="720"/>
            <w:col w:w="2040"/>
          </w:cols>
          <w:pgMar w:left="240" w:top="343" w:right="519" w:bottom="1440" w:gutter="0" w:footer="0" w:header="0"/>
          <w:type w:val="continuous"/>
        </w:sectPr>
      </w:pPr>
    </w:p>
    <w:p>
      <w:pPr>
        <w:ind w:left="116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20852-4041</w:t>
      </w:r>
    </w:p>
    <w:p>
      <w:pPr>
        <w:spacing w:after="0" w:line="65" w:lineRule="exact"/>
        <w:rPr>
          <w:sz w:val="24"/>
          <w:szCs w:val="24"/>
          <w:color w:val="auto"/>
        </w:rPr>
      </w:pPr>
    </w:p>
    <w:p>
      <w:pPr>
        <w:sectPr>
          <w:pgSz w:w="11900" w:h="16838" w:orient="portrait"/>
          <w:cols w:equalWidth="0" w:num="2">
            <w:col w:w="7560" w:space="720"/>
            <w:col w:w="2860"/>
          </w:cols>
          <w:pgMar w:left="240" w:top="343" w:right="519" w:bottom="1440" w:gutter="0" w:footer="0" w:header="0"/>
          <w:type w:val="continuous"/>
        </w:sectPr>
      </w:pPr>
    </w:p>
    <w:p>
      <w:pPr>
        <w:ind w:left="18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55" w:lineRule="exact"/>
        <w:rPr>
          <w:sz w:val="24"/>
          <w:szCs w:val="24"/>
          <w:color w:val="auto"/>
        </w:rPr>
      </w:pPr>
    </w:p>
    <w:p>
      <w:pPr>
        <w:sectPr>
          <w:pgSz w:w="11900" w:h="16838" w:orient="portrait"/>
          <w:cols w:equalWidth="0" w:num="2">
            <w:col w:w="7680" w:space="720"/>
            <w:col w:w="2740"/>
          </w:cols>
          <w:pgMar w:left="240" w:top="343" w:right="519" w:bottom="1440" w:gutter="0" w:footer="0" w:header="0"/>
          <w:type w:val="continuous"/>
        </w:sectPr>
      </w:pPr>
    </w:p>
    <w:p>
      <w:pPr>
        <w:jc w:val="center"/>
        <w:ind w:right="-279"/>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3000375</wp:posOffset>
            </wp:positionH>
            <wp:positionV relativeFrom="paragraph">
              <wp:posOffset>200025</wp:posOffset>
            </wp:positionV>
            <wp:extent cx="1256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440" w:hanging="438"/>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0" w:lineRule="exact"/>
        <w:rPr>
          <w:rFonts w:ascii="MS PGothic" w:cs="MS PGothic" w:eastAsia="MS PGothic" w:hAnsi="MS PGothic"/>
          <w:sz w:val="17"/>
          <w:szCs w:val="17"/>
          <w:color w:val="auto"/>
        </w:rPr>
      </w:pPr>
    </w:p>
    <w:p>
      <w:pPr>
        <w:ind w:left="440" w:hanging="438"/>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0" w:lineRule="exact"/>
        <w:rPr>
          <w:rFonts w:ascii="MS PGothic" w:cs="MS PGothic" w:eastAsia="MS PGothic" w:hAnsi="MS PGothic"/>
          <w:sz w:val="17"/>
          <w:szCs w:val="17"/>
          <w:color w:val="auto"/>
        </w:rPr>
      </w:pPr>
    </w:p>
    <w:p>
      <w:pPr>
        <w:ind w:left="440" w:hanging="438"/>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0" w:lineRule="exact"/>
        <w:rPr>
          <w:rFonts w:ascii="MS PGothic" w:cs="MS PGothic" w:eastAsia="MS PGothic" w:hAnsi="MS PGothic"/>
          <w:sz w:val="17"/>
          <w:szCs w:val="17"/>
          <w:color w:val="auto"/>
        </w:rPr>
      </w:pPr>
    </w:p>
    <w:p>
      <w:pPr>
        <w:ind w:left="440" w:hanging="438"/>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8685"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9210"/>
                    </a:xfrm>
                    <a:prstGeom prst="rect">
                      <a:avLst/>
                    </a:prstGeom>
                    <a:noFill/>
                  </pic:spPr>
                </pic:pic>
              </a:graphicData>
            </a:graphic>
          </wp:anchor>
        </w:drawing>
      </w:r>
    </w:p>
    <w:p>
      <w:pPr>
        <w:sectPr>
          <w:pgSz w:w="11900" w:h="16838" w:orient="portrait"/>
          <w:cols w:equalWidth="0" w:num="1">
            <w:col w:w="11140"/>
          </w:cols>
          <w:pgMar w:left="240" w:top="343"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195" cy="26670"/>
                    </a:xfrm>
                    <a:prstGeom prst="rect">
                      <a:avLst/>
                    </a:prstGeom>
                    <a:noFill/>
                  </pic:spPr>
                </pic:pic>
              </a:graphicData>
            </a:graphic>
          </wp:anchor>
        </w:drawing>
        <w:t>Item 2.02. Results of Operations and Financial Condition.</w:t>
      </w:r>
    </w:p>
    <w:p>
      <w:pPr>
        <w:spacing w:after="0" w:line="8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2"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On November 6, 2006, Federal Realty Investment Trust issued supplemental data pertaining to its operations, as well as a press release, to report its financial results for the quarter ended September 30, 2006. The supplemental data and press release are furnished as Exhibit 99.1 hereto.</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89" w:lineRule="exact"/>
        <w:rPr>
          <w:sz w:val="20"/>
          <w:szCs w:val="20"/>
          <w:color w:val="auto"/>
        </w:rPr>
      </w:pPr>
    </w:p>
    <w:p>
      <w:pPr>
        <w:ind w:left="900" w:hanging="451"/>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85"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3"/>
          <w:szCs w:val="13"/>
          <w:color w:val="auto"/>
        </w:rPr>
        <w:t>Supplemental information at September 30, 2006 (including press release dated November 6, 2006)</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67"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26670"/>
                    </a:xfrm>
                    <a:prstGeom prst="rect">
                      <a:avLst/>
                    </a:prstGeom>
                    <a:noFill/>
                  </pic:spPr>
                </pic:pic>
              </a:graphicData>
            </a:graphic>
          </wp:anchor>
        </w:drawing>
        <w:t>SIGNATURES</w:t>
      </w:r>
    </w:p>
    <w:p>
      <w:pPr>
        <w:spacing w:after="0" w:line="16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17"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November 6, 2006</w:t>
      </w:r>
      <w:r>
        <w:rPr>
          <w:sz w:val="20"/>
          <w:szCs w:val="20"/>
          <w:color w:val="auto"/>
        </w:rPr>
        <w:tab/>
      </w:r>
      <w:r>
        <w:rPr>
          <w:rFonts w:ascii="Arial" w:cs="Arial" w:eastAsia="Arial" w:hAnsi="Arial"/>
          <w:sz w:val="15"/>
          <w:szCs w:val="15"/>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10795</wp:posOffset>
            </wp:positionV>
            <wp:extent cx="3550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Larry E. Finger</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67" w:right="259" w:bottom="1440" w:gutter="0" w:footer="0" w:header="0"/>
        </w:sectPr>
      </w:pPr>
    </w:p>
    <w:bookmarkStart w:id="3" w:name="page4"/>
    <w:bookmarkEnd w:id="3"/>
    <w:p>
      <w:pPr>
        <w:jc w:val="right"/>
        <w:ind w:right="38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26670"/>
                    </a:xfrm>
                    <a:prstGeom prst="rect">
                      <a:avLst/>
                    </a:prstGeom>
                    <a:noFill/>
                  </pic:spPr>
                </pic:pic>
              </a:graphicData>
            </a:graphic>
          </wp:anchor>
        </w:drawing>
        <w:t>EXHIBIT INDEX</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u w:val="single" w:color="auto"/>
          <w:color w:val="auto"/>
        </w:rPr>
        <w:t>Exh No.</w:t>
      </w:r>
      <w:r>
        <w:rPr>
          <w:sz w:val="20"/>
          <w:szCs w:val="20"/>
          <w:color w:val="auto"/>
        </w:rPr>
        <w:tab/>
      </w:r>
      <w:r>
        <w:rPr>
          <w:rFonts w:ascii="Arial" w:cs="Arial" w:eastAsia="Arial" w:hAnsi="Arial"/>
          <w:sz w:val="11"/>
          <w:szCs w:val="11"/>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10795</wp:posOffset>
            </wp:positionV>
            <wp:extent cx="6840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9"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September 30, 2006</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27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2006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760" w:type="dxa"/>
            <w:vAlign w:val="bottom"/>
          </w:tcPr>
          <w:p>
            <w:pPr>
              <w:jc w:val="right"/>
              <w:ind w:right="4737"/>
              <w:spacing w:after="0"/>
              <w:rPr>
                <w:sz w:val="20"/>
                <w:szCs w:val="20"/>
                <w:color w:val="auto"/>
              </w:rPr>
            </w:pPr>
            <w:r>
              <w:rPr>
                <w:rFonts w:ascii="Arial" w:cs="Arial" w:eastAsia="Arial" w:hAnsi="Arial"/>
                <w:sz w:val="17"/>
                <w:szCs w:val="17"/>
                <w:b w:val="1"/>
                <w:bCs w:val="1"/>
                <w:color w:val="auto"/>
              </w:rPr>
              <w:t>TABLE OF CONTENTS</w:t>
            </w:r>
          </w:p>
        </w:tc>
      </w:tr>
      <w:tr>
        <w:trPr>
          <w:trHeight w:val="396"/>
        </w:trPr>
        <w:tc>
          <w:tcPr>
            <w:tcW w:w="220" w:type="dxa"/>
            <w:vAlign w:val="bottom"/>
          </w:tcPr>
          <w:p>
            <w:pPr>
              <w:jc w:val="right"/>
              <w:ind w:right="17"/>
              <w:spacing w:after="0"/>
              <w:rPr>
                <w:sz w:val="20"/>
                <w:szCs w:val="20"/>
                <w:color w:val="auto"/>
              </w:rPr>
            </w:pPr>
            <w:r>
              <w:rPr>
                <w:rFonts w:ascii="Arial" w:cs="Arial" w:eastAsia="Arial" w:hAnsi="Arial"/>
                <w:sz w:val="17"/>
                <w:szCs w:val="17"/>
                <w:color w:val="auto"/>
                <w:w w:val="70"/>
              </w:rPr>
              <w:t>1.</w:t>
            </w:r>
          </w:p>
        </w:tc>
        <w:tc>
          <w:tcPr>
            <w:tcW w:w="4440" w:type="dxa"/>
            <w:vAlign w:val="bottom"/>
          </w:tcPr>
          <w:p>
            <w:pPr>
              <w:ind w:left="80"/>
              <w:spacing w:after="0"/>
              <w:rPr>
                <w:sz w:val="20"/>
                <w:szCs w:val="20"/>
                <w:color w:val="auto"/>
              </w:rPr>
            </w:pPr>
            <w:r>
              <w:rPr>
                <w:rFonts w:ascii="Arial" w:cs="Arial" w:eastAsia="Arial" w:hAnsi="Arial"/>
                <w:sz w:val="17"/>
                <w:szCs w:val="17"/>
                <w:color w:val="auto"/>
              </w:rPr>
              <w:t>Third Quarter 2006 Earnings Press Release</w:t>
            </w:r>
          </w:p>
        </w:tc>
        <w:tc>
          <w:tcPr>
            <w:tcW w:w="6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99"/>
        </w:trPr>
        <w:tc>
          <w:tcPr>
            <w:tcW w:w="220" w:type="dxa"/>
            <w:vAlign w:val="bottom"/>
          </w:tcPr>
          <w:p>
            <w:pPr>
              <w:jc w:val="right"/>
              <w:ind w:right="17"/>
              <w:spacing w:after="0"/>
              <w:rPr>
                <w:sz w:val="20"/>
                <w:szCs w:val="20"/>
                <w:color w:val="auto"/>
              </w:rPr>
            </w:pPr>
            <w:r>
              <w:rPr>
                <w:rFonts w:ascii="Arial" w:cs="Arial" w:eastAsia="Arial" w:hAnsi="Arial"/>
                <w:sz w:val="17"/>
                <w:szCs w:val="17"/>
                <w:color w:val="auto"/>
                <w:w w:val="70"/>
              </w:rPr>
              <w:t>2.</w:t>
            </w:r>
          </w:p>
        </w:tc>
        <w:tc>
          <w:tcPr>
            <w:tcW w:w="4440" w:type="dxa"/>
            <w:vAlign w:val="bottom"/>
          </w:tcPr>
          <w:p>
            <w:pPr>
              <w:ind w:left="80"/>
              <w:spacing w:after="0"/>
              <w:rPr>
                <w:sz w:val="20"/>
                <w:szCs w:val="20"/>
                <w:color w:val="auto"/>
              </w:rPr>
            </w:pPr>
            <w:r>
              <w:rPr>
                <w:rFonts w:ascii="Arial" w:cs="Arial" w:eastAsia="Arial" w:hAnsi="Arial"/>
                <w:sz w:val="17"/>
                <w:szCs w:val="17"/>
                <w:color w:val="auto"/>
              </w:rPr>
              <w:t>Financial Highlights</w:t>
            </w:r>
          </w:p>
        </w:tc>
        <w:tc>
          <w:tcPr>
            <w:tcW w:w="6760" w:type="dxa"/>
            <w:vAlign w:val="bottom"/>
          </w:tcPr>
          <w:p>
            <w:pPr>
              <w:spacing w:after="0"/>
              <w:rPr>
                <w:sz w:val="24"/>
                <w:szCs w:val="24"/>
                <w:color w:val="auto"/>
              </w:rPr>
            </w:pPr>
          </w:p>
        </w:tc>
      </w:tr>
      <w:tr>
        <w:trPr>
          <w:trHeight w:val="204"/>
        </w:trPr>
        <w:tc>
          <w:tcPr>
            <w:tcW w:w="220" w:type="dxa"/>
            <w:vAlign w:val="bottom"/>
          </w:tcPr>
          <w:p>
            <w:pPr>
              <w:spacing w:after="0"/>
              <w:rPr>
                <w:sz w:val="17"/>
                <w:szCs w:val="17"/>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Summarized Operating Results</w:t>
            </w:r>
          </w:p>
        </w:tc>
        <w:tc>
          <w:tcPr>
            <w:tcW w:w="67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4"/>
        </w:trPr>
        <w:tc>
          <w:tcPr>
            <w:tcW w:w="220" w:type="dxa"/>
            <w:vAlign w:val="bottom"/>
          </w:tcPr>
          <w:p>
            <w:pPr>
              <w:spacing w:after="0"/>
              <w:rPr>
                <w:sz w:val="17"/>
                <w:szCs w:val="17"/>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Summarized Balance Sheets</w:t>
            </w:r>
          </w:p>
        </w:tc>
        <w:tc>
          <w:tcPr>
            <w:tcW w:w="67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220" w:type="dxa"/>
            <w:vAlign w:val="bottom"/>
          </w:tcPr>
          <w:p>
            <w:pPr>
              <w:spacing w:after="0"/>
              <w:rPr>
                <w:sz w:val="17"/>
                <w:szCs w:val="17"/>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w w:val="92"/>
              </w:rPr>
              <w:t>Funds From Operations / Summary of Capital Expenditures</w:t>
            </w:r>
          </w:p>
        </w:tc>
        <w:tc>
          <w:tcPr>
            <w:tcW w:w="67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220" w:type="dxa"/>
            <w:vAlign w:val="bottom"/>
          </w:tcPr>
          <w:p>
            <w:pPr>
              <w:spacing w:after="0"/>
              <w:rPr>
                <w:sz w:val="17"/>
                <w:szCs w:val="17"/>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Market Data</w:t>
            </w:r>
          </w:p>
        </w:tc>
        <w:tc>
          <w:tcPr>
            <w:tcW w:w="67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2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Components of Rental Income</w:t>
            </w:r>
          </w:p>
        </w:tc>
        <w:tc>
          <w:tcPr>
            <w:tcW w:w="676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94" w:lineRule="exact"/>
        <w:rPr>
          <w:sz w:val="20"/>
          <w:szCs w:val="20"/>
          <w:color w:val="auto"/>
        </w:rPr>
      </w:pPr>
    </w:p>
    <w:p>
      <w:pPr>
        <w:ind w:left="300" w:hanging="298"/>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7680" w:type="dxa"/>
            <w:vAlign w:val="bottom"/>
          </w:tcPr>
          <w:p>
            <w:pPr>
              <w:ind w:left="260"/>
              <w:spacing w:after="0"/>
              <w:rPr>
                <w:sz w:val="20"/>
                <w:szCs w:val="20"/>
                <w:color w:val="auto"/>
              </w:rPr>
            </w:pPr>
            <w:r>
              <w:rPr>
                <w:rFonts w:ascii="Arial" w:cs="Arial" w:eastAsia="Arial" w:hAnsi="Arial"/>
                <w:sz w:val="17"/>
                <w:szCs w:val="17"/>
                <w:color w:val="auto"/>
              </w:rPr>
              <w:t>Summary of Outstanding Debt and Capital Lease Obligations</w:t>
            </w:r>
          </w:p>
        </w:tc>
        <w:tc>
          <w:tcPr>
            <w:tcW w:w="34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26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Arial" w:cs="Arial" w:eastAsia="Arial" w:hAnsi="Arial"/>
                <w:sz w:val="17"/>
                <w:szCs w:val="17"/>
                <w:color w:val="auto"/>
              </w:rPr>
              <w:t>Summary of Debt Maturities</w:t>
            </w:r>
          </w:p>
        </w:tc>
        <w:tc>
          <w:tcPr>
            <w:tcW w:w="34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4.</w:t>
            </w:r>
          </w:p>
        </w:tc>
        <w:tc>
          <w:tcPr>
            <w:tcW w:w="7680" w:type="dxa"/>
            <w:vAlign w:val="bottom"/>
          </w:tcPr>
          <w:p>
            <w:pPr>
              <w:ind w:left="40"/>
              <w:spacing w:after="0"/>
              <w:rPr>
                <w:sz w:val="20"/>
                <w:szCs w:val="20"/>
                <w:color w:val="auto"/>
              </w:rPr>
            </w:pPr>
            <w:r>
              <w:rPr>
                <w:rFonts w:ascii="Arial" w:cs="Arial" w:eastAsia="Arial" w:hAnsi="Arial"/>
                <w:sz w:val="17"/>
                <w:szCs w:val="17"/>
                <w:color w:val="auto"/>
              </w:rPr>
              <w:t>Summary of Redevelopment Opportunities</w:t>
            </w:r>
          </w:p>
        </w:tc>
        <w:tc>
          <w:tcPr>
            <w:tcW w:w="34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5.</w:t>
            </w:r>
          </w:p>
        </w:tc>
        <w:tc>
          <w:tcPr>
            <w:tcW w:w="7680" w:type="dxa"/>
            <w:vAlign w:val="bottom"/>
          </w:tcPr>
          <w:p>
            <w:pPr>
              <w:ind w:left="40"/>
              <w:spacing w:after="0"/>
              <w:rPr>
                <w:sz w:val="20"/>
                <w:szCs w:val="20"/>
                <w:color w:val="auto"/>
              </w:rPr>
            </w:pPr>
            <w:r>
              <w:rPr>
                <w:rFonts w:ascii="Arial" w:cs="Arial" w:eastAsia="Arial" w:hAnsi="Arial"/>
                <w:sz w:val="17"/>
                <w:szCs w:val="17"/>
                <w:color w:val="auto"/>
              </w:rPr>
              <w:t>Santana Row Summary</w:t>
            </w:r>
          </w:p>
        </w:tc>
        <w:tc>
          <w:tcPr>
            <w:tcW w:w="34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6.</w:t>
            </w:r>
          </w:p>
        </w:tc>
        <w:tc>
          <w:tcPr>
            <w:tcW w:w="7680" w:type="dxa"/>
            <w:vAlign w:val="bottom"/>
          </w:tcPr>
          <w:p>
            <w:pPr>
              <w:ind w:left="40"/>
              <w:spacing w:after="0"/>
              <w:rPr>
                <w:sz w:val="20"/>
                <w:szCs w:val="20"/>
                <w:color w:val="auto"/>
              </w:rPr>
            </w:pPr>
            <w:r>
              <w:rPr>
                <w:rFonts w:ascii="Arial" w:cs="Arial" w:eastAsia="Arial" w:hAnsi="Arial"/>
                <w:sz w:val="17"/>
                <w:szCs w:val="17"/>
                <w:color w:val="auto"/>
              </w:rPr>
              <w:t>2006 Significant Acquisitions and Dispositions</w:t>
            </w:r>
          </w:p>
        </w:tc>
        <w:tc>
          <w:tcPr>
            <w:tcW w:w="34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7.</w:t>
            </w:r>
          </w:p>
        </w:tc>
        <w:tc>
          <w:tcPr>
            <w:tcW w:w="7680" w:type="dxa"/>
            <w:vAlign w:val="bottom"/>
          </w:tcPr>
          <w:p>
            <w:pPr>
              <w:ind w:left="40"/>
              <w:spacing w:after="0"/>
              <w:rPr>
                <w:sz w:val="20"/>
                <w:szCs w:val="20"/>
                <w:color w:val="auto"/>
              </w:rPr>
            </w:pPr>
            <w:r>
              <w:rPr>
                <w:rFonts w:ascii="Arial" w:cs="Arial" w:eastAsia="Arial" w:hAnsi="Arial"/>
                <w:sz w:val="17"/>
                <w:szCs w:val="17"/>
                <w:color w:val="auto"/>
              </w:rPr>
              <w:t>Real Estate Status Report</w:t>
            </w:r>
          </w:p>
        </w:tc>
        <w:tc>
          <w:tcPr>
            <w:tcW w:w="34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8.</w:t>
            </w:r>
          </w:p>
        </w:tc>
        <w:tc>
          <w:tcPr>
            <w:tcW w:w="7680" w:type="dxa"/>
            <w:vAlign w:val="bottom"/>
          </w:tcPr>
          <w:p>
            <w:pPr>
              <w:ind w:left="40"/>
              <w:spacing w:after="0"/>
              <w:rPr>
                <w:sz w:val="20"/>
                <w:szCs w:val="20"/>
                <w:color w:val="auto"/>
              </w:rPr>
            </w:pPr>
            <w:r>
              <w:rPr>
                <w:rFonts w:ascii="Arial" w:cs="Arial" w:eastAsia="Arial" w:hAnsi="Arial"/>
                <w:sz w:val="17"/>
                <w:szCs w:val="17"/>
                <w:color w:val="auto"/>
              </w:rPr>
              <w:t>Retail Leasing Summary</w:t>
            </w:r>
          </w:p>
        </w:tc>
        <w:tc>
          <w:tcPr>
            <w:tcW w:w="3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9.</w:t>
            </w:r>
          </w:p>
        </w:tc>
        <w:tc>
          <w:tcPr>
            <w:tcW w:w="7680" w:type="dxa"/>
            <w:vAlign w:val="bottom"/>
          </w:tcPr>
          <w:p>
            <w:pPr>
              <w:ind w:left="40"/>
              <w:spacing w:after="0"/>
              <w:rPr>
                <w:sz w:val="20"/>
                <w:szCs w:val="20"/>
                <w:color w:val="auto"/>
              </w:rPr>
            </w:pPr>
            <w:r>
              <w:rPr>
                <w:rFonts w:ascii="Arial" w:cs="Arial" w:eastAsia="Arial" w:hAnsi="Arial"/>
                <w:sz w:val="17"/>
                <w:szCs w:val="17"/>
                <w:color w:val="auto"/>
              </w:rPr>
              <w:t>Lease Expirations</w:t>
            </w:r>
          </w:p>
        </w:tc>
        <w:tc>
          <w:tcPr>
            <w:tcW w:w="34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10.</w:t>
            </w:r>
          </w:p>
        </w:tc>
        <w:tc>
          <w:tcPr>
            <w:tcW w:w="7680" w:type="dxa"/>
            <w:vAlign w:val="bottom"/>
          </w:tcPr>
          <w:p>
            <w:pPr>
              <w:ind w:left="40"/>
              <w:spacing w:after="0"/>
              <w:rPr>
                <w:sz w:val="20"/>
                <w:szCs w:val="20"/>
                <w:color w:val="auto"/>
              </w:rPr>
            </w:pPr>
            <w:r>
              <w:rPr>
                <w:rFonts w:ascii="Arial" w:cs="Arial" w:eastAsia="Arial" w:hAnsi="Arial"/>
                <w:sz w:val="17"/>
                <w:szCs w:val="17"/>
                <w:color w:val="auto"/>
              </w:rPr>
              <w:t>Portfolio Leased Statistics</w:t>
            </w:r>
          </w:p>
        </w:tc>
        <w:tc>
          <w:tcPr>
            <w:tcW w:w="34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11.</w:t>
            </w:r>
          </w:p>
        </w:tc>
        <w:tc>
          <w:tcPr>
            <w:tcW w:w="7680" w:type="dxa"/>
            <w:vAlign w:val="bottom"/>
          </w:tcPr>
          <w:p>
            <w:pPr>
              <w:ind w:left="40"/>
              <w:spacing w:after="0"/>
              <w:rPr>
                <w:sz w:val="20"/>
                <w:szCs w:val="20"/>
                <w:color w:val="auto"/>
              </w:rPr>
            </w:pPr>
            <w:r>
              <w:rPr>
                <w:rFonts w:ascii="Arial" w:cs="Arial" w:eastAsia="Arial" w:hAnsi="Arial"/>
                <w:sz w:val="17"/>
                <w:szCs w:val="17"/>
                <w:color w:val="auto"/>
              </w:rPr>
              <w:t>Summary of Top 25 Tenants</w:t>
            </w:r>
          </w:p>
        </w:tc>
        <w:tc>
          <w:tcPr>
            <w:tcW w:w="34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12.</w:t>
            </w:r>
          </w:p>
        </w:tc>
        <w:tc>
          <w:tcPr>
            <w:tcW w:w="7680" w:type="dxa"/>
            <w:vAlign w:val="bottom"/>
          </w:tcPr>
          <w:p>
            <w:pPr>
              <w:ind w:left="40"/>
              <w:spacing w:after="0"/>
              <w:rPr>
                <w:sz w:val="20"/>
                <w:szCs w:val="20"/>
                <w:color w:val="auto"/>
              </w:rPr>
            </w:pPr>
            <w:r>
              <w:rPr>
                <w:rFonts w:ascii="Arial" w:cs="Arial" w:eastAsia="Arial" w:hAnsi="Arial"/>
                <w:sz w:val="17"/>
                <w:szCs w:val="17"/>
                <w:color w:val="auto"/>
              </w:rPr>
              <w:t>Reconciliation of Net Income to FFO Guidance</w:t>
            </w:r>
          </w:p>
        </w:tc>
        <w:tc>
          <w:tcPr>
            <w:tcW w:w="34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99"/>
        </w:trPr>
        <w:tc>
          <w:tcPr>
            <w:tcW w:w="260" w:type="dxa"/>
            <w:vAlign w:val="bottom"/>
          </w:tcPr>
          <w:p>
            <w:pPr>
              <w:spacing w:after="0"/>
              <w:rPr>
                <w:sz w:val="20"/>
                <w:szCs w:val="20"/>
                <w:color w:val="auto"/>
              </w:rPr>
            </w:pPr>
            <w:r>
              <w:rPr>
                <w:rFonts w:ascii="Arial" w:cs="Arial" w:eastAsia="Arial" w:hAnsi="Arial"/>
                <w:sz w:val="17"/>
                <w:szCs w:val="17"/>
                <w:color w:val="auto"/>
              </w:rPr>
              <w:t>13.</w:t>
            </w:r>
          </w:p>
        </w:tc>
        <w:tc>
          <w:tcPr>
            <w:tcW w:w="7680" w:type="dxa"/>
            <w:vAlign w:val="bottom"/>
          </w:tcPr>
          <w:p>
            <w:pPr>
              <w:ind w:left="40"/>
              <w:spacing w:after="0"/>
              <w:rPr>
                <w:sz w:val="20"/>
                <w:szCs w:val="20"/>
                <w:color w:val="auto"/>
              </w:rPr>
            </w:pPr>
            <w:r>
              <w:rPr>
                <w:rFonts w:ascii="Arial" w:cs="Arial" w:eastAsia="Arial" w:hAnsi="Arial"/>
                <w:sz w:val="17"/>
                <w:szCs w:val="17"/>
                <w:color w:val="auto"/>
              </w:rPr>
              <w:t>Joint Venture Disclosure</w:t>
            </w:r>
          </w:p>
        </w:tc>
        <w:tc>
          <w:tcPr>
            <w:tcW w:w="3480" w:type="dxa"/>
            <w:vAlign w:val="bottom"/>
          </w:tcPr>
          <w:p>
            <w:pPr>
              <w:spacing w:after="0"/>
              <w:rPr>
                <w:sz w:val="24"/>
                <w:szCs w:val="24"/>
                <w:color w:val="auto"/>
              </w:rPr>
            </w:pPr>
          </w:p>
        </w:tc>
      </w:tr>
      <w:tr>
        <w:trPr>
          <w:trHeight w:val="204"/>
        </w:trPr>
        <w:tc>
          <w:tcPr>
            <w:tcW w:w="260" w:type="dxa"/>
            <w:vAlign w:val="bottom"/>
          </w:tcPr>
          <w:p>
            <w:pPr>
              <w:spacing w:after="0"/>
              <w:rPr>
                <w:sz w:val="17"/>
                <w:szCs w:val="17"/>
                <w:color w:val="auto"/>
              </w:rPr>
            </w:pPr>
          </w:p>
        </w:tc>
        <w:tc>
          <w:tcPr>
            <w:tcW w:w="7680" w:type="dxa"/>
            <w:vAlign w:val="bottom"/>
          </w:tcPr>
          <w:p>
            <w:pPr>
              <w:ind w:left="260"/>
              <w:spacing w:after="0"/>
              <w:rPr>
                <w:sz w:val="20"/>
                <w:szCs w:val="20"/>
                <w:color w:val="auto"/>
              </w:rPr>
            </w:pPr>
            <w:r>
              <w:rPr>
                <w:rFonts w:ascii="Arial" w:cs="Arial" w:eastAsia="Arial" w:hAnsi="Arial"/>
                <w:sz w:val="17"/>
                <w:szCs w:val="17"/>
                <w:color w:val="auto"/>
              </w:rPr>
              <w:t>Summarized Operating Results and Balance Sheets</w:t>
            </w:r>
          </w:p>
        </w:tc>
        <w:tc>
          <w:tcPr>
            <w:tcW w:w="34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4"/>
        </w:trPr>
        <w:tc>
          <w:tcPr>
            <w:tcW w:w="260" w:type="dxa"/>
            <w:vAlign w:val="bottom"/>
          </w:tcPr>
          <w:p>
            <w:pPr>
              <w:spacing w:after="0"/>
              <w:rPr>
                <w:sz w:val="17"/>
                <w:szCs w:val="17"/>
                <w:color w:val="auto"/>
              </w:rPr>
            </w:pPr>
          </w:p>
        </w:tc>
        <w:tc>
          <w:tcPr>
            <w:tcW w:w="7680" w:type="dxa"/>
            <w:vAlign w:val="bottom"/>
          </w:tcPr>
          <w:p>
            <w:pPr>
              <w:ind w:left="260"/>
              <w:spacing w:after="0"/>
              <w:rPr>
                <w:sz w:val="20"/>
                <w:szCs w:val="20"/>
                <w:color w:val="auto"/>
              </w:rPr>
            </w:pPr>
            <w:r>
              <w:rPr>
                <w:rFonts w:ascii="Arial" w:cs="Arial" w:eastAsia="Arial" w:hAnsi="Arial"/>
                <w:sz w:val="17"/>
                <w:szCs w:val="17"/>
                <w:color w:val="auto"/>
              </w:rPr>
              <w:t>Summary of Outstanding Debt and Debt Maturities</w:t>
            </w:r>
          </w:p>
        </w:tc>
        <w:tc>
          <w:tcPr>
            <w:tcW w:w="34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4"/>
        </w:trPr>
        <w:tc>
          <w:tcPr>
            <w:tcW w:w="260" w:type="dxa"/>
            <w:vAlign w:val="bottom"/>
          </w:tcPr>
          <w:p>
            <w:pPr>
              <w:spacing w:after="0"/>
              <w:rPr>
                <w:sz w:val="17"/>
                <w:szCs w:val="17"/>
                <w:color w:val="auto"/>
              </w:rPr>
            </w:pPr>
          </w:p>
        </w:tc>
        <w:tc>
          <w:tcPr>
            <w:tcW w:w="7680" w:type="dxa"/>
            <w:vAlign w:val="bottom"/>
          </w:tcPr>
          <w:p>
            <w:pPr>
              <w:ind w:left="260"/>
              <w:spacing w:after="0"/>
              <w:rPr>
                <w:sz w:val="20"/>
                <w:szCs w:val="20"/>
                <w:color w:val="auto"/>
              </w:rPr>
            </w:pPr>
            <w:r>
              <w:rPr>
                <w:rFonts w:ascii="Arial" w:cs="Arial" w:eastAsia="Arial" w:hAnsi="Arial"/>
                <w:sz w:val="17"/>
                <w:szCs w:val="17"/>
                <w:color w:val="auto"/>
              </w:rPr>
              <w:t>Significant Acquisitions and Dispositions</w:t>
            </w:r>
          </w:p>
        </w:tc>
        <w:tc>
          <w:tcPr>
            <w:tcW w:w="34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2"/>
        </w:trPr>
        <w:tc>
          <w:tcPr>
            <w:tcW w:w="260" w:type="dxa"/>
            <w:vAlign w:val="bottom"/>
          </w:tcPr>
          <w:p>
            <w:pPr>
              <w:spacing w:after="0"/>
              <w:rPr>
                <w:sz w:val="18"/>
                <w:szCs w:val="18"/>
                <w:color w:val="auto"/>
              </w:rPr>
            </w:pPr>
          </w:p>
        </w:tc>
        <w:tc>
          <w:tcPr>
            <w:tcW w:w="7680" w:type="dxa"/>
            <w:vAlign w:val="bottom"/>
          </w:tcPr>
          <w:p>
            <w:pPr>
              <w:ind w:left="260"/>
              <w:spacing w:after="0"/>
              <w:rPr>
                <w:sz w:val="20"/>
                <w:szCs w:val="20"/>
                <w:color w:val="auto"/>
              </w:rPr>
            </w:pPr>
            <w:r>
              <w:rPr>
                <w:rFonts w:ascii="Arial" w:cs="Arial" w:eastAsia="Arial" w:hAnsi="Arial"/>
                <w:sz w:val="17"/>
                <w:szCs w:val="17"/>
                <w:color w:val="auto"/>
              </w:rPr>
              <w:t>Real Estate Status Report</w:t>
            </w:r>
          </w:p>
        </w:tc>
        <w:tc>
          <w:tcPr>
            <w:tcW w:w="34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06"/>
        </w:trPr>
        <w:tc>
          <w:tcPr>
            <w:tcW w:w="260" w:type="dxa"/>
            <w:vAlign w:val="bottom"/>
          </w:tcPr>
          <w:p>
            <w:pPr>
              <w:spacing w:after="0"/>
              <w:rPr>
                <w:sz w:val="20"/>
                <w:szCs w:val="20"/>
                <w:color w:val="auto"/>
              </w:rPr>
            </w:pPr>
            <w:r>
              <w:rPr>
                <w:rFonts w:ascii="Arial" w:cs="Arial" w:eastAsia="Arial" w:hAnsi="Arial"/>
                <w:sz w:val="17"/>
                <w:szCs w:val="17"/>
                <w:color w:val="auto"/>
              </w:rPr>
              <w:t>14.</w:t>
            </w:r>
          </w:p>
        </w:tc>
        <w:tc>
          <w:tcPr>
            <w:tcW w:w="7680" w:type="dxa"/>
            <w:vAlign w:val="bottom"/>
          </w:tcPr>
          <w:p>
            <w:pPr>
              <w:ind w:left="40"/>
              <w:spacing w:after="0"/>
              <w:rPr>
                <w:sz w:val="20"/>
                <w:szCs w:val="20"/>
                <w:color w:val="auto"/>
              </w:rPr>
            </w:pPr>
            <w:r>
              <w:rPr>
                <w:rFonts w:ascii="Arial" w:cs="Arial" w:eastAsia="Arial" w:hAnsi="Arial"/>
                <w:sz w:val="17"/>
                <w:szCs w:val="17"/>
                <w:color w:val="auto"/>
              </w:rPr>
              <w:t>Glossary of Terms</w:t>
            </w:r>
          </w:p>
        </w:tc>
        <w:tc>
          <w:tcPr>
            <w:tcW w:w="3480" w:type="dxa"/>
            <w:vAlign w:val="bottom"/>
          </w:tcPr>
          <w:p>
            <w:pPr>
              <w:jc w:val="right"/>
              <w:spacing w:after="0"/>
              <w:rPr>
                <w:sz w:val="20"/>
                <w:szCs w:val="20"/>
                <w:color w:val="auto"/>
              </w:rPr>
            </w:pPr>
            <w:r>
              <w:rPr>
                <w:rFonts w:ascii="Arial" w:cs="Arial" w:eastAsia="Arial" w:hAnsi="Arial"/>
                <w:sz w:val="17"/>
                <w:szCs w:val="17"/>
                <w:color w:val="auto"/>
              </w:rPr>
              <w:t>30</w:t>
            </w: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195" cy="26670"/>
                    </a:xfrm>
                    <a:prstGeom prst="rect">
                      <a:avLst/>
                    </a:prstGeom>
                    <a:noFill/>
                  </pic:spPr>
                </pic:pic>
              </a:graphicData>
            </a:graphic>
          </wp:anchor>
        </w:drawing>
        <w:t>Safe Harbor Language</w:t>
      </w:r>
    </w:p>
    <w:p>
      <w:pPr>
        <w:spacing w:after="0" w:line="89"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3, 2006 (as amended), and include the following:</w:t>
      </w:r>
    </w:p>
    <w:p>
      <w:pPr>
        <w:spacing w:after="0" w:line="56" w:lineRule="exact"/>
        <w:rPr>
          <w:sz w:val="20"/>
          <w:szCs w:val="20"/>
          <w:color w:val="auto"/>
        </w:rPr>
      </w:pPr>
    </w:p>
    <w:p>
      <w:pPr>
        <w:ind w:left="760" w:hanging="311"/>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85" w:lineRule="exact"/>
        <w:rPr>
          <w:rFonts w:ascii="Arial" w:cs="Arial" w:eastAsia="Arial" w:hAnsi="Arial"/>
          <w:sz w:val="17"/>
          <w:szCs w:val="17"/>
          <w:color w:val="auto"/>
        </w:rPr>
      </w:pPr>
    </w:p>
    <w:p>
      <w:pPr>
        <w:ind w:left="760" w:right="120" w:hanging="311"/>
        <w:spacing w:after="0" w:line="30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22" w:lineRule="exact"/>
        <w:rPr>
          <w:rFonts w:ascii="Arial" w:cs="Arial" w:eastAsia="Arial" w:hAnsi="Arial"/>
          <w:sz w:val="16"/>
          <w:szCs w:val="16"/>
          <w:color w:val="auto"/>
        </w:rPr>
      </w:pPr>
    </w:p>
    <w:p>
      <w:pPr>
        <w:ind w:left="760" w:right="160" w:hanging="311"/>
        <w:spacing w:after="0" w:line="270"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45" w:lineRule="exact"/>
        <w:rPr>
          <w:rFonts w:ascii="Arial" w:cs="Arial" w:eastAsia="Arial" w:hAnsi="Arial"/>
          <w:sz w:val="17"/>
          <w:szCs w:val="17"/>
          <w:color w:val="auto"/>
        </w:rPr>
      </w:pPr>
    </w:p>
    <w:p>
      <w:pPr>
        <w:ind w:left="760" w:hanging="311"/>
        <w:spacing w:after="0" w:line="257"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6" w:lineRule="exact"/>
        <w:rPr>
          <w:rFonts w:ascii="Arial" w:cs="Arial" w:eastAsia="Arial" w:hAnsi="Arial"/>
          <w:sz w:val="17"/>
          <w:szCs w:val="17"/>
          <w:color w:val="auto"/>
        </w:rPr>
      </w:pPr>
    </w:p>
    <w:p>
      <w:pPr>
        <w:ind w:left="760" w:hanging="311"/>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85" w:lineRule="exact"/>
        <w:rPr>
          <w:rFonts w:ascii="Arial" w:cs="Arial" w:eastAsia="Arial" w:hAnsi="Arial"/>
          <w:sz w:val="17"/>
          <w:szCs w:val="17"/>
          <w:color w:val="auto"/>
        </w:rPr>
      </w:pPr>
    </w:p>
    <w:p>
      <w:pPr>
        <w:ind w:left="760" w:right="120" w:hanging="311"/>
        <w:spacing w:after="0" w:line="260"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3" w:lineRule="exact"/>
        <w:rPr>
          <w:rFonts w:ascii="Arial" w:cs="Arial" w:eastAsia="Arial" w:hAnsi="Arial"/>
          <w:sz w:val="17"/>
          <w:szCs w:val="17"/>
          <w:color w:val="auto"/>
        </w:rPr>
      </w:pPr>
    </w:p>
    <w:p>
      <w:pPr>
        <w:ind w:left="760" w:hanging="311"/>
        <w:spacing w:after="0" w:line="260"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31" w:lineRule="exact"/>
        <w:rPr>
          <w:sz w:val="20"/>
          <w:szCs w:val="20"/>
          <w:color w:val="auto"/>
        </w:rPr>
      </w:pPr>
    </w:p>
    <w:p>
      <w:pPr>
        <w:ind w:right="260"/>
        <w:spacing w:after="0" w:line="311"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3, 2006 (as amended).</w:t>
      </w:r>
    </w:p>
    <w:p>
      <w:pPr>
        <w:sectPr>
          <w:pgSz w:w="11900" w:h="16838" w:orient="portrait"/>
          <w:cols w:equalWidth="0" w:num="1">
            <w:col w:w="11420"/>
          </w:cols>
          <w:pgMar w:left="240" w:top="267"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131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195"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740" w:type="dxa"/>
            <w:vAlign w:val="bottom"/>
          </w:tcPr>
          <w:p>
            <w:pPr>
              <w:spacing w:after="0"/>
              <w:rPr>
                <w:sz w:val="18"/>
                <w:szCs w:val="18"/>
                <w:color w:val="auto"/>
              </w:rPr>
            </w:pPr>
          </w:p>
        </w:tc>
      </w:tr>
      <w:tr>
        <w:trPr>
          <w:trHeight w:val="358"/>
        </w:trPr>
        <w:tc>
          <w:tcPr>
            <w:tcW w:w="3420" w:type="dxa"/>
            <w:vAlign w:val="bottom"/>
            <w:gridSpan w:val="2"/>
          </w:tcPr>
          <w:p>
            <w:pPr>
              <w:spacing w:after="0"/>
              <w:rPr>
                <w:sz w:val="20"/>
                <w:szCs w:val="20"/>
                <w:color w:val="auto"/>
              </w:rPr>
            </w:pPr>
            <w:r>
              <w:rPr>
                <w:rFonts w:ascii="Arial" w:cs="Arial" w:eastAsia="Arial" w:hAnsi="Arial"/>
                <w:sz w:val="17"/>
                <w:szCs w:val="17"/>
                <w:i w:val="1"/>
                <w:iCs w:val="1"/>
                <w:color w:val="auto"/>
              </w:rPr>
              <w:t>Investor and Media Inquiries</w:t>
            </w:r>
          </w:p>
        </w:tc>
        <w:tc>
          <w:tcPr>
            <w:tcW w:w="2740" w:type="dxa"/>
            <w:vAlign w:val="bottom"/>
          </w:tcPr>
          <w:p>
            <w:pPr>
              <w:spacing w:after="0"/>
              <w:rPr>
                <w:sz w:val="24"/>
                <w:szCs w:val="24"/>
                <w:color w:val="auto"/>
              </w:rPr>
            </w:pPr>
          </w:p>
        </w:tc>
      </w:tr>
      <w:tr>
        <w:trPr>
          <w:trHeight w:val="316"/>
        </w:trPr>
        <w:tc>
          <w:tcPr>
            <w:tcW w:w="1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Andrew Blocher</w:t>
            </w:r>
          </w:p>
        </w:tc>
        <w:tc>
          <w:tcPr>
            <w:tcW w:w="14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17"/>
                <w:szCs w:val="17"/>
                <w:color w:val="auto"/>
              </w:rPr>
              <w:t>Vikki Quinn</w:t>
            </w:r>
          </w:p>
        </w:tc>
      </w:tr>
      <w:tr>
        <w:trPr>
          <w:trHeight w:val="204"/>
        </w:trPr>
        <w:tc>
          <w:tcPr>
            <w:tcW w:w="3420" w:type="dxa"/>
            <w:vAlign w:val="bottom"/>
            <w:gridSpan w:val="2"/>
          </w:tcPr>
          <w:p>
            <w:pPr>
              <w:spacing w:after="0"/>
              <w:rPr>
                <w:sz w:val="20"/>
                <w:szCs w:val="20"/>
                <w:color w:val="auto"/>
              </w:rPr>
            </w:pPr>
            <w:r>
              <w:rPr>
                <w:rFonts w:ascii="Arial" w:cs="Arial" w:eastAsia="Arial" w:hAnsi="Arial"/>
                <w:sz w:val="17"/>
                <w:szCs w:val="17"/>
                <w:color w:val="auto"/>
              </w:rPr>
              <w:t>Vice President,</w:t>
            </w:r>
          </w:p>
        </w:tc>
        <w:tc>
          <w:tcPr>
            <w:tcW w:w="2740" w:type="dxa"/>
            <w:vAlign w:val="bottom"/>
          </w:tcPr>
          <w:p>
            <w:pPr>
              <w:ind w:left="940"/>
              <w:spacing w:after="0"/>
              <w:rPr>
                <w:sz w:val="20"/>
                <w:szCs w:val="20"/>
                <w:color w:val="auto"/>
              </w:rPr>
            </w:pPr>
            <w:r>
              <w:rPr>
                <w:rFonts w:ascii="Arial" w:cs="Arial" w:eastAsia="Arial" w:hAnsi="Arial"/>
                <w:sz w:val="17"/>
                <w:szCs w:val="17"/>
                <w:color w:val="auto"/>
              </w:rPr>
              <w:t>Vice President,</w:t>
            </w:r>
          </w:p>
        </w:tc>
      </w:tr>
      <w:tr>
        <w:trPr>
          <w:trHeight w:val="204"/>
        </w:trPr>
        <w:tc>
          <w:tcPr>
            <w:tcW w:w="3420" w:type="dxa"/>
            <w:vAlign w:val="bottom"/>
            <w:gridSpan w:val="2"/>
          </w:tcPr>
          <w:p>
            <w:pPr>
              <w:spacing w:after="0"/>
              <w:rPr>
                <w:sz w:val="20"/>
                <w:szCs w:val="20"/>
                <w:color w:val="auto"/>
              </w:rPr>
            </w:pPr>
            <w:r>
              <w:rPr>
                <w:rFonts w:ascii="Arial" w:cs="Arial" w:eastAsia="Arial" w:hAnsi="Arial"/>
                <w:sz w:val="17"/>
                <w:szCs w:val="17"/>
                <w:color w:val="auto"/>
              </w:rPr>
              <w:t>Capital Markets &amp; Investor Relations</w:t>
            </w:r>
          </w:p>
        </w:tc>
        <w:tc>
          <w:tcPr>
            <w:tcW w:w="2740" w:type="dxa"/>
            <w:vAlign w:val="bottom"/>
          </w:tcPr>
          <w:p>
            <w:pPr>
              <w:ind w:left="940"/>
              <w:spacing w:after="0"/>
              <w:rPr>
                <w:sz w:val="20"/>
                <w:szCs w:val="20"/>
                <w:color w:val="auto"/>
              </w:rPr>
            </w:pPr>
            <w:r>
              <w:rPr>
                <w:rFonts w:ascii="Arial" w:cs="Arial" w:eastAsia="Arial" w:hAnsi="Arial"/>
                <w:sz w:val="17"/>
                <w:szCs w:val="17"/>
                <w:color w:val="auto"/>
                <w:w w:val="90"/>
              </w:rPr>
              <w:t>Marketing &amp; Corp. Comm.</w:t>
            </w:r>
          </w:p>
        </w:tc>
      </w:tr>
      <w:tr>
        <w:trPr>
          <w:trHeight w:val="204"/>
        </w:trPr>
        <w:tc>
          <w:tcPr>
            <w:tcW w:w="1940" w:type="dxa"/>
            <w:vAlign w:val="bottom"/>
          </w:tcPr>
          <w:p>
            <w:pPr>
              <w:spacing w:after="0"/>
              <w:rPr>
                <w:sz w:val="20"/>
                <w:szCs w:val="20"/>
                <w:color w:val="auto"/>
              </w:rPr>
            </w:pPr>
            <w:r>
              <w:rPr>
                <w:rFonts w:ascii="Arial" w:cs="Arial" w:eastAsia="Arial" w:hAnsi="Arial"/>
                <w:sz w:val="17"/>
                <w:szCs w:val="17"/>
                <w:color w:val="auto"/>
              </w:rPr>
              <w:t>301/998-8166</w:t>
            </w:r>
          </w:p>
        </w:tc>
        <w:tc>
          <w:tcPr>
            <w:tcW w:w="1480" w:type="dxa"/>
            <w:vAlign w:val="bottom"/>
          </w:tcPr>
          <w:p>
            <w:pPr>
              <w:spacing w:after="0"/>
              <w:rPr>
                <w:sz w:val="17"/>
                <w:szCs w:val="17"/>
                <w:color w:val="auto"/>
              </w:rPr>
            </w:pPr>
          </w:p>
        </w:tc>
        <w:tc>
          <w:tcPr>
            <w:tcW w:w="2740" w:type="dxa"/>
            <w:vAlign w:val="bottom"/>
          </w:tcPr>
          <w:p>
            <w:pPr>
              <w:ind w:left="940"/>
              <w:spacing w:after="0"/>
              <w:rPr>
                <w:sz w:val="20"/>
                <w:szCs w:val="20"/>
                <w:color w:val="auto"/>
              </w:rPr>
            </w:pPr>
            <w:r>
              <w:rPr>
                <w:rFonts w:ascii="Arial" w:cs="Arial" w:eastAsia="Arial" w:hAnsi="Arial"/>
                <w:sz w:val="17"/>
                <w:szCs w:val="17"/>
                <w:color w:val="auto"/>
              </w:rPr>
              <w:t>301/998-8178</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2740" w:type="dxa"/>
            <w:vAlign w:val="bottom"/>
          </w:tcPr>
          <w:p>
            <w:pPr>
              <w:ind w:left="940"/>
              <w:spacing w:after="0"/>
              <w:rPr>
                <w:sz w:val="20"/>
                <w:szCs w:val="20"/>
                <w:color w:val="auto"/>
              </w:rPr>
            </w:pPr>
            <w:r>
              <w:rPr>
                <w:rFonts w:ascii="Arial" w:cs="Arial" w:eastAsia="Arial" w:hAnsi="Arial"/>
                <w:sz w:val="17"/>
                <w:szCs w:val="17"/>
                <w:i w:val="1"/>
                <w:iCs w:val="1"/>
                <w:color w:val="auto"/>
                <w:w w:val="90"/>
              </w:rPr>
              <w:t>vquinn@federalrealty.com</w:t>
            </w:r>
          </w:p>
        </w:tc>
      </w:tr>
    </w:tbl>
    <w:p>
      <w:pPr>
        <w:spacing w:after="0" w:line="142" w:lineRule="exact"/>
        <w:rPr>
          <w:sz w:val="20"/>
          <w:szCs w:val="20"/>
          <w:color w:val="auto"/>
        </w:rPr>
      </w:pPr>
    </w:p>
    <w:p>
      <w:pPr>
        <w:ind w:right="3380" w:hanging="3"/>
        <w:spacing w:after="0" w:line="368" w:lineRule="auto"/>
        <w:rPr>
          <w:sz w:val="20"/>
          <w:szCs w:val="20"/>
          <w:color w:val="auto"/>
        </w:rPr>
      </w:pPr>
      <w:r>
        <w:rPr>
          <w:rFonts w:ascii="Arial" w:cs="Arial" w:eastAsia="Arial" w:hAnsi="Arial"/>
          <w:sz w:val="16"/>
          <w:szCs w:val="16"/>
          <w:b w:val="1"/>
          <w:bCs w:val="1"/>
          <w:color w:val="auto"/>
        </w:rPr>
        <w:t xml:space="preserve">FEDERAL REALTY INVESTMENT TRUST ANNOUNCES THIRD QUARTER 2006 OPERATING RESULTS </w:t>
      </w:r>
      <w:r>
        <w:rPr>
          <w:rFonts w:ascii="Arial" w:cs="Arial" w:eastAsia="Arial" w:hAnsi="Arial"/>
          <w:sz w:val="16"/>
          <w:szCs w:val="16"/>
          <w:color w:val="auto"/>
        </w:rPr>
        <w:t>ROCKVILLE, Md. (November 6, 2006) – Federal Realty Investment Trust (NYSE:FRT) today reported:</w:t>
      </w:r>
    </w:p>
    <w:p>
      <w:pPr>
        <w:spacing w:after="0" w:line="1" w:lineRule="exact"/>
        <w:rPr>
          <w:sz w:val="20"/>
          <w:szCs w:val="20"/>
          <w:color w:val="auto"/>
        </w:rPr>
      </w:pPr>
    </w:p>
    <w:p>
      <w:pPr>
        <w:ind w:left="760" w:right="140" w:hanging="311"/>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Funds from operations available for common shareholders (FFO) per diluted share was $0.85 for the quarter ended September 30, 2006 versus $0.77 for third quarter 2005.</w:t>
      </w:r>
    </w:p>
    <w:p>
      <w:pPr>
        <w:spacing w:after="0" w:line="45" w:lineRule="exact"/>
        <w:rPr>
          <w:rFonts w:ascii="Arial" w:cs="Arial" w:eastAsia="Arial" w:hAnsi="Arial"/>
          <w:sz w:val="17"/>
          <w:szCs w:val="17"/>
          <w:color w:val="auto"/>
        </w:rPr>
      </w:pPr>
    </w:p>
    <w:p>
      <w:pPr>
        <w:ind w:left="760" w:hanging="311"/>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As a result of decreased gains on sale of real estate, earnings per diluted common share for third quarter 2006 was $0.41 versus $0.52 for third quarter 2005.</w:t>
      </w:r>
    </w:p>
    <w:p>
      <w:pPr>
        <w:spacing w:after="0" w:line="108" w:lineRule="exact"/>
        <w:rPr>
          <w:rFonts w:ascii="Arial" w:cs="Arial" w:eastAsia="Arial" w:hAnsi="Arial"/>
          <w:sz w:val="15"/>
          <w:szCs w:val="15"/>
          <w:color w:val="auto"/>
        </w:rPr>
      </w:pPr>
    </w:p>
    <w:p>
      <w:pPr>
        <w:ind w:left="760" w:right="220" w:hanging="311"/>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FFO per diluted share was $2.49, and earnings per diluted common share was $1.60 for the nine months ended September 30, 2006, versus $2.28 and $1.34, respectively, for the nine months ended September 30, 2005.</w:t>
      </w:r>
    </w:p>
    <w:p>
      <w:pPr>
        <w:spacing w:after="0" w:line="45" w:lineRule="exact"/>
        <w:rPr>
          <w:rFonts w:ascii="Arial" w:cs="Arial" w:eastAsia="Arial" w:hAnsi="Arial"/>
          <w:sz w:val="17"/>
          <w:szCs w:val="17"/>
          <w:color w:val="auto"/>
        </w:rPr>
      </w:pPr>
    </w:p>
    <w:p>
      <w:pPr>
        <w:ind w:left="760" w:right="140" w:hanging="311"/>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When compared to third quarter 2005, same-center property operating income increased 6.9% including redevelopments and expansions, and 5.5% excluding redevelopments and expansions.</w:t>
      </w:r>
    </w:p>
    <w:p>
      <w:pPr>
        <w:spacing w:after="0" w:line="45" w:lineRule="exact"/>
        <w:rPr>
          <w:rFonts w:ascii="Arial" w:cs="Arial" w:eastAsia="Arial" w:hAnsi="Arial"/>
          <w:sz w:val="17"/>
          <w:szCs w:val="17"/>
          <w:color w:val="auto"/>
        </w:rPr>
      </w:pPr>
    </w:p>
    <w:p>
      <w:pPr>
        <w:ind w:left="760" w:right="120" w:hanging="311"/>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Rent increases on lease rollovers for retail space for which there was a prior tenant were 23% on a cash-basis and 36% on a GAAP-basis for the quarter ended September 30, 2006.</w:t>
      </w:r>
    </w:p>
    <w:p>
      <w:pPr>
        <w:spacing w:after="0" w:line="45" w:lineRule="exact"/>
        <w:rPr>
          <w:rFonts w:ascii="Arial" w:cs="Arial" w:eastAsia="Arial" w:hAnsi="Arial"/>
          <w:sz w:val="17"/>
          <w:szCs w:val="17"/>
          <w:color w:val="auto"/>
        </w:rPr>
      </w:pPr>
    </w:p>
    <w:p>
      <w:pPr>
        <w:ind w:left="760" w:hanging="311"/>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Trust’s portfolio was 97.3% leased and 95.6% occupied as of September 30, 2006.</w:t>
      </w:r>
    </w:p>
    <w:p>
      <w:pPr>
        <w:spacing w:after="0" w:line="85" w:lineRule="exact"/>
        <w:rPr>
          <w:rFonts w:ascii="Arial" w:cs="Arial" w:eastAsia="Arial" w:hAnsi="Arial"/>
          <w:sz w:val="17"/>
          <w:szCs w:val="17"/>
          <w:color w:val="auto"/>
        </w:rPr>
      </w:pPr>
    </w:p>
    <w:p>
      <w:pPr>
        <w:ind w:left="760" w:hanging="311"/>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Chief Financial Officer, Larry Finger, announces timeline for future retirement.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third quarter 2006, Federal Realty reported FFO of $45.8 million, or $0.85 per diluted share. This compares to FFO of $41.0 million, or $0.77 per diluted share, reported in third quarter 2005. For the nine months ended September 30, 2006, Federal Realty reported FFO of $133.8 million, or $2.49 per diluted share. This compares to FFO of $121.5 million, or $2.28 per diluted share, for the same nine-month period in 2005.</w:t>
      </w:r>
    </w:p>
    <w:p>
      <w:pPr>
        <w:spacing w:after="0" w:line="131" w:lineRule="exact"/>
        <w:rPr>
          <w:sz w:val="20"/>
          <w:szCs w:val="20"/>
          <w:color w:val="auto"/>
        </w:rPr>
      </w:pPr>
    </w:p>
    <w:p>
      <w:pPr>
        <w:ind w:right="320"/>
        <w:spacing w:after="0" w:line="338" w:lineRule="auto"/>
        <w:rPr>
          <w:sz w:val="20"/>
          <w:szCs w:val="20"/>
          <w:color w:val="auto"/>
        </w:rPr>
      </w:pPr>
      <w:r>
        <w:rPr>
          <w:rFonts w:ascii="Arial" w:cs="Arial" w:eastAsia="Arial" w:hAnsi="Arial"/>
          <w:sz w:val="15"/>
          <w:szCs w:val="15"/>
          <w:color w:val="auto"/>
        </w:rPr>
        <w:t>Net income available for common shareholders was $22.1 million and earnings per diluted common share was $0.41 for the quarter ended September 30, 2006, versus $27.8 million and $0.52, respectively, for third quarter 2005. Net income available for common shareholders included $0.1 million (less than $0.01 per diluted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80"/>
          </w:cols>
          <w:pgMar w:left="240" w:top="1440" w:right="2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 ANNOUNCES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THIRD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November 6, 2006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54" w:lineRule="exact"/>
        <w:rPr>
          <w:sz w:val="20"/>
          <w:szCs w:val="20"/>
          <w:color w:val="auto"/>
        </w:rPr>
      </w:pPr>
    </w:p>
    <w:p>
      <w:pPr>
        <w:jc w:val="both"/>
        <w:ind w:right="300"/>
        <w:spacing w:after="0" w:line="284" w:lineRule="auto"/>
        <w:rPr>
          <w:sz w:val="20"/>
          <w:szCs w:val="20"/>
          <w:color w:val="auto"/>
        </w:rPr>
      </w:pPr>
      <w:r>
        <w:rPr>
          <w:rFonts w:ascii="Arial" w:cs="Arial" w:eastAsia="Arial" w:hAnsi="Arial"/>
          <w:sz w:val="16"/>
          <w:szCs w:val="16"/>
          <w:color w:val="auto"/>
        </w:rPr>
        <w:t>common share) and $9.5 million ($0.18 per diluted common share) of gain on sale of real estate in third quarter 2006 and third quarter 2005, respectively. Year-to-date, Federal Realty reported net income available for common shareholders of $85.7 million, or $1.60 per diluted share. This compares to net income available for common shareholders of $70.9 million, or $1.34 per diluted share, for the nine months ended September 30, 2005.</w:t>
      </w:r>
    </w:p>
    <w:p>
      <w:pPr>
        <w:spacing w:after="0" w:line="11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8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On a same-center basis, including redevelopments and expansions, property operating income increased 6.9% over third quarter 2005. When redevelopments and expansions are excluded from the same-center results, property operating income increased 5.5% from third quarter 2005.</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Overall, the Trust’s portfolio was 97.3% leased and 95.6% occupied as of September 30, 2006, compared to 95.5% and 92.3%, respectively, on September 30, 2005.</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Federal Realty’s same-center portfolio was 97.7% leased and 96.8% occupied on September 30, 2006, compared to 96.8% and 95.8%, respectively, on September 30, 2005.</w:t>
      </w:r>
    </w:p>
    <w:p>
      <w:pPr>
        <w:spacing w:after="0" w:line="200"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During third quarter 2006, the Trust signed 75 leases for approximately 395,000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332,000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23%. The average contractual rent on this comparable space for the first year of the new lease is $20.02 per square foot compared to the average contractual rent of $16.25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36% for third quarter 2006. As of September 30, 2006, Federal Realty’s average contractual, cash basis minimum rent for retail and commercial space in its portfolio is $18.94 per square foot.</w:t>
      </w:r>
    </w:p>
    <w:p>
      <w:pPr>
        <w:spacing w:after="0" w:line="123"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color w:val="auto"/>
        </w:rPr>
        <w:t>“The third quarter was impressive across all of our key business areas; leasing, redevelopment and acquisitions,” commented Donald C. Wood, president and chief executive officer of Federal Realty Investment Trust. “In addition, we have utilized 2006 to strengthen our balance sheet, providing significant financial flexibility to pursue smart investment opportunities in 2007 and beyond.”</w:t>
      </w:r>
    </w:p>
    <w:p>
      <w:pPr>
        <w:spacing w:after="0" w:line="13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Residential condominium sales at Santana Row, Federal Realty’s mixed-use community in San Jose, Calif., have been completed. The Trust has closed sales on all 219 units with associated gross sales proceeds of approximately $153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271"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 ANNOUNCES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THIRD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November 6, 2006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Future Retirement of Chief Financial Officer</w:t>
      </w:r>
    </w:p>
    <w:p>
      <w:pPr>
        <w:spacing w:after="0" w:line="8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Larry Finger, Federal Realty’s chief financial officer since March 2002, announced his plans to retire from his position as Chief Financial Officer in early 2008. “For nearly five years, Larry and I have worked together day in and day out in developing and executing the Trust’s business plan. He is not only a strong business leader, but also a close friend, and we will surely miss him”, said Donald C. Wood, Federal Realty’s president and chief executive officer. “Since Larry will not be retiring for over a year, there is appropriate time for a thorough search of both internal and external candidates, and their training, to allow for a seamless transition”.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Announced Acquisition of Melville Mall</w:t>
      </w:r>
    </w:p>
    <w:p>
      <w:pPr>
        <w:spacing w:after="0" w:line="8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October 16, 2006, Federal Realty acquired Melville Mall, a 100% leased supermarket-anchored community center located in Huntington, New York, approximately 1-1/2 miles south of the Trust’s Huntington Shopping Center. Tenants at Melville Mall include Waldbaum’s, Kohl’s, Marshall’s and Dick’s Sporting Goods. Located at the Northeast corner of Walt Whitman Road (Route 110) and Northern State Parkway, Melville Mall’s surrounding trade area is affluent with an average household income of $150,000 within a three-mile radius.</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Federal Realty acquired control of this 250,000 square foot property through a master lease and secondary financing with a private owner. Under the master lease, the Trust has the option to acquire the property’s fee interest in 15 years.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89" w:lineRule="exact"/>
        <w:rPr>
          <w:sz w:val="20"/>
          <w:szCs w:val="20"/>
          <w:color w:val="auto"/>
        </w:rPr>
      </w:pPr>
    </w:p>
    <w:p>
      <w:pPr>
        <w:ind w:right="280"/>
        <w:spacing w:after="0" w:line="338" w:lineRule="auto"/>
        <w:rPr>
          <w:sz w:val="20"/>
          <w:szCs w:val="20"/>
          <w:color w:val="auto"/>
        </w:rPr>
      </w:pPr>
      <w:r>
        <w:rPr>
          <w:rFonts w:ascii="Arial" w:cs="Arial" w:eastAsia="Arial" w:hAnsi="Arial"/>
          <w:sz w:val="15"/>
          <w:szCs w:val="15"/>
          <w:color w:val="auto"/>
        </w:rPr>
        <w:t>Federal Realty also announced today that the regular quarterly cash dividend will remain unchanged at $0.575 per share on its common shares, resulting in an indicated annual rate of $2.30 per share. The regular common dividend will be payable on January 16, 2007, to common shareholders of record as of January 2, 2007.</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Federal Realty’s guidance for 2006 FFO per diluted share was narrowed to a range of $3.34 to $3.35, and its 2006 earnings per diluted common share guidance increased to a range of $2.00 to $2.01, ignoring the impact of any preferred share redemption charge upon redemption of the Trust’s Series B Preferred Shares. Upon the redemption of the Trust’s Series B Preferred Shares, the Trust will recognize a charge of $4.8 million ($0.09 per diluted share), which would result in adjusted FFO per diluted share and earnings per diluted share guidance of $3.25 to $3.26 and $1.91 to $1.92, respectively. In addition, the Trust provided initial earnings guidance for 2007 of $3.60 to $3.65 for FFO per diluted share, and $1.79 to $1.84 for earnings per diluted common share.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89" w:lineRule="exact"/>
        <w:rPr>
          <w:sz w:val="20"/>
          <w:szCs w:val="20"/>
          <w:color w:val="auto"/>
        </w:rPr>
      </w:pPr>
    </w:p>
    <w:p>
      <w:pPr>
        <w:ind w:left="320" w:right="140" w:hanging="318"/>
        <w:spacing w:after="0" w:line="270"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October 20, 2006 – The Trust announced its intention to redeem all 5,400,000 outstanding shares of its 8.50% Series B Cumulative Redeemable Preferred Shares, no par value (“Series B Preferred Shares”) (FRTPrB - CUSIP No. 313747503), effective November 27, 2006.</w:t>
      </w:r>
    </w:p>
    <w:p>
      <w:pPr>
        <w:spacing w:after="0" w:line="109" w:lineRule="exact"/>
        <w:rPr>
          <w:rFonts w:ascii="Arial" w:cs="Arial" w:eastAsia="Arial" w:hAnsi="Arial"/>
          <w:sz w:val="17"/>
          <w:szCs w:val="17"/>
          <w:color w:val="auto"/>
        </w:rPr>
      </w:pPr>
    </w:p>
    <w:p>
      <w:pPr>
        <w:ind w:left="5340"/>
        <w:spacing w:after="0"/>
        <w:rPr>
          <w:rFonts w:ascii="Arial" w:cs="Arial" w:eastAsia="Arial" w:hAnsi="Arial"/>
          <w:sz w:val="17"/>
          <w:szCs w:val="17"/>
          <w:color w:val="auto"/>
        </w:rPr>
      </w:pPr>
      <w:r>
        <w:rPr>
          <w:rFonts w:ascii="Arial" w:cs="Arial" w:eastAsia="Arial" w:hAnsi="Arial"/>
          <w:sz w:val="17"/>
          <w:szCs w:val="17"/>
          <w:color w:val="auto"/>
        </w:rPr>
        <w:t>– MORE –</w:t>
      </w:r>
    </w:p>
    <w:p>
      <w:pPr>
        <w:sectPr>
          <w:pgSz w:w="11900" w:h="16838" w:orient="portrait"/>
          <w:cols w:equalWidth="0" w:num="1">
            <w:col w:w="11420"/>
          </w:cols>
          <w:pgMar w:left="240" w:top="271"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 ANNOUNCES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THIRD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November 6, 2006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93" w:lineRule="exact"/>
        <w:rPr>
          <w:sz w:val="20"/>
          <w:szCs w:val="20"/>
          <w:color w:val="auto"/>
        </w:rPr>
      </w:pPr>
    </w:p>
    <w:p>
      <w:pPr>
        <w:ind w:left="320" w:right="420" w:hanging="318"/>
        <w:spacing w:after="0" w:line="27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September 25, 2006 –The Trust issued $70 million of 6.20% Notes due 2017 and $55 million of 6.00% Notes due 2012. The 2017 and 2012 Notes are each fully fungible and form single issues with the Notes issued on July 17, 2006.</w:t>
      </w:r>
    </w:p>
    <w:p>
      <w:pPr>
        <w:spacing w:after="0" w:line="45" w:lineRule="exact"/>
        <w:rPr>
          <w:rFonts w:ascii="Arial" w:cs="Arial" w:eastAsia="Arial" w:hAnsi="Arial"/>
          <w:sz w:val="17"/>
          <w:szCs w:val="17"/>
          <w:color w:val="auto"/>
        </w:rPr>
      </w:pPr>
    </w:p>
    <w:p>
      <w:pPr>
        <w:ind w:left="320" w:right="180" w:hanging="318"/>
        <w:spacing w:after="0" w:line="27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September 19, 2006 – Federal Realty raised approximately $150 million, through the issuance of approximately 2,000,000 common shares of beneficial interest in a public offering.</w:t>
      </w:r>
    </w:p>
    <w:p>
      <w:pPr>
        <w:spacing w:after="0" w:line="45" w:lineRule="exact"/>
        <w:rPr>
          <w:rFonts w:ascii="Arial" w:cs="Arial" w:eastAsia="Arial" w:hAnsi="Arial"/>
          <w:sz w:val="17"/>
          <w:szCs w:val="17"/>
          <w:color w:val="auto"/>
        </w:rPr>
      </w:pPr>
    </w:p>
    <w:p>
      <w:pPr>
        <w:ind w:left="320" w:right="380" w:hanging="318"/>
        <w:spacing w:after="0" w:line="27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August 28, 2006 – Federal Realty announced the acquisition of three retail assets in the Boston metropolitan area from a private developer through an off-market transaction for approximately $150 million.</w:t>
      </w:r>
    </w:p>
    <w:p>
      <w:pPr>
        <w:spacing w:after="0" w:line="45" w:lineRule="exact"/>
        <w:rPr>
          <w:rFonts w:ascii="Arial" w:cs="Arial" w:eastAsia="Arial" w:hAnsi="Arial"/>
          <w:sz w:val="17"/>
          <w:szCs w:val="17"/>
          <w:color w:val="auto"/>
        </w:rPr>
      </w:pPr>
    </w:p>
    <w:p>
      <w:pPr>
        <w:ind w:left="320" w:right="100" w:hanging="318"/>
        <w:spacing w:after="0" w:line="27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July 28, 2006 – The Trust closed a new $300 million unsecured revolving credit facility to replace its existing $300 million unsecured revolving credit facility, which was scheduled to mature on October 7, 2006.</w:t>
      </w:r>
    </w:p>
    <w:p>
      <w:pPr>
        <w:spacing w:after="0" w:line="45" w:lineRule="exact"/>
        <w:rPr>
          <w:rFonts w:ascii="Arial" w:cs="Arial" w:eastAsia="Arial" w:hAnsi="Arial"/>
          <w:sz w:val="17"/>
          <w:szCs w:val="17"/>
          <w:color w:val="auto"/>
        </w:rPr>
      </w:pPr>
    </w:p>
    <w:p>
      <w:pPr>
        <w:ind w:left="320" w:right="280" w:hanging="318"/>
        <w:spacing w:after="0" w:line="27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July 17, 2006 – The Trust closed a $250 million senior unsecured note offering comprised of a $130 million tranche due January 2017 with a 6.20% coupon, and a $120 million tranche due July 2012 with a 6.00% coupon.</w:t>
      </w:r>
    </w:p>
    <w:p>
      <w:pPr>
        <w:spacing w:after="0" w:line="45" w:lineRule="exact"/>
        <w:rPr>
          <w:rFonts w:ascii="Arial" w:cs="Arial" w:eastAsia="Arial" w:hAnsi="Arial"/>
          <w:sz w:val="17"/>
          <w:szCs w:val="17"/>
          <w:color w:val="auto"/>
        </w:rPr>
      </w:pPr>
    </w:p>
    <w:p>
      <w:pPr>
        <w:ind w:left="320" w:hanging="318"/>
        <w:spacing w:after="0"/>
        <w:tabs>
          <w:tab w:leader="none" w:pos="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July 11, 2006 – Federal Realty announced the appointment of Gail P. Steinel, executive vice president of BearingPoint Inc., to Federal Realty’s board of trustees.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89"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third quarter 2006 earnings conference call, which is scheduled for November 6, 2006, at 11 a.m. Eastern Standard Time. To participate, please call (888) 323-8819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December 5, 2006, by dialing (866) 503-3181.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18.6 million square feet located primarily in strategic metropolitan markets in the Northeast, Mid-Atlantic, and California. In addition, the Trust has an ownership interest in approximately 0.7 million square feet of retail space through its joint venture with Clarion Lion Properties Fund in which the Trust has a 30% interest. Our operating portfolio (excluding joint venture properties) was 97.3% leased to national, regional, and local retailers as of September 30, 2006, with no single tenant accounting for more than approximately 2.5% of annualized base rent. Federal Realty has paid quarterly dividends to its shareholders continuously since its founding in 1962, and has increased its dividend rate for 39 consecutive years, the longest record in the REIT industry. Shares of Federal Realty are traded on the NYSE under the symbol FRT.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00"/>
          </w:cols>
          <w:pgMar w:left="240" w:top="271"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 ANNOUNCES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THIRD QUARTER 2006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November 6, 2006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89"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most recent annual report on Form 10-K (as amended), and include the following:</w:t>
      </w:r>
    </w:p>
    <w:p>
      <w:pPr>
        <w:spacing w:after="0" w:line="19" w:lineRule="exact"/>
        <w:rPr>
          <w:sz w:val="20"/>
          <w:szCs w:val="20"/>
          <w:color w:val="auto"/>
        </w:rPr>
      </w:pPr>
    </w:p>
    <w:p>
      <w:pPr>
        <w:ind w:left="760" w:hanging="311"/>
        <w:spacing w:after="0"/>
        <w:tabs>
          <w:tab w:leader="none" w:pos="7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85" w:lineRule="exact"/>
        <w:rPr>
          <w:rFonts w:ascii="Arial" w:cs="Arial" w:eastAsia="Arial" w:hAnsi="Arial"/>
          <w:sz w:val="17"/>
          <w:szCs w:val="17"/>
          <w:i w:val="1"/>
          <w:iCs w:val="1"/>
          <w:color w:val="auto"/>
        </w:rPr>
      </w:pPr>
    </w:p>
    <w:p>
      <w:pPr>
        <w:ind w:left="760" w:hanging="311"/>
        <w:spacing w:after="0" w:line="302" w:lineRule="auto"/>
        <w:tabs>
          <w:tab w:leader="none" w:pos="7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22" w:lineRule="exact"/>
        <w:rPr>
          <w:rFonts w:ascii="Arial" w:cs="Arial" w:eastAsia="Arial" w:hAnsi="Arial"/>
          <w:sz w:val="16"/>
          <w:szCs w:val="16"/>
          <w:i w:val="1"/>
          <w:iCs w:val="1"/>
          <w:color w:val="auto"/>
        </w:rPr>
      </w:pPr>
    </w:p>
    <w:p>
      <w:pPr>
        <w:ind w:left="760" w:right="60" w:hanging="311"/>
        <w:spacing w:after="0" w:line="270" w:lineRule="auto"/>
        <w:tabs>
          <w:tab w:leader="none" w:pos="7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45" w:lineRule="exact"/>
        <w:rPr>
          <w:rFonts w:ascii="Arial" w:cs="Arial" w:eastAsia="Arial" w:hAnsi="Arial"/>
          <w:sz w:val="17"/>
          <w:szCs w:val="17"/>
          <w:i w:val="1"/>
          <w:iCs w:val="1"/>
          <w:color w:val="auto"/>
        </w:rPr>
      </w:pPr>
    </w:p>
    <w:p>
      <w:pPr>
        <w:ind w:left="760" w:right="20" w:hanging="311"/>
        <w:spacing w:after="0" w:line="257" w:lineRule="auto"/>
        <w:tabs>
          <w:tab w:leader="none" w:pos="7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6" w:lineRule="exact"/>
        <w:rPr>
          <w:rFonts w:ascii="Arial" w:cs="Arial" w:eastAsia="Arial" w:hAnsi="Arial"/>
          <w:sz w:val="17"/>
          <w:szCs w:val="17"/>
          <w:i w:val="1"/>
          <w:iCs w:val="1"/>
          <w:color w:val="auto"/>
        </w:rPr>
      </w:pPr>
    </w:p>
    <w:p>
      <w:pPr>
        <w:ind w:left="760" w:hanging="311"/>
        <w:spacing w:after="0"/>
        <w:tabs>
          <w:tab w:leader="none" w:pos="7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85" w:lineRule="exact"/>
        <w:rPr>
          <w:rFonts w:ascii="Arial" w:cs="Arial" w:eastAsia="Arial" w:hAnsi="Arial"/>
          <w:sz w:val="17"/>
          <w:szCs w:val="17"/>
          <w:i w:val="1"/>
          <w:iCs w:val="1"/>
          <w:color w:val="auto"/>
        </w:rPr>
      </w:pPr>
    </w:p>
    <w:p>
      <w:pPr>
        <w:jc w:val="both"/>
        <w:ind w:left="760" w:right="20" w:hanging="311"/>
        <w:spacing w:after="0" w:line="260" w:lineRule="auto"/>
        <w:tabs>
          <w:tab w:leader="none" w:pos="7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3" w:lineRule="exact"/>
        <w:rPr>
          <w:rFonts w:ascii="Arial" w:cs="Arial" w:eastAsia="Arial" w:hAnsi="Arial"/>
          <w:sz w:val="17"/>
          <w:szCs w:val="17"/>
          <w:i w:val="1"/>
          <w:iCs w:val="1"/>
          <w:color w:val="auto"/>
        </w:rPr>
      </w:pPr>
    </w:p>
    <w:p>
      <w:pPr>
        <w:jc w:val="both"/>
        <w:ind w:left="760" w:right="100" w:hanging="311"/>
        <w:spacing w:after="0" w:line="260" w:lineRule="auto"/>
        <w:tabs>
          <w:tab w:leader="none" w:pos="7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31"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most current annual report on Form 10-K (as amended) and our quarterly reports on Form 10-Q.</w:t>
      </w:r>
    </w:p>
    <w:p>
      <w:pPr>
        <w:spacing w:after="0" w:line="83" w:lineRule="exact"/>
        <w:rPr>
          <w:sz w:val="20"/>
          <w:szCs w:val="20"/>
          <w:color w:val="auto"/>
        </w:rPr>
      </w:pPr>
    </w:p>
    <w:p>
      <w:pPr>
        <w:jc w:val="center"/>
        <w:ind w:right="-59"/>
        <w:spacing w:after="0"/>
        <w:tabs>
          <w:tab w:leader="none" w:pos="160" w:val="left"/>
          <w:tab w:leader="none" w:pos="14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3"/>
          <w:szCs w:val="13"/>
          <w:color w:val="auto"/>
        </w:rPr>
        <w:t>#</w:t>
      </w:r>
    </w:p>
    <w:p>
      <w:pPr>
        <w:sectPr>
          <w:pgSz w:w="11900" w:h="16838" w:orient="portrait"/>
          <w:cols w:equalWidth="0" w:num="1">
            <w:col w:w="11360"/>
          </w:cols>
          <w:pgMar w:left="240" w:top="271" w:right="29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w w:val="96"/>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7"/>
              </w:rPr>
              <w:t>Nine months ended</w:t>
            </w: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3" w:lineRule="exact"/>
              <w:rPr>
                <w:sz w:val="20"/>
                <w:szCs w:val="20"/>
                <w:color w:val="auto"/>
              </w:rPr>
            </w:pPr>
            <w:r>
              <w:rPr>
                <w:rFonts w:ascii="Arial" w:cs="Arial" w:eastAsia="Arial" w:hAnsi="Arial"/>
                <w:sz w:val="13"/>
                <w:szCs w:val="13"/>
                <w:b w:val="1"/>
                <w:bCs w:val="1"/>
                <w:color w:val="auto"/>
              </w:rPr>
              <w:t>2006</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3" w:lineRule="exact"/>
              <w:rPr>
                <w:sz w:val="20"/>
                <w:szCs w:val="20"/>
                <w:color w:val="auto"/>
              </w:rPr>
            </w:pPr>
            <w:r>
              <w:rPr>
                <w:rFonts w:ascii="Arial" w:cs="Arial" w:eastAsia="Arial" w:hAnsi="Arial"/>
                <w:sz w:val="13"/>
                <w:szCs w:val="13"/>
                <w:b w:val="1"/>
                <w:bCs w:val="1"/>
                <w:color w:val="auto"/>
              </w:rPr>
              <w:t>2005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3" w:lineRule="exact"/>
              <w:rPr>
                <w:sz w:val="20"/>
                <w:szCs w:val="20"/>
                <w:color w:val="auto"/>
              </w:rPr>
            </w:pPr>
            <w:r>
              <w:rPr>
                <w:rFonts w:ascii="Arial" w:cs="Arial" w:eastAsia="Arial" w:hAnsi="Arial"/>
                <w:sz w:val="13"/>
                <w:szCs w:val="13"/>
                <w:b w:val="1"/>
                <w:bCs w:val="1"/>
                <w:color w:val="auto"/>
              </w:rPr>
              <w:t>2006</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3"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9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w w:val="91"/>
              </w:rPr>
              <w:t>CONSOLIDATED OPERATING RESULTS</w:t>
            </w:r>
          </w:p>
        </w:tc>
        <w:tc>
          <w:tcPr>
            <w:tcW w:w="2600" w:type="dxa"/>
            <w:vAlign w:val="bottom"/>
            <w:tcBorders>
              <w:bottom w:val="single" w:sz="8" w:color="CCEEFF"/>
            </w:tcBorders>
            <w:gridSpan w:val="3"/>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spacing w:after="0"/>
              <w:rPr>
                <w:sz w:val="20"/>
                <w:szCs w:val="20"/>
                <w:color w:val="auto"/>
              </w:rPr>
            </w:pPr>
            <w:r>
              <w:rPr>
                <w:rFonts w:ascii="Arial" w:cs="Arial" w:eastAsia="Arial" w:hAnsi="Arial"/>
                <w:sz w:val="17"/>
                <w:szCs w:val="17"/>
                <w:color w:val="auto"/>
              </w:rPr>
              <w:t>Revenue</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110,511</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96,772</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321,009</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290,317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ind w:left="420"/>
              <w:spacing w:after="0"/>
              <w:rPr>
                <w:sz w:val="20"/>
                <w:szCs w:val="20"/>
                <w:color w:val="auto"/>
              </w:rPr>
            </w:pPr>
            <w:r>
              <w:rPr>
                <w:rFonts w:ascii="Arial" w:cs="Arial" w:eastAsia="Arial" w:hAnsi="Arial"/>
                <w:sz w:val="17"/>
                <w:szCs w:val="17"/>
                <w:color w:val="auto"/>
              </w:rPr>
              <w:t>Other property income</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1,787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5,743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Mortgage interest income</w:t>
            </w:r>
          </w:p>
        </w:tc>
        <w:tc>
          <w:tcPr>
            <w:tcW w:w="2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113,405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100,519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330,530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300,763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Expenses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ind w:left="420"/>
              <w:spacing w:after="0"/>
              <w:rPr>
                <w:sz w:val="20"/>
                <w:szCs w:val="20"/>
                <w:color w:val="auto"/>
              </w:rPr>
            </w:pPr>
            <w:r>
              <w:rPr>
                <w:rFonts w:ascii="Arial" w:cs="Arial" w:eastAsia="Arial" w:hAnsi="Arial"/>
                <w:sz w:val="17"/>
                <w:szCs w:val="17"/>
                <w:color w:val="auto"/>
              </w:rPr>
              <w:t>Rental</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20,826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19,746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63,156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62,190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Real estate taxes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11,709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32,785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28,241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ind w:left="420"/>
              <w:spacing w:after="0"/>
              <w:rPr>
                <w:sz w:val="20"/>
                <w:szCs w:val="20"/>
                <w:color w:val="auto"/>
              </w:rPr>
            </w:pPr>
            <w:r>
              <w:rPr>
                <w:rFonts w:ascii="Arial" w:cs="Arial" w:eastAsia="Arial" w:hAnsi="Arial"/>
                <w:sz w:val="17"/>
                <w:szCs w:val="17"/>
                <w:color w:val="auto"/>
              </w:rPr>
              <w:t>General and administrative</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6,265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15,747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14,441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2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23,979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22,093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72,056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66,130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62,779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56,764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183,744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171,002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50,626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43,755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146,786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129,761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580" w:type="dxa"/>
            <w:vAlign w:val="bottom"/>
            <w:gridSpan w:val="4"/>
          </w:tcPr>
          <w:p>
            <w:pPr>
              <w:spacing w:after="0"/>
              <w:rPr>
                <w:sz w:val="20"/>
                <w:szCs w:val="20"/>
                <w:color w:val="auto"/>
              </w:rPr>
            </w:pPr>
            <w:r>
              <w:rPr>
                <w:rFonts w:ascii="Arial" w:cs="Arial" w:eastAsia="Arial" w:hAnsi="Arial"/>
                <w:sz w:val="17"/>
                <w:szCs w:val="17"/>
                <w:color w:val="auto"/>
              </w:rPr>
              <w:t>Interest-rate swap and other interest income</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1,495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2,088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(26,149)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(21,664)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(75,183)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(65,554)</w:t>
            </w:r>
          </w:p>
        </w:tc>
        <w:tc>
          <w:tcPr>
            <w:tcW w:w="0" w:type="dxa"/>
            <w:vAlign w:val="bottom"/>
          </w:tcPr>
          <w:p>
            <w:pPr>
              <w:spacing w:after="0"/>
              <w:rPr>
                <w:sz w:val="1"/>
                <w:szCs w:val="1"/>
                <w:color w:val="auto"/>
              </w:rPr>
            </w:pPr>
          </w:p>
        </w:tc>
      </w:tr>
      <w:tr>
        <w:trPr>
          <w:trHeight w:val="204"/>
        </w:trPr>
        <w:tc>
          <w:tcPr>
            <w:tcW w:w="5580" w:type="dxa"/>
            <w:vAlign w:val="bottom"/>
            <w:gridSpan w:val="4"/>
          </w:tcPr>
          <w:p>
            <w:pPr>
              <w:spacing w:after="0"/>
              <w:rPr>
                <w:sz w:val="20"/>
                <w:szCs w:val="20"/>
                <w:color w:val="auto"/>
              </w:rPr>
            </w:pPr>
            <w:r>
              <w:rPr>
                <w:rFonts w:ascii="Arial" w:cs="Arial" w:eastAsia="Arial" w:hAnsi="Arial"/>
                <w:sz w:val="17"/>
                <w:szCs w:val="17"/>
                <w:color w:val="auto"/>
              </w:rPr>
              <w:t>Income from real estate partnership</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09"/>
        </w:trPr>
        <w:tc>
          <w:tcPr>
            <w:tcW w:w="5580" w:type="dxa"/>
            <w:vAlign w:val="bottom"/>
            <w:gridSpan w:val="4"/>
          </w:tcPr>
          <w:p>
            <w:pPr>
              <w:spacing w:after="0"/>
              <w:rPr>
                <w:sz w:val="20"/>
                <w:szCs w:val="20"/>
                <w:color w:val="auto"/>
              </w:rPr>
            </w:pPr>
            <w:r>
              <w:rPr>
                <w:rFonts w:ascii="Arial" w:cs="Arial" w:eastAsia="Arial" w:hAnsi="Arial"/>
                <w:sz w:val="17"/>
                <w:szCs w:val="17"/>
                <w:color w:val="auto"/>
              </w:rPr>
              <w:t>Income from continuing operations</w:t>
            </w:r>
          </w:p>
        </w:tc>
        <w:tc>
          <w:tcPr>
            <w:tcW w:w="2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25,082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21,263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70,741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62,499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ind w:left="420"/>
              <w:spacing w:after="0"/>
              <w:rPr>
                <w:sz w:val="20"/>
                <w:szCs w:val="20"/>
                <w:color w:val="auto"/>
              </w:rPr>
            </w:pPr>
            <w:r>
              <w:rPr>
                <w:rFonts w:ascii="Arial" w:cs="Arial" w:eastAsia="Arial" w:hAnsi="Arial"/>
                <w:sz w:val="17"/>
                <w:szCs w:val="17"/>
                <w:color w:val="auto"/>
              </w:rPr>
              <w:t>Operating (loss) income from discontinued operations</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2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23,866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17,347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80" w:type="dxa"/>
            <w:vAlign w:val="bottom"/>
            <w:gridSpan w:val="4"/>
          </w:tcPr>
          <w:p>
            <w:pPr>
              <w:spacing w:after="0"/>
              <w:rPr>
                <w:sz w:val="20"/>
                <w:szCs w:val="20"/>
                <w:color w:val="auto"/>
              </w:rPr>
            </w:pPr>
            <w:r>
              <w:rPr>
                <w:rFonts w:ascii="Arial" w:cs="Arial" w:eastAsia="Arial" w:hAnsi="Arial"/>
                <w:sz w:val="17"/>
                <w:szCs w:val="17"/>
                <w:color w:val="auto"/>
              </w:rPr>
              <w:t>Results from discontinued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23,530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16,985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2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24,984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30,680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94,271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79,484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58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(8,607)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(8,607)</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22,115</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27,811</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85,664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70,877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Arial" w:cs="Arial" w:eastAsia="Arial" w:hAnsi="Arial"/>
                <w:sz w:val="17"/>
                <w:szCs w:val="17"/>
                <w:color w:val="auto"/>
                <w:w w:val="93"/>
              </w:rPr>
              <w:t>FUNDS FROM OPERATIONS AVAILABLE FOR COMMON SHAREHOLDERS</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80" w:type="dxa"/>
            <w:vAlign w:val="bottom"/>
            <w:tcBorders>
              <w:bottom w:val="single" w:sz="8" w:color="auto"/>
            </w:tcBorders>
            <w:gridSpan w:val="4"/>
            <w:vMerge w:val="continue"/>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24,984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30,680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94,271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spacing w:after="0"/>
              <w:rPr>
                <w:sz w:val="20"/>
                <w:szCs w:val="20"/>
                <w:color w:val="auto"/>
              </w:rPr>
            </w:pPr>
            <w:r>
              <w:rPr>
                <w:rFonts w:ascii="Arial" w:cs="Arial" w:eastAsia="Arial" w:hAnsi="Arial"/>
                <w:sz w:val="17"/>
                <w:szCs w:val="17"/>
                <w:color w:val="auto"/>
              </w:rPr>
              <w:t>Gain on sale of real estate</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(9,463)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(23,866)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1"/>
              </w:rPr>
              <w:t>(17,347)</w:t>
            </w: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21,570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20,506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65,452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61,754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tcPr>
          <w:p>
            <w:pPr>
              <w:spacing w:after="0"/>
              <w:rPr>
                <w:sz w:val="20"/>
                <w:szCs w:val="20"/>
                <w:color w:val="auto"/>
              </w:rPr>
            </w:pPr>
            <w:r>
              <w:rPr>
                <w:rFonts w:ascii="Arial" w:cs="Arial" w:eastAsia="Arial" w:hAnsi="Arial"/>
                <w:sz w:val="17"/>
                <w:szCs w:val="17"/>
                <w:color w:val="auto"/>
              </w:rPr>
              <w:t>Amortization of initial direct costs of leases</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of real estate partnership assets</w:t>
            </w:r>
          </w:p>
        </w:tc>
        <w:tc>
          <w:tcPr>
            <w:tcW w:w="2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gridSpan w:val="4"/>
          </w:tcPr>
          <w:p>
            <w:pPr>
              <w:spacing w:after="0"/>
              <w:rPr>
                <w:sz w:val="20"/>
                <w:szCs w:val="20"/>
                <w:color w:val="auto"/>
              </w:rPr>
            </w:pPr>
            <w:r>
              <w:rPr>
                <w:rFonts w:ascii="Arial" w:cs="Arial" w:eastAsia="Arial" w:hAnsi="Arial"/>
                <w:sz w:val="17"/>
                <w:szCs w:val="17"/>
                <w:color w:val="auto"/>
              </w:rPr>
              <w:t>Funds from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48,509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43,648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141,788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129,557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(8,607)</w:t>
            </w:r>
          </w:p>
        </w:tc>
        <w:tc>
          <w:tcPr>
            <w:tcW w:w="0" w:type="dxa"/>
            <w:vAlign w:val="bottom"/>
          </w:tcPr>
          <w:p>
            <w:pPr>
              <w:spacing w:after="0"/>
              <w:rPr>
                <w:sz w:val="1"/>
                <w:szCs w:val="1"/>
                <w:color w:val="auto"/>
              </w:rPr>
            </w:pPr>
          </w:p>
        </w:tc>
      </w:tr>
      <w:tr>
        <w:trPr>
          <w:trHeight w:val="210"/>
        </w:trPr>
        <w:tc>
          <w:tcPr>
            <w:tcW w:w="5580" w:type="dxa"/>
            <w:vAlign w:val="bottom"/>
            <w:gridSpan w:val="4"/>
          </w:tcPr>
          <w:p>
            <w:pPr>
              <w:spacing w:after="0"/>
              <w:rPr>
                <w:sz w:val="20"/>
                <w:szCs w:val="20"/>
                <w:color w:val="auto"/>
              </w:rPr>
            </w:pPr>
            <w:r>
              <w:rPr>
                <w:rFonts w:ascii="Arial" w:cs="Arial" w:eastAsia="Arial" w:hAnsi="Arial"/>
                <w:sz w:val="17"/>
                <w:szCs w:val="17"/>
                <w:color w:val="auto"/>
              </w:rPr>
              <w:t>Income attributable to operating partnership units</w:t>
            </w: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 available to common shareholders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45,822</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40,994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133,841</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121,523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Arial" w:cs="Arial" w:eastAsia="Arial" w:hAnsi="Arial"/>
                <w:sz w:val="17"/>
                <w:szCs w:val="17"/>
                <w:color w:val="auto"/>
              </w:rPr>
              <w:t>Weighted average number of common shares, diluted</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80" w:type="dxa"/>
            <w:vAlign w:val="bottom"/>
            <w:gridSpan w:val="4"/>
            <w:vMerge w:val="continue"/>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54,066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53,559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53,815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53,405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6"/>
              </w:rPr>
              <w:t>Funds from operations available for common shareholders per dilutive share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7"/>
                <w:szCs w:val="17"/>
                <w:color w:val="auto"/>
                <w:w w:val="93"/>
              </w:rPr>
              <w:t>EARNINGS PER COMMON SHARE, BASIC</w:t>
            </w:r>
          </w:p>
        </w:tc>
        <w:tc>
          <w:tcPr>
            <w:tcW w:w="2420" w:type="dxa"/>
            <w:vAlign w:val="bottom"/>
            <w:gridSpan w:val="2"/>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60" w:type="dxa"/>
            <w:vAlign w:val="bottom"/>
            <w:tcBorders>
              <w:bottom w:val="single" w:sz="8" w:color="auto"/>
            </w:tcBorders>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gridSpan w:val="4"/>
          </w:tcPr>
          <w:p>
            <w:pPr>
              <w:spacing w:after="0"/>
              <w:rPr>
                <w:sz w:val="20"/>
                <w:szCs w:val="20"/>
                <w:color w:val="auto"/>
              </w:rPr>
            </w:pPr>
            <w:r>
              <w:rPr>
                <w:rFonts w:ascii="Arial" w:cs="Arial" w:eastAsia="Arial" w:hAnsi="Arial"/>
                <w:sz w:val="17"/>
                <w:szCs w:val="17"/>
                <w:color w:val="auto"/>
              </w:rPr>
              <w:t>Discontinued operations</w:t>
            </w: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Arial" w:cs="Arial" w:eastAsia="Arial" w:hAnsi="Arial"/>
                <w:sz w:val="17"/>
                <w:szCs w:val="17"/>
                <w:color w:val="auto"/>
              </w:rPr>
              <w:t>Weighted average number of common shares, basic</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80" w:type="dxa"/>
            <w:vAlign w:val="bottom"/>
            <w:gridSpan w:val="4"/>
            <w:vMerge w:val="continue"/>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53,187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52,618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52,923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52,443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gridSpan w:val="4"/>
            <w:shd w:val="clear" w:color="auto" w:fill="CCEEFF"/>
          </w:tcPr>
          <w:p>
            <w:pPr>
              <w:spacing w:after="0" w:line="158" w:lineRule="exact"/>
              <w:rPr>
                <w:sz w:val="20"/>
                <w:szCs w:val="20"/>
                <w:color w:val="auto"/>
              </w:rPr>
            </w:pPr>
            <w:r>
              <w:rPr>
                <w:rFonts w:ascii="Arial" w:cs="Arial" w:eastAsia="Arial" w:hAnsi="Arial"/>
                <w:sz w:val="17"/>
                <w:szCs w:val="17"/>
                <w:color w:val="auto"/>
              </w:rPr>
              <w:t>EARNINGS PER COMMON SHARE, DILUTED</w:t>
            </w:r>
          </w:p>
        </w:tc>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Continuing operations</w:t>
            </w:r>
          </w:p>
        </w:tc>
        <w:tc>
          <w:tcPr>
            <w:tcW w:w="220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0.41</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0.34</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1.16</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1.02</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0.41</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0.52</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2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53,676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53,149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53,418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52,982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0" w:type="dxa"/>
            <w:vAlign w:val="bottom"/>
            <w:vMerge w:val="restart"/>
          </w:tcPr>
          <w:p>
            <w:pPr>
              <w:jc w:val="right"/>
              <w:ind w:right="2137"/>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2006</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820" w:type="dxa"/>
            <w:vAlign w:val="bottom"/>
          </w:tcPr>
          <w:p>
            <w:pPr>
              <w:spacing w:after="0"/>
              <w:rPr>
                <w:sz w:val="20"/>
                <w:szCs w:val="20"/>
                <w:color w:val="auto"/>
              </w:rPr>
            </w:pPr>
            <w:r>
              <w:rPr>
                <w:rFonts w:ascii="Arial" w:cs="Arial" w:eastAsia="Arial" w:hAnsi="Arial"/>
                <w:sz w:val="17"/>
                <w:szCs w:val="17"/>
                <w:color w:val="auto"/>
              </w:rPr>
              <w:t>Real estate, at cost</w:t>
            </w: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4720" w:type="dxa"/>
            <w:vAlign w:val="bottom"/>
            <w:gridSpan w:val="2"/>
            <w:shd w:val="clear" w:color="auto" w:fill="CCEEFF"/>
          </w:tcPr>
          <w:p>
            <w:pPr>
              <w:ind w:left="4620"/>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3,013,914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2,731,694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74,447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50,593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4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w w:val="87"/>
              </w:rPr>
              <w:t>3,088,361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4"/>
              </w:rPr>
              <w:t>2,829,321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6"/>
              </w:rPr>
              <w:t>(718,006)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(663,750)</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7"/>
                <w:szCs w:val="17"/>
                <w:color w:val="auto"/>
              </w:rPr>
              <w:t>Net real estate</w:t>
            </w:r>
          </w:p>
        </w:tc>
        <w:tc>
          <w:tcPr>
            <w:tcW w:w="4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2,370,355</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2,165,571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48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66,424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45,274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38,161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40,795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10,581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4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106,693</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7"/>
                <w:szCs w:val="17"/>
                <w:color w:val="auto"/>
              </w:rPr>
              <w:t>TOTAL ASSETS</w:t>
            </w:r>
          </w:p>
        </w:tc>
        <w:tc>
          <w:tcPr>
            <w:tcW w:w="4720" w:type="dxa"/>
            <w:vAlign w:val="bottom"/>
            <w:gridSpan w:val="2"/>
          </w:tcPr>
          <w:p>
            <w:pPr>
              <w:ind w:left="4620"/>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w w:val="87"/>
              </w:rPr>
              <w:t>2,640,122</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2,350,852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820" w:type="dxa"/>
            <w:vAlign w:val="bottom"/>
          </w:tcPr>
          <w:p>
            <w:pPr>
              <w:spacing w:after="0"/>
              <w:rPr>
                <w:sz w:val="20"/>
                <w:szCs w:val="20"/>
                <w:color w:val="auto"/>
              </w:rPr>
            </w:pPr>
            <w:r>
              <w:rPr>
                <w:rFonts w:ascii="Arial" w:cs="Arial" w:eastAsia="Arial" w:hAnsi="Arial"/>
                <w:sz w:val="17"/>
                <w:szCs w:val="17"/>
                <w:color w:val="auto"/>
              </w:rPr>
              <w:t>Liabilities</w:t>
            </w: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Obligations under capital leases and mortgage notes</w:t>
            </w:r>
          </w:p>
        </w:tc>
        <w:tc>
          <w:tcPr>
            <w:tcW w:w="4720" w:type="dxa"/>
            <w:vAlign w:val="bottom"/>
            <w:gridSpan w:val="2"/>
            <w:shd w:val="clear" w:color="auto" w:fill="CCEEFF"/>
          </w:tcPr>
          <w:p>
            <w:pPr>
              <w:ind w:left="4620"/>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434,936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419,713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86,072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316,755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992,488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653,675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183,385</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1,696,881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1,556,812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820" w:type="dxa"/>
            <w:vAlign w:val="bottom"/>
          </w:tcPr>
          <w:p>
            <w:pPr>
              <w:spacing w:after="0"/>
              <w:rPr>
                <w:sz w:val="20"/>
                <w:szCs w:val="20"/>
                <w:color w:val="auto"/>
              </w:rPr>
            </w:pPr>
            <w:r>
              <w:rPr>
                <w:rFonts w:ascii="Arial" w:cs="Arial" w:eastAsia="Arial" w:hAnsi="Arial"/>
                <w:sz w:val="17"/>
                <w:szCs w:val="17"/>
                <w:color w:val="auto"/>
              </w:rPr>
              <w:t>Minority interests</w:t>
            </w: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18,644</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19,193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420"/>
              <w:spacing w:after="0"/>
              <w:rPr>
                <w:sz w:val="20"/>
                <w:szCs w:val="20"/>
                <w:color w:val="auto"/>
              </w:rPr>
            </w:pPr>
            <w:r>
              <w:rPr>
                <w:rFonts w:ascii="Arial" w:cs="Arial" w:eastAsia="Arial" w:hAnsi="Arial"/>
                <w:sz w:val="17"/>
                <w:szCs w:val="17"/>
                <w:color w:val="auto"/>
              </w:rPr>
              <w:t>Preferred stock</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135,000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4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789,597</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639,847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924,597</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4720" w:type="dxa"/>
            <w:vAlign w:val="bottom"/>
            <w:gridSpan w:val="2"/>
            <w:shd w:val="clear" w:color="auto" w:fill="CCEEFF"/>
          </w:tcPr>
          <w:p>
            <w:pPr>
              <w:ind w:left="4620"/>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2,640,122</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2,350,852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20" w:type="dxa"/>
            <w:vAlign w:val="bottom"/>
            <w:vMerge w:val="restart"/>
          </w:tcPr>
          <w:p>
            <w:pPr>
              <w:ind w:left="860"/>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87"/>
              </w:rPr>
              <w:t>Three months ended</w:t>
            </w:r>
          </w:p>
        </w:tc>
        <w:tc>
          <w:tcPr>
            <w:tcW w:w="100" w:type="dxa"/>
            <w:vAlign w:val="bottom"/>
          </w:tcPr>
          <w:p>
            <w:pPr>
              <w:spacing w:after="0"/>
              <w:rPr>
                <w:sz w:val="13"/>
                <w:szCs w:val="13"/>
                <w:color w:val="auto"/>
              </w:rPr>
            </w:pPr>
          </w:p>
        </w:tc>
        <w:tc>
          <w:tcPr>
            <w:tcW w:w="1520" w:type="dxa"/>
            <w:vAlign w:val="bottom"/>
            <w:gridSpan w:val="4"/>
          </w:tcPr>
          <w:p>
            <w:pPr>
              <w:jc w:val="center"/>
              <w:ind w:left="400"/>
              <w:spacing w:after="0"/>
              <w:rPr>
                <w:sz w:val="20"/>
                <w:szCs w:val="20"/>
                <w:color w:val="auto"/>
              </w:rPr>
            </w:pPr>
            <w:r>
              <w:rPr>
                <w:rFonts w:ascii="Arial" w:cs="Arial" w:eastAsia="Arial" w:hAnsi="Arial"/>
                <w:sz w:val="13"/>
                <w:szCs w:val="13"/>
                <w:b w:val="1"/>
                <w:bCs w:val="1"/>
                <w:color w:val="auto"/>
                <w:w w:val="86"/>
              </w:rPr>
              <w:t>Nine months ended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3"/>
                <w:szCs w:val="13"/>
                <w:b w:val="1"/>
                <w:bCs w:val="1"/>
                <w:color w:val="auto"/>
                <w:w w:val="87"/>
              </w:rPr>
              <w:t>September 30,</w:t>
            </w:r>
          </w:p>
        </w:tc>
        <w:tc>
          <w:tcPr>
            <w:tcW w:w="6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left="420"/>
              <w:spacing w:after="0"/>
              <w:rPr>
                <w:sz w:val="20"/>
                <w:szCs w:val="20"/>
                <w:color w:val="auto"/>
              </w:rPr>
            </w:pPr>
            <w:r>
              <w:rPr>
                <w:rFonts w:ascii="Arial" w:cs="Arial" w:eastAsia="Arial" w:hAnsi="Arial"/>
                <w:sz w:val="13"/>
                <w:szCs w:val="13"/>
                <w:b w:val="1"/>
                <w:bCs w:val="1"/>
                <w:color w:val="auto"/>
                <w:w w:val="87"/>
              </w:rPr>
              <w:t>September 30,</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0"/>
              <w:spacing w:after="0" w:line="133" w:lineRule="exact"/>
              <w:rPr>
                <w:sz w:val="20"/>
                <w:szCs w:val="20"/>
                <w:color w:val="auto"/>
              </w:rPr>
            </w:pPr>
            <w:r>
              <w:rPr>
                <w:rFonts w:ascii="Arial" w:cs="Arial" w:eastAsia="Arial" w:hAnsi="Arial"/>
                <w:sz w:val="13"/>
                <w:szCs w:val="13"/>
                <w:b w:val="1"/>
                <w:bCs w:val="1"/>
                <w:color w:val="auto"/>
              </w:rPr>
              <w:t>2006</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except</w:t>
            </w: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8"/>
              <w:spacing w:after="0" w:line="133" w:lineRule="exact"/>
              <w:rPr>
                <w:sz w:val="20"/>
                <w:szCs w:val="20"/>
                <w:color w:val="auto"/>
              </w:rPr>
            </w:pPr>
            <w:r>
              <w:rPr>
                <w:rFonts w:ascii="Arial" w:cs="Arial" w:eastAsia="Arial" w:hAnsi="Arial"/>
                <w:sz w:val="13"/>
                <w:szCs w:val="13"/>
                <w:b w:val="1"/>
                <w:bCs w:val="1"/>
                <w:color w:val="auto"/>
              </w:rPr>
              <w:t>2005</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0"/>
              <w:spacing w:after="0" w:line="133" w:lineRule="exact"/>
              <w:rPr>
                <w:sz w:val="20"/>
                <w:szCs w:val="20"/>
                <w:color w:val="auto"/>
              </w:rPr>
            </w:pPr>
            <w:r>
              <w:rPr>
                <w:rFonts w:ascii="Arial" w:cs="Arial" w:eastAsia="Arial" w:hAnsi="Arial"/>
                <w:sz w:val="13"/>
                <w:szCs w:val="13"/>
                <w:b w:val="1"/>
                <w:bCs w:val="1"/>
                <w:color w:val="auto"/>
              </w:rPr>
              <w:t>2006</w:t>
            </w:r>
          </w:p>
        </w:tc>
        <w:tc>
          <w:tcPr>
            <w:tcW w:w="4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7"/>
              </w:rPr>
              <w:t>except</w:t>
            </w: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38"/>
              <w:spacing w:after="0" w:line="133" w:lineRule="exact"/>
              <w:rPr>
                <w:sz w:val="20"/>
                <w:szCs w:val="20"/>
                <w:color w:val="auto"/>
              </w:rPr>
            </w:pPr>
            <w:r>
              <w:rPr>
                <w:rFonts w:ascii="Arial" w:cs="Arial" w:eastAsia="Arial" w:hAnsi="Arial"/>
                <w:sz w:val="13"/>
                <w:szCs w:val="13"/>
                <w:b w:val="1"/>
                <w:bCs w:val="1"/>
                <w:color w:val="auto"/>
                <w:w w:val="82"/>
              </w:rPr>
              <w:t>2005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3"/>
              </w:rPr>
              <w:t>(in thousands,</w:t>
            </w:r>
          </w:p>
        </w:tc>
        <w:tc>
          <w:tcPr>
            <w:tcW w:w="460" w:type="dxa"/>
            <w:vAlign w:val="bottom"/>
            <w:vMerge w:val="continue"/>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4"/>
              </w:rPr>
              <w:t>per share data)</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83"/>
              </w:rPr>
              <w:t>(in thousands,</w:t>
            </w:r>
          </w:p>
        </w:tc>
        <w:tc>
          <w:tcPr>
            <w:tcW w:w="460" w:type="dxa"/>
            <w:vAlign w:val="bottom"/>
            <w:gridSpan w:val="2"/>
            <w:vMerge w:val="continue"/>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w w:val="92"/>
              </w:rPr>
              <w:t>per share data)</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620" w:type="dxa"/>
            <w:vAlign w:val="bottom"/>
            <w:tcBorders>
              <w:bottom w:val="single" w:sz="8" w:color="auto"/>
            </w:tcBorders>
            <w:gridSpan w:val="3"/>
            <w:shd w:val="clear" w:color="auto" w:fill="CCEEFF"/>
          </w:tcPr>
          <w:p>
            <w:pPr>
              <w:spacing w:after="0" w:line="166" w:lineRule="exact"/>
              <w:rPr>
                <w:sz w:val="20"/>
                <w:szCs w:val="20"/>
                <w:color w:val="auto"/>
              </w:rPr>
            </w:pPr>
            <w:r>
              <w:rPr>
                <w:rFonts w:ascii="Arial" w:cs="Arial" w:eastAsia="Arial" w:hAnsi="Arial"/>
                <w:sz w:val="17"/>
                <w:szCs w:val="17"/>
                <w:color w:val="auto"/>
                <w:w w:val="88"/>
              </w:rPr>
              <w:t>Funds from Operations available for common shareholders (FFO) (1)</w:t>
            </w:r>
          </w:p>
        </w:tc>
        <w:tc>
          <w:tcPr>
            <w:tcW w:w="13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40" w:type="dxa"/>
            <w:vAlign w:val="bottom"/>
            <w:gridSpan w:val="4"/>
          </w:tcPr>
          <w:p>
            <w:pPr>
              <w:spacing w:after="0"/>
              <w:rPr>
                <w:sz w:val="20"/>
                <w:szCs w:val="20"/>
                <w:color w:val="auto"/>
              </w:rPr>
            </w:pPr>
            <w:r>
              <w:rPr>
                <w:rFonts w:ascii="Arial" w:cs="Arial" w:eastAsia="Arial" w:hAnsi="Arial"/>
                <w:sz w:val="17"/>
                <w:szCs w:val="17"/>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24,984</w:t>
            </w:r>
          </w:p>
        </w:tc>
        <w:tc>
          <w:tcPr>
            <w:tcW w:w="4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30,680</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94,271</w:t>
            </w:r>
          </w:p>
        </w:tc>
        <w:tc>
          <w:tcPr>
            <w:tcW w:w="30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79,484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36"/>
              <w:spacing w:after="0"/>
              <w:rPr>
                <w:sz w:val="20"/>
                <w:szCs w:val="20"/>
                <w:color w:val="auto"/>
              </w:rPr>
            </w:pPr>
            <w:r>
              <w:rPr>
                <w:rFonts w:ascii="Arial" w:cs="Arial" w:eastAsia="Arial" w:hAnsi="Arial"/>
                <w:sz w:val="17"/>
                <w:szCs w:val="17"/>
                <w:color w:val="auto"/>
              </w:rPr>
              <w:t>(95)</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(9,463)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(23,866)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(17,347)</w:t>
            </w:r>
          </w:p>
        </w:tc>
        <w:tc>
          <w:tcPr>
            <w:tcW w:w="0" w:type="dxa"/>
            <w:vAlign w:val="bottom"/>
          </w:tcPr>
          <w:p>
            <w:pPr>
              <w:spacing w:after="0"/>
              <w:rPr>
                <w:sz w:val="1"/>
                <w:szCs w:val="1"/>
                <w:color w:val="auto"/>
              </w:rPr>
            </w:pPr>
          </w:p>
        </w:tc>
      </w:tr>
      <w:tr>
        <w:trPr>
          <w:trHeight w:val="204"/>
        </w:trPr>
        <w:tc>
          <w:tcPr>
            <w:tcW w:w="594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21,570</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20,506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65,452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61,754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gridSpan w:val="4"/>
          </w:tcPr>
          <w:p>
            <w:pPr>
              <w:spacing w:after="0"/>
              <w:rPr>
                <w:sz w:val="20"/>
                <w:szCs w:val="20"/>
                <w:color w:val="auto"/>
              </w:rPr>
            </w:pPr>
            <w:r>
              <w:rPr>
                <w:rFonts w:ascii="Arial" w:cs="Arial" w:eastAsia="Arial" w:hAnsi="Arial"/>
                <w:sz w:val="17"/>
                <w:szCs w:val="17"/>
                <w:color w:val="auto"/>
              </w:rPr>
              <w:t>Depreciation of real estate partnership assets</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48,509</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43,648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141,788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129,557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336"/>
              <w:spacing w:after="0"/>
              <w:rPr>
                <w:sz w:val="20"/>
                <w:szCs w:val="20"/>
                <w:color w:val="auto"/>
              </w:rPr>
            </w:pPr>
            <w:r>
              <w:rPr>
                <w:rFonts w:ascii="Arial" w:cs="Arial" w:eastAsia="Arial" w:hAnsi="Arial"/>
                <w:sz w:val="17"/>
                <w:szCs w:val="17"/>
                <w:color w:val="auto"/>
              </w:rPr>
              <w:t>(2,869)</w:t>
            </w:r>
          </w:p>
        </w:tc>
        <w:tc>
          <w:tcPr>
            <w:tcW w:w="2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7"/>
                <w:szCs w:val="17"/>
                <w:color w:val="auto"/>
              </w:rPr>
            </w:pPr>
          </w:p>
        </w:tc>
        <w:tc>
          <w:tcPr>
            <w:tcW w:w="1060" w:type="dxa"/>
            <w:vAlign w:val="bottom"/>
            <w:gridSpan w:val="2"/>
          </w:tcPr>
          <w:p>
            <w:pPr>
              <w:jc w:val="right"/>
              <w:ind w:right="176"/>
              <w:spacing w:after="0"/>
              <w:rPr>
                <w:sz w:val="20"/>
                <w:szCs w:val="20"/>
                <w:color w:val="auto"/>
              </w:rPr>
            </w:pPr>
            <w:r>
              <w:rPr>
                <w:rFonts w:ascii="Arial" w:cs="Arial" w:eastAsia="Arial" w:hAnsi="Arial"/>
                <w:sz w:val="17"/>
                <w:szCs w:val="17"/>
                <w:color w:val="auto"/>
              </w:rPr>
              <w:t>(8,607)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(8,607)</w:t>
            </w: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4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gridSpan w:val="4"/>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6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45,822</w:t>
            </w:r>
          </w:p>
        </w:tc>
        <w:tc>
          <w:tcPr>
            <w:tcW w:w="4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40,994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133,841</w:t>
            </w:r>
          </w:p>
        </w:tc>
        <w:tc>
          <w:tcPr>
            <w:tcW w:w="30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w w:val="91"/>
              </w:rPr>
              <w:t>121,523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54,066</w:t>
            </w:r>
          </w:p>
        </w:tc>
        <w:tc>
          <w:tcPr>
            <w:tcW w:w="4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53,559</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53,815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4"/>
            <w:vMerge w:val="restart"/>
          </w:tcPr>
          <w:p>
            <w:pPr>
              <w:spacing w:after="0"/>
              <w:rPr>
                <w:sz w:val="20"/>
                <w:szCs w:val="20"/>
                <w:color w:val="auto"/>
              </w:rPr>
            </w:pPr>
            <w:r>
              <w:rPr>
                <w:rFonts w:ascii="Arial" w:cs="Arial" w:eastAsia="Arial" w:hAnsi="Arial"/>
                <w:sz w:val="17"/>
                <w:szCs w:val="17"/>
                <w:b w:val="1"/>
                <w:bCs w:val="1"/>
                <w:color w:val="auto"/>
                <w:w w:val="95"/>
              </w:rPr>
              <w:t>Funds from operations available for common shareholders per diluted share</w:t>
            </w: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gridSpan w:val="4"/>
            <w:vMerge w:val="continue"/>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0.85</w:t>
            </w:r>
          </w:p>
        </w:tc>
        <w:tc>
          <w:tcPr>
            <w:tcW w:w="46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0.77</w:t>
            </w:r>
          </w:p>
        </w:tc>
        <w:tc>
          <w:tcPr>
            <w:tcW w:w="4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2.49</w:t>
            </w:r>
          </w:p>
        </w:tc>
        <w:tc>
          <w:tcPr>
            <w:tcW w:w="300" w:type="dxa"/>
            <w:vAlign w:val="bottom"/>
          </w:tcPr>
          <w:p>
            <w:pPr>
              <w:spacing w:after="0"/>
              <w:rPr>
                <w:sz w:val="16"/>
                <w:szCs w:val="16"/>
                <w:color w:val="auto"/>
              </w:rPr>
            </w:pPr>
          </w:p>
        </w:tc>
        <w:tc>
          <w:tcPr>
            <w:tcW w:w="460" w:type="dxa"/>
            <w:vAlign w:val="bottom"/>
            <w:gridSpan w:val="2"/>
          </w:tcPr>
          <w:p>
            <w:pPr>
              <w:ind w:left="160"/>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2.28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940" w:type="dxa"/>
            <w:vAlign w:val="bottom"/>
            <w:gridSpan w:val="4"/>
            <w:shd w:val="clear" w:color="auto" w:fill="CCEEFF"/>
          </w:tcPr>
          <w:p>
            <w:pPr>
              <w:spacing w:after="0" w:line="158" w:lineRule="exact"/>
              <w:rPr>
                <w:sz w:val="20"/>
                <w:szCs w:val="20"/>
                <w:color w:val="auto"/>
              </w:rPr>
            </w:pPr>
            <w:r>
              <w:rPr>
                <w:rFonts w:ascii="Arial" w:cs="Arial" w:eastAsia="Arial" w:hAnsi="Arial"/>
                <w:sz w:val="17"/>
                <w:szCs w:val="17"/>
                <w:color w:val="auto"/>
              </w:rPr>
              <w:t>Summary of Capital Expenditures</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6"/>
        </w:trPr>
        <w:tc>
          <w:tcPr>
            <w:tcW w:w="594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23,451</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37,151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61,027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gridSpan w:val="4"/>
          </w:tcPr>
          <w:p>
            <w:pPr>
              <w:ind w:left="420"/>
              <w:spacing w:after="0"/>
              <w:rPr>
                <w:sz w:val="20"/>
                <w:szCs w:val="20"/>
                <w:color w:val="auto"/>
              </w:rPr>
            </w:pPr>
            <w:r>
              <w:rPr>
                <w:rFonts w:ascii="Arial" w:cs="Arial" w:eastAsia="Arial" w:hAnsi="Arial"/>
                <w:sz w:val="17"/>
                <w:szCs w:val="17"/>
                <w:color w:val="auto"/>
              </w:rPr>
              <w:t>Tenant improvements and incentives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4,491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12,337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11,118</w:t>
            </w: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27,942</w:t>
            </w:r>
          </w:p>
        </w:tc>
        <w:tc>
          <w:tcPr>
            <w:tcW w:w="4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41,866</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73,364</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106,492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gridSpan w:val="4"/>
          </w:tcPr>
          <w:p>
            <w:pPr>
              <w:spacing w:after="0"/>
              <w:rPr>
                <w:sz w:val="20"/>
                <w:szCs w:val="20"/>
                <w:color w:val="auto"/>
              </w:rPr>
            </w:pPr>
            <w:r>
              <w:rPr>
                <w:rFonts w:ascii="Arial" w:cs="Arial" w:eastAsia="Arial" w:hAnsi="Arial"/>
                <w:sz w:val="17"/>
                <w:szCs w:val="17"/>
                <w:color w:val="auto"/>
              </w:rPr>
              <w:t>Maintenance capital expenditures</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2,554</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30,519</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44,420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76,948</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110,586</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7"/>
                <w:szCs w:val="17"/>
                <w:color w:val="auto"/>
                <w:w w:val="87"/>
              </w:rPr>
              <w:t>Dividends and Payout Ratios</w:t>
            </w:r>
          </w:p>
        </w:tc>
        <w:tc>
          <w:tcPr>
            <w:tcW w:w="4000" w:type="dxa"/>
            <w:vAlign w:val="bottom"/>
            <w:gridSpan w:val="3"/>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940" w:type="dxa"/>
            <w:vAlign w:val="bottom"/>
            <w:tcBorders>
              <w:bottom w:val="single" w:sz="8" w:color="auto"/>
            </w:tcBorders>
            <w:vMerge w:val="continue"/>
          </w:tcPr>
          <w:p>
            <w:pPr>
              <w:spacing w:after="0"/>
              <w:rPr>
                <w:sz w:val="14"/>
                <w:szCs w:val="14"/>
                <w:color w:val="auto"/>
              </w:rPr>
            </w:pPr>
          </w:p>
        </w:tc>
        <w:tc>
          <w:tcPr>
            <w:tcW w:w="40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9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Regular common dividends declared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90,650</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4"/>
          </w:tcPr>
          <w:p>
            <w:pPr>
              <w:ind w:left="420"/>
              <w:spacing w:after="0"/>
              <w:rPr>
                <w:sz w:val="20"/>
                <w:szCs w:val="20"/>
                <w:color w:val="auto"/>
              </w:rPr>
            </w:pPr>
            <w:r>
              <w:rPr>
                <w:rFonts w:ascii="Arial" w:cs="Arial" w:eastAsia="Arial" w:hAnsi="Arial"/>
                <w:sz w:val="17"/>
                <w:szCs w:val="17"/>
                <w:color w:val="auto"/>
              </w:rPr>
              <w:t>Special common dividends declared</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Common dividends declared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101,256</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4"/>
            <w:vMerge w:val="restart"/>
          </w:tcPr>
          <w:p>
            <w:pPr>
              <w:ind w:left="420"/>
              <w:spacing w:after="0"/>
              <w:rPr>
                <w:sz w:val="20"/>
                <w:szCs w:val="20"/>
                <w:color w:val="auto"/>
              </w:rPr>
            </w:pPr>
            <w:r>
              <w:rPr>
                <w:rFonts w:ascii="Arial" w:cs="Arial" w:eastAsia="Arial" w:hAnsi="Arial"/>
                <w:sz w:val="17"/>
                <w:szCs w:val="17"/>
                <w:color w:val="auto"/>
              </w:rPr>
              <w:t>Dividend payout ratio % - FFO (excluding special dividends) (2)</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4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256"/>
              <w:spacing w:after="0" w:line="194" w:lineRule="exact"/>
              <w:rPr>
                <w:sz w:val="20"/>
                <w:szCs w:val="20"/>
                <w:color w:val="auto"/>
              </w:rPr>
            </w:pPr>
            <w:r>
              <w:rPr>
                <w:rFonts w:ascii="Arial" w:cs="Arial" w:eastAsia="Arial" w:hAnsi="Arial"/>
                <w:sz w:val="17"/>
                <w:szCs w:val="17"/>
                <w:color w:val="auto"/>
              </w:rPr>
              <w:t>69%</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71%</w:t>
            </w:r>
          </w:p>
        </w:tc>
        <w:tc>
          <w:tcPr>
            <w:tcW w:w="100" w:type="dxa"/>
            <w:vAlign w:val="bottom"/>
          </w:tcPr>
          <w:p>
            <w:pPr>
              <w:spacing w:after="0"/>
              <w:rPr>
                <w:sz w:val="16"/>
                <w:szCs w:val="16"/>
                <w:color w:val="auto"/>
              </w:rPr>
            </w:pPr>
          </w:p>
        </w:tc>
        <w:tc>
          <w:tcPr>
            <w:tcW w:w="1060" w:type="dxa"/>
            <w:vAlign w:val="bottom"/>
            <w:gridSpan w:val="2"/>
          </w:tcPr>
          <w:p>
            <w:pPr>
              <w:jc w:val="right"/>
              <w:ind w:right="96"/>
              <w:spacing w:after="0" w:line="194" w:lineRule="exact"/>
              <w:rPr>
                <w:sz w:val="20"/>
                <w:szCs w:val="20"/>
                <w:color w:val="auto"/>
              </w:rPr>
            </w:pPr>
            <w:r>
              <w:rPr>
                <w:rFonts w:ascii="Arial" w:cs="Arial" w:eastAsia="Arial" w:hAnsi="Arial"/>
                <w:sz w:val="17"/>
                <w:szCs w:val="17"/>
                <w:color w:val="auto"/>
              </w:rPr>
              <w:t>68%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600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Glossary of Terms. FFO available for common shareholders excludes the gain on sale of condominiums at Santana Row.</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of condominiums at Santana Row has resulted in special dividends in the fourth quarter of 2005 and the first quarter of 2006.</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6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September 30,</w:t>
            </w:r>
          </w:p>
        </w:tc>
        <w:tc>
          <w:tcPr>
            <w:tcW w:w="78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w:t>
            </w:r>
          </w:p>
        </w:tc>
      </w:tr>
      <w:tr>
        <w:trPr>
          <w:trHeight w:val="153"/>
        </w:trPr>
        <w:tc>
          <w:tcPr>
            <w:tcW w:w="8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2006</w:t>
            </w:r>
          </w:p>
        </w:tc>
        <w:tc>
          <w:tcPr>
            <w:tcW w:w="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3"/>
                <w:szCs w:val="13"/>
                <w:color w:val="auto"/>
              </w:rPr>
            </w:pPr>
          </w:p>
        </w:tc>
      </w:tr>
      <w:tr>
        <w:trPr>
          <w:trHeight w:val="133"/>
        </w:trPr>
        <w:tc>
          <w:tcPr>
            <w:tcW w:w="8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5"/>
          </w:tcPr>
          <w:p>
            <w:pPr>
              <w:ind w:left="120"/>
              <w:spacing w:after="0" w:line="133" w:lineRule="exact"/>
              <w:rPr>
                <w:sz w:val="20"/>
                <w:szCs w:val="20"/>
                <w:color w:val="auto"/>
              </w:rPr>
            </w:pPr>
            <w:r>
              <w:rPr>
                <w:rFonts w:ascii="Arial" w:cs="Arial" w:eastAsia="Arial" w:hAnsi="Arial"/>
                <w:sz w:val="13"/>
                <w:szCs w:val="13"/>
                <w:b w:val="1"/>
                <w:bCs w:val="1"/>
                <w:color w:val="auto"/>
              </w:rPr>
              <w:t>(in thousands, except per share data)</w:t>
            </w:r>
          </w:p>
        </w:tc>
      </w:tr>
      <w:tr>
        <w:trPr>
          <w:trHeight w:val="204"/>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Market data</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8700" w:type="dxa"/>
            <w:vAlign w:val="bottom"/>
          </w:tcPr>
          <w:p>
            <w:pPr>
              <w:ind w:left="420"/>
              <w:spacing w:after="0"/>
              <w:rPr>
                <w:sz w:val="20"/>
                <w:szCs w:val="20"/>
                <w:color w:val="auto"/>
              </w:rPr>
            </w:pPr>
            <w:r>
              <w:rPr>
                <w:rFonts w:ascii="Arial" w:cs="Arial" w:eastAsia="Arial" w:hAnsi="Arial"/>
                <w:sz w:val="17"/>
                <w:szCs w:val="17"/>
                <w:color w:val="auto"/>
              </w:rPr>
              <w:t>Common shares outstanding (1)</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55,280</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52,732</w:t>
            </w:r>
          </w:p>
        </w:tc>
        <w:tc>
          <w:tcPr>
            <w:tcW w:w="140" w:type="dxa"/>
            <w:vAlign w:val="bottom"/>
          </w:tcPr>
          <w:p>
            <w:pPr>
              <w:spacing w:after="0"/>
              <w:rPr>
                <w:sz w:val="17"/>
                <w:szCs w:val="17"/>
                <w:color w:val="auto"/>
              </w:rPr>
            </w:pPr>
          </w:p>
        </w:tc>
      </w:tr>
      <w:tr>
        <w:trPr>
          <w:trHeight w:val="204"/>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74.30</w:t>
            </w:r>
          </w:p>
        </w:tc>
        <w:tc>
          <w:tcPr>
            <w:tcW w:w="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60.93</w:t>
            </w:r>
          </w:p>
        </w:tc>
        <w:tc>
          <w:tcPr>
            <w:tcW w:w="140" w:type="dxa"/>
            <w:vAlign w:val="bottom"/>
            <w:shd w:val="clear" w:color="auto" w:fill="CCEEFF"/>
          </w:tcPr>
          <w:p>
            <w:pPr>
              <w:spacing w:after="0"/>
              <w:rPr>
                <w:sz w:val="17"/>
                <w:szCs w:val="17"/>
                <w:color w:val="auto"/>
              </w:rPr>
            </w:pPr>
          </w:p>
        </w:tc>
      </w:tr>
      <w:tr>
        <w:trPr>
          <w:trHeight w:val="209"/>
        </w:trPr>
        <w:tc>
          <w:tcPr>
            <w:tcW w:w="8700" w:type="dxa"/>
            <w:vAlign w:val="bottom"/>
          </w:tcPr>
          <w:p>
            <w:pPr>
              <w:ind w:left="820"/>
              <w:spacing w:after="0"/>
              <w:rPr>
                <w:sz w:val="20"/>
                <w:szCs w:val="20"/>
                <w:color w:val="auto"/>
              </w:rPr>
            </w:pPr>
            <w:r>
              <w:rPr>
                <w:rFonts w:ascii="Arial" w:cs="Arial" w:eastAsia="Arial" w:hAnsi="Arial"/>
                <w:sz w:val="17"/>
                <w:szCs w:val="17"/>
                <w:color w:val="auto"/>
              </w:rPr>
              <w:t>Common equity market capitalization</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4,107,304</w:t>
            </w:r>
          </w:p>
        </w:tc>
        <w:tc>
          <w:tcPr>
            <w:tcW w:w="96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3,212,961</w:t>
            </w:r>
          </w:p>
        </w:tc>
        <w:tc>
          <w:tcPr>
            <w:tcW w:w="140" w:type="dxa"/>
            <w:vAlign w:val="bottom"/>
          </w:tcPr>
          <w:p>
            <w:pPr>
              <w:spacing w:after="0"/>
              <w:rPr>
                <w:sz w:val="18"/>
                <w:szCs w:val="18"/>
                <w:color w:val="auto"/>
              </w:rPr>
            </w:pPr>
          </w:p>
        </w:tc>
      </w:tr>
      <w:tr>
        <w:trPr>
          <w:trHeight w:val="103"/>
        </w:trPr>
        <w:tc>
          <w:tcPr>
            <w:tcW w:w="8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4"/>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Series B preferred shares outstanding (2)</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40" w:type="dxa"/>
            <w:vAlign w:val="bottom"/>
            <w:shd w:val="clear" w:color="auto" w:fill="CCEEFF"/>
          </w:tcPr>
          <w:p>
            <w:pPr>
              <w:spacing w:after="0"/>
              <w:rPr>
                <w:sz w:val="17"/>
                <w:szCs w:val="17"/>
                <w:color w:val="auto"/>
              </w:rPr>
            </w:pPr>
          </w:p>
        </w:tc>
      </w:tr>
      <w:tr>
        <w:trPr>
          <w:trHeight w:val="210"/>
        </w:trPr>
        <w:tc>
          <w:tcPr>
            <w:tcW w:w="8700" w:type="dxa"/>
            <w:vAlign w:val="bottom"/>
          </w:tcPr>
          <w:p>
            <w:pPr>
              <w:ind w:left="420"/>
              <w:spacing w:after="0"/>
              <w:rPr>
                <w:sz w:val="20"/>
                <w:szCs w:val="20"/>
                <w:color w:val="auto"/>
              </w:rPr>
            </w:pPr>
            <w:r>
              <w:rPr>
                <w:rFonts w:ascii="Arial" w:cs="Arial" w:eastAsia="Arial" w:hAnsi="Arial"/>
                <w:sz w:val="17"/>
                <w:szCs w:val="17"/>
                <w:color w:val="auto"/>
              </w:rPr>
              <w:t>Market price per Series B preferred share</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25.45</w:t>
            </w:r>
          </w:p>
        </w:tc>
        <w:tc>
          <w:tcPr>
            <w:tcW w:w="780" w:type="dxa"/>
            <w:vAlign w:val="bottom"/>
          </w:tcPr>
          <w:p>
            <w:pPr>
              <w:spacing w:after="0"/>
              <w:rPr>
                <w:sz w:val="18"/>
                <w:szCs w:val="18"/>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26.04</w:t>
            </w:r>
          </w:p>
        </w:tc>
        <w:tc>
          <w:tcPr>
            <w:tcW w:w="140" w:type="dxa"/>
            <w:vAlign w:val="bottom"/>
          </w:tcPr>
          <w:p>
            <w:pPr>
              <w:spacing w:after="0"/>
              <w:rPr>
                <w:sz w:val="18"/>
                <w:szCs w:val="18"/>
                <w:color w:val="auto"/>
              </w:rPr>
            </w:pPr>
          </w:p>
        </w:tc>
      </w:tr>
      <w:tr>
        <w:trPr>
          <w:trHeight w:val="204"/>
        </w:trPr>
        <w:tc>
          <w:tcPr>
            <w:tcW w:w="87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Preferred equity market capitalization</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137,430</w:t>
            </w:r>
          </w:p>
        </w:tc>
        <w:tc>
          <w:tcPr>
            <w:tcW w:w="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140,616</w:t>
            </w:r>
          </w:p>
        </w:tc>
        <w:tc>
          <w:tcPr>
            <w:tcW w:w="140" w:type="dxa"/>
            <w:vAlign w:val="bottom"/>
            <w:shd w:val="clear" w:color="auto" w:fill="CCEEFF"/>
          </w:tcPr>
          <w:p>
            <w:pPr>
              <w:spacing w:after="0"/>
              <w:rPr>
                <w:sz w:val="17"/>
                <w:szCs w:val="17"/>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7"/>
                <w:szCs w:val="17"/>
                <w:color w:val="auto"/>
              </w:rPr>
              <w:t>Equity market capitalization</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4,244,734</w:t>
            </w:r>
          </w:p>
        </w:tc>
        <w:tc>
          <w:tcPr>
            <w:tcW w:w="96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3,353,577</w:t>
            </w:r>
          </w:p>
        </w:tc>
        <w:tc>
          <w:tcPr>
            <w:tcW w:w="140" w:type="dxa"/>
            <w:vAlign w:val="bottom"/>
          </w:tcPr>
          <w:p>
            <w:pPr>
              <w:spacing w:after="0"/>
              <w:rPr>
                <w:sz w:val="18"/>
                <w:szCs w:val="18"/>
                <w:color w:val="auto"/>
              </w:rPr>
            </w:pPr>
          </w:p>
        </w:tc>
      </w:tr>
      <w:tr>
        <w:trPr>
          <w:trHeight w:val="103"/>
        </w:trPr>
        <w:tc>
          <w:tcPr>
            <w:tcW w:w="8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4"/>
        </w:trPr>
        <w:tc>
          <w:tcPr>
            <w:tcW w:w="8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1,513,496</w:t>
            </w:r>
          </w:p>
        </w:tc>
        <w:tc>
          <w:tcPr>
            <w:tcW w:w="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1,333,487</w:t>
            </w:r>
          </w:p>
        </w:tc>
        <w:tc>
          <w:tcPr>
            <w:tcW w:w="140" w:type="dxa"/>
            <w:vAlign w:val="bottom"/>
            <w:shd w:val="clear" w:color="auto" w:fill="CCEEFF"/>
          </w:tcPr>
          <w:p>
            <w:pPr>
              <w:spacing w:after="0"/>
              <w:rPr>
                <w:sz w:val="17"/>
                <w:szCs w:val="17"/>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7"/>
                <w:szCs w:val="17"/>
                <w:color w:val="auto"/>
              </w:rPr>
              <w:t>Total market capitalization</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5,758,230</w:t>
            </w:r>
          </w:p>
        </w:tc>
        <w:tc>
          <w:tcPr>
            <w:tcW w:w="96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4,687,064</w:t>
            </w:r>
          </w:p>
        </w:tc>
        <w:tc>
          <w:tcPr>
            <w:tcW w:w="14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305"/>
        </w:trPr>
        <w:tc>
          <w:tcPr>
            <w:tcW w:w="870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$60.93</w:t>
            </w:r>
          </w:p>
        </w:tc>
        <w:tc>
          <w:tcPr>
            <w:tcW w:w="1660" w:type="dxa"/>
            <w:vAlign w:val="bottom"/>
            <w:gridSpan w:val="2"/>
          </w:tcPr>
          <w:p>
            <w:pPr>
              <w:jc w:val="right"/>
              <w:ind w:right="640"/>
              <w:spacing w:after="0"/>
              <w:rPr>
                <w:sz w:val="20"/>
                <w:szCs w:val="20"/>
                <w:color w:val="auto"/>
              </w:rPr>
            </w:pPr>
            <w:r>
              <w:rPr>
                <w:rFonts w:ascii="Arial" w:cs="Arial" w:eastAsia="Arial" w:hAnsi="Arial"/>
                <w:sz w:val="17"/>
                <w:szCs w:val="17"/>
                <w:color w:val="auto"/>
              </w:rPr>
              <w:t>30%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28%</w:t>
            </w:r>
          </w:p>
        </w:tc>
      </w:tr>
      <w:tr>
        <w:trPr>
          <w:trHeight w:val="103"/>
        </w:trPr>
        <w:tc>
          <w:tcPr>
            <w:tcW w:w="94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4"/>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8700" w:type="dxa"/>
            <w:vAlign w:val="bottom"/>
            <w:gridSpan w:val="2"/>
          </w:tcPr>
          <w:p>
            <w:pPr>
              <w:ind w:left="820"/>
              <w:spacing w:after="0"/>
              <w:rPr>
                <w:sz w:val="20"/>
                <w:szCs w:val="20"/>
                <w:color w:val="auto"/>
              </w:rPr>
            </w:pPr>
            <w:r>
              <w:rPr>
                <w:rFonts w:ascii="Arial" w:cs="Arial" w:eastAsia="Arial" w:hAnsi="Arial"/>
                <w:sz w:val="17"/>
                <w:szCs w:val="17"/>
                <w:color w:val="auto"/>
              </w:rPr>
              <w:t>Fixed rate debt and capital lease obligations</w:t>
            </w:r>
          </w:p>
        </w:tc>
        <w:tc>
          <w:tcPr>
            <w:tcW w:w="1660" w:type="dxa"/>
            <w:vAlign w:val="bottom"/>
            <w:gridSpan w:val="2"/>
          </w:tcPr>
          <w:p>
            <w:pPr>
              <w:jc w:val="right"/>
              <w:ind w:right="640"/>
              <w:spacing w:after="0"/>
              <w:rPr>
                <w:sz w:val="20"/>
                <w:szCs w:val="20"/>
                <w:color w:val="auto"/>
              </w:rPr>
            </w:pPr>
            <w:r>
              <w:rPr>
                <w:rFonts w:ascii="Arial" w:cs="Arial" w:eastAsia="Arial" w:hAnsi="Arial"/>
                <w:sz w:val="17"/>
                <w:szCs w:val="17"/>
                <w:color w:val="auto"/>
              </w:rPr>
              <w:t>94%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85%</w:t>
            </w:r>
          </w:p>
        </w:tc>
      </w:tr>
      <w:tr>
        <w:trPr>
          <w:trHeight w:val="204"/>
        </w:trPr>
        <w:tc>
          <w:tcPr>
            <w:tcW w:w="87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Variable rate debt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9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7"/>
                <w:szCs w:val="17"/>
                <w:color w:val="auto"/>
              </w:rPr>
              <w:t>100%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9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7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jc w:val="both"/>
        <w:ind w:left="440" w:right="200" w:hanging="438"/>
        <w:spacing w:after="0" w:line="250"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56,761,321 shares issued net of 1,481,194 shares held in Treasury as of September 30, 2006. As of September 30, 2005, consists of 54,212,112 shares issued net of 1,480,359 shares held in Treasury. Amounts do not include 377,210 and 420,426 Operating Partnership Units outstanding at September 30, 2006 and September 30, 2005, respectively.</w:t>
      </w:r>
    </w:p>
    <w:p>
      <w:pPr>
        <w:spacing w:after="0" w:line="1" w:lineRule="exact"/>
        <w:rPr>
          <w:rFonts w:ascii="Arial" w:cs="Arial" w:eastAsia="Arial" w:hAnsi="Arial"/>
          <w:sz w:val="17"/>
          <w:szCs w:val="17"/>
          <w:color w:val="auto"/>
        </w:rPr>
      </w:pPr>
    </w:p>
    <w:p>
      <w:pPr>
        <w:jc w:val="both"/>
        <w:ind w:left="440" w:right="240" w:hanging="438"/>
        <w:spacing w:after="0" w:line="250"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October 20, 2006, the Trust announced its intention to redeem the Series B preferred shares on November 27, 2006, at a redemption price of $25.00 per share, plus accrued and unpaid dividends through the redemption date of approximately $0.16 per share, for an aggregate redemption price of approximately $25.16 per share.</w:t>
      </w:r>
    </w:p>
    <w:p>
      <w:pPr>
        <w:spacing w:after="0" w:line="1" w:lineRule="exact"/>
        <w:rPr>
          <w:rFonts w:ascii="Arial" w:cs="Arial" w:eastAsia="Arial" w:hAnsi="Arial"/>
          <w:sz w:val="17"/>
          <w:szCs w:val="17"/>
          <w:color w:val="auto"/>
        </w:rPr>
      </w:pPr>
    </w:p>
    <w:p>
      <w:pPr>
        <w:ind w:left="440" w:right="200" w:hanging="438"/>
        <w:spacing w:after="0" w:line="261"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debt includes capital leases and mortgages payable, notes payable, and senior notes and debentures. It does not include the $23.2 million which is the Trust’s 30% share of the total $77.4 million debt of the partnership with Clarion Lion Properties Fund.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67"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94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3"/>
                <w:szCs w:val="13"/>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September 30,</w:t>
            </w:r>
          </w:p>
        </w:tc>
      </w:tr>
      <w:tr>
        <w:trPr>
          <w:trHeight w:val="133"/>
        </w:trPr>
        <w:tc>
          <w:tcPr>
            <w:tcW w:w="9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52"/>
              <w:spacing w:after="0" w:line="133" w:lineRule="exact"/>
              <w:rPr>
                <w:sz w:val="20"/>
                <w:szCs w:val="20"/>
                <w:color w:val="auto"/>
              </w:rPr>
            </w:pPr>
            <w:r>
              <w:rPr>
                <w:rFonts w:ascii="Arial" w:cs="Arial" w:eastAsia="Arial" w:hAnsi="Arial"/>
                <w:sz w:val="13"/>
                <w:szCs w:val="13"/>
                <w:b w:val="1"/>
                <w:bCs w:val="1"/>
                <w:color w:val="auto"/>
              </w:rPr>
              <w:t>2006</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00"/>
              <w:spacing w:after="0" w:line="133" w:lineRule="exact"/>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52"/>
              <w:spacing w:after="0" w:line="133" w:lineRule="exact"/>
              <w:rPr>
                <w:sz w:val="20"/>
                <w:szCs w:val="20"/>
                <w:color w:val="auto"/>
              </w:rPr>
            </w:pPr>
            <w:r>
              <w:rPr>
                <w:rFonts w:ascii="Arial" w:cs="Arial" w:eastAsia="Arial" w:hAnsi="Arial"/>
                <w:sz w:val="13"/>
                <w:szCs w:val="13"/>
                <w:b w:val="1"/>
                <w:bCs w:val="1"/>
                <w:color w:val="auto"/>
              </w:rPr>
              <w:t>2006</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Arial" w:cs="Arial" w:eastAsia="Arial" w:hAnsi="Arial"/>
                <w:sz w:val="13"/>
                <w:szCs w:val="13"/>
                <w:b w:val="1"/>
                <w:bCs w:val="1"/>
                <w:color w:val="auto"/>
              </w:rPr>
              <w:t>2005</w:t>
            </w:r>
          </w:p>
        </w:tc>
      </w:tr>
      <w:tr>
        <w:trPr>
          <w:trHeight w:val="133"/>
        </w:trPr>
        <w:tc>
          <w:tcPr>
            <w:tcW w:w="9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ind w:right="112"/>
              <w:spacing w:after="0" w:line="133" w:lineRule="exact"/>
              <w:rPr>
                <w:sz w:val="20"/>
                <w:szCs w:val="20"/>
                <w:color w:val="auto"/>
              </w:rPr>
            </w:pPr>
            <w:r>
              <w:rPr>
                <w:rFonts w:ascii="Arial" w:cs="Arial" w:eastAsia="Arial" w:hAnsi="Arial"/>
                <w:sz w:val="13"/>
                <w:szCs w:val="13"/>
                <w:b w:val="1"/>
                <w:bCs w:val="1"/>
                <w:color w:val="auto"/>
              </w:rPr>
              <w:t>(in</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70"/>
              </w:rPr>
              <w:t>thousands)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right"/>
              <w:ind w:right="340"/>
              <w:spacing w:after="0" w:line="133" w:lineRule="exact"/>
              <w:rPr>
                <w:sz w:val="20"/>
                <w:szCs w:val="20"/>
                <w:color w:val="auto"/>
              </w:rPr>
            </w:pPr>
            <w:r>
              <w:rPr>
                <w:rFonts w:ascii="Arial" w:cs="Arial" w:eastAsia="Arial" w:hAnsi="Arial"/>
                <w:sz w:val="13"/>
                <w:szCs w:val="13"/>
                <w:b w:val="1"/>
                <w:bCs w:val="1"/>
                <w:color w:val="auto"/>
              </w:rPr>
              <w:t>(in thousands)</w:t>
            </w:r>
          </w:p>
        </w:tc>
      </w:tr>
      <w:tr>
        <w:trPr>
          <w:trHeight w:val="204"/>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Components of rental income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4"/>
        </w:trPr>
        <w:tc>
          <w:tcPr>
            <w:tcW w:w="8100" w:type="dxa"/>
            <w:vAlign w:val="bottom"/>
            <w:gridSpan w:val="2"/>
          </w:tcPr>
          <w:p>
            <w:pPr>
              <w:ind w:left="420"/>
              <w:spacing w:after="0"/>
              <w:rPr>
                <w:sz w:val="20"/>
                <w:szCs w:val="20"/>
                <w:color w:val="auto"/>
              </w:rPr>
            </w:pPr>
            <w:r>
              <w:rPr>
                <w:rFonts w:ascii="Arial" w:cs="Arial" w:eastAsia="Arial" w:hAnsi="Arial"/>
                <w:sz w:val="17"/>
                <w:szCs w:val="17"/>
                <w:color w:val="auto"/>
              </w:rPr>
              <w:t>Minimum rents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81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Retail and commercial properties (1)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82,671</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74,368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241,944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220,976</w:t>
            </w:r>
          </w:p>
        </w:tc>
      </w:tr>
      <w:tr>
        <w:trPr>
          <w:trHeight w:val="204"/>
        </w:trPr>
        <w:tc>
          <w:tcPr>
            <w:tcW w:w="8100" w:type="dxa"/>
            <w:vAlign w:val="bottom"/>
            <w:gridSpan w:val="2"/>
          </w:tcPr>
          <w:p>
            <w:pPr>
              <w:ind w:left="420"/>
              <w:spacing w:after="0"/>
              <w:rPr>
                <w:sz w:val="20"/>
                <w:szCs w:val="20"/>
                <w:color w:val="auto"/>
              </w:rPr>
            </w:pPr>
            <w:r>
              <w:rPr>
                <w:rFonts w:ascii="Arial" w:cs="Arial" w:eastAsia="Arial" w:hAnsi="Arial"/>
                <w:sz w:val="17"/>
                <w:szCs w:val="17"/>
                <w:color w:val="auto"/>
              </w:rPr>
              <w:t>Residential (2)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3,558</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1,837</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9,172</w:t>
            </w:r>
          </w:p>
        </w:tc>
        <w:tc>
          <w:tcPr>
            <w:tcW w:w="700" w:type="dxa"/>
            <w:vAlign w:val="bottom"/>
          </w:tcPr>
          <w:p>
            <w:pPr>
              <w:jc w:val="right"/>
              <w:spacing w:after="0"/>
              <w:rPr>
                <w:sz w:val="20"/>
                <w:szCs w:val="20"/>
                <w:color w:val="auto"/>
              </w:rPr>
            </w:pPr>
            <w:r>
              <w:rPr>
                <w:rFonts w:ascii="Arial" w:cs="Arial" w:eastAsia="Arial" w:hAnsi="Arial"/>
                <w:sz w:val="17"/>
                <w:szCs w:val="17"/>
                <w:color w:val="auto"/>
              </w:rPr>
              <w:t>5,276</w:t>
            </w:r>
          </w:p>
        </w:tc>
      </w:tr>
      <w:tr>
        <w:trPr>
          <w:trHeight w:val="204"/>
        </w:trPr>
        <w:tc>
          <w:tcPr>
            <w:tcW w:w="8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Cost reimbursements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21,213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18,094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60,926</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55,812</w:t>
            </w:r>
          </w:p>
        </w:tc>
      </w:tr>
      <w:tr>
        <w:trPr>
          <w:trHeight w:val="204"/>
        </w:trPr>
        <w:tc>
          <w:tcPr>
            <w:tcW w:w="8100" w:type="dxa"/>
            <w:vAlign w:val="bottom"/>
            <w:gridSpan w:val="2"/>
          </w:tcPr>
          <w:p>
            <w:pPr>
              <w:ind w:left="420"/>
              <w:spacing w:after="0"/>
              <w:rPr>
                <w:sz w:val="20"/>
                <w:szCs w:val="20"/>
                <w:color w:val="auto"/>
              </w:rPr>
            </w:pPr>
            <w:r>
              <w:rPr>
                <w:rFonts w:ascii="Arial" w:cs="Arial" w:eastAsia="Arial" w:hAnsi="Arial"/>
                <w:sz w:val="17"/>
                <w:szCs w:val="17"/>
                <w:color w:val="auto"/>
              </w:rPr>
              <w:t>Percentage rents</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1,506</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1,170</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4,656</w:t>
            </w:r>
          </w:p>
        </w:tc>
        <w:tc>
          <w:tcPr>
            <w:tcW w:w="700" w:type="dxa"/>
            <w:vAlign w:val="bottom"/>
          </w:tcPr>
          <w:p>
            <w:pPr>
              <w:jc w:val="right"/>
              <w:spacing w:after="0"/>
              <w:rPr>
                <w:sz w:val="20"/>
                <w:szCs w:val="20"/>
                <w:color w:val="auto"/>
              </w:rPr>
            </w:pPr>
            <w:r>
              <w:rPr>
                <w:rFonts w:ascii="Arial" w:cs="Arial" w:eastAsia="Arial" w:hAnsi="Arial"/>
                <w:sz w:val="17"/>
                <w:szCs w:val="17"/>
                <w:color w:val="auto"/>
              </w:rPr>
              <w:t>4,232</w:t>
            </w:r>
          </w:p>
        </w:tc>
      </w:tr>
      <w:tr>
        <w:trPr>
          <w:trHeight w:val="204"/>
        </w:trPr>
        <w:tc>
          <w:tcPr>
            <w:tcW w:w="81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rental income</w:t>
            </w: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w:t>
            </w:r>
          </w:p>
        </w:tc>
        <w:tc>
          <w:tcPr>
            <w:tcW w:w="2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w:t>
            </w:r>
          </w:p>
        </w:tc>
        <w:tc>
          <w:tcPr>
            <w:tcW w:w="2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4,021</w:t>
            </w:r>
          </w:p>
        </w:tc>
      </w:tr>
      <w:tr>
        <w:trPr>
          <w:trHeight w:val="209"/>
        </w:trPr>
        <w:tc>
          <w:tcPr>
            <w:tcW w:w="8100" w:type="dxa"/>
            <w:vAlign w:val="bottom"/>
            <w:gridSpan w:val="2"/>
          </w:tcPr>
          <w:p>
            <w:pPr>
              <w:ind w:left="420"/>
              <w:spacing w:after="0"/>
              <w:rPr>
                <w:sz w:val="20"/>
                <w:szCs w:val="20"/>
                <w:color w:val="auto"/>
              </w:rPr>
            </w:pPr>
            <w:r>
              <w:rPr>
                <w:rFonts w:ascii="Arial" w:cs="Arial" w:eastAsia="Arial" w:hAnsi="Arial"/>
                <w:sz w:val="17"/>
                <w:szCs w:val="17"/>
                <w:color w:val="auto"/>
              </w:rPr>
              <w:t>Total rental income</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87"/>
              </w:rPr>
              <w:t>$ 110,511</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$ 96,772</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$ 321,009</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$ 290,317</w:t>
            </w:r>
          </w:p>
        </w:tc>
      </w:tr>
      <w:tr>
        <w:trPr>
          <w:trHeight w:val="20"/>
        </w:trPr>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right="120" w:hanging="438"/>
        <w:spacing w:after="0" w:line="266"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Minimum rents include $4.8 and $4.4 million for the nine months ended September 30, 2006 and 2005, respectively, and $1.6 million and $1.2 million for the three months ended September 30, 2006 and 2005, respectively, to recognize minimum rents on a straight line basis as required by GAAP. Minimum rents include $1.6 million and $1.2 million for the nine months ended September 30, 2006 and 2005, respectively, and $0.6 million and $0.4 million for the three months ended September 30, 2006 and 2005, to recognize income from the amortization of in-place leases in accordance with SFAS 141.</w:t>
      </w:r>
    </w:p>
    <w:p>
      <w:pPr>
        <w:spacing w:after="0" w:line="1" w:lineRule="exact"/>
        <w:rPr>
          <w:rFonts w:ascii="Arial" w:cs="Arial" w:eastAsia="Arial" w:hAnsi="Arial"/>
          <w:sz w:val="16"/>
          <w:szCs w:val="16"/>
          <w:color w:val="auto"/>
        </w:rPr>
      </w:pPr>
    </w:p>
    <w:p>
      <w:pPr>
        <w:ind w:left="440" w:right="220" w:hanging="438"/>
        <w:spacing w:after="0" w:line="306" w:lineRule="auto"/>
        <w:tabs>
          <w:tab w:leader="none" w:pos="4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Residential minimum rents consist of the entire rental amounts at Rollingwood Apartments, the Crest at Congressional Apartments and the residential units at Santana Row excluding those units sold as condominiums which are included in discontinued operations. The Trust has 259 newly constructed residential units at Santana Row which commenced occupancy in April 2005 and were 97% and 35% leased on September 30, 2006 and 2005, respectively.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7" w:right="239" w:bottom="1440" w:gutter="0" w:footer="0" w:header="0"/>
        </w:sectPr>
      </w:pPr>
    </w:p>
    <w:bookmarkStart w:id="16" w:name="page17"/>
    <w:bookmarkEnd w:id="16"/>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8"/>
              </w:rPr>
              <w:t>Interest rate as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of September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98"/>
              <w:spacing w:after="0" w:line="141" w:lineRule="exact"/>
              <w:rPr>
                <w:sz w:val="20"/>
                <w:szCs w:val="20"/>
                <w:color w:val="auto"/>
              </w:rPr>
            </w:pPr>
            <w:r>
              <w:rPr>
                <w:rFonts w:ascii="Arial" w:cs="Arial" w:eastAsia="Arial" w:hAnsi="Arial"/>
                <w:sz w:val="13"/>
                <w:szCs w:val="13"/>
                <w:b w:val="1"/>
                <w:bCs w:val="1"/>
                <w:color w:val="auto"/>
                <w:w w:val="90"/>
              </w:rPr>
              <w:t>Balance as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Maturity date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9"/>
              </w:rPr>
              <w:t>2006</w:t>
            </w:r>
          </w:p>
        </w:tc>
        <w:tc>
          <w:tcPr>
            <w:tcW w:w="36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w w:val="85"/>
              </w:rPr>
              <w:t>September 30, 2006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3"/>
                <w:szCs w:val="13"/>
                <w:b w:val="1"/>
                <w:bCs w:val="1"/>
                <w:color w:val="auto"/>
                <w:w w:val="89"/>
              </w:rPr>
              <w:t>(in thousands)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60" w:type="dxa"/>
            <w:vAlign w:val="bottom"/>
            <w:gridSpan w:val="6"/>
            <w:shd w:val="clear" w:color="auto" w:fill="CCEEFF"/>
          </w:tcPr>
          <w:p>
            <w:pPr>
              <w:spacing w:after="0" w:line="166" w:lineRule="exact"/>
              <w:rPr>
                <w:sz w:val="20"/>
                <w:szCs w:val="20"/>
                <w:color w:val="auto"/>
              </w:rPr>
            </w:pPr>
            <w:r>
              <w:rPr>
                <w:rFonts w:ascii="Arial" w:cs="Arial" w:eastAsia="Arial" w:hAnsi="Arial"/>
                <w:sz w:val="17"/>
                <w:szCs w:val="17"/>
                <w:color w:val="auto"/>
              </w:rPr>
              <w:t>Mortgage loans (a)</w:t>
            </w:r>
          </w:p>
        </w:tc>
        <w:tc>
          <w:tcPr>
            <w:tcW w:w="1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9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10/01/08</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6.510%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164 E Houston Street</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10/06/08</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7.500%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Mercer Mall</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04/01/09</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8.375%</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Federal Plaza</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06/01/11</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6.750%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34,311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09/01/11</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7.400%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Crow Canyon</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08/11/13</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5.400%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Barracks Road</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11/01/15</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7.950%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42,763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Hauppauge</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11/01/15</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7.950%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16,121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Lawrence Park</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11/01/15</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7.950%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Wildwood</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11/01/15</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7.950%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26,643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Wynnewood</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11/01/15</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7.950%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30,890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Brick Plaza</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11/01/15</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7.415%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31,751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Mount Vernon</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04/15/28</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79"/>
              <w:spacing w:after="0"/>
              <w:rPr>
                <w:sz w:val="20"/>
                <w:szCs w:val="20"/>
                <w:color w:val="auto"/>
              </w:rPr>
            </w:pPr>
            <w:r>
              <w:rPr>
                <w:rFonts w:ascii="Arial" w:cs="Arial" w:eastAsia="Arial" w:hAnsi="Arial"/>
                <w:sz w:val="17"/>
                <w:szCs w:val="17"/>
                <w:color w:val="auto"/>
                <w:w w:val="89"/>
              </w:rPr>
              <w:t>5.660%(b)</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Bath</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07/01/28</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7.130%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Chelsea</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01/15/31</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5.360%</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gridSpan w:val="6"/>
          </w:tcPr>
          <w:p>
            <w:pPr>
              <w:ind w:left="82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286,447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Net unamortized premium</w:t>
            </w:r>
          </w:p>
        </w:tc>
        <w:tc>
          <w:tcPr>
            <w:tcW w:w="1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gridSpan w:val="6"/>
          </w:tcPr>
          <w:p>
            <w:pPr>
              <w:ind w:left="820"/>
              <w:spacing w:after="0"/>
              <w:rPr>
                <w:sz w:val="20"/>
                <w:szCs w:val="20"/>
                <w:color w:val="auto"/>
              </w:rPr>
            </w:pPr>
            <w:r>
              <w:rPr>
                <w:rFonts w:ascii="Arial" w:cs="Arial" w:eastAsia="Arial" w:hAnsi="Arial"/>
                <w:sz w:val="17"/>
                <w:szCs w:val="17"/>
                <w:color w:val="auto"/>
              </w:rPr>
              <w:t>Total mortgage loans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287,035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160" w:type="dxa"/>
            <w:vAlign w:val="bottom"/>
            <w:gridSpan w:val="6"/>
            <w:shd w:val="clear" w:color="auto" w:fill="CCEEFF"/>
          </w:tcPr>
          <w:p>
            <w:pPr>
              <w:spacing w:after="0" w:line="166" w:lineRule="exact"/>
              <w:rPr>
                <w:sz w:val="20"/>
                <w:szCs w:val="20"/>
                <w:color w:val="auto"/>
              </w:rPr>
            </w:pPr>
            <w:r>
              <w:rPr>
                <w:rFonts w:ascii="Arial" w:cs="Arial" w:eastAsia="Arial" w:hAnsi="Arial"/>
                <w:sz w:val="17"/>
                <w:szCs w:val="17"/>
                <w:color w:val="auto"/>
              </w:rPr>
              <w:t>Notes payable</w:t>
            </w:r>
          </w:p>
        </w:tc>
        <w:tc>
          <w:tcPr>
            <w:tcW w:w="1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94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Perring Plaza renovation</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01/31/13</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10.000%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i w:val="1"/>
                <w:iCs w:val="1"/>
                <w:color w:val="auto"/>
              </w:rPr>
              <w:t>Unsecured variable rate</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Revolving credit facility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07/27/10</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LIBOR + .425%(c)</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Escondido (municipal bonds)</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10/01/16</w:t>
            </w:r>
          </w:p>
        </w:tc>
        <w:tc>
          <w:tcPr>
            <w:tcW w:w="560" w:type="dxa"/>
            <w:vAlign w:val="bottom"/>
          </w:tcPr>
          <w:p>
            <w:pPr>
              <w:spacing w:after="0"/>
              <w:rPr>
                <w:sz w:val="18"/>
                <w:szCs w:val="18"/>
                <w:color w:val="auto"/>
              </w:rPr>
            </w:pPr>
          </w:p>
        </w:tc>
        <w:tc>
          <w:tcPr>
            <w:tcW w:w="1300" w:type="dxa"/>
            <w:vAlign w:val="bottom"/>
          </w:tcPr>
          <w:p>
            <w:pPr>
              <w:jc w:val="center"/>
              <w:ind w:left="79"/>
              <w:spacing w:after="0"/>
              <w:rPr>
                <w:sz w:val="20"/>
                <w:szCs w:val="20"/>
                <w:color w:val="auto"/>
              </w:rPr>
            </w:pPr>
            <w:r>
              <w:rPr>
                <w:rFonts w:ascii="Arial" w:cs="Arial" w:eastAsia="Arial" w:hAnsi="Arial"/>
                <w:sz w:val="17"/>
                <w:szCs w:val="17"/>
                <w:color w:val="auto"/>
                <w:w w:val="89"/>
              </w:rPr>
              <w:t>3.760%(d)</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820"/>
              <w:spacing w:after="0"/>
              <w:rPr>
                <w:sz w:val="20"/>
                <w:szCs w:val="20"/>
                <w:color w:val="auto"/>
              </w:rPr>
            </w:pPr>
            <w:r>
              <w:rPr>
                <w:rFonts w:ascii="Arial" w:cs="Arial" w:eastAsia="Arial" w:hAnsi="Arial"/>
                <w:sz w:val="17"/>
                <w:szCs w:val="17"/>
                <w:color w:val="auto"/>
              </w:rPr>
              <w:t>Total notes payable</w:t>
            </w:r>
          </w:p>
        </w:tc>
        <w:tc>
          <w:tcPr>
            <w:tcW w:w="1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86,072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60" w:type="dxa"/>
            <w:vAlign w:val="bottom"/>
            <w:gridSpan w:val="6"/>
          </w:tcPr>
          <w:p>
            <w:pPr>
              <w:spacing w:after="0" w:line="172" w:lineRule="exact"/>
              <w:rPr>
                <w:sz w:val="20"/>
                <w:szCs w:val="20"/>
                <w:color w:val="auto"/>
              </w:rPr>
            </w:pPr>
            <w:r>
              <w:rPr>
                <w:rFonts w:ascii="Arial" w:cs="Arial" w:eastAsia="Arial" w:hAnsi="Arial"/>
                <w:sz w:val="17"/>
                <w:szCs w:val="17"/>
                <w:color w:val="auto"/>
              </w:rPr>
              <w:t>Senior notes and debentures</w:t>
            </w: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860" w:type="dxa"/>
            <w:vAlign w:val="bottom"/>
            <w:tcBorders>
              <w:top w:val="single" w:sz="8" w:color="auto"/>
            </w:tcBorders>
            <w:gridSpan w:val="5"/>
            <w:shd w:val="clear" w:color="auto" w:fill="CCEEFF"/>
          </w:tcPr>
          <w:p>
            <w:pPr>
              <w:ind w:left="420"/>
              <w:spacing w:after="0"/>
              <w:rPr>
                <w:sz w:val="20"/>
                <w:szCs w:val="20"/>
                <w:color w:val="auto"/>
              </w:rPr>
            </w:pPr>
            <w:r>
              <w:rPr>
                <w:rFonts w:ascii="Arial" w:cs="Arial" w:eastAsia="Arial" w:hAnsi="Arial"/>
                <w:sz w:val="17"/>
                <w:szCs w:val="17"/>
                <w:i w:val="1"/>
                <w:iCs w:val="1"/>
                <w:color w:val="auto"/>
                <w:w w:val="90"/>
              </w:rPr>
              <w:t>Unsecured fixed rate</w:t>
            </w: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6.125% notes</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11/15/07</w:t>
            </w:r>
          </w:p>
        </w:tc>
        <w:tc>
          <w:tcPr>
            <w:tcW w:w="560" w:type="dxa"/>
            <w:vAlign w:val="bottom"/>
          </w:tcPr>
          <w:p>
            <w:pPr>
              <w:spacing w:after="0"/>
              <w:rPr>
                <w:sz w:val="17"/>
                <w:szCs w:val="17"/>
                <w:color w:val="auto"/>
              </w:rPr>
            </w:pPr>
          </w:p>
        </w:tc>
        <w:tc>
          <w:tcPr>
            <w:tcW w:w="1300" w:type="dxa"/>
            <w:vAlign w:val="bottom"/>
          </w:tcPr>
          <w:p>
            <w:pPr>
              <w:jc w:val="center"/>
              <w:ind w:left="79"/>
              <w:spacing w:after="0"/>
              <w:rPr>
                <w:sz w:val="20"/>
                <w:szCs w:val="20"/>
                <w:color w:val="auto"/>
              </w:rPr>
            </w:pPr>
            <w:r>
              <w:rPr>
                <w:rFonts w:ascii="Arial" w:cs="Arial" w:eastAsia="Arial" w:hAnsi="Arial"/>
                <w:sz w:val="17"/>
                <w:szCs w:val="17"/>
                <w:color w:val="auto"/>
                <w:w w:val="89"/>
              </w:rPr>
              <w:t>6.325%(e)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8.75% notes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12/01/09</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8.750%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4.50% notes</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02/15/11</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4.500%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6.00% notes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07/15/12</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6.000%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5.65% notes</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06/01/16</w:t>
            </w:r>
          </w:p>
        </w:tc>
        <w:tc>
          <w:tcPr>
            <w:tcW w:w="5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6"/>
              </w:rPr>
              <w:t>5.650%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6.20% notes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01/15/17</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6.200%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tcPr>
          <w:p>
            <w:pPr>
              <w:ind w:left="420"/>
              <w:spacing w:after="0"/>
              <w:rPr>
                <w:sz w:val="20"/>
                <w:szCs w:val="20"/>
                <w:color w:val="auto"/>
              </w:rPr>
            </w:pPr>
            <w:r>
              <w:rPr>
                <w:rFonts w:ascii="Arial" w:cs="Arial" w:eastAsia="Arial" w:hAnsi="Arial"/>
                <w:sz w:val="17"/>
                <w:szCs w:val="17"/>
                <w:color w:val="auto"/>
              </w:rPr>
              <w:t>7.48% debentures</w:t>
            </w:r>
          </w:p>
        </w:tc>
        <w:tc>
          <w:tcPr>
            <w:tcW w:w="1440" w:type="dxa"/>
            <w:vAlign w:val="bottom"/>
          </w:tcPr>
          <w:p>
            <w:pPr>
              <w:jc w:val="center"/>
              <w:spacing w:after="0"/>
              <w:rPr>
                <w:sz w:val="20"/>
                <w:szCs w:val="20"/>
                <w:color w:val="auto"/>
              </w:rPr>
            </w:pPr>
            <w:r>
              <w:rPr>
                <w:rFonts w:ascii="Arial" w:cs="Arial" w:eastAsia="Arial" w:hAnsi="Arial"/>
                <w:sz w:val="17"/>
                <w:szCs w:val="17"/>
                <w:color w:val="auto"/>
                <w:w w:val="87"/>
              </w:rPr>
              <w:t>08/15/26</w:t>
            </w:r>
          </w:p>
        </w:tc>
        <w:tc>
          <w:tcPr>
            <w:tcW w:w="560" w:type="dxa"/>
            <w:vAlign w:val="bottom"/>
          </w:tcPr>
          <w:p>
            <w:pPr>
              <w:spacing w:after="0"/>
              <w:rPr>
                <w:sz w:val="17"/>
                <w:szCs w:val="17"/>
                <w:color w:val="auto"/>
              </w:rPr>
            </w:pPr>
          </w:p>
        </w:tc>
        <w:tc>
          <w:tcPr>
            <w:tcW w:w="1300" w:type="dxa"/>
            <w:vAlign w:val="bottom"/>
          </w:tcPr>
          <w:p>
            <w:pPr>
              <w:jc w:val="center"/>
              <w:ind w:left="99"/>
              <w:spacing w:after="0"/>
              <w:rPr>
                <w:sz w:val="20"/>
                <w:szCs w:val="20"/>
                <w:color w:val="auto"/>
              </w:rPr>
            </w:pPr>
            <w:r>
              <w:rPr>
                <w:rFonts w:ascii="Arial" w:cs="Arial" w:eastAsia="Arial" w:hAnsi="Arial"/>
                <w:sz w:val="17"/>
                <w:szCs w:val="17"/>
                <w:color w:val="auto"/>
                <w:w w:val="92"/>
              </w:rPr>
              <w:t>7.480%(f)</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08/01/27</w:t>
            </w: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79"/>
              <w:spacing w:after="0"/>
              <w:rPr>
                <w:sz w:val="20"/>
                <w:szCs w:val="20"/>
                <w:color w:val="auto"/>
              </w:rPr>
            </w:pPr>
            <w:r>
              <w:rPr>
                <w:rFonts w:ascii="Arial" w:cs="Arial" w:eastAsia="Arial" w:hAnsi="Arial"/>
                <w:sz w:val="17"/>
                <w:szCs w:val="17"/>
                <w:color w:val="auto"/>
                <w:w w:val="89"/>
              </w:rPr>
              <w:t>6.820%(g)</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gridSpan w:val="6"/>
          </w:tcPr>
          <w:p>
            <w:pPr>
              <w:ind w:left="820"/>
              <w:spacing w:after="0"/>
              <w:rPr>
                <w:sz w:val="20"/>
                <w:szCs w:val="20"/>
                <w:color w:val="auto"/>
              </w:rPr>
            </w:pPr>
            <w:r>
              <w:rPr>
                <w:rFonts w:ascii="Arial" w:cs="Arial" w:eastAsia="Arial" w:hAnsi="Arial"/>
                <w:sz w:val="17"/>
                <w:szCs w:val="17"/>
                <w:color w:val="auto"/>
              </w:rPr>
              <w:t>Subtotal</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6"/>
            <w:shd w:val="clear" w:color="auto" w:fill="CCEEFF"/>
          </w:tcPr>
          <w:p>
            <w:pPr>
              <w:ind w:left="420"/>
              <w:spacing w:after="0"/>
              <w:rPr>
                <w:sz w:val="20"/>
                <w:szCs w:val="20"/>
                <w:color w:val="auto"/>
              </w:rPr>
            </w:pPr>
            <w:r>
              <w:rPr>
                <w:rFonts w:ascii="Arial" w:cs="Arial" w:eastAsia="Arial" w:hAnsi="Arial"/>
                <w:sz w:val="17"/>
                <w:szCs w:val="17"/>
                <w:color w:val="auto"/>
              </w:rPr>
              <w:t>Net unamortized premium</w:t>
            </w:r>
          </w:p>
        </w:tc>
        <w:tc>
          <w:tcPr>
            <w:tcW w:w="1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gridSpan w:val="6"/>
          </w:tcPr>
          <w:p>
            <w:pPr>
              <w:ind w:left="820"/>
              <w:spacing w:after="0"/>
              <w:rPr>
                <w:sz w:val="20"/>
                <w:szCs w:val="20"/>
                <w:color w:val="auto"/>
              </w:rPr>
            </w:pPr>
            <w:r>
              <w:rPr>
                <w:rFonts w:ascii="Arial" w:cs="Arial" w:eastAsia="Arial" w:hAnsi="Arial"/>
                <w:sz w:val="17"/>
                <w:szCs w:val="17"/>
                <w:color w:val="auto"/>
              </w:rPr>
              <w:t>Total senior notes and debentures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992,488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160" w:type="dxa"/>
            <w:vAlign w:val="bottom"/>
            <w:gridSpan w:val="6"/>
            <w:shd w:val="clear" w:color="auto" w:fill="CCEEFF"/>
          </w:tcPr>
          <w:p>
            <w:pPr>
              <w:spacing w:after="0" w:line="166" w:lineRule="exact"/>
              <w:rPr>
                <w:sz w:val="20"/>
                <w:szCs w:val="20"/>
                <w:color w:val="auto"/>
              </w:rPr>
            </w:pPr>
            <w:r>
              <w:rPr>
                <w:rFonts w:ascii="Arial" w:cs="Arial" w:eastAsia="Arial" w:hAnsi="Arial"/>
                <w:sz w:val="17"/>
                <w:szCs w:val="17"/>
                <w:color w:val="auto"/>
              </w:rPr>
              <w:t>Capital lease obligations</w:t>
            </w:r>
          </w:p>
        </w:tc>
        <w:tc>
          <w:tcPr>
            <w:tcW w:w="1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Various through 2077(h)</w:t>
            </w:r>
          </w:p>
        </w:tc>
        <w:tc>
          <w:tcPr>
            <w:tcW w:w="1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147,901</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rPr>
              <w:t>Total debt and capital lease obligations</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1,513,496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w w:val="88"/>
              </w:rPr>
              <w:t>Weighted average</w:t>
            </w:r>
          </w:p>
        </w:tc>
        <w:tc>
          <w:tcPr>
            <w:tcW w:w="0" w:type="dxa"/>
            <w:vAlign w:val="bottom"/>
          </w:tcPr>
          <w:p>
            <w:pPr>
              <w:spacing w:after="0" w:line="20" w:lineRule="exact"/>
              <w:rPr>
                <w:sz w:val="1"/>
                <w:szCs w:val="1"/>
                <w:color w:val="auto"/>
              </w:rPr>
            </w:pPr>
          </w:p>
        </w:tc>
      </w:tr>
      <w:tr>
        <w:trPr>
          <w:trHeight w:val="119"/>
        </w:trPr>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5"/>
          </w:tcPr>
          <w:p>
            <w:pPr>
              <w:jc w:val="center"/>
              <w:ind w:right="280"/>
              <w:spacing w:after="0" w:line="141" w:lineRule="exact"/>
              <w:rPr>
                <w:sz w:val="20"/>
                <w:szCs w:val="20"/>
                <w:color w:val="auto"/>
              </w:rPr>
            </w:pPr>
            <w:r>
              <w:rPr>
                <w:rFonts w:ascii="Arial" w:cs="Arial" w:eastAsia="Arial" w:hAnsi="Arial"/>
                <w:sz w:val="13"/>
                <w:szCs w:val="13"/>
                <w:b w:val="1"/>
                <w:bCs w:val="1"/>
                <w:color w:val="auto"/>
                <w:w w:val="88"/>
              </w:rPr>
              <w:t>effective rate at</w:t>
            </w: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8"/>
              </w:rPr>
              <w:t>September 30, 2006 (i)</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rPr>
              <w:t>Total fixed rate debt and capital lease obligations</w:t>
            </w:r>
          </w:p>
        </w:tc>
        <w:tc>
          <w:tcPr>
            <w:tcW w:w="1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1,429,096</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ind w:left="60"/>
              <w:spacing w:after="0"/>
              <w:rPr>
                <w:sz w:val="20"/>
                <w:szCs w:val="20"/>
                <w:color w:val="auto"/>
              </w:rPr>
            </w:pPr>
            <w:r>
              <w:rPr>
                <w:rFonts w:ascii="Arial" w:cs="Arial" w:eastAsia="Arial" w:hAnsi="Arial"/>
                <w:sz w:val="17"/>
                <w:szCs w:val="17"/>
                <w:color w:val="auto"/>
              </w:rPr>
              <w:t>Total variable rate debt</w:t>
            </w: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84,400</w:t>
            </w:r>
          </w:p>
        </w:tc>
        <w:tc>
          <w:tcPr>
            <w:tcW w:w="380" w:type="dxa"/>
            <w:vAlign w:val="bottom"/>
            <w:gridSpan w:val="2"/>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2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rPr>
              <w:t>TOTAL DEBT AND CAPITAL LEASES OBLIGATIONS</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1,513,496</w:t>
            </w:r>
          </w:p>
        </w:tc>
        <w:tc>
          <w:tcPr>
            <w:tcW w:w="380" w:type="dxa"/>
            <w:vAlign w:val="bottom"/>
            <w:gridSpan w:val="2"/>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7"/>
              </w:rPr>
              <w:t>100%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6"/>
          </w:tcPr>
          <w:p>
            <w:pPr>
              <w:jc w:val="center"/>
              <w:spacing w:after="0"/>
              <w:rPr>
                <w:sz w:val="20"/>
                <w:szCs w:val="20"/>
                <w:color w:val="auto"/>
              </w:rPr>
            </w:pPr>
            <w:r>
              <w:rPr>
                <w:rFonts w:ascii="Arial" w:cs="Arial" w:eastAsia="Arial" w:hAnsi="Arial"/>
                <w:sz w:val="13"/>
                <w:szCs w:val="13"/>
                <w:b w:val="1"/>
                <w:bCs w:val="1"/>
                <w:color w:val="auto"/>
                <w:w w:val="87"/>
              </w:rPr>
              <w:t>Three months ended</w:t>
            </w:r>
          </w:p>
        </w:tc>
        <w:tc>
          <w:tcPr>
            <w:tcW w:w="10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87"/>
              </w:rPr>
              <w:t>Nine months ended</w:t>
            </w: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100" w:type="dxa"/>
            <w:vAlign w:val="bottom"/>
          </w:tcPr>
          <w:p>
            <w:pPr>
              <w:spacing w:after="0"/>
              <w:rPr>
                <w:sz w:val="13"/>
                <w:szCs w:val="13"/>
                <w:color w:val="auto"/>
              </w:rPr>
            </w:pPr>
          </w:p>
        </w:tc>
        <w:tc>
          <w:tcPr>
            <w:tcW w:w="1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jc w:val="right"/>
              <w:spacing w:after="0" w:line="133" w:lineRule="exact"/>
              <w:rPr>
                <w:sz w:val="20"/>
                <w:szCs w:val="20"/>
                <w:color w:val="auto"/>
              </w:rPr>
            </w:pPr>
            <w:r>
              <w:rPr>
                <w:rFonts w:ascii="Arial" w:cs="Arial" w:eastAsia="Arial" w:hAnsi="Arial"/>
                <w:sz w:val="13"/>
                <w:szCs w:val="13"/>
                <w:b w:val="1"/>
                <w:bCs w:val="1"/>
                <w:color w:val="auto"/>
              </w:rPr>
              <w:t>2006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160"/>
              <w:spacing w:after="0" w:line="133" w:lineRule="exact"/>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1"/>
                <w:szCs w:val="11"/>
                <w:color w:val="auto"/>
              </w:rPr>
            </w:pPr>
          </w:p>
        </w:tc>
        <w:tc>
          <w:tcPr>
            <w:tcW w:w="500" w:type="dxa"/>
            <w:vAlign w:val="bottom"/>
          </w:tcPr>
          <w:p>
            <w:pPr>
              <w:jc w:val="right"/>
              <w:ind w:right="49"/>
              <w:spacing w:after="0" w:line="133" w:lineRule="exact"/>
              <w:rPr>
                <w:sz w:val="20"/>
                <w:szCs w:val="20"/>
                <w:color w:val="auto"/>
              </w:rPr>
            </w:pPr>
            <w:r>
              <w:rPr>
                <w:rFonts w:ascii="Arial" w:cs="Arial" w:eastAsia="Arial" w:hAnsi="Arial"/>
                <w:sz w:val="13"/>
                <w:szCs w:val="13"/>
                <w:b w:val="1"/>
                <w:bCs w:val="1"/>
                <w:color w:val="auto"/>
              </w:rPr>
              <w:t>2006</w:t>
            </w:r>
          </w:p>
        </w:tc>
        <w:tc>
          <w:tcPr>
            <w:tcW w:w="600" w:type="dxa"/>
            <w:vAlign w:val="bottom"/>
            <w:gridSpan w:val="3"/>
          </w:tcPr>
          <w:p>
            <w:pPr>
              <w:jc w:val="right"/>
              <w:ind w:right="120"/>
              <w:spacing w:after="0" w:line="133"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59"/>
        </w:trPr>
        <w:tc>
          <w:tcPr>
            <w:tcW w:w="4160" w:type="dxa"/>
            <w:vAlign w:val="bottom"/>
            <w:gridSpan w:val="6"/>
            <w:shd w:val="clear" w:color="auto" w:fill="CCEEFF"/>
          </w:tcPr>
          <w:p>
            <w:pPr>
              <w:spacing w:after="0" w:line="159" w:lineRule="exact"/>
              <w:rPr>
                <w:sz w:val="20"/>
                <w:szCs w:val="20"/>
                <w:color w:val="auto"/>
              </w:rPr>
            </w:pPr>
            <w:r>
              <w:rPr>
                <w:rFonts w:ascii="Arial" w:cs="Arial" w:eastAsia="Arial" w:hAnsi="Arial"/>
                <w:sz w:val="17"/>
                <w:szCs w:val="17"/>
                <w:color w:val="auto"/>
              </w:rPr>
              <w:t>Operational Statistics</w:t>
            </w:r>
          </w:p>
        </w:tc>
        <w:tc>
          <w:tcPr>
            <w:tcW w:w="1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9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160" w:type="dxa"/>
            <w:vAlign w:val="bottom"/>
            <w:gridSpan w:val="8"/>
          </w:tcPr>
          <w:p>
            <w:pPr>
              <w:ind w:left="420"/>
              <w:spacing w:after="0"/>
              <w:rPr>
                <w:sz w:val="20"/>
                <w:szCs w:val="20"/>
                <w:color w:val="auto"/>
              </w:rPr>
            </w:pPr>
            <w:r>
              <w:rPr>
                <w:rFonts w:ascii="Arial" w:cs="Arial" w:eastAsia="Arial" w:hAnsi="Arial"/>
                <w:sz w:val="17"/>
                <w:szCs w:val="17"/>
                <w:color w:val="auto"/>
                <w:w w:val="98"/>
              </w:rPr>
              <w:t>Ratio of EBITDA to combined fixed charges and preferred share dividends (j)</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7"/>
                <w:szCs w:val="17"/>
                <w:color w:val="auto"/>
              </w:rPr>
              <w:t>2.41 x</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w w:val="81"/>
              </w:rPr>
              <w:t>2.79 x</w:t>
            </w:r>
          </w:p>
        </w:tc>
        <w:tc>
          <w:tcPr>
            <w:tcW w:w="1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7"/>
                <w:szCs w:val="17"/>
                <w:color w:val="auto"/>
                <w:w w:val="86"/>
              </w:rPr>
              <w:t>2.73 x</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2.65 x</w:t>
            </w: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0" w:type="dxa"/>
            <w:vAlign w:val="bottom"/>
            <w:gridSpan w:val="4"/>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460" w:type="dxa"/>
            <w:vAlign w:val="bottom"/>
            <w:gridSpan w:val="9"/>
            <w:shd w:val="clear" w:color="auto" w:fill="CCEEFF"/>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(j)</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2.40 x</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1"/>
              </w:rPr>
              <w:t>2.44 x</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color w:val="auto"/>
                <w:w w:val="86"/>
              </w:rPr>
              <w:t>2.46 x</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2.43 x</w:t>
            </w:r>
          </w:p>
        </w:tc>
        <w:tc>
          <w:tcPr>
            <w:tcW w:w="0" w:type="dxa"/>
            <w:vAlign w:val="bottom"/>
          </w:tcPr>
          <w:p>
            <w:pPr>
              <w:spacing w:after="0"/>
              <w:rPr>
                <w:sz w:val="1"/>
                <w:szCs w:val="1"/>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($23.2 million) of the $77.4 million debt of the partnership with Clarion Lion Properties Fund.</w:t>
      </w:r>
    </w:p>
    <w:p>
      <w:pPr>
        <w:spacing w:after="0" w:line="8" w:lineRule="exact"/>
        <w:rPr>
          <w:rFonts w:ascii="Arial" w:cs="Arial" w:eastAsia="Arial" w:hAnsi="Arial"/>
          <w:sz w:val="17"/>
          <w:szCs w:val="17"/>
          <w:color w:val="auto"/>
        </w:rPr>
      </w:pPr>
    </w:p>
    <w:p>
      <w:pPr>
        <w:ind w:left="440" w:hanging="438"/>
        <w:spacing w:after="0" w:line="250"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The lender has the option to call the loan on April 15, 2013 or anytime thereafter.</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effective rate, before amortization of debt fees, was 5.81% and 5.48% for the three and nine months ended September 30, 2006.</w:t>
      </w:r>
    </w:p>
    <w:p>
      <w:pPr>
        <w:spacing w:after="0" w:line="20" w:lineRule="exact"/>
        <w:rPr>
          <w:rFonts w:ascii="Arial" w:cs="Arial" w:eastAsia="Arial" w:hAnsi="Arial"/>
          <w:sz w:val="16"/>
          <w:szCs w:val="16"/>
          <w:color w:val="auto"/>
        </w:rPr>
      </w:pPr>
    </w:p>
    <w:p>
      <w:pPr>
        <w:ind w:left="440" w:hanging="438"/>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pacing w:after="0" w:line="8" w:lineRule="exact"/>
        <w:rPr>
          <w:rFonts w:ascii="Arial" w:cs="Arial" w:eastAsia="Arial" w:hAnsi="Arial"/>
          <w:sz w:val="17"/>
          <w:szCs w:val="17"/>
          <w:color w:val="auto"/>
        </w:rPr>
      </w:pPr>
    </w:p>
    <w:p>
      <w:pPr>
        <w:ind w:left="440" w:right="500" w:hanging="438"/>
        <w:spacing w:after="0" w:line="250"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Beginning on August 15, 2008, the debentures are redeemable by the holders thereof at the original purchase price of $1,000 per debenture.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Beginning on August 1, 2007, the notes are redeemable by the holders thereof at the original purchase price of $1,000 per note.</w:t>
      </w:r>
    </w:p>
    <w:p>
      <w:pPr>
        <w:spacing w:after="0" w:line="8" w:lineRule="exact"/>
        <w:rPr>
          <w:rFonts w:ascii="Arial" w:cs="Arial" w:eastAsia="Arial" w:hAnsi="Arial"/>
          <w:sz w:val="17"/>
          <w:szCs w:val="17"/>
          <w:color w:val="auto"/>
        </w:rPr>
      </w:pPr>
    </w:p>
    <w:p>
      <w:pPr>
        <w:ind w:left="440" w:right="80" w:hanging="438"/>
        <w:spacing w:after="0" w:line="250"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September 30, 2006 is 9.10% on a basis of minimum rent and 12.76% including performance-based participation.</w:t>
      </w:r>
    </w:p>
    <w:p>
      <w:pPr>
        <w:spacing w:after="0" w:line="1" w:lineRule="exact"/>
        <w:rPr>
          <w:rFonts w:ascii="Arial" w:cs="Arial" w:eastAsia="Arial" w:hAnsi="Arial"/>
          <w:sz w:val="17"/>
          <w:szCs w:val="17"/>
          <w:color w:val="auto"/>
        </w:rPr>
      </w:pPr>
    </w:p>
    <w:p>
      <w:pPr>
        <w:ind w:left="440" w:right="760" w:hanging="438"/>
        <w:spacing w:after="0" w:line="250"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 and excludes performance-based rent on capital lease obligations.</w:t>
      </w:r>
    </w:p>
    <w:p>
      <w:pPr>
        <w:spacing w:after="0" w:line="1" w:lineRule="exact"/>
        <w:rPr>
          <w:rFonts w:ascii="Arial" w:cs="Arial" w:eastAsia="Arial" w:hAnsi="Arial"/>
          <w:sz w:val="17"/>
          <w:szCs w:val="17"/>
          <w:color w:val="auto"/>
        </w:rPr>
      </w:pPr>
    </w:p>
    <w:p>
      <w:pPr>
        <w:ind w:left="440" w:hanging="438"/>
        <w:spacing w:after="0" w:line="415" w:lineRule="auto"/>
        <w:tabs>
          <w:tab w:leader="none" w:pos="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 or premium and expense and the portion of rent expense representing an interest factor. Preferred share dividends consist of dividends paid on outstanding Series B preferred shares. Adjusted EBITDA is reconciled</w:t>
      </w:r>
    </w:p>
    <w:p>
      <w:pPr>
        <w:sectPr>
          <w:pgSz w:w="11900" w:h="16990" w:orient="portrait"/>
          <w:cols w:equalWidth="0" w:num="1">
            <w:col w:w="11420"/>
          </w:cols>
          <w:pgMar w:left="240" w:top="267" w:right="239" w:bottom="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to net income in the Glossary of Terms.</w:t>
      </w:r>
    </w:p>
    <w:p>
      <w:pPr>
        <w:spacing w:after="0" w:line="149"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779"/>
          </w:cols>
          <w:pgMar w:left="680" w:top="131" w:right="1440"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40"/>
        </w:trPr>
        <w:tc>
          <w:tcPr>
            <w:tcW w:w="4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82"/>
              </w:rPr>
              <w:t>Scheduled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2"/>
          </w:tcPr>
          <w:p>
            <w:pPr>
              <w:jc w:val="right"/>
              <w:ind w:right="740"/>
              <w:spacing w:after="0" w:line="141" w:lineRule="exact"/>
              <w:rPr>
                <w:sz w:val="20"/>
                <w:szCs w:val="20"/>
                <w:color w:val="auto"/>
              </w:rPr>
            </w:pPr>
            <w:r>
              <w:rPr>
                <w:rFonts w:ascii="Arial" w:cs="Arial" w:eastAsia="Arial" w:hAnsi="Arial"/>
                <w:sz w:val="13"/>
                <w:szCs w:val="13"/>
                <w:b w:val="1"/>
                <w:bCs w:val="1"/>
                <w:color w:val="auto"/>
              </w:rPr>
              <w:t>Percent of</w:t>
            </w:r>
          </w:p>
        </w:tc>
        <w:tc>
          <w:tcPr>
            <w:tcW w:w="9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40"/>
        </w:trPr>
        <w:tc>
          <w:tcPr>
            <w:tcW w:w="47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90"/>
              </w:rPr>
              <w:t>Amortization</w:t>
            </w:r>
          </w:p>
        </w:tc>
        <w:tc>
          <w:tcPr>
            <w:tcW w:w="460" w:type="dxa"/>
            <w:vAlign w:val="bottom"/>
          </w:tcPr>
          <w:p>
            <w:pPr>
              <w:spacing w:after="0"/>
              <w:rPr>
                <w:sz w:val="12"/>
                <w:szCs w:val="12"/>
                <w:color w:val="auto"/>
              </w:rPr>
            </w:pPr>
          </w:p>
        </w:tc>
        <w:tc>
          <w:tcPr>
            <w:tcW w:w="10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Maturities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900"/>
              <w:spacing w:after="0" w:line="141" w:lineRule="exact"/>
              <w:rPr>
                <w:sz w:val="20"/>
                <w:szCs w:val="20"/>
                <w:color w:val="auto"/>
              </w:rPr>
            </w:pPr>
            <w:r>
              <w:rPr>
                <w:rFonts w:ascii="Arial" w:cs="Arial" w:eastAsia="Arial" w:hAnsi="Arial"/>
                <w:sz w:val="13"/>
                <w:szCs w:val="13"/>
                <w:b w:val="1"/>
                <w:bCs w:val="1"/>
                <w:color w:val="auto"/>
              </w:rPr>
              <w:t>Total</w:t>
            </w:r>
          </w:p>
        </w:tc>
        <w:tc>
          <w:tcPr>
            <w:tcW w:w="1440" w:type="dxa"/>
            <w:vAlign w:val="bottom"/>
            <w:gridSpan w:val="2"/>
          </w:tcPr>
          <w:p>
            <w:pPr>
              <w:jc w:val="right"/>
              <w:ind w:right="600"/>
              <w:spacing w:after="0" w:line="141" w:lineRule="exact"/>
              <w:rPr>
                <w:sz w:val="20"/>
                <w:szCs w:val="20"/>
                <w:color w:val="auto"/>
              </w:rPr>
            </w:pPr>
            <w:r>
              <w:rPr>
                <w:rFonts w:ascii="Arial" w:cs="Arial" w:eastAsia="Arial" w:hAnsi="Arial"/>
                <w:sz w:val="13"/>
                <w:szCs w:val="13"/>
                <w:b w:val="1"/>
                <w:bCs w:val="1"/>
                <w:color w:val="auto"/>
                <w:w w:val="93"/>
              </w:rPr>
              <w:t>Debt Maturing</w:t>
            </w:r>
          </w:p>
        </w:tc>
        <w:tc>
          <w:tcPr>
            <w:tcW w:w="9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93"/>
              </w:rPr>
              <w:t>Debt Maturing</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3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1,177</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2007</w:t>
            </w:r>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6,034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7"/>
                <w:szCs w:val="17"/>
                <w:color w:val="auto"/>
              </w:rPr>
              <w:t>156,034</w:t>
            </w: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10.3%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3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9,542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16,020</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2009</w:t>
            </w:r>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6,861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179,349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7"/>
                <w:szCs w:val="17"/>
                <w:color w:val="auto"/>
              </w:rPr>
              <w:t>186,210</w:t>
            </w: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12.3%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3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82,375</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2011</w:t>
            </w:r>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7,487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112,252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7"/>
                <w:szCs w:val="17"/>
                <w:color w:val="auto"/>
              </w:rPr>
              <w:t>119,739</w:t>
            </w: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7.9%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182,624</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2013</w:t>
            </w:r>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7,743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19,156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7"/>
                <w:szCs w:val="17"/>
                <w:color w:val="auto"/>
              </w:rPr>
              <w:t>26,899</w:t>
            </w: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1.8%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7,973</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2015</w:t>
            </w:r>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7,755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145,807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7"/>
                <w:szCs w:val="17"/>
                <w:color w:val="auto"/>
              </w:rPr>
              <w:t>153,562</w:t>
            </w: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10.2%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04"/>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153,355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424,452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577,807</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219,862</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1,290,558</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w w:val="87"/>
              </w:rPr>
              <w:t>1,510,420(2)</w:t>
            </w: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100.0%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Maturities include $75 million drawn under the Trust’s $300 million four-year revolving credit facility in 2010.</w:t>
      </w:r>
    </w:p>
    <w:p>
      <w:pPr>
        <w:spacing w:after="0" w:line="8" w:lineRule="exact"/>
        <w:rPr>
          <w:rFonts w:ascii="Arial" w:cs="Arial" w:eastAsia="Arial" w:hAnsi="Arial"/>
          <w:sz w:val="17"/>
          <w:szCs w:val="17"/>
          <w:color w:val="auto"/>
        </w:rPr>
      </w:pPr>
    </w:p>
    <w:p>
      <w:pPr>
        <w:ind w:left="440" w:right="500" w:hanging="438"/>
        <w:spacing w:after="0" w:line="261"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senior notes, debentures and mortgage payables.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67"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Current Redevelopment Opportunities (1) ($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vMerge w:val="restart"/>
          </w:tcPr>
          <w:p>
            <w:pPr>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Projected</w:t>
            </w:r>
          </w:p>
        </w:tc>
        <w:tc>
          <w:tcPr>
            <w:tcW w:w="5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Projected</w:t>
            </w:r>
          </w:p>
        </w:tc>
        <w:tc>
          <w:tcPr>
            <w:tcW w:w="32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4"/>
              </w:rPr>
              <w:t>Cost to</w:t>
            </w:r>
          </w:p>
        </w:tc>
        <w:tc>
          <w:tcPr>
            <w:tcW w:w="0" w:type="dxa"/>
            <w:vAlign w:val="bottom"/>
          </w:tcPr>
          <w:p>
            <w:pPr>
              <w:spacing w:after="0"/>
              <w:rPr>
                <w:sz w:val="1"/>
                <w:szCs w:val="1"/>
                <w:color w:val="auto"/>
              </w:rPr>
            </w:pPr>
          </w:p>
        </w:tc>
      </w:tr>
      <w:tr>
        <w:trPr>
          <w:trHeight w:val="140"/>
        </w:trPr>
        <w:tc>
          <w:tcPr>
            <w:tcW w:w="3700" w:type="dxa"/>
            <w:vAlign w:val="bottom"/>
            <w:vMerge w:val="continue"/>
          </w:tcPr>
          <w:p>
            <w:pPr>
              <w:spacing w:after="0"/>
              <w:rPr>
                <w:sz w:val="12"/>
                <w:szCs w:val="12"/>
                <w:color w:val="auto"/>
              </w:rPr>
            </w:pPr>
          </w:p>
        </w:tc>
        <w:tc>
          <w:tcPr>
            <w:tcW w:w="1580" w:type="dxa"/>
            <w:vAlign w:val="bottom"/>
            <w:gridSpan w:val="2"/>
          </w:tcPr>
          <w:p>
            <w:pPr>
              <w:ind w:left="300"/>
              <w:spacing w:after="0" w:line="141" w:lineRule="exact"/>
              <w:rPr>
                <w:sz w:val="20"/>
                <w:szCs w:val="20"/>
                <w:color w:val="auto"/>
              </w:rPr>
            </w:pPr>
            <w:r>
              <w:rPr>
                <w:rFonts w:ascii="Arial" w:cs="Arial" w:eastAsia="Arial" w:hAnsi="Arial"/>
                <w:sz w:val="13"/>
                <w:szCs w:val="13"/>
                <w:b w:val="1"/>
                <w:bCs w:val="1"/>
                <w:color w:val="auto"/>
              </w:rPr>
              <w:t>Location</w:t>
            </w:r>
          </w:p>
        </w:tc>
        <w:tc>
          <w:tcPr>
            <w:tcW w:w="300" w:type="dxa"/>
            <w:vAlign w:val="bottom"/>
          </w:tcPr>
          <w:p>
            <w:pPr>
              <w:spacing w:after="0"/>
              <w:rPr>
                <w:sz w:val="12"/>
                <w:szCs w:val="12"/>
                <w:color w:val="auto"/>
              </w:rPr>
            </w:pPr>
          </w:p>
        </w:tc>
        <w:tc>
          <w:tcPr>
            <w:tcW w:w="3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ROI (2)</w:t>
            </w:r>
          </w:p>
        </w:tc>
        <w:tc>
          <w:tcPr>
            <w:tcW w:w="52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Cost (1)</w:t>
            </w:r>
          </w:p>
        </w:tc>
        <w:tc>
          <w:tcPr>
            <w:tcW w:w="320" w:type="dxa"/>
            <w:vAlign w:val="bottom"/>
          </w:tcPr>
          <w:p>
            <w:pPr>
              <w:spacing w:after="0"/>
              <w:rPr>
                <w:sz w:val="12"/>
                <w:szCs w:val="12"/>
                <w:color w:val="auto"/>
              </w:rPr>
            </w:pPr>
          </w:p>
        </w:tc>
        <w:tc>
          <w:tcPr>
            <w:tcW w:w="3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6"/>
        </w:trPr>
        <w:tc>
          <w:tcPr>
            <w:tcW w:w="3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4240" cy="129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1295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i w:val="1"/>
          <w:iCs w:val="1"/>
          <w:color w:val="auto"/>
        </w:rPr>
        <w:t>Projects Anticipated to Stabilize in 2006 (3)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20"/>
                <w:szCs w:val="20"/>
                <w:color w:val="auto"/>
              </w:rPr>
            </w:pPr>
            <w:r>
              <w:rPr>
                <w:rFonts w:ascii="Arial" w:cs="Arial" w:eastAsia="Arial" w:hAnsi="Arial"/>
                <w:sz w:val="17"/>
                <w:szCs w:val="17"/>
                <w:color w:val="auto"/>
              </w:rPr>
              <w:t>Santana Phase IV</w:t>
            </w:r>
          </w:p>
        </w:tc>
        <w:tc>
          <w:tcPr>
            <w:tcW w:w="1940" w:type="dxa"/>
            <w:vAlign w:val="bottom"/>
          </w:tcPr>
          <w:p>
            <w:pPr>
              <w:ind w:left="520"/>
              <w:spacing w:after="0"/>
              <w:rPr>
                <w:sz w:val="20"/>
                <w:szCs w:val="20"/>
                <w:color w:val="auto"/>
              </w:rPr>
            </w:pPr>
            <w:r>
              <w:rPr>
                <w:rFonts w:ascii="Arial" w:cs="Arial" w:eastAsia="Arial" w:hAnsi="Arial"/>
                <w:sz w:val="17"/>
                <w:szCs w:val="17"/>
                <w:color w:val="auto"/>
              </w:rPr>
              <w:t>San Jose, CA</w:t>
            </w:r>
          </w:p>
        </w:tc>
        <w:tc>
          <w:tcPr>
            <w:tcW w:w="3740" w:type="dxa"/>
            <w:vAlign w:val="bottom"/>
          </w:tcPr>
          <w:p>
            <w:pPr>
              <w:ind w:left="160"/>
              <w:spacing w:after="0"/>
              <w:rPr>
                <w:sz w:val="20"/>
                <w:szCs w:val="20"/>
                <w:color w:val="auto"/>
              </w:rPr>
            </w:pPr>
            <w:r>
              <w:rPr>
                <w:rFonts w:ascii="Arial" w:cs="Arial" w:eastAsia="Arial" w:hAnsi="Arial"/>
                <w:sz w:val="17"/>
                <w:szCs w:val="17"/>
                <w:color w:val="auto"/>
              </w:rPr>
              <w:t>Building 7 residential re-build</w:t>
            </w: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71</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Mount Vernon / South Valley</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Alexandria, VA</w:t>
            </w: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Grocer expansion, small shop re-tenanting, site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4"/>
        </w:trPr>
        <w:tc>
          <w:tcPr>
            <w:tcW w:w="34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improvements, addition of five pad site buildings</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three anchors.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20"/>
                <w:szCs w:val="20"/>
                <w:color w:val="auto"/>
              </w:rPr>
            </w:pPr>
            <w:r>
              <w:rPr>
                <w:rFonts w:ascii="Arial" w:cs="Arial" w:eastAsia="Arial" w:hAnsi="Arial"/>
                <w:sz w:val="17"/>
                <w:szCs w:val="17"/>
                <w:color w:val="auto"/>
              </w:rPr>
              <w:t>Leesburg Plaza</w:t>
            </w:r>
          </w:p>
        </w:tc>
        <w:tc>
          <w:tcPr>
            <w:tcW w:w="1940" w:type="dxa"/>
            <w:vAlign w:val="bottom"/>
          </w:tcPr>
          <w:p>
            <w:pPr>
              <w:ind w:left="520"/>
              <w:spacing w:after="0"/>
              <w:rPr>
                <w:sz w:val="20"/>
                <w:szCs w:val="20"/>
                <w:color w:val="auto"/>
              </w:rPr>
            </w:pPr>
            <w:r>
              <w:rPr>
                <w:rFonts w:ascii="Arial" w:cs="Arial" w:eastAsia="Arial" w:hAnsi="Arial"/>
                <w:sz w:val="17"/>
                <w:szCs w:val="17"/>
                <w:color w:val="auto"/>
              </w:rPr>
              <w:t>Leesburg, VA</w:t>
            </w:r>
          </w:p>
        </w:tc>
        <w:tc>
          <w:tcPr>
            <w:tcW w:w="3740" w:type="dxa"/>
            <w:vAlign w:val="bottom"/>
          </w:tcPr>
          <w:p>
            <w:pPr>
              <w:ind w:left="160"/>
              <w:spacing w:after="0"/>
              <w:rPr>
                <w:sz w:val="20"/>
                <w:szCs w:val="20"/>
                <w:color w:val="auto"/>
              </w:rPr>
            </w:pPr>
            <w:r>
              <w:rPr>
                <w:rFonts w:ascii="Arial" w:cs="Arial" w:eastAsia="Arial" w:hAnsi="Arial"/>
                <w:sz w:val="17"/>
                <w:szCs w:val="17"/>
                <w:color w:val="auto"/>
              </w:rPr>
              <w:t>Demolish, redevelop and re-tenant the former</w:t>
            </w: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14</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7"/>
                <w:szCs w:val="17"/>
                <w:color w:val="auto"/>
              </w:rPr>
              <w:t>Kmart &amp; Peebles.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Village of Shirlington - Phase II</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Arlington, VA</w:t>
            </w: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Ground floor retail and parking garage as part of</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urban mixed-use development (by others)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7"/>
                <w:szCs w:val="17"/>
                <w:color w:val="auto"/>
              </w:rPr>
              <w:t>Brick Plaza</w:t>
            </w:r>
          </w:p>
        </w:tc>
        <w:tc>
          <w:tcPr>
            <w:tcW w:w="1940" w:type="dxa"/>
            <w:vAlign w:val="bottom"/>
          </w:tcPr>
          <w:p>
            <w:pPr>
              <w:ind w:left="520"/>
              <w:spacing w:after="0"/>
              <w:rPr>
                <w:sz w:val="20"/>
                <w:szCs w:val="20"/>
                <w:color w:val="auto"/>
              </w:rPr>
            </w:pPr>
            <w:r>
              <w:rPr>
                <w:rFonts w:ascii="Arial" w:cs="Arial" w:eastAsia="Arial" w:hAnsi="Arial"/>
                <w:sz w:val="17"/>
                <w:szCs w:val="17"/>
                <w:color w:val="auto"/>
              </w:rPr>
              <w:t>Brick, NJ</w:t>
            </w:r>
          </w:p>
        </w:tc>
        <w:tc>
          <w:tcPr>
            <w:tcW w:w="3740" w:type="dxa"/>
            <w:vAlign w:val="bottom"/>
          </w:tcPr>
          <w:p>
            <w:pPr>
              <w:ind w:left="160"/>
              <w:spacing w:after="0"/>
              <w:rPr>
                <w:sz w:val="20"/>
                <w:szCs w:val="20"/>
                <w:color w:val="auto"/>
              </w:rPr>
            </w:pPr>
            <w:r>
              <w:rPr>
                <w:rFonts w:ascii="Arial" w:cs="Arial" w:eastAsia="Arial" w:hAnsi="Arial"/>
                <w:sz w:val="17"/>
                <w:szCs w:val="17"/>
                <w:color w:val="auto"/>
              </w:rPr>
              <w:t>Re-tenanting (electronics)</w:t>
            </w: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Hauppauge Shopping Center</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Hauppauge, NY</w:t>
            </w: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Panera Café pad site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7"/>
                <w:szCs w:val="17"/>
                <w:color w:val="auto"/>
              </w:rPr>
              <w:t>Barracks Road Shopping Center</w:t>
            </w:r>
          </w:p>
        </w:tc>
        <w:tc>
          <w:tcPr>
            <w:tcW w:w="1940" w:type="dxa"/>
            <w:vAlign w:val="bottom"/>
          </w:tcPr>
          <w:p>
            <w:pPr>
              <w:ind w:left="520"/>
              <w:spacing w:after="0"/>
              <w:rPr>
                <w:sz w:val="20"/>
                <w:szCs w:val="20"/>
                <w:color w:val="auto"/>
              </w:rPr>
            </w:pPr>
            <w:r>
              <w:rPr>
                <w:rFonts w:ascii="Arial" w:cs="Arial" w:eastAsia="Arial" w:hAnsi="Arial"/>
                <w:sz w:val="17"/>
                <w:szCs w:val="17"/>
                <w:color w:val="auto"/>
              </w:rPr>
              <w:t>Charlottesville, VA</w:t>
            </w:r>
          </w:p>
        </w:tc>
        <w:tc>
          <w:tcPr>
            <w:tcW w:w="3740" w:type="dxa"/>
            <w:vAlign w:val="bottom"/>
          </w:tcPr>
          <w:p>
            <w:pPr>
              <w:ind w:left="160"/>
              <w:spacing w:after="0"/>
              <w:rPr>
                <w:sz w:val="20"/>
                <w:szCs w:val="20"/>
                <w:color w:val="auto"/>
              </w:rPr>
            </w:pPr>
            <w:r>
              <w:rPr>
                <w:rFonts w:ascii="Arial" w:cs="Arial" w:eastAsia="Arial" w:hAnsi="Arial"/>
                <w:sz w:val="17"/>
                <w:szCs w:val="17"/>
                <w:color w:val="auto"/>
              </w:rPr>
              <w:t>Chipotle pad site</w:t>
            </w: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2006 (3) (4)</w:t>
            </w:r>
          </w:p>
        </w:tc>
        <w:tc>
          <w:tcPr>
            <w:tcW w:w="37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123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w w:val="99"/>
              </w:rPr>
              <w:t>Projects Anticipated to Stabilize in 2007 (3)</w:t>
            </w:r>
          </w:p>
        </w:tc>
        <w:tc>
          <w:tcPr>
            <w:tcW w:w="1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48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4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Rockville Town Square</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Rockville, MD</w:t>
            </w: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Ground floor retail as part of urban mixed-use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development (by others)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7"/>
                <w:szCs w:val="17"/>
                <w:color w:val="auto"/>
              </w:rPr>
              <w:t>Mercer Mall</w:t>
            </w:r>
          </w:p>
        </w:tc>
        <w:tc>
          <w:tcPr>
            <w:tcW w:w="1940" w:type="dxa"/>
            <w:vAlign w:val="bottom"/>
          </w:tcPr>
          <w:p>
            <w:pPr>
              <w:ind w:left="520"/>
              <w:spacing w:after="0"/>
              <w:rPr>
                <w:sz w:val="20"/>
                <w:szCs w:val="20"/>
                <w:color w:val="auto"/>
              </w:rPr>
            </w:pPr>
            <w:r>
              <w:rPr>
                <w:rFonts w:ascii="Arial" w:cs="Arial" w:eastAsia="Arial" w:hAnsi="Arial"/>
                <w:sz w:val="17"/>
                <w:szCs w:val="17"/>
                <w:color w:val="auto"/>
              </w:rPr>
              <w:t>Lawrenceville , NJ</w:t>
            </w:r>
          </w:p>
        </w:tc>
        <w:tc>
          <w:tcPr>
            <w:tcW w:w="3740" w:type="dxa"/>
            <w:vAlign w:val="bottom"/>
          </w:tcPr>
          <w:p>
            <w:pPr>
              <w:ind w:left="160"/>
              <w:spacing w:after="0"/>
              <w:rPr>
                <w:sz w:val="20"/>
                <w:szCs w:val="20"/>
                <w:color w:val="auto"/>
              </w:rPr>
            </w:pPr>
            <w:r>
              <w:rPr>
                <w:rFonts w:ascii="Arial" w:cs="Arial" w:eastAsia="Arial" w:hAnsi="Arial"/>
                <w:sz w:val="17"/>
                <w:szCs w:val="17"/>
                <w:color w:val="auto"/>
              </w:rPr>
              <w:t>Demolish, redevelop and re-tenant</w:t>
            </w: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22</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Willow Lawn</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Richmond, VA</w:t>
            </w: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Anchor re-tenanting, small shop demolition,</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façade renovation, and site improvements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20"/>
                <w:szCs w:val="20"/>
                <w:color w:val="auto"/>
              </w:rPr>
            </w:pPr>
            <w:r>
              <w:rPr>
                <w:rFonts w:ascii="Arial" w:cs="Arial" w:eastAsia="Arial" w:hAnsi="Arial"/>
                <w:sz w:val="17"/>
                <w:szCs w:val="17"/>
                <w:color w:val="auto"/>
              </w:rPr>
              <w:t>Loehmann’s Plaza</w:t>
            </w:r>
          </w:p>
        </w:tc>
        <w:tc>
          <w:tcPr>
            <w:tcW w:w="1940" w:type="dxa"/>
            <w:vAlign w:val="bottom"/>
          </w:tcPr>
          <w:p>
            <w:pPr>
              <w:ind w:left="520"/>
              <w:spacing w:after="0"/>
              <w:rPr>
                <w:sz w:val="20"/>
                <w:szCs w:val="20"/>
                <w:color w:val="auto"/>
              </w:rPr>
            </w:pPr>
            <w:r>
              <w:rPr>
                <w:rFonts w:ascii="Arial" w:cs="Arial" w:eastAsia="Arial" w:hAnsi="Arial"/>
                <w:sz w:val="17"/>
                <w:szCs w:val="17"/>
                <w:color w:val="auto"/>
              </w:rPr>
              <w:t>Falls Church, VA</w:t>
            </w:r>
          </w:p>
        </w:tc>
        <w:tc>
          <w:tcPr>
            <w:tcW w:w="3740" w:type="dxa"/>
            <w:vAlign w:val="bottom"/>
          </w:tcPr>
          <w:p>
            <w:pPr>
              <w:ind w:left="160"/>
              <w:spacing w:after="0"/>
              <w:rPr>
                <w:sz w:val="20"/>
                <w:szCs w:val="20"/>
                <w:color w:val="auto"/>
              </w:rPr>
            </w:pPr>
            <w:r>
              <w:rPr>
                <w:rFonts w:ascii="Arial" w:cs="Arial" w:eastAsia="Arial" w:hAnsi="Arial"/>
                <w:sz w:val="17"/>
                <w:szCs w:val="17"/>
                <w:color w:val="auto"/>
              </w:rPr>
              <w:t>Grocer expansion, anchor relocation, façade</w:t>
            </w: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12</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7"/>
                <w:szCs w:val="17"/>
                <w:color w:val="auto"/>
              </w:rPr>
              <w:t>renovation and site improvements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Leesburg Plaza - Pads</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Leesburg, VA</w:t>
            </w: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Two new retail buildings and a bank pad site will</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 added</w:t>
            </w:r>
          </w:p>
        </w:tc>
        <w:tc>
          <w:tcPr>
            <w:tcW w:w="5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gridSpan w:val="2"/>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2007 (3) (4)</w:t>
            </w:r>
          </w:p>
        </w:tc>
        <w:tc>
          <w:tcPr>
            <w:tcW w:w="37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12%</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98</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Projects Anticipated to Stabilize in 2006 and 2007 (3) (4)</w:t>
            </w:r>
          </w:p>
        </w:tc>
        <w:tc>
          <w:tcPr>
            <w:tcW w:w="37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177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460" w:right="400"/>
        <w:spacing w:after="0" w:line="314" w:lineRule="auto"/>
        <w:rPr>
          <w:sz w:val="20"/>
          <w:szCs w:val="20"/>
          <w:color w:val="auto"/>
        </w:rPr>
      </w:pPr>
      <w:r>
        <w:rPr>
          <w:rFonts w:ascii="Arial" w:cs="Arial" w:eastAsia="Arial" w:hAnsi="Arial"/>
          <w:sz w:val="15"/>
          <w:szCs w:val="15"/>
          <w:b w:val="1"/>
          <w:bCs w:val="1"/>
          <w:color w:val="auto"/>
        </w:rPr>
        <w:t>Redevelopments anticipated to stabilize in 2008 and 2009 include the next phase of Bethesda Row, the next phase of the Village at Shirlington, Galaxy Building and Flourtown representing over $100 million of redevelopment capital. The Trust has a pipeline of potential, future redevelopment projects including Mid-Pike, Pike 7 and Westgate Mall and future phases of Santana Row, Bala Cynwyd and Assembly Square. (3)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6000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Notes:</w:t>
      </w:r>
    </w:p>
    <w:p>
      <w:pPr>
        <w:spacing w:after="0" w:line="16" w:lineRule="exact"/>
        <w:rPr>
          <w:sz w:val="20"/>
          <w:szCs w:val="20"/>
          <w:color w:val="auto"/>
        </w:rPr>
      </w:pPr>
    </w:p>
    <w:p>
      <w:pPr>
        <w:ind w:left="440" w:right="540" w:hanging="438"/>
        <w:spacing w:after="0" w:line="266"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440" w:right="20" w:hanging="438"/>
        <w:spacing w:after="0" w:line="250"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3" w:lineRule="exact"/>
        <w:rPr>
          <w:rFonts w:ascii="Arial" w:cs="Arial" w:eastAsia="Arial" w:hAnsi="Arial"/>
          <w:sz w:val="17"/>
          <w:szCs w:val="17"/>
          <w:color w:val="auto"/>
        </w:rPr>
      </w:pPr>
    </w:p>
    <w:p>
      <w:pPr>
        <w:ind w:left="440" w:hanging="438"/>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Anticipated Stabilization is the year in which 95% occupancy of the redeveloped space is anticipated to be achieved.</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8" w:lineRule="exact"/>
        <w:rPr>
          <w:rFonts w:ascii="Arial" w:cs="Arial" w:eastAsia="Arial" w:hAnsi="Arial"/>
          <w:sz w:val="17"/>
          <w:szCs w:val="17"/>
          <w:color w:val="auto"/>
        </w:rPr>
      </w:pPr>
    </w:p>
    <w:p>
      <w:pPr>
        <w:ind w:left="440" w:right="140" w:hanging="438"/>
        <w:spacing w:after="0" w:line="261"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6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 (1)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Description</w:t>
            </w:r>
          </w:p>
        </w:tc>
        <w:tc>
          <w:tcPr>
            <w:tcW w:w="5060" w:type="dxa"/>
            <w:vAlign w:val="bottom"/>
            <w:gridSpan w:val="2"/>
          </w:tcPr>
          <w:p>
            <w:pPr>
              <w:ind w:left="40"/>
              <w:spacing w:after="0"/>
              <w:rPr>
                <w:sz w:val="20"/>
                <w:szCs w:val="20"/>
                <w:color w:val="auto"/>
              </w:rPr>
            </w:pPr>
            <w:r>
              <w:rPr>
                <w:rFonts w:ascii="Arial" w:cs="Arial" w:eastAsia="Arial" w:hAnsi="Arial"/>
                <w:sz w:val="13"/>
                <w:szCs w:val="13"/>
                <w:b w:val="1"/>
                <w:bCs w:val="1"/>
                <w:color w:val="auto"/>
              </w:rPr>
              <w:t>Comments</w:t>
            </w:r>
          </w:p>
        </w:tc>
      </w:tr>
      <w:tr>
        <w:trPr>
          <w:trHeight w:val="197"/>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Operational - Phases I, II and III (2) (5)</w:t>
            </w: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20" w:type="dxa"/>
            <w:vAlign w:val="bottom"/>
            <w:tcBorders>
              <w:top w:val="single" w:sz="8" w:color="auto"/>
            </w:tcBorders>
            <w:shd w:val="clear" w:color="auto" w:fill="CCEEFF"/>
          </w:tcPr>
          <w:p>
            <w:pPr>
              <w:spacing w:after="0"/>
              <w:rPr>
                <w:sz w:val="17"/>
                <w:szCs w:val="17"/>
                <w:color w:val="auto"/>
              </w:rPr>
            </w:pPr>
          </w:p>
        </w:tc>
      </w:tr>
      <w:tr>
        <w:trPr>
          <w:trHeight w:val="212"/>
        </w:trPr>
        <w:tc>
          <w:tcPr>
            <w:tcW w:w="5460" w:type="dxa"/>
            <w:vAlign w:val="bottom"/>
            <w:gridSpan w:val="2"/>
          </w:tcPr>
          <w:p>
            <w:pPr>
              <w:ind w:left="420"/>
              <w:spacing w:after="0"/>
              <w:rPr>
                <w:sz w:val="20"/>
                <w:szCs w:val="20"/>
                <w:color w:val="auto"/>
              </w:rPr>
            </w:pPr>
            <w:r>
              <w:rPr>
                <w:rFonts w:ascii="Arial" w:cs="Arial" w:eastAsia="Arial" w:hAnsi="Arial"/>
                <w:sz w:val="17"/>
                <w:szCs w:val="17"/>
                <w:color w:val="auto"/>
              </w:rPr>
              <w:t>Retail</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563,000 sf</w:t>
            </w:r>
          </w:p>
        </w:tc>
        <w:tc>
          <w:tcPr>
            <w:tcW w:w="5060" w:type="dxa"/>
            <w:vAlign w:val="bottom"/>
            <w:gridSpan w:val="2"/>
          </w:tcPr>
          <w:p>
            <w:pPr>
              <w:ind w:left="40"/>
              <w:spacing w:after="0"/>
              <w:rPr>
                <w:sz w:val="20"/>
                <w:szCs w:val="20"/>
                <w:color w:val="auto"/>
              </w:rPr>
            </w:pPr>
            <w:r>
              <w:rPr>
                <w:rFonts w:ascii="Arial" w:cs="Arial" w:eastAsia="Arial" w:hAnsi="Arial"/>
                <w:sz w:val="17"/>
                <w:szCs w:val="17"/>
                <w:color w:val="auto"/>
              </w:rPr>
              <w:t>Retail was 94% leased as of September 30, 2006.</w:t>
            </w:r>
          </w:p>
        </w:tc>
      </w:tr>
      <w:tr>
        <w:trPr>
          <w:trHeight w:val="94"/>
        </w:trPr>
        <w:tc>
          <w:tcPr>
            <w:tcW w:w="9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20" w:type="dxa"/>
            <w:vAlign w:val="bottom"/>
          </w:tcPr>
          <w:p>
            <w:pPr>
              <w:spacing w:after="0"/>
              <w:rPr>
                <w:sz w:val="8"/>
                <w:szCs w:val="8"/>
                <w:color w:val="auto"/>
              </w:rPr>
            </w:pPr>
          </w:p>
        </w:tc>
      </w:tr>
      <w:tr>
        <w:trPr>
          <w:trHeight w:val="196"/>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 units</w:t>
            </w: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36 townhouse rental units in Building Eight were 97% leased on</w:t>
            </w:r>
          </w:p>
        </w:tc>
      </w:tr>
      <w:tr>
        <w:trPr>
          <w:trHeight w:val="213"/>
        </w:trPr>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September 30, 2006.</w:t>
            </w:r>
          </w:p>
        </w:tc>
      </w:tr>
      <w:tr>
        <w:trPr>
          <w:trHeight w:val="204"/>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In Progress (3) (5)</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196"/>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 - for rent Phase IV</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259 units</w:t>
            </w: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0"/>
              </w:rPr>
              <w:t>259 rental units have now been completed on the Building Seven podium</w:t>
            </w:r>
          </w:p>
        </w:tc>
      </w:tr>
      <w:tr>
        <w:trPr>
          <w:trHeight w:val="204"/>
        </w:trPr>
        <w:tc>
          <w:tcPr>
            <w:tcW w:w="94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1"/>
              </w:rPr>
              <w:t>at a cost of $71 million and a yield of 10%. Initial occupancy commenced</w:t>
            </w:r>
          </w:p>
        </w:tc>
      </w:tr>
      <w:tr>
        <w:trPr>
          <w:trHeight w:val="204"/>
        </w:trPr>
        <w:tc>
          <w:tcPr>
            <w:tcW w:w="94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6"/>
              </w:rPr>
              <w:t>in April 2005 with lease-up having continued through July 2006. As of</w:t>
            </w:r>
          </w:p>
        </w:tc>
      </w:tr>
      <w:tr>
        <w:trPr>
          <w:trHeight w:val="204"/>
        </w:trPr>
        <w:tc>
          <w:tcPr>
            <w:tcW w:w="94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1"/>
              </w:rPr>
              <w:t>September 30, 2006, 251 units (95 townhomes and 156 flats) have been</w:t>
            </w:r>
          </w:p>
        </w:tc>
      </w:tr>
      <w:tr>
        <w:trPr>
          <w:trHeight w:val="213"/>
        </w:trPr>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leased.</w:t>
            </w:r>
          </w:p>
        </w:tc>
      </w:tr>
      <w:tr>
        <w:trPr>
          <w:trHeight w:val="345"/>
        </w:trPr>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96"/>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 - for sale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 units</w:t>
            </w: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1"/>
              </w:rPr>
              <w:t>Closings on the sale of loft and villa units was completed in August 2006,</w:t>
            </w:r>
          </w:p>
        </w:tc>
      </w:tr>
      <w:tr>
        <w:trPr>
          <w:trHeight w:val="213"/>
        </w:trPr>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9"/>
              </w:rPr>
              <w:t>generating gross sales proceeds of approximately $153 million. (4)</w:t>
            </w:r>
          </w:p>
        </w:tc>
      </w:tr>
      <w:tr>
        <w:trPr>
          <w:trHeight w:val="204"/>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Future (6)</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04"/>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Retail</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125,000 sf</w:t>
            </w: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Currently being master planned.</w:t>
            </w:r>
          </w:p>
        </w:tc>
      </w:tr>
      <w:tr>
        <w:trPr>
          <w:trHeight w:val="305"/>
        </w:trPr>
        <w:tc>
          <w:tcPr>
            <w:tcW w:w="5460" w:type="dxa"/>
            <w:vAlign w:val="bottom"/>
            <w:gridSpan w:val="2"/>
          </w:tcPr>
          <w:p>
            <w:pPr>
              <w:ind w:left="420"/>
              <w:spacing w:after="0"/>
              <w:rPr>
                <w:sz w:val="20"/>
                <w:szCs w:val="20"/>
                <w:color w:val="auto"/>
              </w:rPr>
            </w:pPr>
            <w:r>
              <w:rPr>
                <w:rFonts w:ascii="Arial" w:cs="Arial" w:eastAsia="Arial" w:hAnsi="Arial"/>
                <w:sz w:val="17"/>
                <w:szCs w:val="17"/>
                <w:color w:val="auto"/>
              </w:rPr>
              <w:t>Residential</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687 units</w:t>
            </w:r>
          </w:p>
        </w:tc>
        <w:tc>
          <w:tcPr>
            <w:tcW w:w="5060" w:type="dxa"/>
            <w:vAlign w:val="bottom"/>
            <w:gridSpan w:val="2"/>
          </w:tcPr>
          <w:p>
            <w:pPr>
              <w:ind w:left="40"/>
              <w:spacing w:after="0"/>
              <w:rPr>
                <w:sz w:val="20"/>
                <w:szCs w:val="20"/>
                <w:color w:val="auto"/>
              </w:rPr>
            </w:pPr>
            <w:r>
              <w:rPr>
                <w:rFonts w:ascii="Arial" w:cs="Arial" w:eastAsia="Arial" w:hAnsi="Arial"/>
                <w:sz w:val="17"/>
                <w:szCs w:val="17"/>
                <w:color w:val="auto"/>
              </w:rPr>
              <w:t>Currently being master planned.</w:t>
            </w:r>
          </w:p>
        </w:tc>
      </w:tr>
      <w:tr>
        <w:trPr>
          <w:trHeight w:val="103"/>
        </w:trPr>
        <w:tc>
          <w:tcPr>
            <w:tcW w:w="9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20" w:type="dxa"/>
            <w:vAlign w:val="bottom"/>
          </w:tcPr>
          <w:p>
            <w:pPr>
              <w:spacing w:after="0"/>
              <w:rPr>
                <w:sz w:val="8"/>
                <w:szCs w:val="8"/>
                <w:color w:val="auto"/>
              </w:rPr>
            </w:pPr>
          </w:p>
        </w:tc>
      </w:tr>
      <w:tr>
        <w:trPr>
          <w:trHeight w:val="204"/>
        </w:trPr>
        <w:tc>
          <w:tcPr>
            <w:tcW w:w="5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Hotel</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 rooms</w:t>
            </w:r>
          </w:p>
        </w:tc>
        <w:tc>
          <w:tcPr>
            <w:tcW w:w="50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Currently being master planned.</w:t>
            </w:r>
          </w:p>
        </w:tc>
      </w:tr>
      <w:tr>
        <w:trPr>
          <w:trHeight w:val="102"/>
        </w:trPr>
        <w:tc>
          <w:tcPr>
            <w:tcW w:w="9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20" w:type="dxa"/>
            <w:vAlign w:val="bottom"/>
          </w:tcPr>
          <w:p>
            <w:pPr>
              <w:spacing w:after="0"/>
              <w:rPr>
                <w:sz w:val="8"/>
                <w:szCs w:val="8"/>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Notes:</w:t>
      </w:r>
    </w:p>
    <w:p>
      <w:pPr>
        <w:spacing w:after="0" w:line="16" w:lineRule="exact"/>
        <w:rPr>
          <w:sz w:val="20"/>
          <w:szCs w:val="20"/>
          <w:color w:val="auto"/>
        </w:rPr>
      </w:pPr>
    </w:p>
    <w:p>
      <w:pPr>
        <w:ind w:left="440" w:hanging="438"/>
        <w:spacing w:after="0"/>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All costs are projected final costs. Yield represents stabilized projected Property Operating Income divided by projected final costs.</w:t>
      </w:r>
    </w:p>
    <w:p>
      <w:pPr>
        <w:spacing w:after="0" w:line="8" w:lineRule="exact"/>
        <w:rPr>
          <w:rFonts w:ascii="Arial" w:cs="Arial" w:eastAsia="Arial" w:hAnsi="Arial"/>
          <w:sz w:val="17"/>
          <w:szCs w:val="17"/>
          <w:b w:val="1"/>
          <w:bCs w:val="1"/>
          <w:color w:val="auto"/>
        </w:rPr>
      </w:pPr>
    </w:p>
    <w:p>
      <w:pPr>
        <w:ind w:left="440" w:right="60" w:hanging="438"/>
        <w:spacing w:after="0" w:line="250" w:lineRule="auto"/>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portions of the property currently open and operating which include luxury and lifestyle retail components, townhome residential units, and the 213-room Hotel Valencia Santana Row.</w:t>
      </w:r>
    </w:p>
    <w:p>
      <w:pPr>
        <w:spacing w:after="0" w:line="1" w:lineRule="exact"/>
        <w:rPr>
          <w:rFonts w:ascii="Arial" w:cs="Arial" w:eastAsia="Arial" w:hAnsi="Arial"/>
          <w:sz w:val="17"/>
          <w:szCs w:val="17"/>
          <w:b w:val="1"/>
          <w:bCs w:val="1"/>
          <w:color w:val="auto"/>
        </w:rPr>
      </w:pPr>
    </w:p>
    <w:p>
      <w:pPr>
        <w:ind w:left="440" w:hanging="438"/>
        <w:spacing w:after="0"/>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Developments and other significant activities being actively pursued at Santana Row.</w:t>
      </w:r>
    </w:p>
    <w:p>
      <w:pPr>
        <w:spacing w:after="0" w:line="8" w:lineRule="exact"/>
        <w:rPr>
          <w:rFonts w:ascii="Arial" w:cs="Arial" w:eastAsia="Arial" w:hAnsi="Arial"/>
          <w:sz w:val="17"/>
          <w:szCs w:val="17"/>
          <w:b w:val="1"/>
          <w:bCs w:val="1"/>
          <w:color w:val="auto"/>
        </w:rPr>
      </w:pPr>
    </w:p>
    <w:p>
      <w:pPr>
        <w:ind w:left="440" w:right="340" w:hanging="438"/>
        <w:spacing w:after="0" w:line="250" w:lineRule="auto"/>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Gross sales represent actual sales prices for units sold, without taking into account any costs of sale, including, without limitation, any income taxes that may be paid.</w:t>
      </w:r>
    </w:p>
    <w:p>
      <w:pPr>
        <w:spacing w:after="0" w:line="1" w:lineRule="exact"/>
        <w:rPr>
          <w:rFonts w:ascii="Arial" w:cs="Arial" w:eastAsia="Arial" w:hAnsi="Arial"/>
          <w:sz w:val="17"/>
          <w:szCs w:val="17"/>
          <w:b w:val="1"/>
          <w:bCs w:val="1"/>
          <w:color w:val="auto"/>
        </w:rPr>
      </w:pPr>
    </w:p>
    <w:p>
      <w:pPr>
        <w:ind w:left="440" w:hanging="438"/>
        <w:spacing w:after="0" w:line="250" w:lineRule="auto"/>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Approximately $435 million of projected costs at Santana Row now yielding 7% with both of the following having occurred: (1) stabilization of Phases I - IV (net of insurance proceeds), and (2) completion of the sale of 219 condominiums in 2006. The projected cost and yield includes $13 million invested in joint ventures at Santana Row.</w:t>
      </w:r>
    </w:p>
    <w:p>
      <w:pPr>
        <w:spacing w:after="0" w:line="1" w:lineRule="exact"/>
        <w:rPr>
          <w:rFonts w:ascii="Arial" w:cs="Arial" w:eastAsia="Arial" w:hAnsi="Arial"/>
          <w:sz w:val="17"/>
          <w:szCs w:val="17"/>
          <w:b w:val="1"/>
          <w:bCs w:val="1"/>
          <w:color w:val="auto"/>
        </w:rPr>
      </w:pPr>
    </w:p>
    <w:p>
      <w:pPr>
        <w:ind w:left="440" w:hanging="438"/>
        <w:spacing w:after="0"/>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Remaining entitlements for development or sale.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7"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Significant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September 30, 2006</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Federal Realty Investment Trust Acquisitions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3"/>
                <w:szCs w:val="13"/>
                <w:color w:val="auto"/>
              </w:rPr>
            </w:pPr>
          </w:p>
        </w:tc>
        <w:tc>
          <w:tcPr>
            <w:tcW w:w="1680" w:type="dxa"/>
            <w:vAlign w:val="bottom"/>
          </w:tcPr>
          <w:p>
            <w:pPr>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GLA</w:t>
            </w:r>
          </w:p>
        </w:tc>
        <w:tc>
          <w:tcPr>
            <w:tcW w:w="12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5"/>
              </w:rPr>
              <w:t>Purchase price</w:t>
            </w:r>
          </w:p>
        </w:tc>
        <w:tc>
          <w:tcPr>
            <w:tcW w:w="1980" w:type="dxa"/>
            <w:vAlign w:val="bottom"/>
          </w:tcPr>
          <w:p>
            <w:pPr>
              <w:ind w:left="58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140"/>
        </w:trPr>
        <w:tc>
          <w:tcPr>
            <w:tcW w:w="9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0"/>
              <w:spacing w:after="0" w:line="141" w:lineRule="exact"/>
              <w:rPr>
                <w:sz w:val="20"/>
                <w:szCs w:val="20"/>
                <w:color w:val="auto"/>
              </w:rPr>
            </w:pPr>
            <w:r>
              <w:rPr>
                <w:rFonts w:ascii="Arial" w:cs="Arial" w:eastAsia="Arial" w:hAnsi="Arial"/>
                <w:sz w:val="13"/>
                <w:szCs w:val="13"/>
                <w:b w:val="1"/>
                <w:bCs w:val="1"/>
                <w:color w:val="auto"/>
                <w:w w:val="90"/>
              </w:rPr>
              <w:t>(in millions)</w:t>
            </w:r>
          </w:p>
        </w:tc>
        <w:tc>
          <w:tcPr>
            <w:tcW w:w="2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20, 2006</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4900 Hampden Lane (1)</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Bethesda, MD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w:t>
            </w: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Washington Sports Club</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rPr>
                <w:sz w:val="20"/>
                <w:szCs w:val="20"/>
                <w:color w:val="auto"/>
              </w:rPr>
            </w:pPr>
            <w:r>
              <w:rPr>
                <w:rFonts w:ascii="Arial" w:cs="Arial" w:eastAsia="Arial" w:hAnsi="Arial"/>
                <w:sz w:val="17"/>
                <w:szCs w:val="17"/>
                <w:color w:val="auto"/>
              </w:rPr>
              <w:t>January 27, 2006</w:t>
            </w:r>
          </w:p>
        </w:tc>
        <w:tc>
          <w:tcPr>
            <w:tcW w:w="2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7770 Richmond Highway</w:t>
            </w:r>
          </w:p>
        </w:tc>
        <w:tc>
          <w:tcPr>
            <w:tcW w:w="2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Alexandria, VA</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1980" w:type="dxa"/>
            <w:vAlign w:val="bottom"/>
          </w:tcPr>
          <w:p>
            <w:pPr>
              <w:spacing w:after="0"/>
              <w:rPr>
                <w:sz w:val="20"/>
                <w:szCs w:val="20"/>
                <w:color w:val="auto"/>
              </w:rPr>
            </w:pPr>
            <w:r>
              <w:rPr>
                <w:rFonts w:ascii="Arial" w:cs="Arial" w:eastAsia="Arial" w:hAnsi="Arial"/>
                <w:sz w:val="17"/>
                <w:szCs w:val="17"/>
                <w:color w:val="auto"/>
              </w:rPr>
              <w:t>Gold’s Gym</w:t>
            </w:r>
          </w:p>
        </w:tc>
        <w:tc>
          <w:tcPr>
            <w:tcW w:w="0" w:type="dxa"/>
            <w:vAlign w:val="bottom"/>
          </w:tcPr>
          <w:p>
            <w:pPr>
              <w:spacing w:after="0"/>
              <w:rPr>
                <w:sz w:val="1"/>
                <w:szCs w:val="1"/>
                <w:color w:val="auto"/>
              </w:rPr>
            </w:pPr>
          </w:p>
        </w:tc>
      </w:tr>
      <w:tr>
        <w:trPr>
          <w:trHeight w:val="204"/>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29, 2006</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New Britain, PA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126,000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w:t>
            </w: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Clemens Market, Rite Aid</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rPr>
                <w:sz w:val="20"/>
                <w:szCs w:val="20"/>
                <w:color w:val="auto"/>
              </w:rPr>
            </w:pPr>
            <w:r>
              <w:rPr>
                <w:rFonts w:ascii="Arial" w:cs="Arial" w:eastAsia="Arial" w:hAnsi="Arial"/>
                <w:sz w:val="17"/>
                <w:szCs w:val="17"/>
                <w:color w:val="auto"/>
              </w:rPr>
              <w:t>August 24, 2006</w:t>
            </w:r>
          </w:p>
        </w:tc>
        <w:tc>
          <w:tcPr>
            <w:tcW w:w="2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Key Road Plaza</w:t>
            </w:r>
          </w:p>
        </w:tc>
        <w:tc>
          <w:tcPr>
            <w:tcW w:w="2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Keene, NH</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76,000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14.5</w:t>
            </w:r>
          </w:p>
        </w:tc>
        <w:tc>
          <w:tcPr>
            <w:tcW w:w="1980" w:type="dxa"/>
            <w:vAlign w:val="bottom"/>
          </w:tcPr>
          <w:p>
            <w:pPr>
              <w:spacing w:after="0"/>
              <w:rPr>
                <w:sz w:val="20"/>
                <w:szCs w:val="20"/>
                <w:color w:val="auto"/>
              </w:rPr>
            </w:pPr>
            <w:r>
              <w:rPr>
                <w:rFonts w:ascii="Arial" w:cs="Arial" w:eastAsia="Arial" w:hAnsi="Arial"/>
                <w:sz w:val="17"/>
                <w:szCs w:val="17"/>
                <w:color w:val="auto"/>
              </w:rPr>
              <w:t>Staples, TJ Maxx</w:t>
            </w:r>
          </w:p>
        </w:tc>
        <w:tc>
          <w:tcPr>
            <w:tcW w:w="0" w:type="dxa"/>
            <w:vAlign w:val="bottom"/>
          </w:tcPr>
          <w:p>
            <w:pPr>
              <w:spacing w:after="0"/>
              <w:rPr>
                <w:sz w:val="1"/>
                <w:szCs w:val="1"/>
                <w:color w:val="auto"/>
              </w:rPr>
            </w:pPr>
          </w:p>
        </w:tc>
      </w:tr>
      <w:tr>
        <w:trPr>
          <w:trHeight w:val="204"/>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 2006</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Riverside Plaza</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Keene, NH</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24.0</w:t>
            </w: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Shaw’s, Wal-Mart</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rPr>
                <w:sz w:val="20"/>
                <w:szCs w:val="20"/>
                <w:color w:val="auto"/>
              </w:rPr>
            </w:pPr>
            <w:r>
              <w:rPr>
                <w:rFonts w:ascii="Arial" w:cs="Arial" w:eastAsia="Arial" w:hAnsi="Arial"/>
                <w:sz w:val="17"/>
                <w:szCs w:val="17"/>
                <w:color w:val="auto"/>
              </w:rPr>
              <w:t>August 24, 2006</w:t>
            </w:r>
          </w:p>
        </w:tc>
        <w:tc>
          <w:tcPr>
            <w:tcW w:w="2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Bath Shopping Center (3)</w:t>
            </w:r>
          </w:p>
        </w:tc>
        <w:tc>
          <w:tcPr>
            <w:tcW w:w="2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Bath, ME</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101,000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22.8</w:t>
            </w:r>
          </w:p>
        </w:tc>
        <w:tc>
          <w:tcPr>
            <w:tcW w:w="1980" w:type="dxa"/>
            <w:vAlign w:val="bottom"/>
          </w:tcPr>
          <w:p>
            <w:pPr>
              <w:spacing w:after="0"/>
              <w:rPr>
                <w:sz w:val="20"/>
                <w:szCs w:val="20"/>
                <w:color w:val="auto"/>
              </w:rPr>
            </w:pPr>
            <w:r>
              <w:rPr>
                <w:rFonts w:ascii="Arial" w:cs="Arial" w:eastAsia="Arial" w:hAnsi="Arial"/>
                <w:sz w:val="17"/>
                <w:szCs w:val="17"/>
                <w:color w:val="auto"/>
              </w:rPr>
              <w:t>Shaw’s</w:t>
            </w:r>
          </w:p>
        </w:tc>
        <w:tc>
          <w:tcPr>
            <w:tcW w:w="0" w:type="dxa"/>
            <w:vAlign w:val="bottom"/>
          </w:tcPr>
          <w:p>
            <w:pPr>
              <w:spacing w:after="0"/>
              <w:rPr>
                <w:sz w:val="1"/>
                <w:szCs w:val="1"/>
                <w:color w:val="auto"/>
              </w:rPr>
            </w:pPr>
          </w:p>
        </w:tc>
      </w:tr>
      <w:tr>
        <w:trPr>
          <w:trHeight w:val="204"/>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 2006</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Linden Square</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Wellesley, MA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261,000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99.6</w:t>
            </w: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Roche Brothers, CVS</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rPr>
                <w:sz w:val="20"/>
                <w:szCs w:val="20"/>
                <w:color w:val="auto"/>
              </w:rPr>
            </w:pPr>
            <w:r>
              <w:rPr>
                <w:rFonts w:ascii="Arial" w:cs="Arial" w:eastAsia="Arial" w:hAnsi="Arial"/>
                <w:sz w:val="17"/>
                <w:szCs w:val="17"/>
                <w:color w:val="auto"/>
              </w:rPr>
              <w:t>August 24, 2006</w:t>
            </w:r>
          </w:p>
        </w:tc>
        <w:tc>
          <w:tcPr>
            <w:tcW w:w="2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North Dartmouth</w:t>
            </w:r>
          </w:p>
        </w:tc>
        <w:tc>
          <w:tcPr>
            <w:tcW w:w="2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North Dartmouth, MA</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183,000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27.5</w:t>
            </w:r>
          </w:p>
        </w:tc>
        <w:tc>
          <w:tcPr>
            <w:tcW w:w="1980" w:type="dxa"/>
            <w:vAlign w:val="bottom"/>
          </w:tcPr>
          <w:p>
            <w:pPr>
              <w:spacing w:after="0"/>
              <w:rPr>
                <w:sz w:val="20"/>
                <w:szCs w:val="20"/>
                <w:color w:val="auto"/>
              </w:rPr>
            </w:pPr>
            <w:r>
              <w:rPr>
                <w:rFonts w:ascii="Arial" w:cs="Arial" w:eastAsia="Arial" w:hAnsi="Arial"/>
                <w:sz w:val="17"/>
                <w:szCs w:val="17"/>
                <w:color w:val="auto"/>
              </w:rPr>
              <w:t>Lowes, Stop N Shop</w:t>
            </w:r>
          </w:p>
        </w:tc>
        <w:tc>
          <w:tcPr>
            <w:tcW w:w="0" w:type="dxa"/>
            <w:vAlign w:val="bottom"/>
          </w:tcPr>
          <w:p>
            <w:pPr>
              <w:spacing w:after="0"/>
              <w:rPr>
                <w:sz w:val="1"/>
                <w:szCs w:val="1"/>
                <w:color w:val="auto"/>
              </w:rPr>
            </w:pPr>
          </w:p>
        </w:tc>
      </w:tr>
      <w:tr>
        <w:trPr>
          <w:trHeight w:val="204"/>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25, 2006</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Chelsea Commons (4)</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Chelsea, MA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w:t>
            </w: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Home Depot, Save-A-Lot</w:t>
            </w:r>
          </w:p>
        </w:tc>
        <w:tc>
          <w:tcPr>
            <w:tcW w:w="0" w:type="dxa"/>
            <w:vAlign w:val="bottom"/>
          </w:tcPr>
          <w:p>
            <w:pPr>
              <w:spacing w:after="0"/>
              <w:rPr>
                <w:sz w:val="1"/>
                <w:szCs w:val="1"/>
                <w:color w:val="auto"/>
              </w:rPr>
            </w:pPr>
          </w:p>
        </w:tc>
      </w:tr>
      <w:tr>
        <w:trPr>
          <w:trHeight w:val="204"/>
        </w:trPr>
        <w:tc>
          <w:tcPr>
            <w:tcW w:w="2740" w:type="dxa"/>
            <w:vAlign w:val="bottom"/>
            <w:gridSpan w:val="2"/>
          </w:tcPr>
          <w:p>
            <w:pPr>
              <w:spacing w:after="0"/>
              <w:rPr>
                <w:sz w:val="20"/>
                <w:szCs w:val="20"/>
                <w:color w:val="auto"/>
              </w:rPr>
            </w:pPr>
            <w:r>
              <w:rPr>
                <w:rFonts w:ascii="Arial" w:cs="Arial" w:eastAsia="Arial" w:hAnsi="Arial"/>
                <w:sz w:val="17"/>
                <w:szCs w:val="17"/>
                <w:color w:val="auto"/>
              </w:rPr>
              <w:t>September 13, 2006</w:t>
            </w:r>
          </w:p>
        </w:tc>
        <w:tc>
          <w:tcPr>
            <w:tcW w:w="2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Rockville Town Square (5)</w:t>
            </w:r>
          </w:p>
        </w:tc>
        <w:tc>
          <w:tcPr>
            <w:tcW w:w="22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Rockville, MD</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53,000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3.4</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1,293,000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246.6</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Arial" w:cs="Arial" w:eastAsia="Arial" w:hAnsi="Arial"/>
                <w:sz w:val="17"/>
                <w:szCs w:val="17"/>
                <w:color w:val="auto"/>
              </w:rPr>
              <w:t>Federal Realty Investment Trust Dispositions</w:t>
            </w: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74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24"/>
                <w:szCs w:val="24"/>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GLA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Sales price</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9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0"/>
              <w:spacing w:after="0" w:line="141" w:lineRule="exact"/>
              <w:rPr>
                <w:sz w:val="20"/>
                <w:szCs w:val="20"/>
                <w:color w:val="auto"/>
              </w:rPr>
            </w:pPr>
            <w:r>
              <w:rPr>
                <w:rFonts w:ascii="Arial" w:cs="Arial" w:eastAsia="Arial" w:hAnsi="Arial"/>
                <w:sz w:val="13"/>
                <w:szCs w:val="13"/>
                <w:b w:val="1"/>
                <w:bCs w:val="1"/>
                <w:color w:val="auto"/>
                <w:w w:val="90"/>
              </w:rPr>
              <w:t>(in millions)</w:t>
            </w: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 September 2006</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Santana Row condominiums</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San Jose, CA</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89 units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64.1</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spacing w:after="0"/>
              <w:rPr>
                <w:sz w:val="20"/>
                <w:szCs w:val="20"/>
                <w:color w:val="auto"/>
              </w:rPr>
            </w:pPr>
            <w:r>
              <w:rPr>
                <w:rFonts w:ascii="Arial" w:cs="Arial" w:eastAsia="Arial" w:hAnsi="Arial"/>
                <w:sz w:val="17"/>
                <w:szCs w:val="17"/>
                <w:color w:val="auto"/>
              </w:rPr>
              <w:t>June 5, 2006</w:t>
            </w:r>
          </w:p>
        </w:tc>
        <w:tc>
          <w:tcPr>
            <w:tcW w:w="2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Greenlawn Plaza Shopping</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Center (2)</w:t>
            </w: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Huntington, NY</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102,000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20.4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84.5</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4900 Hampden Lane is a fully-leased retail parcel adjacent to Bethesda Row and is included in Bethesda Row on the Real Estate Status Report.</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Greenlawn Plaza was sold by the Trust to a subsidiary of our partnership with Clarion Lion Properties Fund.</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Purchase price includes the assumption of debt with a fair value of approximately $11.1 million.</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Purchase price includes the assumption of debt with a fair value of approximately $8.0 million.</w:t>
      </w:r>
    </w:p>
    <w:p>
      <w:pPr>
        <w:spacing w:after="0" w:line="8" w:lineRule="exact"/>
        <w:rPr>
          <w:rFonts w:ascii="Arial" w:cs="Arial" w:eastAsia="Arial" w:hAnsi="Arial"/>
          <w:sz w:val="17"/>
          <w:szCs w:val="17"/>
          <w:color w:val="auto"/>
        </w:rPr>
      </w:pPr>
    </w:p>
    <w:p>
      <w:pPr>
        <w:ind w:left="440" w:right="140" w:hanging="438"/>
        <w:spacing w:after="0" w:line="306"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is the first acquisition of retail condominium units that make up the Rockville Town Square project. We intend to acquire the additional retail condominium units at Rockville Town Square consisting of an incremental approximately 135,000 square feet over the next several months as construction is completed on those units. In October 2006, we acquired two additional condominium units totaling approximately 104,000 square feet for $2.0 million.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67" w:right="239" w:bottom="1440" w:gutter="0" w:footer="0" w:header="0"/>
        </w:sectPr>
      </w:pPr>
    </w:p>
    <w:bookmarkStart w:id="22" w:name="page23"/>
    <w:bookmarkEnd w:id="2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195" cy="266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Mortgage 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84"/>
              </w:rPr>
              <w:t>Grocery</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1" w:lineRule="exact"/>
              <w:rPr>
                <w:sz w:val="20"/>
                <w:szCs w:val="20"/>
                <w:color w:val="auto"/>
              </w:rPr>
            </w:pPr>
            <w:r>
              <w:rPr>
                <w:rFonts w:ascii="Arial" w:cs="Arial" w:eastAsia="Arial" w:hAnsi="Arial"/>
                <w:sz w:val="13"/>
                <w:szCs w:val="13"/>
                <w:b w:val="1"/>
                <w:bCs w:val="1"/>
                <w:color w:val="auto"/>
              </w:rPr>
              <w:t>Year</w:t>
            </w:r>
          </w:p>
        </w:tc>
        <w:tc>
          <w:tcPr>
            <w:tcW w:w="82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12"/>
                <w:szCs w:val="12"/>
                <w:color w:val="auto"/>
              </w:rPr>
            </w:pPr>
          </w:p>
        </w:tc>
        <w:tc>
          <w:tcPr>
            <w:tcW w:w="82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8"/>
              </w:rPr>
              <w:t>Capital Lease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ind w:left="40"/>
              <w:spacing w:after="0" w:line="141" w:lineRule="exact"/>
              <w:rPr>
                <w:sz w:val="20"/>
                <w:szCs w:val="20"/>
                <w:color w:val="auto"/>
              </w:rPr>
            </w:pPr>
            <w:r>
              <w:rPr>
                <w:rFonts w:ascii="Arial" w:cs="Arial" w:eastAsia="Arial" w:hAnsi="Arial"/>
                <w:sz w:val="13"/>
                <w:szCs w:val="13"/>
                <w:b w:val="1"/>
                <w:bCs w:val="1"/>
                <w:color w:val="auto"/>
                <w:w w:val="87"/>
              </w:rPr>
              <w:t>Anchor</w:t>
            </w:r>
          </w:p>
        </w:tc>
        <w:tc>
          <w:tcPr>
            <w:tcW w:w="100" w:type="dxa"/>
            <w:vAlign w:val="bottom"/>
          </w:tcPr>
          <w:p>
            <w:pPr>
              <w:spacing w:after="0"/>
              <w:rPr>
                <w:sz w:val="12"/>
                <w:szCs w:val="12"/>
                <w:color w:val="auto"/>
              </w:rPr>
            </w:pPr>
          </w:p>
        </w:tc>
        <w:tc>
          <w:tcPr>
            <w:tcW w:w="258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3"/>
              </w:rPr>
              <w:t>Grocery Anchor (2)  Other Principal Tenants</w:t>
            </w:r>
          </w:p>
        </w:tc>
        <w:tc>
          <w:tcPr>
            <w:tcW w:w="0" w:type="dxa"/>
            <w:vAlign w:val="bottom"/>
          </w:tcPr>
          <w:p>
            <w:pPr>
              <w:spacing w:after="0"/>
              <w:rPr>
                <w:sz w:val="1"/>
                <w:szCs w:val="1"/>
                <w:color w:val="auto"/>
              </w:rPr>
            </w:pPr>
          </w:p>
        </w:tc>
      </w:tr>
      <w:tr>
        <w:trPr>
          <w:trHeight w:val="146"/>
        </w:trPr>
        <w:tc>
          <w:tcPr>
            <w:tcW w:w="2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b w:val="1"/>
                <w:bCs w:val="1"/>
                <w:color w:val="auto"/>
              </w:rPr>
              <w:t>Acquired</w:t>
            </w:r>
          </w:p>
        </w:tc>
        <w:tc>
          <w:tcPr>
            <w:tcW w:w="82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7"/>
              </w:rPr>
              <w:t>Investment</w:t>
            </w:r>
          </w:p>
        </w:tc>
        <w:tc>
          <w:tcPr>
            <w:tcW w:w="40" w:type="dxa"/>
            <w:vAlign w:val="bottom"/>
          </w:tcPr>
          <w:p>
            <w:pPr>
              <w:spacing w:after="0"/>
              <w:rPr>
                <w:sz w:val="12"/>
                <w:szCs w:val="12"/>
                <w:color w:val="auto"/>
              </w:rPr>
            </w:pPr>
          </w:p>
        </w:tc>
        <w:tc>
          <w:tcPr>
            <w:tcW w:w="82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90"/>
              </w:rPr>
              <w:t>Obligation</w:t>
            </w:r>
          </w:p>
        </w:tc>
        <w:tc>
          <w:tcPr>
            <w:tcW w:w="40" w:type="dxa"/>
            <w:vAlign w:val="bottom"/>
          </w:tcPr>
          <w:p>
            <w:pPr>
              <w:spacing w:after="0"/>
              <w:rPr>
                <w:sz w:val="12"/>
                <w:szCs w:val="12"/>
                <w:color w:val="auto"/>
              </w:rPr>
            </w:pPr>
          </w:p>
        </w:tc>
        <w:tc>
          <w:tcPr>
            <w:tcW w:w="760" w:type="dxa"/>
            <w:vAlign w:val="bottom"/>
            <w:gridSpan w:val="2"/>
          </w:tcPr>
          <w:p>
            <w:pPr>
              <w:ind w:left="120"/>
              <w:spacing w:after="0" w:line="141" w:lineRule="exact"/>
              <w:rPr>
                <w:sz w:val="20"/>
                <w:szCs w:val="20"/>
                <w:color w:val="auto"/>
              </w:rPr>
            </w:pPr>
            <w:r>
              <w:rPr>
                <w:rFonts w:ascii="Arial" w:cs="Arial" w:eastAsia="Arial" w:hAnsi="Arial"/>
                <w:sz w:val="13"/>
                <w:szCs w:val="13"/>
                <w:b w:val="1"/>
                <w:bCs w:val="1"/>
                <w:color w:val="auto"/>
              </w:rPr>
              <w:t>GLA (1)</w:t>
            </w:r>
          </w:p>
        </w:tc>
        <w:tc>
          <w:tcPr>
            <w:tcW w:w="760" w:type="dxa"/>
            <w:vAlign w:val="bottom"/>
            <w:gridSpan w:val="2"/>
          </w:tcPr>
          <w:p>
            <w:pPr>
              <w:jc w:val="right"/>
              <w:ind w:right="220"/>
              <w:spacing w:after="0" w:line="141" w:lineRule="exact"/>
              <w:rPr>
                <w:sz w:val="20"/>
                <w:szCs w:val="20"/>
                <w:color w:val="auto"/>
              </w:rPr>
            </w:pPr>
            <w:r>
              <w:rPr>
                <w:rFonts w:ascii="Arial" w:cs="Arial" w:eastAsia="Arial" w:hAnsi="Arial"/>
                <w:sz w:val="13"/>
                <w:szCs w:val="13"/>
                <w:b w:val="1"/>
                <w:bCs w:val="1"/>
                <w:color w:val="auto"/>
                <w:w w:val="86"/>
              </w:rPr>
              <w:t>% Leased</w:t>
            </w:r>
          </w:p>
        </w:tc>
        <w:tc>
          <w:tcPr>
            <w:tcW w:w="460" w:type="dxa"/>
            <w:vAlign w:val="bottom"/>
          </w:tcPr>
          <w:p>
            <w:pPr>
              <w:ind w:left="20"/>
              <w:spacing w:after="0" w:line="141" w:lineRule="exact"/>
              <w:rPr>
                <w:sz w:val="20"/>
                <w:szCs w:val="20"/>
                <w:color w:val="auto"/>
              </w:rPr>
            </w:pPr>
            <w:r>
              <w:rPr>
                <w:rFonts w:ascii="Arial" w:cs="Arial" w:eastAsia="Arial" w:hAnsi="Arial"/>
                <w:sz w:val="13"/>
                <w:szCs w:val="13"/>
                <w:b w:val="1"/>
                <w:bCs w:val="1"/>
                <w:color w:val="auto"/>
                <w:w w:val="89"/>
              </w:rPr>
              <w:t>GLA (2)</w:t>
            </w:r>
          </w:p>
        </w:tc>
        <w:tc>
          <w:tcPr>
            <w:tcW w:w="100" w:type="dxa"/>
            <w:vAlign w:val="bottom"/>
          </w:tcPr>
          <w:p>
            <w:pPr>
              <w:spacing w:after="0"/>
              <w:rPr>
                <w:sz w:val="12"/>
                <w:szCs w:val="12"/>
                <w:color w:val="auto"/>
              </w:rPr>
            </w:pPr>
          </w:p>
        </w:tc>
        <w:tc>
          <w:tcPr>
            <w:tcW w:w="2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4"/>
              </w:rPr>
              <w:t>(in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7"/>
              </w:rPr>
              <w:t>(in thousands)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7"/>
                <w:szCs w:val="17"/>
                <w:b w:val="1"/>
                <w:bCs w:val="1"/>
                <w:color w:val="auto"/>
                <w:w w:val="85"/>
              </w:rPr>
              <w:t>East Region</w:t>
            </w:r>
          </w:p>
        </w:tc>
        <w:tc>
          <w:tcPr>
            <w:tcW w:w="146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89"/>
              </w:rPr>
              <w:t>Washington Metropolitan Area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Bethesda Row (3)</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8"/>
              </w:rPr>
              <w:t>1993-2006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  105,535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12,576</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477,000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40,000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Giant Food</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Barnes &amp; Noble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4"/>
              </w:rPr>
              <w:t>Landmark Theater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7"/>
              </w:rPr>
              <w:t>Washington Sports</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Club</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Congressional Plaza (4)</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1965</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67,893</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338,000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tcPr>
          <w:p>
            <w:pPr>
              <w:spacing w:after="0"/>
              <w:rPr>
                <w:sz w:val="20"/>
                <w:szCs w:val="20"/>
                <w:color w:val="auto"/>
              </w:rPr>
            </w:pPr>
            <w:r>
              <w:rPr>
                <w:rFonts w:ascii="Arial" w:cs="Arial" w:eastAsia="Arial" w:hAnsi="Arial"/>
                <w:sz w:val="17"/>
                <w:szCs w:val="17"/>
                <w:color w:val="auto"/>
                <w:w w:val="84"/>
              </w:rPr>
              <w:t>28,000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Whole Foods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Buy Buy Baby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Container Store</w:t>
            </w:r>
          </w:p>
        </w:tc>
        <w:tc>
          <w:tcPr>
            <w:tcW w:w="0" w:type="dxa"/>
            <w:vAlign w:val="bottom"/>
          </w:tcPr>
          <w:p>
            <w:pPr>
              <w:spacing w:after="0"/>
              <w:rPr>
                <w:sz w:val="1"/>
                <w:szCs w:val="1"/>
                <w:color w:val="auto"/>
              </w:rPr>
            </w:pPr>
          </w:p>
        </w:tc>
      </w:tr>
      <w:tr>
        <w:trPr>
          <w:trHeight w:val="205"/>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Courthouse Center (5)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4,598</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20" w:type="dxa"/>
            <w:vAlign w:val="bottom"/>
            <w:gridSpan w:val="4"/>
          </w:tcPr>
          <w:p>
            <w:pPr>
              <w:spacing w:after="0"/>
              <w:rPr>
                <w:sz w:val="20"/>
                <w:szCs w:val="20"/>
                <w:color w:val="auto"/>
              </w:rPr>
            </w:pPr>
            <w:r>
              <w:rPr>
                <w:rFonts w:ascii="Arial" w:cs="Arial" w:eastAsia="Arial" w:hAnsi="Arial"/>
                <w:sz w:val="17"/>
                <w:szCs w:val="17"/>
                <w:color w:val="auto"/>
              </w:rPr>
              <w:t>Falls Plaza</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1967</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8,166</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73,000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0"/>
                <w:szCs w:val="20"/>
                <w:color w:val="auto"/>
              </w:rPr>
            </w:pPr>
            <w:r>
              <w:rPr>
                <w:rFonts w:ascii="Arial" w:cs="Arial" w:eastAsia="Arial" w:hAnsi="Arial"/>
                <w:sz w:val="17"/>
                <w:szCs w:val="17"/>
                <w:color w:val="auto"/>
                <w:w w:val="84"/>
              </w:rPr>
              <w:t>51,000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Giant Food</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Falls Plaza-East</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3,333</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CVS / Staples</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Federal Plaza</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1989</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62,296</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34,311</w:t>
            </w: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247,000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TJ Maxx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CompUSA / Ross</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Friendship Center</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2001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33,309</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119,000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8"/>
              </w:rPr>
              <w:t>Borders / Linens ‘n</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2"/>
              </w:rPr>
              <w:t>Things / Maggiano’s</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Gaithersburg Square</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1993</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23,799</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198,000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1"/>
              </w:rPr>
              <w:t>Bed, Bath &amp; Beyond</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 Borders / Ross</w:t>
            </w:r>
          </w:p>
        </w:tc>
        <w:tc>
          <w:tcPr>
            <w:tcW w:w="0" w:type="dxa"/>
            <w:vAlign w:val="bottom"/>
          </w:tcPr>
          <w:p>
            <w:pPr>
              <w:spacing w:after="0"/>
              <w:rPr>
                <w:sz w:val="1"/>
                <w:szCs w:val="1"/>
                <w:color w:val="auto"/>
              </w:rPr>
            </w:pPr>
          </w:p>
        </w:tc>
      </w:tr>
      <w:tr>
        <w:trPr>
          <w:trHeight w:val="205"/>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Idylwood Plaza</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15,041</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73,000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30,000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Whole Foods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Laurel</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1986</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46,107</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386,000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460" w:type="dxa"/>
            <w:vAlign w:val="bottom"/>
          </w:tcPr>
          <w:p>
            <w:pPr>
              <w:spacing w:after="0"/>
              <w:rPr>
                <w:sz w:val="20"/>
                <w:szCs w:val="20"/>
                <w:color w:val="auto"/>
              </w:rPr>
            </w:pPr>
            <w:r>
              <w:rPr>
                <w:rFonts w:ascii="Arial" w:cs="Arial" w:eastAsia="Arial" w:hAnsi="Arial"/>
                <w:sz w:val="17"/>
                <w:szCs w:val="17"/>
                <w:color w:val="auto"/>
                <w:w w:val="84"/>
              </w:rPr>
              <w:t>61,000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Giant Food</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9"/>
              </w:rPr>
              <w:t>Marshalls / Toys R</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Leesburg Plaza (5)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9,791</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236,000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55,000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Giant Food</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2"/>
              </w:rPr>
              <w:t>Champion Billiards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88"/>
              </w:rPr>
              <w:t>Petsmart / Pier One /</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Office Depot</w:t>
            </w:r>
          </w:p>
        </w:tc>
        <w:tc>
          <w:tcPr>
            <w:tcW w:w="0" w:type="dxa"/>
            <w:vAlign w:val="bottom"/>
          </w:tcPr>
          <w:p>
            <w:pPr>
              <w:spacing w:after="0"/>
              <w:rPr>
                <w:sz w:val="1"/>
                <w:szCs w:val="1"/>
                <w:color w:val="auto"/>
              </w:rPr>
            </w:pPr>
          </w:p>
        </w:tc>
      </w:tr>
      <w:tr>
        <w:trPr>
          <w:trHeight w:val="204"/>
        </w:trPr>
        <w:tc>
          <w:tcPr>
            <w:tcW w:w="2320" w:type="dxa"/>
            <w:vAlign w:val="bottom"/>
            <w:gridSpan w:val="4"/>
          </w:tcPr>
          <w:p>
            <w:pPr>
              <w:spacing w:after="0"/>
              <w:rPr>
                <w:sz w:val="20"/>
                <w:szCs w:val="20"/>
                <w:color w:val="auto"/>
              </w:rPr>
            </w:pPr>
            <w:r>
              <w:rPr>
                <w:rFonts w:ascii="Arial" w:cs="Arial" w:eastAsia="Arial" w:hAnsi="Arial"/>
                <w:sz w:val="17"/>
                <w:szCs w:val="17"/>
                <w:color w:val="auto"/>
              </w:rPr>
              <w:t>Loehmann’s Plaza</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1983</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27,007</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250,000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89"/>
              </w:rPr>
              <w:t>Bally’s / Loehmann’s</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Mid-Pike Plaza (6)</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1982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10,041</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309,000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Linens ‘n Things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2"/>
              </w:rPr>
              <w:t>Toys R Us / Bally’s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3"/>
              </w:rPr>
              <w:t>AC Moore / Filene’s</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Basement</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Mount Vernon (5)</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2003</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42,141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12,341</w:t>
            </w: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284,000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94%</w:t>
            </w:r>
          </w:p>
        </w:tc>
        <w:tc>
          <w:tcPr>
            <w:tcW w:w="460" w:type="dxa"/>
            <w:vAlign w:val="bottom"/>
          </w:tcPr>
          <w:p>
            <w:pPr>
              <w:spacing w:after="0"/>
              <w:rPr>
                <w:sz w:val="20"/>
                <w:szCs w:val="20"/>
                <w:color w:val="auto"/>
              </w:rPr>
            </w:pPr>
            <w:r>
              <w:rPr>
                <w:rFonts w:ascii="Arial" w:cs="Arial" w:eastAsia="Arial" w:hAnsi="Arial"/>
                <w:sz w:val="17"/>
                <w:szCs w:val="17"/>
                <w:color w:val="auto"/>
                <w:w w:val="84"/>
              </w:rPr>
              <w:t>62,000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Shoppers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1"/>
              </w:rPr>
              <w:t>Bed, Bath &amp; Beyond</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Food</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 Michaels</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Warehouse</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Old Keene Mill</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1976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5,387</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92,000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24,000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Whole Foods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Pan Am</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1993</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27,349</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227,000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0"/>
                <w:szCs w:val="20"/>
                <w:color w:val="auto"/>
              </w:rPr>
            </w:pPr>
            <w:r>
              <w:rPr>
                <w:rFonts w:ascii="Arial" w:cs="Arial" w:eastAsia="Arial" w:hAnsi="Arial"/>
                <w:sz w:val="17"/>
                <w:szCs w:val="17"/>
                <w:color w:val="auto"/>
                <w:w w:val="84"/>
              </w:rPr>
              <w:t>63,000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Safeway</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Micro Center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Pentagon Row</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87,934</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296,000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45,000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Harris Teeter</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Bally’s / Bed, Bath</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&amp; Beyond / DSW /</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Cost Plus</w:t>
            </w:r>
          </w:p>
        </w:tc>
        <w:tc>
          <w:tcPr>
            <w:tcW w:w="0" w:type="dxa"/>
            <w:vAlign w:val="bottom"/>
          </w:tcPr>
          <w:p>
            <w:pPr>
              <w:spacing w:after="0"/>
              <w:rPr>
                <w:sz w:val="1"/>
                <w:szCs w:val="1"/>
                <w:color w:val="auto"/>
              </w:rPr>
            </w:pPr>
          </w:p>
        </w:tc>
      </w:tr>
      <w:tr>
        <w:trPr>
          <w:trHeight w:val="204"/>
        </w:trPr>
        <w:tc>
          <w:tcPr>
            <w:tcW w:w="2320" w:type="dxa"/>
            <w:vAlign w:val="bottom"/>
            <w:gridSpan w:val="4"/>
          </w:tcPr>
          <w:p>
            <w:pPr>
              <w:spacing w:after="0"/>
              <w:rPr>
                <w:sz w:val="20"/>
                <w:szCs w:val="20"/>
                <w:color w:val="auto"/>
              </w:rPr>
            </w:pPr>
            <w:r>
              <w:rPr>
                <w:rFonts w:ascii="Arial" w:cs="Arial" w:eastAsia="Arial" w:hAnsi="Arial"/>
                <w:sz w:val="17"/>
                <w:szCs w:val="17"/>
                <w:color w:val="auto"/>
              </w:rPr>
              <w:t>Pike 7</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1997</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33,799</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164,000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Staples / TJ Maxx</w:t>
            </w:r>
          </w:p>
        </w:tc>
        <w:tc>
          <w:tcPr>
            <w:tcW w:w="0" w:type="dxa"/>
            <w:vAlign w:val="bottom"/>
          </w:tcPr>
          <w:p>
            <w:pPr>
              <w:spacing w:after="0"/>
              <w:rPr>
                <w:sz w:val="1"/>
                <w:szCs w:val="1"/>
                <w:color w:val="auto"/>
              </w:rPr>
            </w:pPr>
          </w:p>
        </w:tc>
      </w:tr>
      <w:tr>
        <w:trPr>
          <w:trHeight w:val="204"/>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Quince Orchard</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19,985</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253,000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24,000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Magruders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1"/>
              </w:rPr>
              <w:t>Circuit City / Staples</w:t>
            </w:r>
          </w:p>
        </w:tc>
        <w:tc>
          <w:tcPr>
            <w:tcW w:w="0" w:type="dxa"/>
            <w:vAlign w:val="bottom"/>
          </w:tcPr>
          <w:p>
            <w:pPr>
              <w:spacing w:after="0"/>
              <w:rPr>
                <w:sz w:val="1"/>
                <w:szCs w:val="1"/>
                <w:color w:val="auto"/>
              </w:rPr>
            </w:pPr>
          </w:p>
        </w:tc>
      </w:tr>
      <w:tr>
        <w:trPr>
          <w:trHeight w:val="204"/>
        </w:trPr>
        <w:tc>
          <w:tcPr>
            <w:tcW w:w="2320" w:type="dxa"/>
            <w:vAlign w:val="bottom"/>
            <w:gridSpan w:val="4"/>
          </w:tcPr>
          <w:p>
            <w:pPr>
              <w:spacing w:after="0"/>
              <w:rPr>
                <w:sz w:val="20"/>
                <w:szCs w:val="20"/>
                <w:color w:val="auto"/>
              </w:rPr>
            </w:pPr>
            <w:r>
              <w:rPr>
                <w:rFonts w:ascii="Arial" w:cs="Arial" w:eastAsia="Arial" w:hAnsi="Arial"/>
                <w:sz w:val="17"/>
                <w:szCs w:val="17"/>
                <w:color w:val="auto"/>
              </w:rPr>
              <w:t>Rockville Town Square (7)</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9,167</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ind w:left="380"/>
              <w:spacing w:after="0"/>
              <w:rPr>
                <w:sz w:val="20"/>
                <w:szCs w:val="20"/>
                <w:color w:val="auto"/>
              </w:rPr>
            </w:pPr>
            <w:r>
              <w:rPr>
                <w:rFonts w:ascii="Arial" w:cs="Arial" w:eastAsia="Arial" w:hAnsi="Arial"/>
                <w:sz w:val="17"/>
                <w:szCs w:val="17"/>
                <w:color w:val="auto"/>
              </w:rPr>
              <w:t>N/A</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Rollingwood Apartments</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1971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6,845</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N/A</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20" w:type="dxa"/>
            <w:vAlign w:val="bottom"/>
            <w:gridSpan w:val="4"/>
          </w:tcPr>
          <w:p>
            <w:pPr>
              <w:spacing w:after="0"/>
              <w:rPr>
                <w:sz w:val="20"/>
                <w:szCs w:val="20"/>
                <w:color w:val="auto"/>
              </w:rPr>
            </w:pPr>
            <w:r>
              <w:rPr>
                <w:rFonts w:ascii="Arial" w:cs="Arial" w:eastAsia="Arial" w:hAnsi="Arial"/>
                <w:sz w:val="17"/>
                <w:szCs w:val="17"/>
                <w:color w:val="auto"/>
              </w:rPr>
              <w:t>Sam’s Park &amp; Shop</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1995</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12,170</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49,000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Petco</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South Valley (5)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2003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22,048</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Home Depot / TJ</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Maxx</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Tower</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18,993</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112,000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4"/>
              </w:rPr>
              <w:t>Virginia Fine Wine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Talbots</w:t>
            </w:r>
          </w:p>
        </w:tc>
        <w:tc>
          <w:tcPr>
            <w:tcW w:w="0" w:type="dxa"/>
            <w:vAlign w:val="bottom"/>
          </w:tcPr>
          <w:p>
            <w:pPr>
              <w:spacing w:after="0"/>
              <w:rPr>
                <w:sz w:val="1"/>
                <w:szCs w:val="1"/>
                <w:color w:val="auto"/>
              </w:rPr>
            </w:pPr>
          </w:p>
        </w:tc>
      </w:tr>
      <w:tr>
        <w:trPr>
          <w:trHeight w:val="205"/>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Tyson’s Station</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1978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Trader Joes</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Village at Shirlington</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1995</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36,860</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217,000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Cineplex Odeon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6"/>
              </w:rPr>
              <w:t>Carlyle Grand Café</w:t>
            </w:r>
          </w:p>
        </w:tc>
        <w:tc>
          <w:tcPr>
            <w:tcW w:w="0" w:type="dxa"/>
            <w:vAlign w:val="bottom"/>
          </w:tcPr>
          <w:p>
            <w:pPr>
              <w:spacing w:after="0"/>
              <w:rPr>
                <w:sz w:val="1"/>
                <w:szCs w:val="1"/>
                <w:color w:val="auto"/>
              </w:rPr>
            </w:pPr>
          </w:p>
        </w:tc>
      </w:tr>
      <w:tr>
        <w:trPr>
          <w:trHeight w:val="205"/>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Wildwood</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1969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17,547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26,643</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85,000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20,000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Balducci’s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04"/>
        </w:trPr>
        <w:tc>
          <w:tcPr>
            <w:tcW w:w="2320" w:type="dxa"/>
            <w:vAlign w:val="bottom"/>
            <w:gridSpan w:val="4"/>
          </w:tcPr>
          <w:p>
            <w:pPr>
              <w:spacing w:after="0"/>
              <w:rPr>
                <w:sz w:val="20"/>
                <w:szCs w:val="20"/>
                <w:color w:val="auto"/>
              </w:rPr>
            </w:pPr>
            <w:r>
              <w:rPr>
                <w:rFonts w:ascii="Arial" w:cs="Arial" w:eastAsia="Arial" w:hAnsi="Arial"/>
                <w:sz w:val="17"/>
                <w:szCs w:val="17"/>
                <w:color w:val="auto"/>
              </w:rPr>
              <w:t>7770 Richmond Hwy</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w w:val="91"/>
              </w:rPr>
              <w:t>Washington, DC-MD-VA</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2006</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10,020</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61,000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Gold’s Gym</w:t>
            </w: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Total Washington</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799,173</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w w:val="92"/>
              </w:rPr>
              <w:t>4,926,000</w:t>
            </w:r>
          </w:p>
        </w:tc>
        <w:tc>
          <w:tcPr>
            <w:tcW w:w="76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rPr>
              <w:t>99%</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Metropolitan Area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320" w:type="dxa"/>
            <w:vAlign w:val="bottom"/>
            <w:gridSpan w:val="4"/>
          </w:tcPr>
          <w:p>
            <w:pPr>
              <w:spacing w:after="0"/>
              <w:rPr>
                <w:sz w:val="20"/>
                <w:szCs w:val="20"/>
                <w:color w:val="auto"/>
              </w:rPr>
            </w:pPr>
            <w:r>
              <w:rPr>
                <w:rFonts w:ascii="Arial" w:cs="Arial" w:eastAsia="Arial" w:hAnsi="Arial"/>
                <w:sz w:val="17"/>
                <w:szCs w:val="17"/>
                <w:b w:val="1"/>
                <w:bCs w:val="1"/>
                <w:color w:val="auto"/>
              </w:rPr>
              <w:t>New York / New Jersey</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Allwood (6)</w:t>
            </w:r>
          </w:p>
        </w:tc>
        <w:tc>
          <w:tcPr>
            <w:tcW w:w="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Bergen-Passaic, NJ</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1988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3,051</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50,000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Stop &amp; Shop</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Blue Star (6)</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Middlesex-Somerset-</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1988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36,905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23,288</w:t>
            </w: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410,000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20"/>
                <w:szCs w:val="20"/>
                <w:color w:val="auto"/>
              </w:rPr>
            </w:pPr>
            <w:r>
              <w:rPr>
                <w:rFonts w:ascii="Arial" w:cs="Arial" w:eastAsia="Arial" w:hAnsi="Arial"/>
                <w:sz w:val="17"/>
                <w:szCs w:val="17"/>
                <w:color w:val="auto"/>
                <w:w w:val="84"/>
              </w:rPr>
              <w:t>43,000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Shop Rite</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Kohl’s / Michaels /</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Hunterdon, NJ</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Toys R Us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Brick Plaza</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Monmouth-Ocean, NJ</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55,865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31,751</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409,000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66,000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A&amp;P</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Loews Theatre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Barnes &amp; Noble /</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Sports Authority</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Brunswick (6)</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Middlesex-Somerset-</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1988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22,379</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9,695</w:t>
            </w: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303,000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tcPr>
          <w:p>
            <w:pPr>
              <w:spacing w:after="0"/>
              <w:rPr>
                <w:sz w:val="20"/>
                <w:szCs w:val="20"/>
                <w:color w:val="auto"/>
              </w:rPr>
            </w:pPr>
            <w:r>
              <w:rPr>
                <w:rFonts w:ascii="Arial" w:cs="Arial" w:eastAsia="Arial" w:hAnsi="Arial"/>
                <w:sz w:val="17"/>
                <w:szCs w:val="17"/>
                <w:color w:val="auto"/>
                <w:w w:val="84"/>
              </w:rPr>
              <w:t>55,000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A&amp;P</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A.J. Wright / L.A.</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Hunterdon, NJ</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Fitness</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Clifton (6)</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Bergen-Passaic, NJ</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1988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80,000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Drug Fair / Dollar</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Express</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Forest Hills</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New York, NY</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1997</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24,055</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85,000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Midway Theatre /</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2"/>
              </w:rPr>
              <w:t>Duane Reade / Gap</w:t>
            </w:r>
          </w:p>
        </w:tc>
        <w:tc>
          <w:tcPr>
            <w:tcW w:w="0" w:type="dxa"/>
            <w:vAlign w:val="bottom"/>
          </w:tcPr>
          <w:p>
            <w:pPr>
              <w:spacing w:after="0"/>
              <w:rPr>
                <w:sz w:val="1"/>
                <w:szCs w:val="1"/>
                <w:color w:val="auto"/>
              </w:rPr>
            </w:pPr>
          </w:p>
        </w:tc>
      </w:tr>
      <w:tr>
        <w:trPr>
          <w:trHeight w:val="196"/>
        </w:trPr>
        <w:tc>
          <w:tcPr>
            <w:tcW w:w="2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Fresh Meadows</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New York, NY</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66,576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403,000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15,000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Associated</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3"/>
              </w:rPr>
              <w:t>Filene’s Basement /</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7"/>
                <w:szCs w:val="17"/>
                <w:color w:val="auto"/>
              </w:rPr>
              <w:t>Food Stores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Kohl’s / Cineplex</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Odeon</w:t>
            </w:r>
          </w:p>
        </w:tc>
        <w:tc>
          <w:tcPr>
            <w:tcW w:w="0" w:type="dxa"/>
            <w:vAlign w:val="bottom"/>
          </w:tcPr>
          <w:p>
            <w:pPr>
              <w:spacing w:after="0"/>
              <w:rPr>
                <w:sz w:val="1"/>
                <w:szCs w:val="1"/>
                <w:color w:val="auto"/>
              </w:rPr>
            </w:pPr>
          </w:p>
        </w:tc>
      </w:tr>
      <w:tr>
        <w:trPr>
          <w:trHeight w:val="196"/>
        </w:trPr>
        <w:tc>
          <w:tcPr>
            <w:tcW w:w="2320" w:type="dxa"/>
            <w:vAlign w:val="bottom"/>
            <w:gridSpan w:val="4"/>
          </w:tcPr>
          <w:p>
            <w:pPr>
              <w:spacing w:after="0"/>
              <w:rPr>
                <w:sz w:val="20"/>
                <w:szCs w:val="20"/>
                <w:color w:val="auto"/>
              </w:rPr>
            </w:pPr>
            <w:r>
              <w:rPr>
                <w:rFonts w:ascii="Arial" w:cs="Arial" w:eastAsia="Arial" w:hAnsi="Arial"/>
                <w:sz w:val="17"/>
                <w:szCs w:val="17"/>
                <w:color w:val="auto"/>
              </w:rPr>
              <w:t>Hamilton (6)</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Trenton, NJ</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1988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7,782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4,206</w:t>
            </w:r>
          </w:p>
        </w:tc>
        <w:tc>
          <w:tcPr>
            <w:tcW w:w="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190,000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94%</w:t>
            </w:r>
          </w:p>
        </w:tc>
        <w:tc>
          <w:tcPr>
            <w:tcW w:w="460" w:type="dxa"/>
            <w:vAlign w:val="bottom"/>
          </w:tcPr>
          <w:p>
            <w:pPr>
              <w:spacing w:after="0"/>
              <w:rPr>
                <w:sz w:val="20"/>
                <w:szCs w:val="20"/>
                <w:color w:val="auto"/>
              </w:rPr>
            </w:pPr>
            <w:r>
              <w:rPr>
                <w:rFonts w:ascii="Arial" w:cs="Arial" w:eastAsia="Arial" w:hAnsi="Arial"/>
                <w:sz w:val="17"/>
                <w:szCs w:val="17"/>
                <w:color w:val="auto"/>
                <w:w w:val="84"/>
              </w:rPr>
              <w:t>53,000</w:t>
            </w:r>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7"/>
                <w:szCs w:val="17"/>
                <w:color w:val="auto"/>
              </w:rPr>
              <w:t>Shop Rite</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2"/>
              </w:rPr>
              <w:t>AC Moore / Stevens</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Furniture</w:t>
            </w:r>
          </w:p>
        </w:tc>
        <w:tc>
          <w:tcPr>
            <w:tcW w:w="0" w:type="dxa"/>
            <w:vAlign w:val="bottom"/>
          </w:tcPr>
          <w:p>
            <w:pPr>
              <w:spacing w:after="0"/>
              <w:rPr>
                <w:sz w:val="1"/>
                <w:szCs w:val="1"/>
                <w:color w:val="auto"/>
              </w:rPr>
            </w:pPr>
          </w:p>
        </w:tc>
      </w:tr>
      <w:tr>
        <w:trPr>
          <w:trHeight w:val="108"/>
        </w:trPr>
        <w:tc>
          <w:tcPr>
            <w:tcW w:w="8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67"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Hauppauge</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Nassau-Suffolk, NY</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1998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27,207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16,121</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133,000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61,000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Shop Rite</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AC Moore</w:t>
            </w:r>
          </w:p>
        </w:tc>
        <w:tc>
          <w:tcPr>
            <w:tcW w:w="0" w:type="dxa"/>
            <w:vAlign w:val="bottom"/>
          </w:tcPr>
          <w:p>
            <w:pPr>
              <w:spacing w:after="0"/>
              <w:rPr>
                <w:sz w:val="1"/>
                <w:szCs w:val="1"/>
                <w:color w:val="auto"/>
              </w:rPr>
            </w:pPr>
          </w:p>
        </w:tc>
      </w:tr>
      <w:tr>
        <w:trPr>
          <w:trHeight w:val="64"/>
        </w:trPr>
        <w:tc>
          <w:tcPr>
            <w:tcW w:w="2360" w:type="dxa"/>
            <w:vAlign w:val="bottom"/>
            <w:gridSpan w:val="3"/>
            <w:vMerge w:val="restart"/>
          </w:tcPr>
          <w:p>
            <w:pPr>
              <w:spacing w:after="0"/>
              <w:rPr>
                <w:sz w:val="20"/>
                <w:szCs w:val="20"/>
                <w:color w:val="auto"/>
              </w:rPr>
            </w:pPr>
            <w:r>
              <w:rPr>
                <w:rFonts w:ascii="Arial" w:cs="Arial" w:eastAsia="Arial" w:hAnsi="Arial"/>
                <w:sz w:val="17"/>
                <w:szCs w:val="17"/>
                <w:color w:val="auto"/>
              </w:rPr>
              <w:t>Huntington (6)</w:t>
            </w:r>
          </w:p>
        </w:tc>
        <w:tc>
          <w:tcPr>
            <w:tcW w:w="1780" w:type="dxa"/>
            <w:vAlign w:val="bottom"/>
            <w:vMerge w:val="restart"/>
          </w:tcPr>
          <w:p>
            <w:pPr>
              <w:ind w:left="60"/>
              <w:spacing w:after="0"/>
              <w:rPr>
                <w:sz w:val="20"/>
                <w:szCs w:val="20"/>
                <w:color w:val="auto"/>
              </w:rPr>
            </w:pPr>
            <w:r>
              <w:rPr>
                <w:rFonts w:ascii="Arial" w:cs="Arial" w:eastAsia="Arial" w:hAnsi="Arial"/>
                <w:sz w:val="17"/>
                <w:szCs w:val="17"/>
                <w:color w:val="auto"/>
              </w:rPr>
              <w:t>Nassau-Suffolk, NY</w:t>
            </w:r>
          </w:p>
        </w:tc>
        <w:tc>
          <w:tcPr>
            <w:tcW w:w="900" w:type="dxa"/>
            <w:vAlign w:val="bottom"/>
            <w:vMerge w:val="restart"/>
          </w:tcPr>
          <w:p>
            <w:pPr>
              <w:jc w:val="right"/>
              <w:ind w:right="17"/>
              <w:spacing w:after="0"/>
              <w:rPr>
                <w:sz w:val="20"/>
                <w:szCs w:val="20"/>
                <w:color w:val="auto"/>
              </w:rPr>
            </w:pPr>
            <w:r>
              <w:rPr>
                <w:rFonts w:ascii="Arial" w:cs="Arial" w:eastAsia="Arial" w:hAnsi="Arial"/>
                <w:sz w:val="17"/>
                <w:szCs w:val="17"/>
                <w:color w:val="auto"/>
              </w:rPr>
              <w:t>1988</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21,183</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12,449</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279,000</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vMerge w:val="restart"/>
          </w:tcPr>
          <w:p>
            <w:pPr>
              <w:spacing w:after="0"/>
              <w:rPr>
                <w:sz w:val="20"/>
                <w:szCs w:val="20"/>
                <w:color w:val="auto"/>
              </w:rPr>
            </w:pPr>
            <w:r>
              <w:rPr>
                <w:rFonts w:ascii="Arial" w:cs="Arial" w:eastAsia="Arial" w:hAnsi="Arial"/>
                <w:sz w:val="17"/>
                <w:szCs w:val="17"/>
                <w:color w:val="auto"/>
              </w:rPr>
              <w:t>Buy Buy Baby /</w:t>
            </w:r>
          </w:p>
        </w:tc>
        <w:tc>
          <w:tcPr>
            <w:tcW w:w="0" w:type="dxa"/>
            <w:vAlign w:val="bottom"/>
          </w:tcPr>
          <w:p>
            <w:pPr>
              <w:spacing w:after="0"/>
              <w:rPr>
                <w:sz w:val="1"/>
                <w:szCs w:val="1"/>
                <w:color w:val="auto"/>
              </w:rPr>
            </w:pPr>
          </w:p>
        </w:tc>
      </w:tr>
      <w:tr>
        <w:trPr>
          <w:trHeight w:val="132"/>
        </w:trPr>
        <w:tc>
          <w:tcPr>
            <w:tcW w:w="236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Toys R Us / Bed,</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Bath &amp; Beyond /</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Barnes &amp; Noble</w:t>
            </w: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Mercer Mall (6)</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Trenton, 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2003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99,862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58,149</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501,000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75,000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Shop Rite</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1"/>
              </w:rPr>
              <w:t>Bed, Bath &amp; Beyond</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 DSW / TJ Maxx /</w:t>
            </w: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0"/>
              </w:rPr>
              <w:t>Raymour &amp; Flanigan</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Rutgers (6)</w:t>
            </w:r>
          </w:p>
        </w:tc>
        <w:tc>
          <w:tcPr>
            <w:tcW w:w="1780" w:type="dxa"/>
            <w:vAlign w:val="bottom"/>
          </w:tcPr>
          <w:p>
            <w:pPr>
              <w:ind w:left="60"/>
              <w:spacing w:after="0"/>
              <w:rPr>
                <w:sz w:val="20"/>
                <w:szCs w:val="20"/>
                <w:color w:val="auto"/>
              </w:rPr>
            </w:pPr>
            <w:r>
              <w:rPr>
                <w:rFonts w:ascii="Arial" w:cs="Arial" w:eastAsia="Arial" w:hAnsi="Arial"/>
                <w:sz w:val="17"/>
                <w:szCs w:val="17"/>
                <w:color w:val="auto"/>
              </w:rPr>
              <w:t>Middlesex-Somerset-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1988</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17,083</w:t>
            </w:r>
          </w:p>
        </w:tc>
        <w:tc>
          <w:tcPr>
            <w:tcW w:w="700" w:type="dxa"/>
            <w:vAlign w:val="bottom"/>
          </w:tcPr>
          <w:p>
            <w:pPr>
              <w:jc w:val="right"/>
              <w:spacing w:after="0"/>
              <w:rPr>
                <w:sz w:val="20"/>
                <w:szCs w:val="20"/>
                <w:color w:val="auto"/>
              </w:rPr>
            </w:pPr>
            <w:r>
              <w:rPr>
                <w:rFonts w:ascii="Arial" w:cs="Arial" w:eastAsia="Arial" w:hAnsi="Arial"/>
                <w:sz w:val="17"/>
                <w:szCs w:val="17"/>
                <w:color w:val="auto"/>
              </w:rPr>
              <w:t>11,230</w:t>
            </w: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263,000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74,000</w:t>
            </w:r>
          </w:p>
        </w:tc>
        <w:tc>
          <w:tcPr>
            <w:tcW w:w="1100" w:type="dxa"/>
            <w:vAlign w:val="bottom"/>
          </w:tcPr>
          <w:p>
            <w:pPr>
              <w:ind w:left="40"/>
              <w:spacing w:after="0"/>
              <w:rPr>
                <w:sz w:val="20"/>
                <w:szCs w:val="20"/>
                <w:color w:val="auto"/>
              </w:rPr>
            </w:pPr>
            <w:r>
              <w:rPr>
                <w:rFonts w:ascii="Arial" w:cs="Arial" w:eastAsia="Arial" w:hAnsi="Arial"/>
                <w:sz w:val="17"/>
                <w:szCs w:val="17"/>
                <w:color w:val="auto"/>
              </w:rPr>
              <w:t>Stop &amp; Shop</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Hunterdon, NJ</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Troy</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Newark, 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1980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21,564</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202,000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64,000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Pathmark</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AC Moore / Comp</w:t>
            </w: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USA / Toys R Us</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Total New York / New</w:t>
            </w:r>
          </w:p>
        </w:tc>
        <w:tc>
          <w:tcPr>
            <w:tcW w:w="9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409,394</w:t>
            </w:r>
          </w:p>
        </w:tc>
        <w:tc>
          <w:tcPr>
            <w:tcW w:w="7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w w:val="92"/>
              </w:rPr>
              <w:t>3,308,000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97%</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Jersey</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60" w:type="dxa"/>
            <w:vAlign w:val="bottom"/>
            <w:gridSpan w:val="3"/>
            <w:shd w:val="clear" w:color="auto" w:fill="CCEEFF"/>
          </w:tcPr>
          <w:p>
            <w:pPr>
              <w:spacing w:after="0" w:line="167" w:lineRule="exact"/>
              <w:rPr>
                <w:sz w:val="20"/>
                <w:szCs w:val="20"/>
                <w:color w:val="auto"/>
              </w:rPr>
            </w:pPr>
            <w:r>
              <w:rPr>
                <w:rFonts w:ascii="Arial" w:cs="Arial" w:eastAsia="Arial" w:hAnsi="Arial"/>
                <w:sz w:val="17"/>
                <w:szCs w:val="17"/>
                <w:b w:val="1"/>
                <w:bCs w:val="1"/>
                <w:color w:val="auto"/>
                <w:w w:val="93"/>
              </w:rPr>
              <w:t>Philadelphia Metropolitan Area</w:t>
            </w:r>
          </w:p>
        </w:tc>
        <w:tc>
          <w:tcPr>
            <w:tcW w:w="1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Andorra</w:t>
            </w:r>
          </w:p>
        </w:tc>
        <w:tc>
          <w:tcPr>
            <w:tcW w:w="100" w:type="dxa"/>
            <w:vAlign w:val="bottom"/>
            <w:tcBorders>
              <w:top w:val="single" w:sz="8" w:color="CCEEFF"/>
            </w:tcBorders>
          </w:tcPr>
          <w:p>
            <w:pPr>
              <w:spacing w:after="0"/>
              <w:rPr>
                <w:sz w:val="17"/>
                <w:szCs w:val="17"/>
                <w:color w:val="auto"/>
              </w:rPr>
            </w:pPr>
          </w:p>
        </w:tc>
        <w:tc>
          <w:tcPr>
            <w:tcW w:w="1780" w:type="dxa"/>
            <w:vAlign w:val="bottom"/>
            <w:tcBorders>
              <w:top w:val="single" w:sz="8" w:color="CCEEFF"/>
            </w:tcBorders>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1988</w:t>
            </w:r>
          </w:p>
        </w:tc>
        <w:tc>
          <w:tcPr>
            <w:tcW w:w="9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22,994</w:t>
            </w:r>
          </w:p>
        </w:tc>
        <w:tc>
          <w:tcPr>
            <w:tcW w:w="7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7"/>
                <w:szCs w:val="17"/>
                <w:color w:val="auto"/>
              </w:rPr>
              <w:t>267,000</w:t>
            </w:r>
          </w:p>
        </w:tc>
        <w:tc>
          <w:tcPr>
            <w:tcW w:w="7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99%</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92"/>
              </w:rPr>
              <w:t>24,000</w:t>
            </w:r>
          </w:p>
        </w:tc>
        <w:tc>
          <w:tcPr>
            <w:tcW w:w="110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Acme</w:t>
            </w: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Kohl’s / Staples /</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7"/>
                <w:szCs w:val="17"/>
                <w:color w:val="auto"/>
              </w:rPr>
              <w:t>Markets</w:t>
            </w: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L.A. Fitness</w:t>
            </w: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Bala Cynwyd</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1993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26,104</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280,000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45,000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Acme</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5"/>
              </w:rPr>
              <w:t>Lord &amp; Taylor / L.A.</w:t>
            </w: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Markets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Fitness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Ellisburg Circle</w:t>
            </w:r>
          </w:p>
        </w:tc>
        <w:tc>
          <w:tcPr>
            <w:tcW w:w="1780" w:type="dxa"/>
            <w:vAlign w:val="bottom"/>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1992</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26,907</w:t>
            </w:r>
          </w:p>
        </w:tc>
        <w:tc>
          <w:tcPr>
            <w:tcW w:w="7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267,000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99%</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47,000</w:t>
            </w:r>
          </w:p>
        </w:tc>
        <w:tc>
          <w:tcPr>
            <w:tcW w:w="1100" w:type="dxa"/>
            <w:vAlign w:val="bottom"/>
          </w:tcPr>
          <w:p>
            <w:pPr>
              <w:ind w:left="40"/>
              <w:spacing w:after="0"/>
              <w:rPr>
                <w:sz w:val="20"/>
                <w:szCs w:val="20"/>
                <w:color w:val="auto"/>
              </w:rPr>
            </w:pPr>
            <w:r>
              <w:rPr>
                <w:rFonts w:ascii="Arial" w:cs="Arial" w:eastAsia="Arial" w:hAnsi="Arial"/>
                <w:sz w:val="17"/>
                <w:szCs w:val="17"/>
                <w:color w:val="auto"/>
              </w:rPr>
              <w:t>Genuardi’s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1"/>
              </w:rPr>
              <w:t>Bed, Bath &amp; Beyond</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 Stein Mart</w:t>
            </w:r>
          </w:p>
        </w:tc>
        <w:tc>
          <w:tcPr>
            <w:tcW w:w="0" w:type="dxa"/>
            <w:vAlign w:val="bottom"/>
          </w:tcPr>
          <w:p>
            <w:pPr>
              <w:spacing w:after="0"/>
              <w:rPr>
                <w:sz w:val="1"/>
                <w:szCs w:val="1"/>
                <w:color w:val="auto"/>
              </w:rPr>
            </w:pPr>
          </w:p>
        </w:tc>
      </w:tr>
      <w:tr>
        <w:trPr>
          <w:trHeight w:val="205"/>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Feasterville</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1980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11,643</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111,000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53,000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Genuardi’s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OfficeMax</w:t>
            </w:r>
          </w:p>
        </w:tc>
        <w:tc>
          <w:tcPr>
            <w:tcW w:w="0" w:type="dxa"/>
            <w:vAlign w:val="bottom"/>
          </w:tcPr>
          <w:p>
            <w:pPr>
              <w:spacing w:after="0"/>
              <w:rPr>
                <w:sz w:val="1"/>
                <w:szCs w:val="1"/>
                <w:color w:val="auto"/>
              </w:rPr>
            </w:pPr>
          </w:p>
        </w:tc>
      </w:tr>
      <w:tr>
        <w:trPr>
          <w:trHeight w:val="204"/>
        </w:trPr>
        <w:tc>
          <w:tcPr>
            <w:tcW w:w="2360" w:type="dxa"/>
            <w:vAlign w:val="bottom"/>
            <w:gridSpan w:val="3"/>
          </w:tcPr>
          <w:p>
            <w:pPr>
              <w:spacing w:after="0"/>
              <w:rPr>
                <w:sz w:val="20"/>
                <w:szCs w:val="20"/>
                <w:color w:val="auto"/>
              </w:rPr>
            </w:pPr>
            <w:r>
              <w:rPr>
                <w:rFonts w:ascii="Arial" w:cs="Arial" w:eastAsia="Arial" w:hAnsi="Arial"/>
                <w:sz w:val="17"/>
                <w:szCs w:val="17"/>
                <w:color w:val="auto"/>
              </w:rPr>
              <w:t>Flourtown</w:t>
            </w:r>
          </w:p>
        </w:tc>
        <w:tc>
          <w:tcPr>
            <w:tcW w:w="1780" w:type="dxa"/>
            <w:vAlign w:val="bottom"/>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1980</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9,540</w:t>
            </w:r>
          </w:p>
        </w:tc>
        <w:tc>
          <w:tcPr>
            <w:tcW w:w="7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182,000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42,000</w:t>
            </w:r>
          </w:p>
        </w:tc>
        <w:tc>
          <w:tcPr>
            <w:tcW w:w="1100" w:type="dxa"/>
            <w:vAlign w:val="bottom"/>
          </w:tcPr>
          <w:p>
            <w:pPr>
              <w:ind w:left="40"/>
              <w:spacing w:after="0"/>
              <w:rPr>
                <w:sz w:val="20"/>
                <w:szCs w:val="20"/>
                <w:color w:val="auto"/>
              </w:rPr>
            </w:pPr>
            <w:r>
              <w:rPr>
                <w:rFonts w:ascii="Arial" w:cs="Arial" w:eastAsia="Arial" w:hAnsi="Arial"/>
                <w:sz w:val="17"/>
                <w:szCs w:val="17"/>
                <w:color w:val="auto"/>
              </w:rPr>
              <w:t>Genuardi’s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Langhorne Square</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17,984</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216,000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55,000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Redner’s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Warehouse</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Mkts.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Lawrence Park</w:t>
            </w:r>
          </w:p>
        </w:tc>
        <w:tc>
          <w:tcPr>
            <w:tcW w:w="1780" w:type="dxa"/>
            <w:vAlign w:val="bottom"/>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1980</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28,487</w:t>
            </w:r>
          </w:p>
        </w:tc>
        <w:tc>
          <w:tcPr>
            <w:tcW w:w="700" w:type="dxa"/>
            <w:vAlign w:val="bottom"/>
          </w:tcPr>
          <w:p>
            <w:pPr>
              <w:jc w:val="right"/>
              <w:spacing w:after="0"/>
              <w:rPr>
                <w:sz w:val="20"/>
                <w:szCs w:val="20"/>
                <w:color w:val="auto"/>
              </w:rPr>
            </w:pPr>
            <w:r>
              <w:rPr>
                <w:rFonts w:ascii="Arial" w:cs="Arial" w:eastAsia="Arial" w:hAnsi="Arial"/>
                <w:sz w:val="17"/>
                <w:szCs w:val="17"/>
                <w:color w:val="auto"/>
              </w:rPr>
              <w:t>30,311</w:t>
            </w: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353,000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53,000</w:t>
            </w:r>
          </w:p>
        </w:tc>
        <w:tc>
          <w:tcPr>
            <w:tcW w:w="1100" w:type="dxa"/>
            <w:vAlign w:val="bottom"/>
          </w:tcPr>
          <w:p>
            <w:pPr>
              <w:ind w:left="40"/>
              <w:spacing w:after="0"/>
              <w:rPr>
                <w:sz w:val="20"/>
                <w:szCs w:val="20"/>
                <w:color w:val="auto"/>
              </w:rPr>
            </w:pPr>
            <w:r>
              <w:rPr>
                <w:rFonts w:ascii="Arial" w:cs="Arial" w:eastAsia="Arial" w:hAnsi="Arial"/>
                <w:sz w:val="17"/>
                <w:szCs w:val="17"/>
                <w:color w:val="auto"/>
              </w:rPr>
              <w:t>Acme</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CHI / TJ Maxx /</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7"/>
                <w:szCs w:val="17"/>
                <w:color w:val="auto"/>
              </w:rPr>
              <w:t>Markets</w:t>
            </w: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HomeGoods</w:t>
            </w: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Northeast</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1983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22,245</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287,000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Burlington Coat /</w:t>
            </w: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Town Center of New Britain</w:t>
            </w:r>
          </w:p>
        </w:tc>
        <w:tc>
          <w:tcPr>
            <w:tcW w:w="1780" w:type="dxa"/>
            <w:vAlign w:val="bottom"/>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2006</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13,545</w:t>
            </w:r>
          </w:p>
        </w:tc>
        <w:tc>
          <w:tcPr>
            <w:tcW w:w="7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125,000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36,000</w:t>
            </w:r>
          </w:p>
        </w:tc>
        <w:tc>
          <w:tcPr>
            <w:tcW w:w="1100" w:type="dxa"/>
            <w:vAlign w:val="bottom"/>
          </w:tcPr>
          <w:p>
            <w:pPr>
              <w:ind w:left="40"/>
              <w:spacing w:after="0"/>
              <w:rPr>
                <w:sz w:val="20"/>
                <w:szCs w:val="20"/>
                <w:color w:val="auto"/>
              </w:rPr>
            </w:pPr>
            <w:r>
              <w:rPr>
                <w:rFonts w:ascii="Arial" w:cs="Arial" w:eastAsia="Arial" w:hAnsi="Arial"/>
                <w:sz w:val="17"/>
                <w:szCs w:val="17"/>
                <w:color w:val="auto"/>
              </w:rPr>
              <w:t>Clemens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Rite Aid</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7"/>
                <w:szCs w:val="17"/>
                <w:color w:val="auto"/>
              </w:rPr>
              <w:t>Market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Willow Grove</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1984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26,668</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215,000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Barnes &amp; Noble /</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9"/>
              </w:rPr>
              <w:t>Marshalls / Toys R</w:t>
            </w: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Wynnewood</w:t>
            </w:r>
          </w:p>
        </w:tc>
        <w:tc>
          <w:tcPr>
            <w:tcW w:w="1780" w:type="dxa"/>
            <w:vAlign w:val="bottom"/>
          </w:tcPr>
          <w:p>
            <w:pPr>
              <w:ind w:left="60"/>
              <w:spacing w:after="0"/>
              <w:rPr>
                <w:sz w:val="20"/>
                <w:szCs w:val="20"/>
                <w:color w:val="auto"/>
              </w:rPr>
            </w:pPr>
            <w:r>
              <w:rPr>
                <w:rFonts w:ascii="Arial" w:cs="Arial" w:eastAsia="Arial" w:hAnsi="Arial"/>
                <w:sz w:val="17"/>
                <w:szCs w:val="17"/>
                <w:color w:val="auto"/>
              </w:rPr>
              <w:t>Philadelphia, PA-NJ</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1996</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35,815</w:t>
            </w:r>
          </w:p>
        </w:tc>
        <w:tc>
          <w:tcPr>
            <w:tcW w:w="700" w:type="dxa"/>
            <w:vAlign w:val="bottom"/>
          </w:tcPr>
          <w:p>
            <w:pPr>
              <w:jc w:val="right"/>
              <w:spacing w:after="0"/>
              <w:rPr>
                <w:sz w:val="20"/>
                <w:szCs w:val="20"/>
                <w:color w:val="auto"/>
              </w:rPr>
            </w:pPr>
            <w:r>
              <w:rPr>
                <w:rFonts w:ascii="Arial" w:cs="Arial" w:eastAsia="Arial" w:hAnsi="Arial"/>
                <w:sz w:val="17"/>
                <w:szCs w:val="17"/>
                <w:color w:val="auto"/>
              </w:rPr>
              <w:t>30,890</w:t>
            </w: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255,000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98,000</w:t>
            </w:r>
          </w:p>
        </w:tc>
        <w:tc>
          <w:tcPr>
            <w:tcW w:w="1100" w:type="dxa"/>
            <w:vAlign w:val="bottom"/>
          </w:tcPr>
          <w:p>
            <w:pPr>
              <w:ind w:left="40"/>
              <w:spacing w:after="0"/>
              <w:rPr>
                <w:sz w:val="20"/>
                <w:szCs w:val="20"/>
                <w:color w:val="auto"/>
              </w:rPr>
            </w:pPr>
            <w:r>
              <w:rPr>
                <w:rFonts w:ascii="Arial" w:cs="Arial" w:eastAsia="Arial" w:hAnsi="Arial"/>
                <w:sz w:val="17"/>
                <w:szCs w:val="17"/>
                <w:color w:val="auto"/>
              </w:rPr>
              <w:t>Genuardi’s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1"/>
              </w:rPr>
              <w:t>Bed, Bath &amp; Beyond</w:t>
            </w: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1"/>
              </w:rPr>
              <w:t>/ Borders / Old Navy</w:t>
            </w:r>
          </w:p>
        </w:tc>
        <w:tc>
          <w:tcPr>
            <w:tcW w:w="0" w:type="dxa"/>
            <w:vAlign w:val="bottom"/>
          </w:tcPr>
          <w:p>
            <w:pPr>
              <w:spacing w:after="0"/>
              <w:rPr>
                <w:sz w:val="1"/>
                <w:szCs w:val="1"/>
                <w:color w:val="auto"/>
              </w:rPr>
            </w:pPr>
          </w:p>
        </w:tc>
      </w:tr>
      <w:tr>
        <w:trPr>
          <w:trHeight w:val="192"/>
        </w:trPr>
        <w:tc>
          <w:tcPr>
            <w:tcW w:w="9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ind w:left="60"/>
              <w:spacing w:after="0" w:line="192" w:lineRule="exact"/>
              <w:rPr>
                <w:sz w:val="20"/>
                <w:szCs w:val="20"/>
                <w:color w:val="auto"/>
              </w:rPr>
            </w:pPr>
            <w:r>
              <w:rPr>
                <w:rFonts w:ascii="Arial" w:cs="Arial" w:eastAsia="Arial" w:hAnsi="Arial"/>
                <w:sz w:val="17"/>
                <w:szCs w:val="17"/>
                <w:b w:val="1"/>
                <w:bCs w:val="1"/>
                <w:color w:val="auto"/>
              </w:rPr>
              <w:t>Total Philadelphia</w:t>
            </w:r>
          </w:p>
        </w:tc>
        <w:tc>
          <w:tcPr>
            <w:tcW w:w="9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241,932</w:t>
            </w:r>
          </w:p>
        </w:tc>
        <w:tc>
          <w:tcPr>
            <w:tcW w:w="7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line="192" w:lineRule="exact"/>
              <w:rPr>
                <w:sz w:val="20"/>
                <w:szCs w:val="20"/>
                <w:color w:val="auto"/>
              </w:rPr>
            </w:pPr>
            <w:r>
              <w:rPr>
                <w:rFonts w:ascii="Arial" w:cs="Arial" w:eastAsia="Arial" w:hAnsi="Arial"/>
                <w:sz w:val="17"/>
                <w:szCs w:val="17"/>
                <w:color w:val="auto"/>
                <w:w w:val="92"/>
              </w:rPr>
              <w:t>2,558,000</w:t>
            </w:r>
          </w:p>
        </w:tc>
        <w:tc>
          <w:tcPr>
            <w:tcW w:w="72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98%</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Metropolitan Area</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8"/>
              </w:rPr>
              <w:t>New England</w:t>
            </w:r>
          </w:p>
        </w:tc>
        <w:tc>
          <w:tcPr>
            <w:tcW w:w="140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88"/>
              </w:rPr>
              <w:t>Assembly Square/Sturtevant Street</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Boston-Cambridge-</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95"/>
              </w:rPr>
              <w:t>2005-2006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109,433</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552,000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AC Moore / Bed,</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Quincy,</w:t>
            </w: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Bath &amp; Beyond /</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MA-NH</w:t>
            </w: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Christmas Tree</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Shops / Kmart /</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Staples / Sports</w:t>
            </w: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6"/>
              </w:rPr>
              <w:t>Authority / TJ Maxx</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Bath Shopping Center</w:t>
            </w:r>
          </w:p>
        </w:tc>
        <w:tc>
          <w:tcPr>
            <w:tcW w:w="1780" w:type="dxa"/>
            <w:vAlign w:val="bottom"/>
          </w:tcPr>
          <w:p>
            <w:pPr>
              <w:ind w:left="60"/>
              <w:spacing w:after="0"/>
              <w:rPr>
                <w:sz w:val="20"/>
                <w:szCs w:val="20"/>
                <w:color w:val="auto"/>
              </w:rPr>
            </w:pPr>
            <w:r>
              <w:rPr>
                <w:rFonts w:ascii="Arial" w:cs="Arial" w:eastAsia="Arial" w:hAnsi="Arial"/>
                <w:sz w:val="17"/>
                <w:szCs w:val="17"/>
                <w:color w:val="auto"/>
                <w:w w:val="91"/>
              </w:rPr>
              <w:t>Portland/South Portland/</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2006</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20,635</w:t>
            </w:r>
          </w:p>
        </w:tc>
        <w:tc>
          <w:tcPr>
            <w:tcW w:w="700" w:type="dxa"/>
            <w:vAlign w:val="bottom"/>
          </w:tcPr>
          <w:p>
            <w:pPr>
              <w:jc w:val="right"/>
              <w:spacing w:after="0"/>
              <w:rPr>
                <w:sz w:val="20"/>
                <w:szCs w:val="20"/>
                <w:color w:val="auto"/>
              </w:rPr>
            </w:pPr>
            <w:r>
              <w:rPr>
                <w:rFonts w:ascii="Arial" w:cs="Arial" w:eastAsia="Arial" w:hAnsi="Arial"/>
                <w:sz w:val="17"/>
                <w:szCs w:val="17"/>
                <w:color w:val="auto"/>
              </w:rPr>
              <w:t>11,055</w:t>
            </w: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101,000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96%</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57,000</w:t>
            </w:r>
          </w:p>
        </w:tc>
        <w:tc>
          <w:tcPr>
            <w:tcW w:w="1100" w:type="dxa"/>
            <w:vAlign w:val="bottom"/>
          </w:tcPr>
          <w:p>
            <w:pPr>
              <w:ind w:left="40"/>
              <w:spacing w:after="0"/>
              <w:rPr>
                <w:sz w:val="20"/>
                <w:szCs w:val="20"/>
                <w:color w:val="auto"/>
              </w:rPr>
            </w:pPr>
            <w:r>
              <w:rPr>
                <w:rFonts w:ascii="Arial" w:cs="Arial" w:eastAsia="Arial" w:hAnsi="Arial"/>
                <w:sz w:val="17"/>
                <w:szCs w:val="17"/>
                <w:color w:val="auto"/>
              </w:rPr>
              <w:t>Shaw’s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Biddeford</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7"/>
                <w:szCs w:val="17"/>
                <w:color w:val="auto"/>
              </w:rPr>
              <w:t>Supermarket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Chelsea Commons I &amp; II (8)</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Boston-Cambridge-</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17,657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7,985</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180,000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16,000</w:t>
            </w:r>
          </w:p>
        </w:tc>
        <w:tc>
          <w:tcPr>
            <w:tcW w:w="1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Sav-A-Lot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Home Depot</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Quincy,</w:t>
            </w: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MA-NH</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Dedham Plaza</w:t>
            </w:r>
          </w:p>
        </w:tc>
        <w:tc>
          <w:tcPr>
            <w:tcW w:w="1780" w:type="dxa"/>
            <w:vAlign w:val="bottom"/>
          </w:tcPr>
          <w:p>
            <w:pPr>
              <w:ind w:left="60"/>
              <w:spacing w:after="0"/>
              <w:rPr>
                <w:sz w:val="20"/>
                <w:szCs w:val="20"/>
                <w:color w:val="auto"/>
              </w:rPr>
            </w:pPr>
            <w:r>
              <w:rPr>
                <w:rFonts w:ascii="Arial" w:cs="Arial" w:eastAsia="Arial" w:hAnsi="Arial"/>
                <w:sz w:val="17"/>
                <w:szCs w:val="17"/>
                <w:color w:val="auto"/>
              </w:rPr>
              <w:t>Boston-Cambridge-</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1993</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29,764</w:t>
            </w:r>
          </w:p>
        </w:tc>
        <w:tc>
          <w:tcPr>
            <w:tcW w:w="7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241,000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94%</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80,000</w:t>
            </w:r>
          </w:p>
        </w:tc>
        <w:tc>
          <w:tcPr>
            <w:tcW w:w="1100" w:type="dxa"/>
            <w:vAlign w:val="bottom"/>
          </w:tcPr>
          <w:p>
            <w:pPr>
              <w:ind w:left="40"/>
              <w:spacing w:after="0"/>
              <w:rPr>
                <w:sz w:val="20"/>
                <w:szCs w:val="20"/>
                <w:color w:val="auto"/>
              </w:rPr>
            </w:pPr>
            <w:r>
              <w:rPr>
                <w:rFonts w:ascii="Arial" w:cs="Arial" w:eastAsia="Arial" w:hAnsi="Arial"/>
                <w:sz w:val="17"/>
                <w:szCs w:val="17"/>
                <w:color w:val="auto"/>
              </w:rPr>
              <w:t>Star Market</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Pier One</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Quincy,</w:t>
            </w: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MA-NH</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Key Road</w:t>
            </w: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Boston-Cambridge-</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14,538</w:t>
            </w:r>
          </w:p>
        </w:tc>
        <w:tc>
          <w:tcPr>
            <w:tcW w:w="7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76,000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Petco</w:t>
            </w:r>
          </w:p>
        </w:tc>
        <w:tc>
          <w:tcPr>
            <w:tcW w:w="0" w:type="dxa"/>
            <w:vAlign w:val="bottom"/>
          </w:tcPr>
          <w:p>
            <w:pPr>
              <w:spacing w:after="0"/>
              <w:rPr>
                <w:sz w:val="1"/>
                <w:szCs w:val="1"/>
                <w:color w:val="auto"/>
              </w:rPr>
            </w:pPr>
          </w:p>
        </w:tc>
      </w:tr>
      <w:tr>
        <w:trPr>
          <w:trHeight w:val="204"/>
        </w:trPr>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Quincy,</w:t>
            </w:r>
          </w:p>
        </w:tc>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MA-NH</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rPr>
                <w:sz w:val="20"/>
                <w:szCs w:val="20"/>
                <w:color w:val="auto"/>
              </w:rPr>
            </w:pPr>
            <w:r>
              <w:rPr>
                <w:rFonts w:ascii="Arial" w:cs="Arial" w:eastAsia="Arial" w:hAnsi="Arial"/>
                <w:sz w:val="17"/>
                <w:szCs w:val="17"/>
                <w:color w:val="auto"/>
              </w:rPr>
              <w:t>Linden Square</w:t>
            </w:r>
          </w:p>
        </w:tc>
        <w:tc>
          <w:tcPr>
            <w:tcW w:w="1780" w:type="dxa"/>
            <w:vAlign w:val="bottom"/>
          </w:tcPr>
          <w:p>
            <w:pPr>
              <w:ind w:left="60"/>
              <w:spacing w:after="0"/>
              <w:rPr>
                <w:sz w:val="20"/>
                <w:szCs w:val="20"/>
                <w:color w:val="auto"/>
              </w:rPr>
            </w:pPr>
            <w:r>
              <w:rPr>
                <w:rFonts w:ascii="Arial" w:cs="Arial" w:eastAsia="Arial" w:hAnsi="Arial"/>
                <w:sz w:val="17"/>
                <w:szCs w:val="17"/>
                <w:color w:val="auto"/>
              </w:rPr>
              <w:t>Boston-Cambridge-</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2006</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99,025</w:t>
            </w:r>
          </w:p>
        </w:tc>
        <w:tc>
          <w:tcPr>
            <w:tcW w:w="7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97,000</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33,000</w:t>
            </w:r>
          </w:p>
        </w:tc>
        <w:tc>
          <w:tcPr>
            <w:tcW w:w="1100" w:type="dxa"/>
            <w:vAlign w:val="bottom"/>
          </w:tcPr>
          <w:p>
            <w:pPr>
              <w:ind w:left="40"/>
              <w:spacing w:after="0"/>
              <w:rPr>
                <w:sz w:val="20"/>
                <w:szCs w:val="20"/>
                <w:color w:val="auto"/>
              </w:rPr>
            </w:pPr>
            <w:r>
              <w:rPr>
                <w:rFonts w:ascii="Arial" w:cs="Arial" w:eastAsia="Arial" w:hAnsi="Arial"/>
                <w:sz w:val="17"/>
                <w:szCs w:val="17"/>
                <w:color w:val="auto"/>
              </w:rPr>
              <w:t>Roche</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Fitness Club for</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Quincy,</w:t>
            </w: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7"/>
                <w:szCs w:val="17"/>
                <w:color w:val="auto"/>
              </w:rPr>
              <w:t>Brothers</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6"/>
              </w:rPr>
              <w:t>Women / Wellesley</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7"/>
                <w:szCs w:val="17"/>
                <w:color w:val="auto"/>
              </w:rPr>
              <w:t>MA-NH</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7"/>
                <w:szCs w:val="17"/>
                <w:color w:val="auto"/>
                <w:w w:val="98"/>
              </w:rPr>
              <w:t>Supermarkets</w:t>
            </w: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7"/>
                <w:szCs w:val="17"/>
                <w:color w:val="auto"/>
                <w:w w:val="98"/>
              </w:rPr>
              <w:t>Volkswagen, Buick</w:t>
            </w:r>
          </w:p>
        </w:tc>
        <w:tc>
          <w:tcPr>
            <w:tcW w:w="0" w:type="dxa"/>
            <w:vAlign w:val="bottom"/>
          </w:tcPr>
          <w:p>
            <w:pPr>
              <w:spacing w:after="0"/>
              <w:rPr>
                <w:sz w:val="1"/>
                <w:szCs w:val="1"/>
                <w:color w:val="auto"/>
              </w:rPr>
            </w:pPr>
          </w:p>
        </w:tc>
      </w:tr>
      <w:tr>
        <w:trPr>
          <w:trHeight w:val="345"/>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Mortgage</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3"/>
              </w:rPr>
              <w:t>or Capital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ind w:left="20"/>
              <w:spacing w:after="0" w:line="141" w:lineRule="exact"/>
              <w:rPr>
                <w:sz w:val="20"/>
                <w:szCs w:val="20"/>
                <w:color w:val="auto"/>
              </w:rPr>
            </w:pPr>
            <w:r>
              <w:rPr>
                <w:rFonts w:ascii="Arial" w:cs="Arial" w:eastAsia="Arial" w:hAnsi="Arial"/>
                <w:sz w:val="13"/>
                <w:szCs w:val="13"/>
                <w:b w:val="1"/>
                <w:bCs w:val="1"/>
                <w:color w:val="auto"/>
                <w:w w:val="84"/>
              </w:rPr>
              <w:t>Grocery</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80" w:type="dxa"/>
            <w:vAlign w:val="bottom"/>
            <w:vMerge w:val="restart"/>
          </w:tcPr>
          <w:p>
            <w:pPr>
              <w:spacing w:after="0"/>
              <w:rPr>
                <w:sz w:val="12"/>
                <w:szCs w:val="12"/>
                <w:color w:val="auto"/>
              </w:rPr>
            </w:pPr>
          </w:p>
        </w:tc>
        <w:tc>
          <w:tcPr>
            <w:tcW w:w="24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2"/>
                <w:szCs w:val="12"/>
                <w:color w:val="auto"/>
              </w:rPr>
            </w:pPr>
          </w:p>
        </w:tc>
        <w:tc>
          <w:tcPr>
            <w:tcW w:w="520" w:type="dxa"/>
            <w:vAlign w:val="bottom"/>
          </w:tcPr>
          <w:p>
            <w:pPr>
              <w:jc w:val="right"/>
              <w:ind w:right="76"/>
              <w:spacing w:after="0" w:line="141"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760" w:type="dxa"/>
            <w:vAlign w:val="bottom"/>
          </w:tcPr>
          <w:p>
            <w:pPr>
              <w:jc w:val="right"/>
              <w:ind w:right="162"/>
              <w:spacing w:after="0" w:line="141"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86"/>
              </w:rPr>
              <w:t>Lease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ind w:left="40"/>
              <w:spacing w:after="0" w:line="141" w:lineRule="exact"/>
              <w:rPr>
                <w:sz w:val="20"/>
                <w:szCs w:val="20"/>
                <w:color w:val="auto"/>
              </w:rPr>
            </w:pPr>
            <w:r>
              <w:rPr>
                <w:rFonts w:ascii="Arial" w:cs="Arial" w:eastAsia="Arial" w:hAnsi="Arial"/>
                <w:sz w:val="13"/>
                <w:szCs w:val="13"/>
                <w:b w:val="1"/>
                <w:bCs w:val="1"/>
                <w:color w:val="auto"/>
                <w:w w:val="87"/>
              </w:rPr>
              <w:t>Anchor</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46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88"/>
              </w:rPr>
              <w:t>Acquired</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2"/>
              <w:spacing w:after="0" w:line="141" w:lineRule="exact"/>
              <w:rPr>
                <w:sz w:val="20"/>
                <w:szCs w:val="20"/>
                <w:color w:val="auto"/>
              </w:rPr>
            </w:pPr>
            <w:r>
              <w:rPr>
                <w:rFonts w:ascii="Arial" w:cs="Arial" w:eastAsia="Arial" w:hAnsi="Arial"/>
                <w:sz w:val="13"/>
                <w:szCs w:val="13"/>
                <w:b w:val="1"/>
                <w:bCs w:val="1"/>
                <w:color w:val="auto"/>
                <w:w w:val="96"/>
              </w:rPr>
              <w:t>Investment</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0"/>
              </w:rPr>
              <w:t>Obligation</w:t>
            </w:r>
          </w:p>
        </w:tc>
        <w:tc>
          <w:tcPr>
            <w:tcW w:w="100" w:type="dxa"/>
            <w:vAlign w:val="bottom"/>
          </w:tcPr>
          <w:p>
            <w:pPr>
              <w:spacing w:after="0"/>
              <w:rPr>
                <w:sz w:val="12"/>
                <w:szCs w:val="12"/>
                <w:color w:val="auto"/>
              </w:rPr>
            </w:pPr>
          </w:p>
        </w:tc>
        <w:tc>
          <w:tcPr>
            <w:tcW w:w="740" w:type="dxa"/>
            <w:vAlign w:val="bottom"/>
            <w:tcBorders>
              <w:bottom w:val="single" w:sz="8" w:color="auto"/>
            </w:tcBorders>
          </w:tcPr>
          <w:p>
            <w:pPr>
              <w:ind w:left="140"/>
              <w:spacing w:after="0" w:line="141" w:lineRule="exact"/>
              <w:rPr>
                <w:sz w:val="20"/>
                <w:szCs w:val="20"/>
                <w:color w:val="auto"/>
              </w:rPr>
            </w:pPr>
            <w:r>
              <w:rPr>
                <w:rFonts w:ascii="Arial" w:cs="Arial" w:eastAsia="Arial" w:hAnsi="Arial"/>
                <w:sz w:val="13"/>
                <w:szCs w:val="13"/>
                <w:b w:val="1"/>
                <w:bCs w:val="1"/>
                <w:color w:val="auto"/>
              </w:rPr>
              <w:t>GLA (1)</w:t>
            </w: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86"/>
              </w:rPr>
              <w:t>% Leased</w:t>
            </w:r>
          </w:p>
        </w:tc>
        <w:tc>
          <w:tcPr>
            <w:tcW w:w="260" w:type="dxa"/>
            <w:vAlign w:val="bottom"/>
          </w:tcPr>
          <w:p>
            <w:pPr>
              <w:spacing w:after="0"/>
              <w:rPr>
                <w:sz w:val="12"/>
                <w:szCs w:val="12"/>
                <w:color w:val="auto"/>
              </w:rPr>
            </w:pPr>
          </w:p>
        </w:tc>
        <w:tc>
          <w:tcPr>
            <w:tcW w:w="460" w:type="dxa"/>
            <w:vAlign w:val="bottom"/>
            <w:tcBorders>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w w:val="89"/>
              </w:rPr>
              <w:t>GLA (2)</w:t>
            </w:r>
          </w:p>
        </w:tc>
        <w:tc>
          <w:tcPr>
            <w:tcW w:w="100" w:type="dxa"/>
            <w:vAlign w:val="bottom"/>
          </w:tcPr>
          <w:p>
            <w:pPr>
              <w:spacing w:after="0"/>
              <w:rPr>
                <w:sz w:val="12"/>
                <w:szCs w:val="12"/>
                <w:color w:val="auto"/>
              </w:rPr>
            </w:pPr>
          </w:p>
        </w:tc>
        <w:tc>
          <w:tcPr>
            <w:tcW w:w="1400" w:type="dxa"/>
            <w:vAlign w:val="bottom"/>
            <w:tcBorders>
              <w:bottom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Grocery Anchor (2)</w:t>
            </w:r>
          </w:p>
        </w:tc>
        <w:tc>
          <w:tcPr>
            <w:tcW w:w="100" w:type="dxa"/>
            <w:vAlign w:val="bottom"/>
          </w:tcPr>
          <w:p>
            <w:pPr>
              <w:spacing w:after="0"/>
              <w:rPr>
                <w:sz w:val="12"/>
                <w:szCs w:val="12"/>
                <w:color w:val="auto"/>
              </w:rPr>
            </w:pPr>
          </w:p>
        </w:tc>
        <w:tc>
          <w:tcPr>
            <w:tcW w:w="1580" w:type="dxa"/>
            <w:vAlign w:val="bottom"/>
            <w:tcBorders>
              <w:bottom w:val="single" w:sz="8" w:color="auto"/>
            </w:tcBorders>
          </w:tcPr>
          <w:p>
            <w:pPr>
              <w:ind w:left="140"/>
              <w:spacing w:after="0" w:line="141" w:lineRule="exact"/>
              <w:rPr>
                <w:sz w:val="20"/>
                <w:szCs w:val="20"/>
                <w:color w:val="auto"/>
              </w:rPr>
            </w:pPr>
            <w:r>
              <w:rPr>
                <w:rFonts w:ascii="Arial" w:cs="Arial" w:eastAsia="Arial" w:hAnsi="Arial"/>
                <w:sz w:val="13"/>
                <w:szCs w:val="13"/>
                <w:b w:val="1"/>
                <w:bCs w:val="1"/>
                <w:color w:val="auto"/>
                <w:w w:val="96"/>
              </w:rPr>
              <w:t>Other Principal Tenants</w:t>
            </w: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North Dartmouth</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1"/>
              </w:rPr>
              <w:t>Boston-Cambridge-Quincy, MA-NH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27,104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48,000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Stop &amp; Shop</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8"/>
              </w:rPr>
              <w:t>Lowe’s Home Center</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gridSpan w:val="5"/>
          </w:tcPr>
          <w:p>
            <w:pPr>
              <w:spacing w:after="0"/>
              <w:rPr>
                <w:sz w:val="20"/>
                <w:szCs w:val="20"/>
                <w:color w:val="auto"/>
              </w:rPr>
            </w:pPr>
            <w:r>
              <w:rPr>
                <w:rFonts w:ascii="Arial" w:cs="Arial" w:eastAsia="Arial" w:hAnsi="Arial"/>
                <w:sz w:val="17"/>
                <w:szCs w:val="17"/>
                <w:color w:val="auto"/>
                <w:w w:val="89"/>
              </w:rPr>
              <w:t>Queen Anne Plaza</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w w:val="91"/>
              </w:rPr>
              <w:t>Boston-Cambridge-Quincy, MA-NH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15,017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149,000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50,000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w w:val="89"/>
              </w:rPr>
              <w:t>Victory Supermarket</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Riverside</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1"/>
              </w:rPr>
              <w:t>Boston-Cambridge-Quincy, MA-NH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27,760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218,000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65,000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w w:val="87"/>
              </w:rPr>
              <w:t>Shaw’s Supermarket</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Brooks Pharmacy /</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Walmart</w:t>
            </w:r>
          </w:p>
        </w:tc>
        <w:tc>
          <w:tcPr>
            <w:tcW w:w="0" w:type="dxa"/>
            <w:vAlign w:val="bottom"/>
          </w:tcPr>
          <w:p>
            <w:pPr>
              <w:spacing w:after="0"/>
              <w:rPr>
                <w:sz w:val="1"/>
                <w:szCs w:val="1"/>
                <w:color w:val="auto"/>
              </w:rPr>
            </w:pPr>
          </w:p>
        </w:tc>
      </w:tr>
      <w:tr>
        <w:trPr>
          <w:trHeight w:val="204"/>
        </w:trPr>
        <w:tc>
          <w:tcPr>
            <w:tcW w:w="1300" w:type="dxa"/>
            <w:vAlign w:val="bottom"/>
            <w:gridSpan w:val="5"/>
          </w:tcPr>
          <w:p>
            <w:pPr>
              <w:spacing w:after="0"/>
              <w:rPr>
                <w:sz w:val="20"/>
                <w:szCs w:val="20"/>
                <w:color w:val="auto"/>
              </w:rPr>
            </w:pPr>
            <w:r>
              <w:rPr>
                <w:rFonts w:ascii="Arial" w:cs="Arial" w:eastAsia="Arial" w:hAnsi="Arial"/>
                <w:sz w:val="17"/>
                <w:szCs w:val="17"/>
                <w:color w:val="auto"/>
              </w:rPr>
              <w:t>Saugus Plaza</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w w:val="91"/>
              </w:rPr>
              <w:t>Boston-Cambridge-Quincy, MA-NH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13,592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171,000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55,000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w w:val="94"/>
              </w:rPr>
              <w:t>Super Stop &amp; Shop</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89"/>
              </w:rPr>
              <w:t>Total New England</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374,525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1,968,000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300" w:type="dxa"/>
            <w:vAlign w:val="bottom"/>
            <w:gridSpan w:val="5"/>
          </w:tcPr>
          <w:p>
            <w:pPr>
              <w:spacing w:after="0"/>
              <w:rPr>
                <w:sz w:val="20"/>
                <w:szCs w:val="20"/>
                <w:color w:val="auto"/>
              </w:rPr>
            </w:pPr>
            <w:r>
              <w:rPr>
                <w:rFonts w:ascii="Arial" w:cs="Arial" w:eastAsia="Arial" w:hAnsi="Arial"/>
                <w:sz w:val="17"/>
                <w:szCs w:val="17"/>
                <w:b w:val="1"/>
                <w:bCs w:val="1"/>
                <w:color w:val="auto"/>
              </w:rPr>
              <w:t>Chicago</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Crossroads</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Chicago, IL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22,803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173,000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1"/>
              </w:rPr>
              <w:t>Comp USA / Golfsmith</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 Guitar Center</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Finley Square</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Chicago, IL</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28,936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315,000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w w:val="95"/>
              </w:rPr>
              <w:t>Bed, Bath &amp; Beyond /</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Sports Authority</w:t>
            </w:r>
          </w:p>
        </w:tc>
        <w:tc>
          <w:tcPr>
            <w:tcW w:w="0" w:type="dxa"/>
            <w:vAlign w:val="bottom"/>
          </w:tcPr>
          <w:p>
            <w:pPr>
              <w:spacing w:after="0"/>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Garden Market</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Chicago, IL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11,195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63,000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Dominick’s</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Walgreens</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North Lake</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Chicago, IL</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13,261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129,000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77,000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Dominick’s</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gridSpan w:val="5"/>
          </w:tcPr>
          <w:p>
            <w:pPr>
              <w:ind w:left="200"/>
              <w:spacing w:after="0"/>
              <w:rPr>
                <w:sz w:val="20"/>
                <w:szCs w:val="20"/>
                <w:color w:val="auto"/>
              </w:rPr>
            </w:pPr>
            <w:r>
              <w:rPr>
                <w:rFonts w:ascii="Arial" w:cs="Arial" w:eastAsia="Arial" w:hAnsi="Arial"/>
                <w:sz w:val="17"/>
                <w:szCs w:val="17"/>
                <w:color w:val="auto"/>
              </w:rPr>
              <w:t>Commons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Chicago</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76,195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757,000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w w:val="88"/>
              </w:rPr>
              <w:t>East Region - Other</w:t>
            </w:r>
          </w:p>
        </w:tc>
        <w:tc>
          <w:tcPr>
            <w:tcW w:w="24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Barracks Road</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Charlottesville, 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41,934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42,763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488,000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99,000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Harris Teeter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5"/>
              </w:rPr>
              <w:t>Bed, Bath &amp; Beyond /</w:t>
            </w:r>
          </w:p>
        </w:tc>
        <w:tc>
          <w:tcPr>
            <w:tcW w:w="0" w:type="dxa"/>
            <w:vAlign w:val="bottom"/>
          </w:tcPr>
          <w:p>
            <w:pPr>
              <w:spacing w:after="0"/>
              <w:rPr>
                <w:sz w:val="1"/>
                <w:szCs w:val="1"/>
                <w:color w:val="auto"/>
              </w:rPr>
            </w:pPr>
          </w:p>
        </w:tc>
      </w:tr>
      <w:tr>
        <w:trPr>
          <w:trHeight w:val="204"/>
        </w:trPr>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Kroger</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7"/>
              </w:rPr>
              <w:t>Barnes &amp; Noble / Old</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r>
        <w:trPr>
          <w:trHeight w:val="204"/>
        </w:trPr>
        <w:tc>
          <w:tcPr>
            <w:tcW w:w="1300" w:type="dxa"/>
            <w:vAlign w:val="bottom"/>
            <w:gridSpan w:val="5"/>
          </w:tcPr>
          <w:p>
            <w:pPr>
              <w:spacing w:after="0"/>
              <w:rPr>
                <w:sz w:val="20"/>
                <w:szCs w:val="20"/>
                <w:color w:val="auto"/>
              </w:rPr>
            </w:pPr>
            <w:r>
              <w:rPr>
                <w:rFonts w:ascii="Arial" w:cs="Arial" w:eastAsia="Arial" w:hAnsi="Arial"/>
                <w:sz w:val="17"/>
                <w:szCs w:val="17"/>
                <w:color w:val="auto"/>
              </w:rPr>
              <w:t>Bristol Plaza</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Hartford, CT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23,936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277,000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74,000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Stop &amp; Shop</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204"/>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Eastgate</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9"/>
              </w:rPr>
              <w:t>Raleigh-Durham-Chapel Hill, NC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17,217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23,000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Earth Fare</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Stein Mart</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Governor Plaza</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Baltimore, MD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1985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20,921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269,000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16,500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Aldi</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w w:val="98"/>
              </w:rPr>
              <w:t>Bally’s / Comp USA /</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Office Depot</w:t>
            </w: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Gratiot Plaza</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Detroit, MI</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18,061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69,000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Farmer Jacks</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5"/>
              </w:rPr>
              <w:t>Bed, Bath &amp; Beyond /</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Best Buy / DSW</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w w:val="89"/>
              </w:rPr>
              <w:t>Greenwich Avenue</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w w:val="96"/>
              </w:rPr>
              <w:t>New Haven-Bridgeport-Stamford-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15,993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42,000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Saks Fifth Avenue</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Waterbury</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Lancaster (6)</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Lancaster, PA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10,822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4,907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39,000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Giant Food</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Perring Plaza</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Baltimore, MD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1985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26,321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402,000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98%</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58,000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Shoppers Food</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Warehouse</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Burlington Coat</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Factory / Jo-Ann</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Stores</w:t>
            </w: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Shops at Willow</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Richmond-Petersburg, 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72,373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467,000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60,000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Kroger</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Old Navy / Staples</w:t>
            </w:r>
          </w:p>
        </w:tc>
        <w:tc>
          <w:tcPr>
            <w:tcW w:w="0" w:type="dxa"/>
            <w:vAlign w:val="bottom"/>
          </w:tcPr>
          <w:p>
            <w:pPr>
              <w:spacing w:after="0"/>
              <w:rPr>
                <w:sz w:val="1"/>
                <w:szCs w:val="1"/>
                <w:color w:val="auto"/>
              </w:rPr>
            </w:pPr>
          </w:p>
        </w:tc>
      </w:tr>
      <w:tr>
        <w:trPr>
          <w:trHeight w:val="213"/>
        </w:trPr>
        <w:tc>
          <w:tcPr>
            <w:tcW w:w="130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Lawn</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gridSpan w:val="9"/>
          </w:tcPr>
          <w:p>
            <w:pPr>
              <w:spacing w:after="0"/>
              <w:rPr>
                <w:sz w:val="20"/>
                <w:szCs w:val="20"/>
                <w:color w:val="auto"/>
              </w:rPr>
            </w:pPr>
            <w:r>
              <w:rPr>
                <w:rFonts w:ascii="Arial" w:cs="Arial" w:eastAsia="Arial" w:hAnsi="Arial"/>
                <w:sz w:val="17"/>
                <w:szCs w:val="17"/>
                <w:color w:val="auto"/>
              </w:rPr>
              <w:t>Total East Region - Other</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247,578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2,428,000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4"/>
              </w:rPr>
              <w:t>Total East Region</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2,148,797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15,945,000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300" w:type="dxa"/>
            <w:vAlign w:val="bottom"/>
            <w:gridSpan w:val="5"/>
          </w:tcPr>
          <w:p>
            <w:pPr>
              <w:spacing w:after="0"/>
              <w:rPr>
                <w:sz w:val="20"/>
                <w:szCs w:val="20"/>
                <w:color w:val="auto"/>
              </w:rPr>
            </w:pPr>
            <w:r>
              <w:rPr>
                <w:rFonts w:ascii="Arial" w:cs="Arial" w:eastAsia="Arial" w:hAnsi="Arial"/>
                <w:sz w:val="17"/>
                <w:szCs w:val="17"/>
                <w:b w:val="1"/>
                <w:bCs w:val="1"/>
                <w:color w:val="auto"/>
              </w:rPr>
              <w:t>West Region</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40" w:type="dxa"/>
            <w:vAlign w:val="bottom"/>
            <w:tcBorders>
              <w:bottom w:val="single" w:sz="8" w:color="auto"/>
            </w:tcBorders>
            <w:gridSpan w:val="2"/>
            <w:shd w:val="clear" w:color="auto" w:fill="CCEEFF"/>
          </w:tcPr>
          <w:p>
            <w:pPr>
              <w:spacing w:after="0" w:line="166" w:lineRule="exact"/>
              <w:rPr>
                <w:sz w:val="20"/>
                <w:szCs w:val="20"/>
                <w:color w:val="auto"/>
              </w:rPr>
            </w:pPr>
            <w:r>
              <w:rPr>
                <w:rFonts w:ascii="Arial" w:cs="Arial" w:eastAsia="Arial" w:hAnsi="Arial"/>
                <w:sz w:val="17"/>
                <w:szCs w:val="17"/>
                <w:b w:val="1"/>
                <w:bCs w:val="1"/>
                <w:color w:val="auto"/>
                <w:w w:val="91"/>
              </w:rPr>
              <w:t>California</w:t>
            </w:r>
          </w:p>
        </w:tc>
        <w:tc>
          <w:tcPr>
            <w:tcW w:w="56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Colorado Blvd</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Los Angeles-Long Beach, CA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16,695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69,000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w w:val="93"/>
              </w:rPr>
              <w:t>Pottery Barn / Banana</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Crow Canyon</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San Ramon,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51,129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22,032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225,000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0"/>
              </w:rPr>
              <w:t>58,000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Albertson’s</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3"/>
              </w:rPr>
              <w:t>Loehmann’s / Rite Aid</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Escondido (9)</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San Diego, CA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26,317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222,000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w w:val="97"/>
              </w:rPr>
              <w:t>Cost Plus / TJ Maxx /</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Fifth Ave (10)</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San Diego,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12,698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Urban Outfitters</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00" w:type="dxa"/>
            <w:vAlign w:val="bottom"/>
            <w:gridSpan w:val="5"/>
          </w:tcPr>
          <w:p>
            <w:pPr>
              <w:spacing w:after="0"/>
              <w:rPr>
                <w:sz w:val="20"/>
                <w:szCs w:val="20"/>
                <w:color w:val="auto"/>
              </w:rPr>
            </w:pPr>
            <w:r>
              <w:rPr>
                <w:rFonts w:ascii="Arial" w:cs="Arial" w:eastAsia="Arial" w:hAnsi="Arial"/>
                <w:sz w:val="17"/>
                <w:szCs w:val="17"/>
                <w:color w:val="auto"/>
                <w:w w:val="92"/>
              </w:rPr>
              <w:t>Hermosa Ave (11)</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Los Angeles-Long Beach, CA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4,721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23,000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Hollywood Blvd</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Los Angeles-Long Beach,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37,532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L.A. Fitness</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Kings Court (5)</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San Jose, CA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11,510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79,000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25,000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Lunardi’s Super</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Longs Drug Store</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Market</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9"/>
              </w:rPr>
              <w:t>Old Town Center</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San Jose,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33,361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Borders / Gap Kids /</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Banana Republic</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Santana Row</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San Jose, CA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458,566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563,000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Crate &amp; Barrel /</w:t>
            </w:r>
          </w:p>
        </w:tc>
        <w:tc>
          <w:tcPr>
            <w:tcW w:w="0" w:type="dxa"/>
            <w:vAlign w:val="bottom"/>
          </w:tcPr>
          <w:p>
            <w:pPr>
              <w:spacing w:after="0"/>
              <w:rPr>
                <w:sz w:val="1"/>
                <w:szCs w:val="1"/>
                <w:color w:val="auto"/>
              </w:rPr>
            </w:pPr>
          </w:p>
        </w:tc>
      </w:tr>
      <w:tr>
        <w:trPr>
          <w:trHeight w:val="204"/>
        </w:trPr>
        <w:tc>
          <w:tcPr>
            <w:tcW w:w="1300" w:type="dxa"/>
            <w:vAlign w:val="bottom"/>
            <w:gridSpan w:val="5"/>
          </w:tcPr>
          <w:p>
            <w:pPr>
              <w:ind w:left="200"/>
              <w:spacing w:after="0"/>
              <w:rPr>
                <w:sz w:val="20"/>
                <w:szCs w:val="20"/>
                <w:color w:val="auto"/>
              </w:rPr>
            </w:pPr>
            <w:r>
              <w:rPr>
                <w:rFonts w:ascii="Arial" w:cs="Arial" w:eastAsia="Arial" w:hAnsi="Arial"/>
                <w:sz w:val="17"/>
                <w:szCs w:val="17"/>
                <w:color w:val="auto"/>
              </w:rPr>
              <w:t>(Phase I, II &amp;</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w w:val="93"/>
              </w:rPr>
              <w:t>Container Store / Best</w:t>
            </w:r>
          </w:p>
        </w:tc>
        <w:tc>
          <w:tcPr>
            <w:tcW w:w="0" w:type="dxa"/>
            <w:vAlign w:val="bottom"/>
          </w:tcPr>
          <w:p>
            <w:pPr>
              <w:spacing w:after="0"/>
              <w:rPr>
                <w:sz w:val="1"/>
                <w:szCs w:val="1"/>
                <w:color w:val="auto"/>
              </w:rPr>
            </w:pPr>
          </w:p>
        </w:tc>
      </w:tr>
      <w:tr>
        <w:trPr>
          <w:trHeight w:val="204"/>
        </w:trPr>
        <w:tc>
          <w:tcPr>
            <w:tcW w:w="1300" w:type="dxa"/>
            <w:vAlign w:val="bottom"/>
            <w:gridSpan w:val="5"/>
          </w:tcPr>
          <w:p>
            <w:pPr>
              <w:ind w:left="200"/>
              <w:spacing w:after="0"/>
              <w:rPr>
                <w:sz w:val="20"/>
                <w:szCs w:val="20"/>
                <w:color w:val="auto"/>
              </w:rPr>
            </w:pPr>
            <w:r>
              <w:rPr>
                <w:rFonts w:ascii="Arial" w:cs="Arial" w:eastAsia="Arial" w:hAnsi="Arial"/>
                <w:sz w:val="17"/>
                <w:szCs w:val="17"/>
                <w:color w:val="auto"/>
              </w:rPr>
              <w:t>III)</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Buy / Borders /</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CineArts Theatre</w:t>
            </w:r>
          </w:p>
        </w:tc>
        <w:tc>
          <w:tcPr>
            <w:tcW w:w="0" w:type="dxa"/>
            <w:vAlign w:val="bottom"/>
          </w:tcPr>
          <w:p>
            <w:pPr>
              <w:spacing w:after="0"/>
              <w:rPr>
                <w:sz w:val="1"/>
                <w:szCs w:val="1"/>
                <w:color w:val="auto"/>
              </w:rPr>
            </w:pPr>
          </w:p>
        </w:tc>
      </w:tr>
      <w:tr>
        <w:trPr>
          <w:trHeight w:val="196"/>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Third St</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Los Angeles-Long Beach,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73,980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J. Crew / Banana</w:t>
            </w:r>
          </w:p>
        </w:tc>
        <w:tc>
          <w:tcPr>
            <w:tcW w:w="0" w:type="dxa"/>
            <w:vAlign w:val="bottom"/>
          </w:tcPr>
          <w:p>
            <w:pPr>
              <w:spacing w:after="0"/>
              <w:rPr>
                <w:sz w:val="1"/>
                <w:szCs w:val="1"/>
                <w:color w:val="auto"/>
              </w:rPr>
            </w:pPr>
          </w:p>
        </w:tc>
      </w:tr>
      <w:tr>
        <w:trPr>
          <w:trHeight w:val="204"/>
        </w:trPr>
        <w:tc>
          <w:tcPr>
            <w:tcW w:w="130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w w:val="87"/>
              </w:rPr>
              <w:t>Promenade (12)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w w:val="97"/>
              </w:rPr>
              <w:t>Republic / Old Navy /</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Abercrombie &amp; Fitch</w:t>
            </w:r>
          </w:p>
        </w:tc>
        <w:tc>
          <w:tcPr>
            <w:tcW w:w="0" w:type="dxa"/>
            <w:vAlign w:val="bottom"/>
          </w:tcPr>
          <w:p>
            <w:pPr>
              <w:spacing w:after="0"/>
              <w:rPr>
                <w:sz w:val="1"/>
                <w:szCs w:val="1"/>
                <w:color w:val="auto"/>
              </w:rPr>
            </w:pPr>
          </w:p>
        </w:tc>
      </w:tr>
      <w:tr>
        <w:trPr>
          <w:trHeight w:val="196"/>
        </w:trPr>
        <w:tc>
          <w:tcPr>
            <w:tcW w:w="1300" w:type="dxa"/>
            <w:vAlign w:val="bottom"/>
            <w:gridSpan w:val="5"/>
          </w:tcPr>
          <w:p>
            <w:pPr>
              <w:spacing w:after="0"/>
              <w:rPr>
                <w:sz w:val="20"/>
                <w:szCs w:val="20"/>
                <w:color w:val="auto"/>
              </w:rPr>
            </w:pPr>
            <w:r>
              <w:rPr>
                <w:rFonts w:ascii="Arial" w:cs="Arial" w:eastAsia="Arial" w:hAnsi="Arial"/>
                <w:sz w:val="17"/>
                <w:szCs w:val="17"/>
                <w:color w:val="auto"/>
              </w:rPr>
              <w:t>Westgate</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San Jose, CA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2004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115,202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645,000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98%</w:t>
            </w:r>
          </w:p>
        </w:tc>
        <w:tc>
          <w:tcPr>
            <w:tcW w:w="460" w:type="dxa"/>
            <w:vAlign w:val="bottom"/>
          </w:tcPr>
          <w:p>
            <w:pPr>
              <w:ind w:left="20"/>
              <w:spacing w:after="0"/>
              <w:rPr>
                <w:sz w:val="20"/>
                <w:szCs w:val="20"/>
                <w:color w:val="auto"/>
              </w:rPr>
            </w:pPr>
            <w:r>
              <w:rPr>
                <w:rFonts w:ascii="Arial" w:cs="Arial" w:eastAsia="Arial" w:hAnsi="Arial"/>
                <w:sz w:val="17"/>
                <w:szCs w:val="17"/>
                <w:color w:val="auto"/>
                <w:w w:val="80"/>
              </w:rPr>
              <w:t>38,000</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Safeway</w:t>
            </w: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Target / Burlington</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w w:val="94"/>
              </w:rPr>
              <w:t>Coat Factory / Barnes</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&amp; Noble / Ross</w:t>
            </w:r>
          </w:p>
        </w:tc>
        <w:tc>
          <w:tcPr>
            <w:tcW w:w="0" w:type="dxa"/>
            <w:vAlign w:val="bottom"/>
          </w:tcPr>
          <w:p>
            <w:pPr>
              <w:spacing w:after="0"/>
              <w:rPr>
                <w:sz w:val="1"/>
                <w:szCs w:val="1"/>
                <w:color w:val="auto"/>
              </w:rPr>
            </w:pPr>
          </w:p>
        </w:tc>
      </w:tr>
      <w:tr>
        <w:trPr>
          <w:trHeight w:val="205"/>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150 Post Street</w:t>
            </w:r>
          </w:p>
        </w:tc>
        <w:tc>
          <w:tcPr>
            <w:tcW w:w="25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San Francisco,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35,622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Brooks Brothers</w:t>
            </w:r>
          </w:p>
        </w:tc>
        <w:tc>
          <w:tcPr>
            <w:tcW w:w="0" w:type="dxa"/>
            <w:vAlign w:val="bottom"/>
          </w:tcPr>
          <w:p>
            <w:pPr>
              <w:spacing w:after="0"/>
              <w:rPr>
                <w:sz w:val="1"/>
                <w:szCs w:val="1"/>
                <w:color w:val="auto"/>
              </w:rPr>
            </w:pPr>
          </w:p>
        </w:tc>
      </w:tr>
      <w:tr>
        <w:trPr>
          <w:trHeight w:val="20"/>
        </w:trPr>
        <w:tc>
          <w:tcPr>
            <w:tcW w:w="1300" w:type="dxa"/>
            <w:vAlign w:val="bottom"/>
            <w:gridSpan w:val="5"/>
            <w:vMerge w:val="restart"/>
          </w:tcPr>
          <w:p>
            <w:pPr>
              <w:spacing w:after="0"/>
              <w:rPr>
                <w:sz w:val="20"/>
                <w:szCs w:val="20"/>
                <w:color w:val="auto"/>
              </w:rPr>
            </w:pPr>
            <w:r>
              <w:rPr>
                <w:rFonts w:ascii="Arial" w:cs="Arial" w:eastAsia="Arial" w:hAnsi="Arial"/>
                <w:sz w:val="17"/>
                <w:szCs w:val="17"/>
                <w:color w:val="auto"/>
              </w:rPr>
              <w:t>Total California</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877,333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2,434,000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460" w:type="dxa"/>
            <w:vAlign w:val="bottom"/>
            <w:tcBorders>
              <w:bottom w:val="single" w:sz="8" w:color="auto"/>
            </w:tcBorders>
            <w:gridSpan w:val="8"/>
            <w:shd w:val="clear" w:color="auto" w:fill="CCEEFF"/>
          </w:tcPr>
          <w:p>
            <w:pPr>
              <w:spacing w:after="0" w:line="166" w:lineRule="exact"/>
              <w:rPr>
                <w:sz w:val="20"/>
                <w:szCs w:val="20"/>
                <w:color w:val="auto"/>
              </w:rPr>
            </w:pPr>
            <w:r>
              <w:rPr>
                <w:rFonts w:ascii="Arial" w:cs="Arial" w:eastAsia="Arial" w:hAnsi="Arial"/>
                <w:sz w:val="17"/>
                <w:szCs w:val="17"/>
                <w:b w:val="1"/>
                <w:bCs w:val="1"/>
                <w:color w:val="auto"/>
                <w:w w:val="88"/>
              </w:rPr>
              <w:t>West Region - Other</w:t>
            </w:r>
          </w:p>
        </w:tc>
        <w:tc>
          <w:tcPr>
            <w:tcW w:w="2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gridSpan w:val="5"/>
          </w:tcPr>
          <w:p>
            <w:pPr>
              <w:spacing w:after="0"/>
              <w:rPr>
                <w:sz w:val="20"/>
                <w:szCs w:val="20"/>
                <w:color w:val="auto"/>
              </w:rPr>
            </w:pPr>
            <w:r>
              <w:rPr>
                <w:rFonts w:ascii="Arial" w:cs="Arial" w:eastAsia="Arial" w:hAnsi="Arial"/>
                <w:sz w:val="17"/>
                <w:szCs w:val="17"/>
                <w:color w:val="auto"/>
              </w:rPr>
              <w:t>Houston St</w:t>
            </w:r>
          </w:p>
        </w:tc>
        <w:tc>
          <w:tcPr>
            <w:tcW w:w="2540" w:type="dxa"/>
            <w:vAlign w:val="bottom"/>
            <w:gridSpan w:val="4"/>
          </w:tcPr>
          <w:p>
            <w:pPr>
              <w:ind w:left="80"/>
              <w:spacing w:after="0"/>
              <w:rPr>
                <w:sz w:val="20"/>
                <w:szCs w:val="20"/>
                <w:color w:val="auto"/>
              </w:rPr>
            </w:pPr>
            <w:r>
              <w:rPr>
                <w:rFonts w:ascii="Arial" w:cs="Arial" w:eastAsia="Arial" w:hAnsi="Arial"/>
                <w:sz w:val="17"/>
                <w:szCs w:val="17"/>
                <w:color w:val="auto"/>
              </w:rPr>
              <w:t>San Antonio, 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62,231</w:t>
            </w: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110</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171,000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Hotel Valencia</w:t>
            </w:r>
          </w:p>
        </w:tc>
        <w:tc>
          <w:tcPr>
            <w:tcW w:w="0" w:type="dxa"/>
            <w:vAlign w:val="bottom"/>
          </w:tcPr>
          <w:p>
            <w:pPr>
              <w:spacing w:after="0"/>
              <w:rPr>
                <w:sz w:val="1"/>
                <w:szCs w:val="1"/>
                <w:color w:val="auto"/>
              </w:rPr>
            </w:pPr>
          </w:p>
        </w:tc>
      </w:tr>
      <w:tr>
        <w:trPr>
          <w:trHeight w:val="204"/>
        </w:trPr>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1"/>
              </w:rPr>
              <w:t>Total West Region</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939,564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2,605,000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Grand Total</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6"/>
              </w:rPr>
              <w:t>$</w:t>
            </w:r>
            <w:r>
              <w:rPr>
                <w:rFonts w:ascii="Arial" w:cs="Arial" w:eastAsia="Arial" w:hAnsi="Arial"/>
                <w:sz w:val="17"/>
                <w:szCs w:val="17"/>
                <w:b w:val="1"/>
                <w:bCs w:val="1"/>
                <w:color w:val="auto"/>
                <w:w w:val="86"/>
              </w:rPr>
              <w:t>3,088,361</w:t>
            </w:r>
          </w:p>
        </w:tc>
        <w:tc>
          <w:tcPr>
            <w:tcW w:w="840" w:type="dxa"/>
            <w:vAlign w:val="bottom"/>
            <w:gridSpan w:val="3"/>
          </w:tcPr>
          <w:p>
            <w:pPr>
              <w:jc w:val="right"/>
              <w:ind w:right="10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434,936</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84"/>
              </w:rPr>
              <w:t>18,550,000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20" w:lineRule="exact"/>
        <w:rPr>
          <w:rFonts w:ascii="Arial" w:cs="Arial" w:eastAsia="Arial" w:hAnsi="Arial"/>
          <w:sz w:val="16"/>
          <w:szCs w:val="16"/>
          <w:color w:val="auto"/>
        </w:rPr>
      </w:pPr>
    </w:p>
    <w:p>
      <w:pPr>
        <w:ind w:left="440" w:hanging="438"/>
        <w:spacing w:after="0" w:line="250"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8" w:lineRule="exact"/>
        <w:rPr>
          <w:rFonts w:ascii="Arial" w:cs="Arial" w:eastAsia="Arial" w:hAnsi="Arial"/>
          <w:sz w:val="17"/>
          <w:szCs w:val="17"/>
          <w:color w:val="auto"/>
        </w:rPr>
      </w:pPr>
    </w:p>
    <w:p>
      <w:pPr>
        <w:ind w:left="440" w:right="660" w:hanging="438"/>
        <w:spacing w:after="0" w:line="250"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September 13, 2006, the Trust acquired one retail condominium unit with approximately 53,000 square feet, and we intend to acquire additional retail condominium units totaling approximately 135,000 square feet. No square footage has been placed in service.</w:t>
      </w:r>
    </w:p>
    <w:p>
      <w:pPr>
        <w:spacing w:after="0" w:line="1"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or a portion of the property is currently parked with a Section 1031 exchange agent for a potential “reverse” exchange.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four properties, three owned 100% by the Trust and one in which the Trust has a 90% ownership interest.</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nine properties, eight owned 100% by the Trust and one in which the Trust has a 90% ownership interest.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00"/>
          </w:cols>
          <w:pgMar w:left="240" w:top="131"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3"/>
              <w:spacing w:after="0"/>
              <w:rPr>
                <w:sz w:val="20"/>
                <w:szCs w:val="20"/>
                <w:color w:val="auto"/>
              </w:rPr>
            </w:pPr>
            <w:r>
              <w:rPr>
                <w:rFonts w:ascii="Arial" w:cs="Arial" w:eastAsia="Arial" w:hAnsi="Arial"/>
                <w:sz w:val="13"/>
                <w:szCs w:val="13"/>
                <w:b w:val="1"/>
                <w:bCs w:val="1"/>
                <w:color w:val="auto"/>
                <w:w w:val="89"/>
              </w:rPr>
              <w:t>Tenant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40"/>
              <w:spacing w:after="0" w:line="141"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6"/>
              <w:spacing w:after="0" w:line="141" w:lineRule="exact"/>
              <w:rPr>
                <w:sz w:val="20"/>
                <w:szCs w:val="20"/>
                <w:color w:val="auto"/>
              </w:rPr>
            </w:pPr>
            <w:r>
              <w:rPr>
                <w:rFonts w:ascii="Arial" w:cs="Arial" w:eastAsia="Arial" w:hAnsi="Arial"/>
                <w:sz w:val="13"/>
                <w:szCs w:val="13"/>
                <w:b w:val="1"/>
                <w:bCs w:val="1"/>
                <w:color w:val="auto"/>
                <w:w w:val="90"/>
              </w:rPr>
              <w:t>Annual</w:t>
            </w: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2"/>
              </w:rPr>
              <w:t>Cash Basis</w:t>
            </w:r>
          </w:p>
        </w:tc>
        <w:tc>
          <w:tcPr>
            <w:tcW w:w="11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0"/>
              </w:rPr>
              <w:t>Straight-lined</w:t>
            </w: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8"/>
              </w:rPr>
              <w:t>Weighted</w:t>
            </w:r>
          </w:p>
        </w:tc>
        <w:tc>
          <w:tcPr>
            <w:tcW w:w="6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60" w:type="dxa"/>
            <w:vAlign w:val="bottom"/>
          </w:tcPr>
          <w:p>
            <w:pPr>
              <w:spacing w:after="0"/>
              <w:rPr>
                <w:sz w:val="12"/>
                <w:szCs w:val="12"/>
                <w:color w:val="auto"/>
              </w:rPr>
            </w:pPr>
          </w:p>
        </w:tc>
        <w:tc>
          <w:tcPr>
            <w:tcW w:w="8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w w:val="85"/>
              </w:rPr>
              <w:t>Improvements</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2"/>
                <w:szCs w:val="12"/>
                <w:color w:val="auto"/>
              </w:rPr>
            </w:pPr>
          </w:p>
        </w:tc>
        <w:tc>
          <w:tcPr>
            <w:tcW w:w="1160" w:type="dxa"/>
            <w:vAlign w:val="bottom"/>
            <w:gridSpan w:val="4"/>
          </w:tcPr>
          <w:p>
            <w:pPr>
              <w:jc w:val="center"/>
              <w:ind w:right="140"/>
              <w:spacing w:after="0" w:line="141" w:lineRule="exact"/>
              <w:rPr>
                <w:sz w:val="20"/>
                <w:szCs w:val="20"/>
                <w:color w:val="auto"/>
              </w:rPr>
            </w:pPr>
            <w:r>
              <w:rPr>
                <w:rFonts w:ascii="Arial" w:cs="Arial" w:eastAsia="Arial" w:hAnsi="Arial"/>
                <w:sz w:val="13"/>
                <w:szCs w:val="13"/>
                <w:b w:val="1"/>
                <w:bCs w:val="1"/>
                <w:color w:val="auto"/>
                <w:w w:val="92"/>
              </w:rPr>
              <w:t>% of Comparable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line="141" w:lineRule="exact"/>
              <w:rPr>
                <w:sz w:val="20"/>
                <w:szCs w:val="20"/>
                <w:color w:val="auto"/>
              </w:rPr>
            </w:pPr>
            <w:r>
              <w:rPr>
                <w:rFonts w:ascii="Arial" w:cs="Arial" w:eastAsia="Arial" w:hAnsi="Arial"/>
                <w:sz w:val="13"/>
                <w:szCs w:val="13"/>
                <w:b w:val="1"/>
                <w:bCs w:val="1"/>
                <w:color w:val="auto"/>
                <w:w w:val="90"/>
              </w:rPr>
              <w:t>Rent (3)</w:t>
            </w: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Prior Rent (4)</w:t>
            </w:r>
          </w:p>
        </w:tc>
        <w:tc>
          <w:tcPr>
            <w:tcW w:w="80" w:type="dxa"/>
            <w:vAlign w:val="bottom"/>
          </w:tcPr>
          <w:p>
            <w:pPr>
              <w:spacing w:after="0"/>
              <w:rPr>
                <w:sz w:val="12"/>
                <w:szCs w:val="12"/>
                <w:color w:val="auto"/>
              </w:rPr>
            </w:pPr>
          </w:p>
        </w:tc>
        <w:tc>
          <w:tcPr>
            <w:tcW w:w="720" w:type="dxa"/>
            <w:vAlign w:val="bottom"/>
          </w:tcPr>
          <w:p>
            <w:pPr>
              <w:jc w:val="center"/>
              <w:ind w:right="6"/>
              <w:spacing w:after="0" w:line="141" w:lineRule="exact"/>
              <w:rPr>
                <w:sz w:val="20"/>
                <w:szCs w:val="20"/>
                <w:color w:val="auto"/>
              </w:rPr>
            </w:pPr>
            <w:r>
              <w:rPr>
                <w:rFonts w:ascii="Arial" w:cs="Arial" w:eastAsia="Arial" w:hAnsi="Arial"/>
                <w:sz w:val="13"/>
                <w:szCs w:val="13"/>
                <w:b w:val="1"/>
                <w:bCs w:val="1"/>
                <w:color w:val="auto"/>
                <w:w w:val="88"/>
              </w:rPr>
              <w:t>Increase in</w:t>
            </w: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1"/>
              </w:rPr>
              <w:t>% Increase</w:t>
            </w:r>
          </w:p>
        </w:tc>
        <w:tc>
          <w:tcPr>
            <w:tcW w:w="11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8"/>
              </w:rPr>
              <w:t>Basis % Increase</w:t>
            </w: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Average</w:t>
            </w:r>
          </w:p>
        </w:tc>
        <w:tc>
          <w:tcPr>
            <w:tcW w:w="6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8"/>
              </w:rPr>
              <w:t>&amp; Incentives</w:t>
            </w:r>
          </w:p>
        </w:tc>
        <w:tc>
          <w:tcPr>
            <w:tcW w:w="6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9"/>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3"/>
                <w:szCs w:val="13"/>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Leases Signed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GLA Signed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Per Sq. Ft.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Rent</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Over Prior Rent</w:t>
            </w:r>
          </w:p>
        </w:tc>
        <w:tc>
          <w:tcPr>
            <w:tcW w:w="1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Over Prior Rent</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Lease Term (5)</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(6)</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3rd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99,355</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21.92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234,341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87"/>
              </w:rPr>
              <w:t>2nd Quarter 2006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220" w:type="dxa"/>
            <w:vAlign w:val="bottom"/>
            <w:gridSpan w:val="5"/>
          </w:tcPr>
          <w:p>
            <w:pPr>
              <w:jc w:val="right"/>
              <w:ind w:right="20"/>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152,112</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26.21</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23.03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483,141</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820" w:type="dxa"/>
            <w:vAlign w:val="bottom"/>
          </w:tcPr>
          <w:p>
            <w:pPr>
              <w:jc w:val="right"/>
              <w:spacing w:after="0"/>
              <w:rPr>
                <w:sz w:val="20"/>
                <w:szCs w:val="20"/>
                <w:color w:val="auto"/>
              </w:rPr>
            </w:pPr>
            <w:r>
              <w:rPr>
                <w:rFonts w:ascii="Arial" w:cs="Arial" w:eastAsia="Arial" w:hAnsi="Arial"/>
                <w:sz w:val="17"/>
                <w:szCs w:val="17"/>
                <w:color w:val="auto"/>
              </w:rPr>
              <w:t>6.0</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0.66</w:t>
            </w: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1st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208,579</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24.28</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21.72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533,573</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462,906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4th Quarter 2005</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w:t>
            </w:r>
          </w:p>
        </w:tc>
        <w:tc>
          <w:tcPr>
            <w:tcW w:w="60" w:type="dxa"/>
            <w:vAlign w:val="bottom"/>
          </w:tcPr>
          <w:p>
            <w:pPr>
              <w:spacing w:after="0"/>
              <w:rPr>
                <w:sz w:val="17"/>
                <w:szCs w:val="17"/>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266,018</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19.78</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18.31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389,590</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820" w:type="dxa"/>
            <w:vAlign w:val="bottom"/>
          </w:tcPr>
          <w:p>
            <w:pPr>
              <w:jc w:val="right"/>
              <w:spacing w:after="0"/>
              <w:rPr>
                <w:sz w:val="20"/>
                <w:szCs w:val="20"/>
                <w:color w:val="auto"/>
              </w:rPr>
            </w:pPr>
            <w:r>
              <w:rPr>
                <w:rFonts w:ascii="Arial" w:cs="Arial" w:eastAsia="Arial" w:hAnsi="Arial"/>
                <w:sz w:val="17"/>
                <w:szCs w:val="17"/>
                <w:color w:val="auto"/>
              </w:rPr>
              <w:t>5.2</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2,522,399</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Total - 12 months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726,064</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22.71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$ 1,640,645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3,085,305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220" w:type="dxa"/>
            <w:vAlign w:val="bottom"/>
            <w:gridSpan w:val="9"/>
          </w:tcPr>
          <w:p>
            <w:pPr>
              <w:spacing w:after="0"/>
              <w:rPr>
                <w:sz w:val="20"/>
                <w:szCs w:val="20"/>
                <w:color w:val="auto"/>
              </w:rPr>
            </w:pPr>
            <w:r>
              <w:rPr>
                <w:rFonts w:ascii="Arial" w:cs="Arial" w:eastAsia="Arial" w:hAnsi="Arial"/>
                <w:sz w:val="17"/>
                <w:szCs w:val="17"/>
                <w:b w:val="1"/>
                <w:bCs w:val="1"/>
                <w:color w:val="auto"/>
              </w:rPr>
              <w:t>New Lease Summary - Comparable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right="63"/>
              <w:spacing w:after="0"/>
              <w:rPr>
                <w:sz w:val="20"/>
                <w:szCs w:val="20"/>
                <w:color w:val="auto"/>
              </w:rPr>
            </w:pPr>
            <w:r>
              <w:rPr>
                <w:rFonts w:ascii="Arial" w:cs="Arial" w:eastAsia="Arial" w:hAnsi="Arial"/>
                <w:sz w:val="13"/>
                <w:szCs w:val="13"/>
                <w:b w:val="1"/>
                <w:bCs w:val="1"/>
                <w:color w:val="auto"/>
                <w:w w:val="89"/>
              </w:rPr>
              <w:t>Tenant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right="3"/>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40"/>
              <w:spacing w:after="0" w:line="141"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6"/>
              <w:spacing w:after="0" w:line="141" w:lineRule="exact"/>
              <w:rPr>
                <w:sz w:val="20"/>
                <w:szCs w:val="20"/>
                <w:color w:val="auto"/>
              </w:rPr>
            </w:pPr>
            <w:r>
              <w:rPr>
                <w:rFonts w:ascii="Arial" w:cs="Arial" w:eastAsia="Arial" w:hAnsi="Arial"/>
                <w:sz w:val="13"/>
                <w:szCs w:val="13"/>
                <w:b w:val="1"/>
                <w:bCs w:val="1"/>
                <w:color w:val="auto"/>
                <w:w w:val="90"/>
              </w:rPr>
              <w:t>Annual</w:t>
            </w: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6"/>
              </w:rPr>
              <w:t>Cash Basis %</w:t>
            </w:r>
          </w:p>
        </w:tc>
        <w:tc>
          <w:tcPr>
            <w:tcW w:w="11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0"/>
              </w:rPr>
              <w:t>Straight-lined</w:t>
            </w: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Average</w:t>
            </w:r>
          </w:p>
        </w:tc>
        <w:tc>
          <w:tcPr>
            <w:tcW w:w="6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60" w:type="dxa"/>
            <w:vAlign w:val="bottom"/>
          </w:tcPr>
          <w:p>
            <w:pPr>
              <w:spacing w:after="0"/>
              <w:rPr>
                <w:sz w:val="12"/>
                <w:szCs w:val="12"/>
                <w:color w:val="auto"/>
              </w:rPr>
            </w:pPr>
          </w:p>
        </w:tc>
        <w:tc>
          <w:tcPr>
            <w:tcW w:w="8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w w:val="85"/>
              </w:rPr>
              <w:t>Improvements</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2"/>
                <w:szCs w:val="12"/>
                <w:color w:val="auto"/>
              </w:rPr>
            </w:pPr>
          </w:p>
        </w:tc>
        <w:tc>
          <w:tcPr>
            <w:tcW w:w="1160" w:type="dxa"/>
            <w:vAlign w:val="bottom"/>
            <w:gridSpan w:val="4"/>
          </w:tcPr>
          <w:p>
            <w:pPr>
              <w:jc w:val="center"/>
              <w:ind w:right="140"/>
              <w:spacing w:after="0" w:line="141" w:lineRule="exact"/>
              <w:rPr>
                <w:sz w:val="20"/>
                <w:szCs w:val="20"/>
                <w:color w:val="auto"/>
              </w:rPr>
            </w:pPr>
            <w:r>
              <w:rPr>
                <w:rFonts w:ascii="Arial" w:cs="Arial" w:eastAsia="Arial" w:hAnsi="Arial"/>
                <w:sz w:val="13"/>
                <w:szCs w:val="13"/>
                <w:b w:val="1"/>
                <w:bCs w:val="1"/>
                <w:color w:val="auto"/>
                <w:w w:val="92"/>
              </w:rPr>
              <w:t>% of Comparable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line="141" w:lineRule="exact"/>
              <w:rPr>
                <w:sz w:val="20"/>
                <w:szCs w:val="20"/>
                <w:color w:val="auto"/>
              </w:rPr>
            </w:pPr>
            <w:r>
              <w:rPr>
                <w:rFonts w:ascii="Arial" w:cs="Arial" w:eastAsia="Arial" w:hAnsi="Arial"/>
                <w:sz w:val="13"/>
                <w:szCs w:val="13"/>
                <w:b w:val="1"/>
                <w:bCs w:val="1"/>
                <w:color w:val="auto"/>
                <w:w w:val="90"/>
              </w:rPr>
              <w:t>Rent (3)</w:t>
            </w: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Prior Rent (4)</w:t>
            </w:r>
          </w:p>
        </w:tc>
        <w:tc>
          <w:tcPr>
            <w:tcW w:w="80" w:type="dxa"/>
            <w:vAlign w:val="bottom"/>
          </w:tcPr>
          <w:p>
            <w:pPr>
              <w:spacing w:after="0"/>
              <w:rPr>
                <w:sz w:val="12"/>
                <w:szCs w:val="12"/>
                <w:color w:val="auto"/>
              </w:rPr>
            </w:pPr>
          </w:p>
        </w:tc>
        <w:tc>
          <w:tcPr>
            <w:tcW w:w="720" w:type="dxa"/>
            <w:vAlign w:val="bottom"/>
          </w:tcPr>
          <w:p>
            <w:pPr>
              <w:jc w:val="center"/>
              <w:ind w:right="6"/>
              <w:spacing w:after="0" w:line="141" w:lineRule="exact"/>
              <w:rPr>
                <w:sz w:val="20"/>
                <w:szCs w:val="20"/>
                <w:color w:val="auto"/>
              </w:rPr>
            </w:pPr>
            <w:r>
              <w:rPr>
                <w:rFonts w:ascii="Arial" w:cs="Arial" w:eastAsia="Arial" w:hAnsi="Arial"/>
                <w:sz w:val="13"/>
                <w:szCs w:val="13"/>
                <w:b w:val="1"/>
                <w:bCs w:val="1"/>
                <w:color w:val="auto"/>
                <w:w w:val="88"/>
              </w:rPr>
              <w:t>Increase in</w:t>
            </w: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0"/>
              </w:rPr>
              <w:t>Increase Over</w:t>
            </w:r>
          </w:p>
        </w:tc>
        <w:tc>
          <w:tcPr>
            <w:tcW w:w="11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8"/>
              </w:rPr>
              <w:t>Basis % Increase</w:t>
            </w: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8"/>
              </w:rPr>
              <w:t>Lease Term</w:t>
            </w:r>
          </w:p>
        </w:tc>
        <w:tc>
          <w:tcPr>
            <w:tcW w:w="6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8"/>
              </w:rPr>
              <w:t>&amp; Incentives</w:t>
            </w:r>
          </w:p>
        </w:tc>
        <w:tc>
          <w:tcPr>
            <w:tcW w:w="6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9"/>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3"/>
                <w:szCs w:val="13"/>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Leases Signed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GLA Signed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Per Sq. Ft.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Rent</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Prior Rent</w:t>
            </w:r>
          </w:p>
        </w:tc>
        <w:tc>
          <w:tcPr>
            <w:tcW w:w="1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Over Prior Rent</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(5)</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(6)</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3rd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232,845</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19.21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$ 1,016,796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4,182,700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87"/>
              </w:rPr>
              <w:t>2nd Quarter 2006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1220" w:type="dxa"/>
            <w:vAlign w:val="bottom"/>
            <w:gridSpan w:val="5"/>
          </w:tcPr>
          <w:p>
            <w:pPr>
              <w:jc w:val="right"/>
              <w:ind w:right="20"/>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123,652</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22.18</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18.28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483,059</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32%</w:t>
            </w:r>
          </w:p>
        </w:tc>
        <w:tc>
          <w:tcPr>
            <w:tcW w:w="820" w:type="dxa"/>
            <w:vAlign w:val="bottom"/>
          </w:tcPr>
          <w:p>
            <w:pPr>
              <w:jc w:val="right"/>
              <w:spacing w:after="0"/>
              <w:rPr>
                <w:sz w:val="20"/>
                <w:szCs w:val="20"/>
                <w:color w:val="auto"/>
              </w:rPr>
            </w:pPr>
            <w:r>
              <w:rPr>
                <w:rFonts w:ascii="Arial" w:cs="Arial" w:eastAsia="Arial" w:hAnsi="Arial"/>
                <w:sz w:val="17"/>
                <w:szCs w:val="17"/>
                <w:color w:val="auto"/>
              </w:rPr>
              <w:t>7.8</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2,089,643</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1st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77,625</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19.76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380,698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1,084,565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4th Quarter 2005</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7"/>
                <w:szCs w:val="17"/>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187,935</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24.40</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17.98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86"/>
              </w:rPr>
              <w:t>$ 1,206,955</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36%</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820" w:type="dxa"/>
            <w:vAlign w:val="bottom"/>
          </w:tcPr>
          <w:p>
            <w:pPr>
              <w:jc w:val="right"/>
              <w:spacing w:after="0"/>
              <w:rPr>
                <w:sz w:val="20"/>
                <w:szCs w:val="20"/>
                <w:color w:val="auto"/>
              </w:rPr>
            </w:pPr>
            <w:r>
              <w:rPr>
                <w:rFonts w:ascii="Arial" w:cs="Arial" w:eastAsia="Arial" w:hAnsi="Arial"/>
                <w:sz w:val="17"/>
                <w:szCs w:val="17"/>
                <w:color w:val="auto"/>
              </w:rPr>
              <w:t>12.7</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3,764,025</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20.03</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Total - 12 months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622,057</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21.44</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$ 3,087,508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900" w:type="dxa"/>
            <w:vAlign w:val="bottom"/>
            <w:gridSpan w:val="3"/>
            <w:shd w:val="clear" w:color="auto" w:fill="CCEEFF"/>
          </w:tcPr>
          <w:p>
            <w:pPr>
              <w:ind w:left="60"/>
              <w:spacing w:after="0"/>
              <w:rPr>
                <w:sz w:val="20"/>
                <w:szCs w:val="20"/>
                <w:color w:val="auto"/>
              </w:rPr>
            </w:pPr>
            <w:r>
              <w:rPr>
                <w:rFonts w:ascii="Arial" w:cs="Arial" w:eastAsia="Arial" w:hAnsi="Arial"/>
                <w:sz w:val="17"/>
                <w:szCs w:val="17"/>
                <w:u w:val="single" w:color="auto"/>
                <w:color w:val="auto"/>
                <w:w w:val="82"/>
              </w:rPr>
              <w:t>$</w:t>
            </w:r>
            <w:r>
              <w:rPr>
                <w:rFonts w:ascii="Arial" w:cs="Arial" w:eastAsia="Arial" w:hAnsi="Arial"/>
                <w:sz w:val="17"/>
                <w:szCs w:val="17"/>
                <w:color w:val="auto"/>
                <w:w w:val="82"/>
              </w:rPr>
              <w:t xml:space="preserve"> 11,120,933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220" w:type="dxa"/>
            <w:vAlign w:val="bottom"/>
            <w:gridSpan w:val="9"/>
          </w:tcPr>
          <w:p>
            <w:pPr>
              <w:spacing w:after="0"/>
              <w:rPr>
                <w:sz w:val="20"/>
                <w:szCs w:val="20"/>
                <w:color w:val="auto"/>
              </w:rPr>
            </w:pPr>
            <w:r>
              <w:rPr>
                <w:rFonts w:ascii="Arial" w:cs="Arial" w:eastAsia="Arial" w:hAnsi="Arial"/>
                <w:sz w:val="17"/>
                <w:szCs w:val="17"/>
                <w:b w:val="1"/>
                <w:bCs w:val="1"/>
                <w:color w:val="auto"/>
              </w:rPr>
              <w:t>Total Lease Summary - Comparable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right="63"/>
              <w:spacing w:after="0"/>
              <w:rPr>
                <w:sz w:val="20"/>
                <w:szCs w:val="20"/>
                <w:color w:val="auto"/>
              </w:rPr>
            </w:pPr>
            <w:r>
              <w:rPr>
                <w:rFonts w:ascii="Arial" w:cs="Arial" w:eastAsia="Arial" w:hAnsi="Arial"/>
                <w:sz w:val="13"/>
                <w:szCs w:val="13"/>
                <w:b w:val="1"/>
                <w:bCs w:val="1"/>
                <w:color w:val="auto"/>
                <w:w w:val="89"/>
              </w:rPr>
              <w:t>Tenant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right="3"/>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40"/>
              <w:spacing w:after="0" w:line="141"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6"/>
              <w:spacing w:after="0" w:line="141" w:lineRule="exact"/>
              <w:rPr>
                <w:sz w:val="20"/>
                <w:szCs w:val="20"/>
                <w:color w:val="auto"/>
              </w:rPr>
            </w:pPr>
            <w:r>
              <w:rPr>
                <w:rFonts w:ascii="Arial" w:cs="Arial" w:eastAsia="Arial" w:hAnsi="Arial"/>
                <w:sz w:val="13"/>
                <w:szCs w:val="13"/>
                <w:b w:val="1"/>
                <w:bCs w:val="1"/>
                <w:color w:val="auto"/>
                <w:w w:val="90"/>
              </w:rPr>
              <w:t>Annual</w:t>
            </w: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6"/>
              </w:rPr>
              <w:t>Cash Basis %</w:t>
            </w:r>
          </w:p>
        </w:tc>
        <w:tc>
          <w:tcPr>
            <w:tcW w:w="11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0"/>
              </w:rPr>
              <w:t>Straight-lined</w:t>
            </w: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8"/>
              </w:rPr>
              <w:t>Weighted</w:t>
            </w:r>
          </w:p>
        </w:tc>
        <w:tc>
          <w:tcPr>
            <w:tcW w:w="6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60" w:type="dxa"/>
            <w:vAlign w:val="bottom"/>
          </w:tcPr>
          <w:p>
            <w:pPr>
              <w:spacing w:after="0"/>
              <w:rPr>
                <w:sz w:val="12"/>
                <w:szCs w:val="12"/>
                <w:color w:val="auto"/>
              </w:rPr>
            </w:pPr>
          </w:p>
        </w:tc>
        <w:tc>
          <w:tcPr>
            <w:tcW w:w="8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w w:val="85"/>
              </w:rPr>
              <w:t>Improvements</w:t>
            </w:r>
          </w:p>
        </w:tc>
        <w:tc>
          <w:tcPr>
            <w:tcW w:w="0" w:type="dxa"/>
            <w:vAlign w:val="bottom"/>
          </w:tcPr>
          <w:p>
            <w:pPr>
              <w:spacing w:after="0"/>
              <w:rPr>
                <w:sz w:val="1"/>
                <w:szCs w:val="1"/>
                <w:color w:val="auto"/>
              </w:rPr>
            </w:pPr>
          </w:p>
        </w:tc>
      </w:tr>
      <w:tr>
        <w:trPr>
          <w:trHeight w:val="140"/>
        </w:trPr>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2"/>
                <w:szCs w:val="12"/>
                <w:color w:val="auto"/>
              </w:rPr>
            </w:pPr>
          </w:p>
        </w:tc>
        <w:tc>
          <w:tcPr>
            <w:tcW w:w="1160" w:type="dxa"/>
            <w:vAlign w:val="bottom"/>
            <w:gridSpan w:val="4"/>
          </w:tcPr>
          <w:p>
            <w:pPr>
              <w:jc w:val="center"/>
              <w:ind w:right="140"/>
              <w:spacing w:after="0" w:line="141" w:lineRule="exact"/>
              <w:rPr>
                <w:sz w:val="20"/>
                <w:szCs w:val="20"/>
                <w:color w:val="auto"/>
              </w:rPr>
            </w:pPr>
            <w:r>
              <w:rPr>
                <w:rFonts w:ascii="Arial" w:cs="Arial" w:eastAsia="Arial" w:hAnsi="Arial"/>
                <w:sz w:val="13"/>
                <w:szCs w:val="13"/>
                <w:b w:val="1"/>
                <w:bCs w:val="1"/>
                <w:color w:val="auto"/>
                <w:w w:val="92"/>
              </w:rPr>
              <w:t>% of Comparable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93"/>
              </w:rPr>
              <w:t>Rent (3) Per</w:t>
            </w: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Prior Rent (4)</w:t>
            </w:r>
          </w:p>
        </w:tc>
        <w:tc>
          <w:tcPr>
            <w:tcW w:w="80" w:type="dxa"/>
            <w:vAlign w:val="bottom"/>
          </w:tcPr>
          <w:p>
            <w:pPr>
              <w:spacing w:after="0"/>
              <w:rPr>
                <w:sz w:val="12"/>
                <w:szCs w:val="12"/>
                <w:color w:val="auto"/>
              </w:rPr>
            </w:pPr>
          </w:p>
        </w:tc>
        <w:tc>
          <w:tcPr>
            <w:tcW w:w="720" w:type="dxa"/>
            <w:vAlign w:val="bottom"/>
          </w:tcPr>
          <w:p>
            <w:pPr>
              <w:jc w:val="center"/>
              <w:ind w:right="6"/>
              <w:spacing w:after="0" w:line="141" w:lineRule="exact"/>
              <w:rPr>
                <w:sz w:val="20"/>
                <w:szCs w:val="20"/>
                <w:color w:val="auto"/>
              </w:rPr>
            </w:pPr>
            <w:r>
              <w:rPr>
                <w:rFonts w:ascii="Arial" w:cs="Arial" w:eastAsia="Arial" w:hAnsi="Arial"/>
                <w:sz w:val="13"/>
                <w:szCs w:val="13"/>
                <w:b w:val="1"/>
                <w:bCs w:val="1"/>
                <w:color w:val="auto"/>
                <w:w w:val="88"/>
              </w:rPr>
              <w:t>Increase in</w:t>
            </w: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0"/>
              </w:rPr>
              <w:t>Increase Over</w:t>
            </w:r>
          </w:p>
        </w:tc>
        <w:tc>
          <w:tcPr>
            <w:tcW w:w="11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8"/>
              </w:rPr>
              <w:t>Basis % Increase</w:t>
            </w: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4"/>
              </w:rPr>
              <w:t>Average Lease</w:t>
            </w:r>
          </w:p>
        </w:tc>
        <w:tc>
          <w:tcPr>
            <w:tcW w:w="60" w:type="dxa"/>
            <w:vAlign w:val="bottom"/>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8"/>
              </w:rPr>
              <w:t>&amp; Incentives</w:t>
            </w:r>
          </w:p>
        </w:tc>
        <w:tc>
          <w:tcPr>
            <w:tcW w:w="6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46"/>
        </w:trPr>
        <w:tc>
          <w:tcPr>
            <w:tcW w:w="118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2"/>
                <w:szCs w:val="12"/>
                <w:color w:val="auto"/>
              </w:rPr>
            </w:pPr>
          </w:p>
        </w:tc>
        <w:tc>
          <w:tcPr>
            <w:tcW w:w="1000" w:type="dxa"/>
            <w:vAlign w:val="bottom"/>
            <w:tcBorders>
              <w:bottom w:val="single" w:sz="8" w:color="auto"/>
            </w:tcBorders>
            <w:gridSpan w:val="3"/>
          </w:tcPr>
          <w:p>
            <w:pPr>
              <w:jc w:val="center"/>
              <w:spacing w:after="0" w:line="141" w:lineRule="exact"/>
              <w:rPr>
                <w:sz w:val="20"/>
                <w:szCs w:val="20"/>
                <w:color w:val="auto"/>
              </w:rPr>
            </w:pPr>
            <w:r>
              <w:rPr>
                <w:rFonts w:ascii="Arial" w:cs="Arial" w:eastAsia="Arial" w:hAnsi="Arial"/>
                <w:sz w:val="13"/>
                <w:szCs w:val="13"/>
                <w:b w:val="1"/>
                <w:bCs w:val="1"/>
                <w:color w:val="auto"/>
                <w:w w:val="83"/>
              </w:rPr>
              <w:t>Leases Signed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GLA Signed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0"/>
              </w:rPr>
              <w:t>Sq. Ft.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0"/>
              <w:spacing w:after="0" w:line="141" w:lineRule="exact"/>
              <w:rPr>
                <w:sz w:val="20"/>
                <w:szCs w:val="20"/>
                <w:color w:val="auto"/>
              </w:rPr>
            </w:pPr>
            <w:r>
              <w:rPr>
                <w:rFonts w:ascii="Arial" w:cs="Arial" w:eastAsia="Arial" w:hAnsi="Arial"/>
                <w:sz w:val="13"/>
                <w:szCs w:val="13"/>
                <w:b w:val="1"/>
                <w:bCs w:val="1"/>
                <w:color w:val="auto"/>
                <w:w w:val="90"/>
              </w:rPr>
              <w:t>Per Sq. Ft.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6"/>
              <w:spacing w:after="0" w:line="141" w:lineRule="exact"/>
              <w:rPr>
                <w:sz w:val="20"/>
                <w:szCs w:val="20"/>
                <w:color w:val="auto"/>
              </w:rPr>
            </w:pPr>
            <w:r>
              <w:rPr>
                <w:rFonts w:ascii="Arial" w:cs="Arial" w:eastAsia="Arial" w:hAnsi="Arial"/>
                <w:sz w:val="13"/>
                <w:szCs w:val="13"/>
                <w:b w:val="1"/>
                <w:bCs w:val="1"/>
                <w:color w:val="auto"/>
                <w:w w:val="89"/>
              </w:rPr>
              <w:t>Rent</w:t>
            </w:r>
          </w:p>
        </w:tc>
        <w:tc>
          <w:tcPr>
            <w:tcW w:w="6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2"/>
              </w:rPr>
              <w:t>Prior Rent</w:t>
            </w:r>
          </w:p>
        </w:tc>
        <w:tc>
          <w:tcPr>
            <w:tcW w:w="1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3"/>
              </w:rPr>
              <w:t>Over Prior Rent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3"/>
              </w:rPr>
              <w:t>Term (5)</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3"/>
              <w:spacing w:after="0" w:line="141" w:lineRule="exact"/>
              <w:rPr>
                <w:sz w:val="20"/>
                <w:szCs w:val="20"/>
                <w:color w:val="auto"/>
              </w:rPr>
            </w:pPr>
            <w:r>
              <w:rPr>
                <w:rFonts w:ascii="Arial" w:cs="Arial" w:eastAsia="Arial" w:hAnsi="Arial"/>
                <w:sz w:val="13"/>
                <w:szCs w:val="13"/>
                <w:b w:val="1"/>
                <w:bCs w:val="1"/>
                <w:color w:val="auto"/>
              </w:rPr>
              <w:t>(6)</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
              <w:spacing w:after="0" w:line="141" w:lineRule="exact"/>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3rd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332,200</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20.02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$ 1,251,137</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4,182,700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87"/>
              </w:rPr>
              <w:t>2nd Quarter 2006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220" w:type="dxa"/>
            <w:vAlign w:val="bottom"/>
            <w:gridSpan w:val="5"/>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275,764</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24.40</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20.90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966,200</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820" w:type="dxa"/>
            <w:vAlign w:val="bottom"/>
          </w:tcPr>
          <w:p>
            <w:pPr>
              <w:jc w:val="right"/>
              <w:spacing w:after="0"/>
              <w:rPr>
                <w:sz w:val="20"/>
                <w:szCs w:val="20"/>
                <w:color w:val="auto"/>
              </w:rPr>
            </w:pPr>
            <w:r>
              <w:rPr>
                <w:rFonts w:ascii="Arial" w:cs="Arial" w:eastAsia="Arial" w:hAnsi="Arial"/>
                <w:sz w:val="17"/>
                <w:szCs w:val="17"/>
                <w:color w:val="auto"/>
              </w:rPr>
              <w:t>6.7</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2,189,643</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7.94</w:t>
            </w: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1st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286,204</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23.05</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914,271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1,547,471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4th Quarter 2005</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w:t>
            </w:r>
          </w:p>
        </w:tc>
        <w:tc>
          <w:tcPr>
            <w:tcW w:w="60" w:type="dxa"/>
            <w:vAlign w:val="bottom"/>
          </w:tcPr>
          <w:p>
            <w:pPr>
              <w:spacing w:after="0"/>
              <w:rPr>
                <w:sz w:val="17"/>
                <w:szCs w:val="17"/>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453,953</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21.69</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18.17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86"/>
              </w:rPr>
              <w:t>$ 1,596,545</w:t>
            </w: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820" w:type="dxa"/>
            <w:vAlign w:val="bottom"/>
          </w:tcPr>
          <w:p>
            <w:pPr>
              <w:jc w:val="right"/>
              <w:spacing w:after="0"/>
              <w:rPr>
                <w:sz w:val="20"/>
                <w:szCs w:val="20"/>
                <w:color w:val="auto"/>
              </w:rPr>
            </w:pPr>
            <w:r>
              <w:rPr>
                <w:rFonts w:ascii="Arial" w:cs="Arial" w:eastAsia="Arial" w:hAnsi="Arial"/>
                <w:sz w:val="17"/>
                <w:szCs w:val="17"/>
                <w:color w:val="auto"/>
              </w:rPr>
              <w:t>8.7</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6,286,424</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13.85</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Total - 12 months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1,348,121</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22.12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$ 4,728,153</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900" w:type="dxa"/>
            <w:vAlign w:val="bottom"/>
            <w:gridSpan w:val="3"/>
            <w:shd w:val="clear" w:color="auto" w:fill="CCEEFF"/>
          </w:tcPr>
          <w:p>
            <w:pPr>
              <w:ind w:left="6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14,206,238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900" w:type="dxa"/>
            <w:vAlign w:val="bottom"/>
            <w:gridSpan w:val="18"/>
          </w:tcPr>
          <w:p>
            <w:pPr>
              <w:spacing w:after="0"/>
              <w:rPr>
                <w:sz w:val="20"/>
                <w:szCs w:val="20"/>
                <w:color w:val="auto"/>
              </w:rPr>
            </w:pPr>
            <w:r>
              <w:rPr>
                <w:rFonts w:ascii="Arial" w:cs="Arial" w:eastAsia="Arial" w:hAnsi="Arial"/>
                <w:sz w:val="17"/>
                <w:szCs w:val="17"/>
                <w:b w:val="1"/>
                <w:bCs w:val="1"/>
                <w:color w:val="auto"/>
                <w:w w:val="99"/>
              </w:rPr>
              <w:t>Total Lease Summary - Comparable and Non-comparable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6"/>
              <w:spacing w:after="0"/>
              <w:rPr>
                <w:sz w:val="20"/>
                <w:szCs w:val="20"/>
                <w:color w:val="auto"/>
              </w:rPr>
            </w:pPr>
            <w:r>
              <w:rPr>
                <w:rFonts w:ascii="Arial" w:cs="Arial" w:eastAsia="Arial" w:hAnsi="Arial"/>
                <w:sz w:val="13"/>
                <w:szCs w:val="13"/>
                <w:b w:val="1"/>
                <w:bCs w:val="1"/>
                <w:color w:val="auto"/>
                <w:w w:val="89"/>
              </w:rPr>
              <w:t>Tenant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line="141" w:lineRule="exact"/>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9"/>
              </w:rPr>
              <w:t>Tenant</w:t>
            </w:r>
          </w:p>
        </w:tc>
        <w:tc>
          <w:tcPr>
            <w:tcW w:w="8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87"/>
              </w:rPr>
              <w:t>Improvements</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90"/>
              </w:rPr>
              <w:t>Rent (3) Per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line="141" w:lineRule="exact"/>
              <w:rPr>
                <w:sz w:val="20"/>
                <w:szCs w:val="20"/>
                <w:color w:val="auto"/>
              </w:rPr>
            </w:pPr>
            <w:r>
              <w:rPr>
                <w:rFonts w:ascii="Arial" w:cs="Arial" w:eastAsia="Arial" w:hAnsi="Arial"/>
                <w:sz w:val="13"/>
                <w:szCs w:val="13"/>
                <w:b w:val="1"/>
                <w:bCs w:val="1"/>
                <w:color w:val="auto"/>
                <w:w w:val="85"/>
              </w:rPr>
              <w:t>Average</w:t>
            </w: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87"/>
              </w:rPr>
              <w:t>Improvements</w:t>
            </w: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8"/>
              </w:rPr>
              <w:t>&amp; Incentives</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3"/>
              </w:rPr>
              <w:t>Leases Signed</w:t>
            </w:r>
          </w:p>
        </w:tc>
        <w:tc>
          <w:tcPr>
            <w:tcW w:w="60" w:type="dxa"/>
            <w:vAlign w:val="bottom"/>
          </w:tcPr>
          <w:p>
            <w:pPr>
              <w:spacing w:after="0"/>
              <w:rPr>
                <w:sz w:val="12"/>
                <w:szCs w:val="12"/>
                <w:color w:val="auto"/>
              </w:rPr>
            </w:pPr>
          </w:p>
        </w:tc>
        <w:tc>
          <w:tcPr>
            <w:tcW w:w="100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91"/>
              </w:rPr>
              <w:t>GLA Signed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8"/>
              <w:spacing w:after="0" w:line="141" w:lineRule="exact"/>
              <w:rPr>
                <w:sz w:val="20"/>
                <w:szCs w:val="20"/>
                <w:color w:val="auto"/>
              </w:rPr>
            </w:pPr>
            <w:r>
              <w:rPr>
                <w:rFonts w:ascii="Arial" w:cs="Arial" w:eastAsia="Arial" w:hAnsi="Arial"/>
                <w:sz w:val="13"/>
                <w:szCs w:val="13"/>
                <w:b w:val="1"/>
                <w:bCs w:val="1"/>
                <w:color w:val="auto"/>
                <w:w w:val="90"/>
              </w:rPr>
              <w:t>Sq. Ft.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spacing w:after="0" w:line="141" w:lineRule="exact"/>
              <w:rPr>
                <w:sz w:val="20"/>
                <w:szCs w:val="20"/>
                <w:color w:val="auto"/>
              </w:rPr>
            </w:pPr>
            <w:r>
              <w:rPr>
                <w:rFonts w:ascii="Arial" w:cs="Arial" w:eastAsia="Arial" w:hAnsi="Arial"/>
                <w:sz w:val="13"/>
                <w:szCs w:val="13"/>
                <w:b w:val="1"/>
                <w:bCs w:val="1"/>
                <w:color w:val="auto"/>
                <w:w w:val="91"/>
              </w:rPr>
              <w:t>Lease Term (5)</w:t>
            </w:r>
          </w:p>
        </w:tc>
        <w:tc>
          <w:tcPr>
            <w:tcW w:w="20" w:type="dxa"/>
            <w:vAlign w:val="bottom"/>
          </w:tcPr>
          <w:p>
            <w:pPr>
              <w:spacing w:after="0"/>
              <w:rPr>
                <w:sz w:val="12"/>
                <w:szCs w:val="12"/>
                <w:color w:val="auto"/>
              </w:rPr>
            </w:pPr>
          </w:p>
        </w:tc>
        <w:tc>
          <w:tcPr>
            <w:tcW w:w="96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w w:val="95"/>
              </w:rPr>
              <w:t>&amp; Incentives (6)</w:t>
            </w:r>
          </w:p>
        </w:tc>
        <w:tc>
          <w:tcPr>
            <w:tcW w:w="80" w:type="dxa"/>
            <w:vAlign w:val="bottom"/>
          </w:tcPr>
          <w:p>
            <w:pPr>
              <w:spacing w:after="0"/>
              <w:rPr>
                <w:sz w:val="12"/>
                <w:szCs w:val="12"/>
                <w:color w:val="auto"/>
              </w:rPr>
            </w:pPr>
          </w:p>
        </w:tc>
        <w:tc>
          <w:tcPr>
            <w:tcW w:w="720" w:type="dxa"/>
            <w:vAlign w:val="bottom"/>
          </w:tcPr>
          <w:p>
            <w:pPr>
              <w:jc w:val="center"/>
              <w:ind w:right="26"/>
              <w:spacing w:after="0" w:line="141" w:lineRule="exact"/>
              <w:rPr>
                <w:sz w:val="20"/>
                <w:szCs w:val="20"/>
                <w:color w:val="auto"/>
              </w:rPr>
            </w:pPr>
            <w:r>
              <w:rPr>
                <w:rFonts w:ascii="Arial" w:cs="Arial" w:eastAsia="Arial" w:hAnsi="Arial"/>
                <w:sz w:val="13"/>
                <w:szCs w:val="13"/>
                <w:b w:val="1"/>
                <w:bCs w:val="1"/>
                <w:color w:val="auto"/>
                <w:w w:val="90"/>
              </w:rPr>
              <w:t>Per Sq. Ft.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3rd Quarter 2006</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394,331</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8,992,951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87"/>
              </w:rPr>
              <w:t>2nd Quarter 2006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1220" w:type="dxa"/>
            <w:vAlign w:val="bottom"/>
            <w:gridSpan w:val="5"/>
          </w:tcPr>
          <w:p>
            <w:pPr>
              <w:jc w:val="right"/>
              <w:ind w:right="160"/>
              <w:spacing w:after="0"/>
              <w:rPr>
                <w:sz w:val="20"/>
                <w:szCs w:val="20"/>
                <w:color w:val="auto"/>
              </w:rPr>
            </w:pPr>
            <w:r>
              <w:rPr>
                <w:rFonts w:ascii="Arial" w:cs="Arial" w:eastAsia="Arial" w:hAnsi="Arial"/>
                <w:sz w:val="17"/>
                <w:szCs w:val="17"/>
                <w:color w:val="auto"/>
              </w:rPr>
              <w:t>324,367</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24.82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6.9</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4,582,028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14.13</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1st Quarter 2006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349,369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5,204,611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4th Quarter 2005</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107</w:t>
            </w:r>
          </w:p>
        </w:tc>
        <w:tc>
          <w:tcPr>
            <w:tcW w:w="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532,500</w:t>
            </w:r>
          </w:p>
        </w:tc>
        <w:tc>
          <w:tcPr>
            <w:tcW w:w="16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23.64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9.4</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8,738,711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16.41</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Total - 12 months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1,600,567</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8.5</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w w:val="88"/>
              </w:rPr>
              <w:t>$ 27,518,301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Notes:</w:t>
      </w:r>
    </w:p>
    <w:p>
      <w:pPr>
        <w:spacing w:after="0" w:line="16" w:lineRule="exact"/>
        <w:rPr>
          <w:sz w:val="20"/>
          <w:szCs w:val="20"/>
          <w:color w:val="auto"/>
        </w:rPr>
      </w:pPr>
    </w:p>
    <w:p>
      <w:pPr>
        <w:ind w:left="440" w:hanging="438"/>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8" w:lineRule="exact"/>
        <w:rPr>
          <w:rFonts w:ascii="Arial" w:cs="Arial" w:eastAsia="Arial" w:hAnsi="Arial"/>
          <w:sz w:val="17"/>
          <w:szCs w:val="17"/>
          <w:color w:val="auto"/>
        </w:rPr>
      </w:pPr>
    </w:p>
    <w:p>
      <w:pPr>
        <w:ind w:left="440" w:right="280" w:hanging="438"/>
        <w:spacing w:after="0" w:line="266"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ind w:left="440" w:hanging="438"/>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520"/>
          </w:cols>
          <w:pgMar w:left="240" w:top="267" w:right="1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9"/>
              </w:rPr>
              <w:t>Anchor Tenants (1)</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Small Shop Tenants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80"/>
              <w:spacing w:after="0" w:line="121" w:lineRule="exact"/>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ind w:right="400"/>
              <w:spacing w:after="0" w:line="121" w:lineRule="exact"/>
              <w:rPr>
                <w:sz w:val="20"/>
                <w:szCs w:val="20"/>
                <w:color w:val="auto"/>
              </w:rPr>
            </w:pPr>
            <w:r>
              <w:rPr>
                <w:rFonts w:ascii="Arial" w:cs="Arial" w:eastAsia="Arial" w:hAnsi="Arial"/>
                <w:sz w:val="13"/>
                <w:szCs w:val="13"/>
                <w:b w:val="1"/>
                <w:bCs w:val="1"/>
                <w:color w:val="auto"/>
                <w:w w:val="94"/>
              </w:rPr>
              <w:t>% of Small</w:t>
            </w: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2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Anchor SF</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9"/>
              <w:spacing w:after="0"/>
              <w:rPr>
                <w:sz w:val="20"/>
                <w:szCs w:val="20"/>
                <w:color w:val="auto"/>
              </w:rPr>
            </w:pPr>
            <w:r>
              <w:rPr>
                <w:rFonts w:ascii="Arial" w:cs="Arial" w:eastAsia="Arial" w:hAnsi="Arial"/>
                <w:sz w:val="13"/>
                <w:szCs w:val="13"/>
                <w:b w:val="1"/>
                <w:bCs w:val="1"/>
                <w:color w:val="auto"/>
              </w:rPr>
              <w:t>PSF (2)</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Expiring SF</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Shop SF</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9"/>
              <w:spacing w:after="0"/>
              <w:rPr>
                <w:sz w:val="20"/>
                <w:szCs w:val="20"/>
                <w:color w:val="auto"/>
              </w:rPr>
            </w:pPr>
            <w:r>
              <w:rPr>
                <w:rFonts w:ascii="Arial" w:cs="Arial" w:eastAsia="Arial" w:hAnsi="Arial"/>
                <w:sz w:val="13"/>
                <w:szCs w:val="13"/>
                <w:b w:val="1"/>
                <w:bCs w:val="1"/>
                <w:color w:val="auto"/>
              </w:rPr>
              <w:t>PSF (2)</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80" w:type="dxa"/>
            <w:vAlign w:val="bottom"/>
          </w:tcPr>
          <w:p>
            <w:pPr>
              <w:spacing w:after="0"/>
              <w:rPr>
                <w:sz w:val="13"/>
                <w:szCs w:val="13"/>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Total SF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39"/>
              <w:spacing w:after="0"/>
              <w:rPr>
                <w:sz w:val="20"/>
                <w:szCs w:val="20"/>
                <w:color w:val="auto"/>
              </w:rPr>
            </w:pPr>
            <w:r>
              <w:rPr>
                <w:rFonts w:ascii="Arial" w:cs="Arial" w:eastAsia="Arial" w:hAnsi="Arial"/>
                <w:sz w:val="13"/>
                <w:szCs w:val="13"/>
                <w:b w:val="1"/>
                <w:bCs w:val="1"/>
                <w:color w:val="auto"/>
                <w:w w:val="98"/>
              </w:rPr>
              <w:t>PSF (2)</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21.13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2007</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587,000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11.30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810,000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25.06</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1,397,000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8%</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19.28</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975,000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23.13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1,758,000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1,205,000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12%</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11.63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1,051,000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26.22</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2,256,000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18.43</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25.60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1,607,000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2011</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693,000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7%</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16.58</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1,008,000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28.67</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1,701,000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1,014,000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29.67</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1,609,000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621,000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6%</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13.86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311,000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33.06</w:t>
            </w:r>
          </w:p>
        </w:tc>
        <w:tc>
          <w:tcPr>
            <w:tcW w:w="740" w:type="dxa"/>
            <w:vAlign w:val="bottom"/>
          </w:tcPr>
          <w:p>
            <w:pPr>
              <w:jc w:val="right"/>
              <w:spacing w:after="0"/>
              <w:rPr>
                <w:sz w:val="20"/>
                <w:szCs w:val="20"/>
                <w:color w:val="auto"/>
              </w:rPr>
            </w:pPr>
            <w:r>
              <w:rPr>
                <w:rFonts w:ascii="Arial" w:cs="Arial" w:eastAsia="Arial" w:hAnsi="Arial"/>
                <w:sz w:val="17"/>
                <w:szCs w:val="17"/>
                <w:color w:val="auto"/>
              </w:rPr>
              <w:t>932,000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278,000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36.98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509,000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5%</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14.11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331,000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27.57</w:t>
            </w:r>
          </w:p>
        </w:tc>
        <w:tc>
          <w:tcPr>
            <w:tcW w:w="740" w:type="dxa"/>
            <w:vAlign w:val="bottom"/>
          </w:tcPr>
          <w:p>
            <w:pPr>
              <w:jc w:val="right"/>
              <w:spacing w:after="0"/>
              <w:rPr>
                <w:sz w:val="20"/>
                <w:szCs w:val="20"/>
                <w:color w:val="auto"/>
              </w:rPr>
            </w:pPr>
            <w:r>
              <w:rPr>
                <w:rFonts w:ascii="Arial" w:cs="Arial" w:eastAsia="Arial" w:hAnsi="Arial"/>
                <w:sz w:val="17"/>
                <w:szCs w:val="17"/>
                <w:color w:val="auto"/>
              </w:rPr>
              <w:t>840,000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19.42</w:t>
            </w:r>
          </w:p>
        </w:tc>
        <w:tc>
          <w:tcPr>
            <w:tcW w:w="0" w:type="dxa"/>
            <w:vAlign w:val="bottom"/>
          </w:tcPr>
          <w:p>
            <w:pPr>
              <w:spacing w:after="0"/>
              <w:rPr>
                <w:sz w:val="1"/>
                <w:szCs w:val="1"/>
                <w:color w:val="auto"/>
              </w:rPr>
            </w:pPr>
          </w:p>
        </w:tc>
      </w:tr>
      <w:tr>
        <w:trPr>
          <w:trHeight w:val="204"/>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3,528,000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863,000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25.05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4,390,000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10,333,000</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13.42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7,366,000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26.69</w:t>
            </w: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17,699,000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100%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18.94</w:t>
            </w: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83"/>
              </w:rPr>
              <w:t>Assumes lease options are exercised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56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9"/>
              </w:rPr>
              <w:t>Anchor Tenants (1)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Small Shop Tenants</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240" w:type="dxa"/>
            <w:vAlign w:val="bottom"/>
            <w:vMerge w:val="restart"/>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80"/>
              <w:spacing w:after="0" w:line="121" w:lineRule="exact"/>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ind w:right="400"/>
              <w:spacing w:after="0" w:line="121" w:lineRule="exact"/>
              <w:rPr>
                <w:sz w:val="20"/>
                <w:szCs w:val="20"/>
                <w:color w:val="auto"/>
              </w:rPr>
            </w:pPr>
            <w:r>
              <w:rPr>
                <w:rFonts w:ascii="Arial" w:cs="Arial" w:eastAsia="Arial" w:hAnsi="Arial"/>
                <w:sz w:val="13"/>
                <w:szCs w:val="13"/>
                <w:b w:val="1"/>
                <w:bCs w:val="1"/>
                <w:color w:val="auto"/>
                <w:w w:val="94"/>
              </w:rPr>
              <w:t>% of Small</w:t>
            </w: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0" w:type="dxa"/>
            <w:vAlign w:val="bottom"/>
          </w:tcPr>
          <w:p>
            <w:pPr>
              <w:spacing w:after="0"/>
              <w:rPr>
                <w:sz w:val="1"/>
                <w:szCs w:val="1"/>
                <w:color w:val="auto"/>
              </w:rPr>
            </w:pPr>
          </w:p>
        </w:tc>
      </w:tr>
      <w:tr>
        <w:trPr>
          <w:trHeight w:val="140"/>
        </w:trPr>
        <w:tc>
          <w:tcPr>
            <w:tcW w:w="23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6"/>
              </w:rPr>
              <w:t>Expiring SF</w:t>
            </w:r>
          </w:p>
        </w:tc>
        <w:tc>
          <w:tcPr>
            <w:tcW w:w="26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1"/>
              </w:rPr>
              <w:t>Anchor SF</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9"/>
              <w:spacing w:after="0" w:line="141" w:lineRule="exact"/>
              <w:rPr>
                <w:sz w:val="20"/>
                <w:szCs w:val="20"/>
                <w:color w:val="auto"/>
              </w:rPr>
            </w:pPr>
            <w:r>
              <w:rPr>
                <w:rFonts w:ascii="Arial" w:cs="Arial" w:eastAsia="Arial" w:hAnsi="Arial"/>
                <w:sz w:val="13"/>
                <w:szCs w:val="13"/>
                <w:b w:val="1"/>
                <w:bCs w:val="1"/>
                <w:color w:val="auto"/>
              </w:rPr>
              <w:t>PSF (2)</w:t>
            </w:r>
          </w:p>
        </w:tc>
        <w:tc>
          <w:tcPr>
            <w:tcW w:w="24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1"/>
              </w:rPr>
              <w:t>Expiring SF</w:t>
            </w:r>
          </w:p>
        </w:tc>
        <w:tc>
          <w:tcPr>
            <w:tcW w:w="24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7"/>
              </w:rPr>
              <w:t>Shop SF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9"/>
              <w:spacing w:after="0" w:line="141" w:lineRule="exact"/>
              <w:rPr>
                <w:sz w:val="20"/>
                <w:szCs w:val="20"/>
                <w:color w:val="auto"/>
              </w:rPr>
            </w:pPr>
            <w:r>
              <w:rPr>
                <w:rFonts w:ascii="Arial" w:cs="Arial" w:eastAsia="Arial" w:hAnsi="Arial"/>
                <w:sz w:val="13"/>
                <w:szCs w:val="13"/>
                <w:b w:val="1"/>
                <w:bCs w:val="1"/>
                <w:color w:val="auto"/>
              </w:rPr>
              <w:t>PSF (2)</w:t>
            </w:r>
          </w:p>
        </w:tc>
        <w:tc>
          <w:tcPr>
            <w:tcW w:w="26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4"/>
              </w:rPr>
              <w:t>Expiring SF</w:t>
            </w:r>
          </w:p>
        </w:tc>
        <w:tc>
          <w:tcPr>
            <w:tcW w:w="280" w:type="dxa"/>
            <w:vAlign w:val="bottom"/>
          </w:tcPr>
          <w:p>
            <w:pPr>
              <w:spacing w:after="0"/>
              <w:rPr>
                <w:sz w:val="12"/>
                <w:szCs w:val="12"/>
                <w:color w:val="auto"/>
              </w:rPr>
            </w:pPr>
          </w:p>
        </w:tc>
        <w:tc>
          <w:tcPr>
            <w:tcW w:w="74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9"/>
              </w:rPr>
              <w:t>Total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39"/>
              <w:spacing w:after="0" w:line="141" w:lineRule="exact"/>
              <w:rPr>
                <w:sz w:val="20"/>
                <w:szCs w:val="20"/>
                <w:color w:val="auto"/>
              </w:rPr>
            </w:pPr>
            <w:r>
              <w:rPr>
                <w:rFonts w:ascii="Arial" w:cs="Arial" w:eastAsia="Arial" w:hAnsi="Arial"/>
                <w:sz w:val="13"/>
                <w:szCs w:val="13"/>
                <w:b w:val="1"/>
                <w:bCs w:val="1"/>
                <w:color w:val="auto"/>
                <w:w w:val="98"/>
              </w:rPr>
              <w:t>PSF (2)</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22.25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2007</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229,000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9.05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481,000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25.03</w:t>
            </w:r>
          </w:p>
        </w:tc>
        <w:tc>
          <w:tcPr>
            <w:tcW w:w="740" w:type="dxa"/>
            <w:vAlign w:val="bottom"/>
          </w:tcPr>
          <w:p>
            <w:pPr>
              <w:jc w:val="right"/>
              <w:spacing w:after="0"/>
              <w:rPr>
                <w:sz w:val="20"/>
                <w:szCs w:val="20"/>
                <w:color w:val="auto"/>
              </w:rPr>
            </w:pPr>
            <w:r>
              <w:rPr>
                <w:rFonts w:ascii="Arial" w:cs="Arial" w:eastAsia="Arial" w:hAnsi="Arial"/>
                <w:sz w:val="17"/>
                <w:szCs w:val="17"/>
                <w:color w:val="auto"/>
              </w:rPr>
              <w:t>710,000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19.88</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612,000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23.15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231,000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11.60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595,000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27.59</w:t>
            </w:r>
          </w:p>
        </w:tc>
        <w:tc>
          <w:tcPr>
            <w:tcW w:w="740" w:type="dxa"/>
            <w:vAlign w:val="bottom"/>
          </w:tcPr>
          <w:p>
            <w:pPr>
              <w:jc w:val="right"/>
              <w:spacing w:after="0"/>
              <w:rPr>
                <w:sz w:val="20"/>
                <w:szCs w:val="20"/>
                <w:color w:val="auto"/>
              </w:rPr>
            </w:pPr>
            <w:r>
              <w:rPr>
                <w:rFonts w:ascii="Arial" w:cs="Arial" w:eastAsia="Arial" w:hAnsi="Arial"/>
                <w:sz w:val="17"/>
                <w:szCs w:val="17"/>
                <w:color w:val="auto"/>
              </w:rPr>
              <w:t>826,000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23.12</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518,000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26.72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2011</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0%</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24.60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605,000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27.58</w:t>
            </w:r>
          </w:p>
        </w:tc>
        <w:tc>
          <w:tcPr>
            <w:tcW w:w="740" w:type="dxa"/>
            <w:vAlign w:val="bottom"/>
          </w:tcPr>
          <w:p>
            <w:pPr>
              <w:jc w:val="right"/>
              <w:spacing w:after="0"/>
              <w:rPr>
                <w:sz w:val="20"/>
                <w:szCs w:val="20"/>
                <w:color w:val="auto"/>
              </w:rPr>
            </w:pPr>
            <w:r>
              <w:rPr>
                <w:rFonts w:ascii="Arial" w:cs="Arial" w:eastAsia="Arial" w:hAnsi="Arial"/>
                <w:sz w:val="17"/>
                <w:szCs w:val="17"/>
                <w:color w:val="auto"/>
              </w:rPr>
              <w:t>635,000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27.43</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528,000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155,000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1%</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13.08</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331,000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27.93</w:t>
            </w:r>
          </w:p>
        </w:tc>
        <w:tc>
          <w:tcPr>
            <w:tcW w:w="740" w:type="dxa"/>
            <w:vAlign w:val="bottom"/>
          </w:tcPr>
          <w:p>
            <w:pPr>
              <w:jc w:val="right"/>
              <w:spacing w:after="0"/>
              <w:rPr>
                <w:sz w:val="20"/>
                <w:szCs w:val="20"/>
                <w:color w:val="auto"/>
              </w:rPr>
            </w:pPr>
            <w:r>
              <w:rPr>
                <w:rFonts w:ascii="Arial" w:cs="Arial" w:eastAsia="Arial" w:hAnsi="Arial"/>
                <w:sz w:val="17"/>
                <w:szCs w:val="17"/>
                <w:color w:val="auto"/>
              </w:rPr>
              <w:t>486,000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23.20</w:t>
            </w: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304,000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30.69</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216,000</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16.06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478,000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25.01</w:t>
            </w:r>
          </w:p>
        </w:tc>
        <w:tc>
          <w:tcPr>
            <w:tcW w:w="740" w:type="dxa"/>
            <w:vAlign w:val="bottom"/>
          </w:tcPr>
          <w:p>
            <w:pPr>
              <w:jc w:val="right"/>
              <w:spacing w:after="0"/>
              <w:rPr>
                <w:sz w:val="20"/>
                <w:szCs w:val="20"/>
                <w:color w:val="auto"/>
              </w:rPr>
            </w:pPr>
            <w:r>
              <w:rPr>
                <w:rFonts w:ascii="Arial" w:cs="Arial" w:eastAsia="Arial" w:hAnsi="Arial"/>
                <w:sz w:val="17"/>
                <w:szCs w:val="17"/>
                <w:color w:val="auto"/>
              </w:rPr>
              <w:t>693,000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204"/>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8,503,000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2,625,000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26.96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11,130,000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16.75</w:t>
            </w: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10,333,000</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13.42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7,366,000</w:t>
            </w:r>
          </w:p>
        </w:tc>
        <w:tc>
          <w:tcPr>
            <w:tcW w:w="1260" w:type="dxa"/>
            <w:vAlign w:val="bottom"/>
            <w:gridSpan w:val="3"/>
          </w:tcPr>
          <w:p>
            <w:pPr>
              <w:jc w:val="right"/>
              <w:ind w:right="26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26.69</w:t>
            </w:r>
          </w:p>
        </w:tc>
        <w:tc>
          <w:tcPr>
            <w:tcW w:w="740" w:type="dxa"/>
            <w:vAlign w:val="bottom"/>
          </w:tcPr>
          <w:p>
            <w:pPr>
              <w:jc w:val="right"/>
              <w:spacing w:after="0"/>
              <w:rPr>
                <w:sz w:val="20"/>
                <w:szCs w:val="20"/>
                <w:color w:val="auto"/>
              </w:rPr>
            </w:pPr>
            <w:r>
              <w:rPr>
                <w:rFonts w:ascii="Arial" w:cs="Arial" w:eastAsia="Arial" w:hAnsi="Arial"/>
                <w:sz w:val="17"/>
                <w:szCs w:val="17"/>
                <w:color w:val="auto"/>
                <w:w w:val="84"/>
              </w:rPr>
              <w:t>17,699,000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100%</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18.94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September 30, 2006.</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occupied square footage as of September 30, 2006.</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w:t>
            </w:r>
          </w:p>
        </w:tc>
        <w:tc>
          <w:tcPr>
            <w:tcW w:w="220" w:type="dxa"/>
            <w:vAlign w:val="bottom"/>
            <w:vMerge w:val="restart"/>
          </w:tcPr>
          <w:p>
            <w:pPr>
              <w:spacing w:after="0"/>
              <w:rPr>
                <w:sz w:val="13"/>
                <w:szCs w:val="13"/>
                <w:color w:val="auto"/>
              </w:rPr>
            </w:pPr>
          </w:p>
        </w:tc>
        <w:tc>
          <w:tcPr>
            <w:tcW w:w="194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b w:val="1"/>
                <w:bCs w:val="1"/>
                <w:color w:val="auto"/>
                <w:w w:val="93"/>
              </w:rPr>
              <w:t>At September 30, 2006</w:t>
            </w:r>
          </w:p>
        </w:tc>
        <w:tc>
          <w:tcPr>
            <w:tcW w:w="5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b w:val="1"/>
                <w:bCs w:val="1"/>
                <w:color w:val="auto"/>
                <w:w w:val="93"/>
              </w:rPr>
              <w:t>At September 30, 2005</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tcBorders>
              <w:bottom w:val="single" w:sz="8" w:color="auto"/>
            </w:tcBorders>
          </w:tcPr>
          <w:p>
            <w:pPr>
              <w:jc w:val="right"/>
              <w:ind w:right="187"/>
              <w:spacing w:after="0" w:line="133"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b w:val="1"/>
                <w:bCs w:val="1"/>
                <w:color w:val="auto"/>
                <w:w w:val="86"/>
              </w:rPr>
              <w:t>Leased %</w:t>
            </w:r>
          </w:p>
        </w:tc>
        <w:tc>
          <w:tcPr>
            <w:tcW w:w="360" w:type="dxa"/>
            <w:vAlign w:val="bottom"/>
          </w:tcPr>
          <w:p>
            <w:pPr>
              <w:spacing w:after="0"/>
              <w:rPr>
                <w:sz w:val="12"/>
                <w:szCs w:val="12"/>
                <w:color w:val="auto"/>
              </w:rPr>
            </w:pPr>
          </w:p>
        </w:tc>
        <w:tc>
          <w:tcPr>
            <w:tcW w:w="740" w:type="dxa"/>
            <w:vAlign w:val="bottom"/>
            <w:tcBorders>
              <w:bottom w:val="single" w:sz="8" w:color="auto"/>
            </w:tcBorders>
          </w:tcPr>
          <w:p>
            <w:pPr>
              <w:ind w:left="260"/>
              <w:spacing w:after="0" w:line="133"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03"/>
              <w:spacing w:after="0" w:line="133"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b w:val="1"/>
                <w:bCs w:val="1"/>
                <w:color w:val="auto"/>
                <w:w w:val="86"/>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18,550,000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18,049,000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17,295,000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16,509,000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12"/>
        </w:trPr>
        <w:tc>
          <w:tcPr>
            <w:tcW w:w="596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40" w:type="dxa"/>
            <w:vAlign w:val="bottom"/>
          </w:tcPr>
          <w:p>
            <w:pPr>
              <w:jc w:val="right"/>
              <w:spacing w:after="0"/>
              <w:rPr>
                <w:sz w:val="20"/>
                <w:szCs w:val="20"/>
                <w:color w:val="auto"/>
              </w:rPr>
            </w:pPr>
            <w:r>
              <w:rPr>
                <w:rFonts w:ascii="Arial" w:cs="Arial" w:eastAsia="Arial" w:hAnsi="Arial"/>
                <w:sz w:val="17"/>
                <w:szCs w:val="17"/>
                <w:color w:val="auto"/>
              </w:rPr>
              <w:t>723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690</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95.4%</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464</w:t>
            </w:r>
          </w:p>
        </w:tc>
        <w:tc>
          <w:tcPr>
            <w:tcW w:w="760" w:type="dxa"/>
            <w:vAlign w:val="bottom"/>
          </w:tcPr>
          <w:p>
            <w:pPr>
              <w:jc w:val="right"/>
              <w:spacing w:after="0"/>
              <w:rPr>
                <w:sz w:val="20"/>
                <w:szCs w:val="20"/>
                <w:color w:val="auto"/>
              </w:rPr>
            </w:pPr>
            <w:r>
              <w:rPr>
                <w:rFonts w:ascii="Arial" w:cs="Arial" w:eastAsia="Arial" w:hAnsi="Arial"/>
                <w:sz w:val="17"/>
                <w:szCs w:val="17"/>
                <w:color w:val="auto"/>
              </w:rPr>
              <w:t>445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363"/>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6"/>
              </w:rPr>
              <w:t>Same Center Statistics (1)</w:t>
            </w:r>
          </w:p>
        </w:tc>
        <w:tc>
          <w:tcPr>
            <w:tcW w:w="412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w:t>
            </w:r>
          </w:p>
        </w:tc>
        <w:tc>
          <w:tcPr>
            <w:tcW w:w="220" w:type="dxa"/>
            <w:vAlign w:val="bottom"/>
            <w:vMerge w:val="restart"/>
          </w:tcPr>
          <w:p>
            <w:pPr>
              <w:spacing w:after="0"/>
              <w:rPr>
                <w:sz w:val="24"/>
                <w:szCs w:val="24"/>
                <w:color w:val="auto"/>
              </w:rPr>
            </w:pPr>
          </w:p>
        </w:tc>
        <w:tc>
          <w:tcPr>
            <w:tcW w:w="194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b w:val="1"/>
                <w:bCs w:val="1"/>
                <w:color w:val="auto"/>
                <w:w w:val="93"/>
              </w:rPr>
              <w:t>At September 30, 2006</w:t>
            </w:r>
          </w:p>
        </w:tc>
        <w:tc>
          <w:tcPr>
            <w:tcW w:w="5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b w:val="1"/>
                <w:bCs w:val="1"/>
                <w:color w:val="auto"/>
                <w:w w:val="93"/>
              </w:rPr>
              <w:t>At September 30, 2005</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tcBorders>
              <w:bottom w:val="single" w:sz="8" w:color="auto"/>
            </w:tcBorders>
          </w:tcPr>
          <w:p>
            <w:pPr>
              <w:jc w:val="right"/>
              <w:ind w:right="187"/>
              <w:spacing w:after="0" w:line="133"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b w:val="1"/>
                <w:bCs w:val="1"/>
                <w:color w:val="auto"/>
                <w:w w:val="86"/>
              </w:rPr>
              <w:t>Leased %</w:t>
            </w:r>
          </w:p>
        </w:tc>
        <w:tc>
          <w:tcPr>
            <w:tcW w:w="360" w:type="dxa"/>
            <w:vAlign w:val="bottom"/>
          </w:tcPr>
          <w:p>
            <w:pPr>
              <w:spacing w:after="0"/>
              <w:rPr>
                <w:sz w:val="12"/>
                <w:szCs w:val="12"/>
                <w:color w:val="auto"/>
              </w:rPr>
            </w:pPr>
          </w:p>
        </w:tc>
        <w:tc>
          <w:tcPr>
            <w:tcW w:w="740" w:type="dxa"/>
            <w:vAlign w:val="bottom"/>
            <w:tcBorders>
              <w:bottom w:val="single" w:sz="8" w:color="auto"/>
            </w:tcBorders>
          </w:tcPr>
          <w:p>
            <w:pPr>
              <w:ind w:left="260"/>
              <w:spacing w:after="0" w:line="133"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03"/>
              <w:spacing w:after="0" w:line="133"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b w:val="1"/>
                <w:bCs w:val="1"/>
                <w:color w:val="auto"/>
                <w:w w:val="86"/>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13,534,000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13,228,000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13,525,000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13,089,000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12"/>
        </w:trPr>
        <w:tc>
          <w:tcPr>
            <w:tcW w:w="596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40" w:type="dxa"/>
            <w:vAlign w:val="bottom"/>
          </w:tcPr>
          <w:p>
            <w:pPr>
              <w:jc w:val="right"/>
              <w:spacing w:after="0"/>
              <w:rPr>
                <w:sz w:val="20"/>
                <w:szCs w:val="20"/>
                <w:color w:val="auto"/>
              </w:rPr>
            </w:pPr>
            <w:r>
              <w:rPr>
                <w:rFonts w:ascii="Arial" w:cs="Arial" w:eastAsia="Arial" w:hAnsi="Arial"/>
                <w:sz w:val="17"/>
                <w:szCs w:val="17"/>
                <w:color w:val="auto"/>
              </w:rPr>
              <w:t>428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404</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94.4%</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428</w:t>
            </w:r>
          </w:p>
        </w:tc>
        <w:tc>
          <w:tcPr>
            <w:tcW w:w="760" w:type="dxa"/>
            <w:vAlign w:val="bottom"/>
          </w:tcPr>
          <w:p>
            <w:pPr>
              <w:jc w:val="right"/>
              <w:spacing w:after="0"/>
              <w:rPr>
                <w:sz w:val="20"/>
                <w:szCs w:val="20"/>
                <w:color w:val="auto"/>
              </w:rPr>
            </w:pPr>
            <w:r>
              <w:rPr>
                <w:rFonts w:ascii="Arial" w:cs="Arial" w:eastAsia="Arial" w:hAnsi="Arial"/>
                <w:sz w:val="17"/>
                <w:szCs w:val="17"/>
                <w:color w:val="auto"/>
              </w:rPr>
              <w:t>412</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6000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8" w:lineRule="exact"/>
        <w:rPr>
          <w:rFonts w:ascii="Arial" w:cs="Arial" w:eastAsia="Arial" w:hAnsi="Arial"/>
          <w:sz w:val="17"/>
          <w:szCs w:val="17"/>
          <w:color w:val="auto"/>
        </w:rPr>
      </w:pPr>
    </w:p>
    <w:p>
      <w:pPr>
        <w:ind w:left="440" w:right="40" w:hanging="438"/>
        <w:spacing w:after="0" w:line="250"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Overall portfolio statistics at September 30, 2006 include Rollingwood, The Crest at Congressional and the residential units in Buildings Eight (36 units) and Seven (259 units) at Santana Row. Residential units in Buildings Three, Four and Six at Santana Row are excluded from overall portfolio statistics as we have completed closing sales of the units (Buildings Three, Four and Six - 219 units). Overall portfolio statistics at September 30, 2005 included Rollingwood, The Crest at Congressional and the residential units in Building Eight (36 units) at Santana Row. Same center statistics at September 30, 2006 and 2005 include Rollingwood and The Crest at Congressional.</w:t>
      </w:r>
    </w:p>
    <w:p>
      <w:pPr>
        <w:spacing w:after="0" w:line="3" w:lineRule="exact"/>
        <w:rPr>
          <w:rFonts w:ascii="Arial" w:cs="Arial" w:eastAsia="Arial" w:hAnsi="Arial"/>
          <w:sz w:val="17"/>
          <w:szCs w:val="17"/>
          <w:color w:val="auto"/>
        </w:rPr>
      </w:pPr>
    </w:p>
    <w:p>
      <w:pPr>
        <w:ind w:left="440" w:hanging="438"/>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67"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6"/>
              </w:rPr>
              <w:t>Percentage of</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4700" w:type="dxa"/>
            <w:vAlign w:val="bottom"/>
            <w:gridSpan w:val="3"/>
            <w:vMerge w:val="restart"/>
          </w:tcPr>
          <w:p>
            <w:pPr>
              <w:ind w:left="360"/>
              <w:spacing w:after="0"/>
              <w:rPr>
                <w:sz w:val="20"/>
                <w:szCs w:val="20"/>
                <w:color w:val="auto"/>
              </w:rPr>
            </w:pPr>
            <w:r>
              <w:rPr>
                <w:rFonts w:ascii="Arial" w:cs="Arial" w:eastAsia="Arial" w:hAnsi="Arial"/>
                <w:sz w:val="13"/>
                <w:szCs w:val="13"/>
                <w:b w:val="1"/>
                <w:bCs w:val="1"/>
                <w:color w:val="auto"/>
              </w:rPr>
              <w:t>Tenant Name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700"/>
              <w:spacing w:after="0" w:line="141" w:lineRule="exact"/>
              <w:rPr>
                <w:sz w:val="20"/>
                <w:szCs w:val="20"/>
                <w:color w:val="auto"/>
              </w:rPr>
            </w:pPr>
            <w:r>
              <w:rPr>
                <w:rFonts w:ascii="Arial" w:cs="Arial" w:eastAsia="Arial" w:hAnsi="Arial"/>
                <w:sz w:val="13"/>
                <w:szCs w:val="13"/>
                <w:b w:val="1"/>
                <w:bCs w:val="1"/>
                <w:color w:val="auto"/>
                <w:w w:val="97"/>
              </w:rPr>
              <w:t>Annualized</w:t>
            </w:r>
          </w:p>
        </w:tc>
        <w:tc>
          <w:tcPr>
            <w:tcW w:w="144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0"/>
              </w:rPr>
              <w:t>Total Annualized</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2"/>
          </w:tcPr>
          <w:p>
            <w:pPr>
              <w:jc w:val="right"/>
              <w:ind w:right="500"/>
              <w:spacing w:after="0" w:line="141" w:lineRule="exact"/>
              <w:rPr>
                <w:sz w:val="20"/>
                <w:szCs w:val="20"/>
                <w:color w:val="auto"/>
              </w:rPr>
            </w:pPr>
            <w:r>
              <w:rPr>
                <w:rFonts w:ascii="Arial" w:cs="Arial" w:eastAsia="Arial" w:hAnsi="Arial"/>
                <w:sz w:val="13"/>
                <w:szCs w:val="13"/>
                <w:b w:val="1"/>
                <w:bCs w:val="1"/>
                <w:color w:val="auto"/>
                <w:w w:val="83"/>
              </w:rPr>
              <w:t>Percentage of</w:t>
            </w:r>
          </w:p>
        </w:tc>
        <w:tc>
          <w:tcPr>
            <w:tcW w:w="62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20"/>
                <w:szCs w:val="20"/>
                <w:color w:val="auto"/>
              </w:rPr>
            </w:pPr>
            <w:r>
              <w:rPr>
                <w:rFonts w:ascii="Arial" w:cs="Arial" w:eastAsia="Arial" w:hAnsi="Arial"/>
                <w:sz w:val="13"/>
                <w:szCs w:val="13"/>
                <w:b w:val="1"/>
                <w:bCs w:val="1"/>
                <w:color w:val="auto"/>
                <w:w w:val="87"/>
              </w:rPr>
              <w:t>Rank</w:t>
            </w:r>
          </w:p>
        </w:tc>
        <w:tc>
          <w:tcPr>
            <w:tcW w:w="47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Base Rent</w:t>
            </w: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4"/>
              </w:rPr>
              <w:t>Base Rent</w:t>
            </w:r>
          </w:p>
        </w:tc>
        <w:tc>
          <w:tcPr>
            <w:tcW w:w="13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4"/>
              </w:rPr>
              <w:t>Tenant GLA</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Total GLA</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Leased</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Ahold USA,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8,187,000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2</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Bed, Bath &amp; Beyond,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8,037,000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2.40%</w:t>
            </w:r>
          </w:p>
        </w:tc>
        <w:tc>
          <w:tcPr>
            <w:tcW w:w="740" w:type="dxa"/>
            <w:vAlign w:val="bottom"/>
          </w:tcPr>
          <w:p>
            <w:pPr>
              <w:jc w:val="right"/>
              <w:spacing w:after="0"/>
              <w:rPr>
                <w:sz w:val="20"/>
                <w:szCs w:val="20"/>
                <w:color w:val="auto"/>
              </w:rPr>
            </w:pPr>
            <w:r>
              <w:rPr>
                <w:rFonts w:ascii="Arial" w:cs="Arial" w:eastAsia="Arial" w:hAnsi="Arial"/>
                <w:sz w:val="17"/>
                <w:szCs w:val="17"/>
                <w:color w:val="auto"/>
              </w:rPr>
              <w:t>509,000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2.74%</w:t>
            </w: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Gap,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6,821,000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4</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Safeway,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6,639,000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1.98%</w:t>
            </w:r>
          </w:p>
        </w:tc>
        <w:tc>
          <w:tcPr>
            <w:tcW w:w="740" w:type="dxa"/>
            <w:vAlign w:val="bottom"/>
          </w:tcPr>
          <w:p>
            <w:pPr>
              <w:jc w:val="right"/>
              <w:spacing w:after="0"/>
              <w:rPr>
                <w:sz w:val="20"/>
                <w:szCs w:val="20"/>
                <w:color w:val="auto"/>
              </w:rPr>
            </w:pPr>
            <w:r>
              <w:rPr>
                <w:rFonts w:ascii="Arial" w:cs="Arial" w:eastAsia="Arial" w:hAnsi="Arial"/>
                <w:sz w:val="17"/>
                <w:szCs w:val="17"/>
                <w:color w:val="auto"/>
              </w:rPr>
              <w:t>481,000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2.59%</w:t>
            </w:r>
          </w:p>
        </w:tc>
        <w:tc>
          <w:tcPr>
            <w:tcW w:w="60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TJX Companies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5,822,000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2.89%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6</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w w:val="91"/>
              </w:rPr>
              <w:t>Supervalu (Acme/Albertson’s/Star Mkt/Shaw’s/Shoppers Food)</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5,100,000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1.52%</w:t>
            </w:r>
          </w:p>
        </w:tc>
        <w:tc>
          <w:tcPr>
            <w:tcW w:w="740" w:type="dxa"/>
            <w:vAlign w:val="bottom"/>
          </w:tcPr>
          <w:p>
            <w:pPr>
              <w:jc w:val="right"/>
              <w:spacing w:after="0"/>
              <w:rPr>
                <w:sz w:val="20"/>
                <w:szCs w:val="20"/>
                <w:color w:val="auto"/>
              </w:rPr>
            </w:pPr>
            <w:r>
              <w:rPr>
                <w:rFonts w:ascii="Arial" w:cs="Arial" w:eastAsia="Arial" w:hAnsi="Arial"/>
                <w:sz w:val="17"/>
                <w:szCs w:val="17"/>
                <w:color w:val="auto"/>
              </w:rPr>
              <w:t>513,000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2.76%</w:t>
            </w: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CVS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3,976,000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1.19%</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8</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Barnes &amp; Noble,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3,962,000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1.18%</w:t>
            </w:r>
          </w:p>
        </w:tc>
        <w:tc>
          <w:tcPr>
            <w:tcW w:w="740" w:type="dxa"/>
            <w:vAlign w:val="bottom"/>
          </w:tcPr>
          <w:p>
            <w:pPr>
              <w:jc w:val="right"/>
              <w:spacing w:after="0"/>
              <w:rPr>
                <w:sz w:val="20"/>
                <w:szCs w:val="20"/>
                <w:color w:val="auto"/>
              </w:rPr>
            </w:pPr>
            <w:r>
              <w:rPr>
                <w:rFonts w:ascii="Arial" w:cs="Arial" w:eastAsia="Arial" w:hAnsi="Arial"/>
                <w:sz w:val="17"/>
                <w:szCs w:val="17"/>
                <w:color w:val="auto"/>
              </w:rPr>
              <w:t>174,000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0.94%</w:t>
            </w:r>
          </w:p>
        </w:tc>
        <w:tc>
          <w:tcPr>
            <w:tcW w:w="60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Best Buy Stores, L.P.</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3,394,000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0.52%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10</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L.A. Fitness International LLC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3,212,000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0.96%</w:t>
            </w:r>
          </w:p>
        </w:tc>
        <w:tc>
          <w:tcPr>
            <w:tcW w:w="740" w:type="dxa"/>
            <w:vAlign w:val="bottom"/>
          </w:tcPr>
          <w:p>
            <w:pPr>
              <w:jc w:val="right"/>
              <w:spacing w:after="0"/>
              <w:rPr>
                <w:sz w:val="20"/>
                <w:szCs w:val="20"/>
                <w:color w:val="auto"/>
              </w:rPr>
            </w:pPr>
            <w:r>
              <w:rPr>
                <w:rFonts w:ascii="Arial" w:cs="Arial" w:eastAsia="Arial" w:hAnsi="Arial"/>
                <w:sz w:val="17"/>
                <w:szCs w:val="17"/>
                <w:color w:val="auto"/>
              </w:rPr>
              <w:t>191,000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1.03%</w:t>
            </w: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Wakefern Food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3,077,000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1.25%</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12</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Michaels Stores,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2,858,000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0.85%</w:t>
            </w:r>
          </w:p>
        </w:tc>
        <w:tc>
          <w:tcPr>
            <w:tcW w:w="740" w:type="dxa"/>
            <w:vAlign w:val="bottom"/>
          </w:tcPr>
          <w:p>
            <w:pPr>
              <w:jc w:val="right"/>
              <w:spacing w:after="0"/>
              <w:rPr>
                <w:sz w:val="20"/>
                <w:szCs w:val="20"/>
                <w:color w:val="auto"/>
              </w:rPr>
            </w:pPr>
            <w:r>
              <w:rPr>
                <w:rFonts w:ascii="Arial" w:cs="Arial" w:eastAsia="Arial" w:hAnsi="Arial"/>
                <w:sz w:val="17"/>
                <w:szCs w:val="17"/>
                <w:color w:val="auto"/>
              </w:rPr>
              <w:t>189,000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1.02%</w:t>
            </w: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Home Depot,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2,832,000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14</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Staples,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2,760,000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0.82%</w:t>
            </w:r>
          </w:p>
        </w:tc>
        <w:tc>
          <w:tcPr>
            <w:tcW w:w="740" w:type="dxa"/>
            <w:vAlign w:val="bottom"/>
          </w:tcPr>
          <w:p>
            <w:pPr>
              <w:jc w:val="right"/>
              <w:spacing w:after="0"/>
              <w:rPr>
                <w:sz w:val="20"/>
                <w:szCs w:val="20"/>
                <w:color w:val="auto"/>
              </w:rPr>
            </w:pPr>
            <w:r>
              <w:rPr>
                <w:rFonts w:ascii="Arial" w:cs="Arial" w:eastAsia="Arial" w:hAnsi="Arial"/>
                <w:sz w:val="17"/>
                <w:szCs w:val="17"/>
                <w:color w:val="auto"/>
              </w:rPr>
              <w:t>148,000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0.80%</w:t>
            </w:r>
          </w:p>
        </w:tc>
        <w:tc>
          <w:tcPr>
            <w:tcW w:w="60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Borders Group,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2,736,000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0.82%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16</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OPNET Technologies,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2,637,000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0.79%</w:t>
            </w:r>
          </w:p>
        </w:tc>
        <w:tc>
          <w:tcPr>
            <w:tcW w:w="740" w:type="dxa"/>
            <w:vAlign w:val="bottom"/>
          </w:tcPr>
          <w:p>
            <w:pPr>
              <w:jc w:val="right"/>
              <w:spacing w:after="0"/>
              <w:rPr>
                <w:sz w:val="20"/>
                <w:szCs w:val="20"/>
                <w:color w:val="auto"/>
              </w:rPr>
            </w:pPr>
            <w:r>
              <w:rPr>
                <w:rFonts w:ascii="Arial" w:cs="Arial" w:eastAsia="Arial" w:hAnsi="Arial"/>
                <w:sz w:val="17"/>
                <w:szCs w:val="17"/>
                <w:color w:val="auto"/>
              </w:rPr>
              <w:t>61,000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0.33%</w:t>
            </w: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Dollar Tree Stores,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2,624,000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1.06%</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18</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CompUSA,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2,499,000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0.75%</w:t>
            </w:r>
          </w:p>
        </w:tc>
        <w:tc>
          <w:tcPr>
            <w:tcW w:w="740" w:type="dxa"/>
            <w:vAlign w:val="bottom"/>
          </w:tcPr>
          <w:p>
            <w:pPr>
              <w:jc w:val="right"/>
              <w:spacing w:after="0"/>
              <w:rPr>
                <w:sz w:val="20"/>
                <w:szCs w:val="20"/>
                <w:color w:val="auto"/>
              </w:rPr>
            </w:pPr>
            <w:r>
              <w:rPr>
                <w:rFonts w:ascii="Arial" w:cs="Arial" w:eastAsia="Arial" w:hAnsi="Arial"/>
                <w:sz w:val="17"/>
                <w:szCs w:val="17"/>
                <w:color w:val="auto"/>
              </w:rPr>
              <w:t>134,000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0.72%</w:t>
            </w:r>
          </w:p>
        </w:tc>
        <w:tc>
          <w:tcPr>
            <w:tcW w:w="6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MTS, Inc. (Tower Records) (3)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2,485,000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0.49%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20</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Ross Stores,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2,432,000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0.73%</w:t>
            </w:r>
          </w:p>
        </w:tc>
        <w:tc>
          <w:tcPr>
            <w:tcW w:w="740" w:type="dxa"/>
            <w:vAlign w:val="bottom"/>
          </w:tcPr>
          <w:p>
            <w:pPr>
              <w:jc w:val="right"/>
              <w:spacing w:after="0"/>
              <w:rPr>
                <w:sz w:val="20"/>
                <w:szCs w:val="20"/>
                <w:color w:val="auto"/>
              </w:rPr>
            </w:pPr>
            <w:r>
              <w:rPr>
                <w:rFonts w:ascii="Arial" w:cs="Arial" w:eastAsia="Arial" w:hAnsi="Arial"/>
                <w:sz w:val="17"/>
                <w:szCs w:val="17"/>
                <w:color w:val="auto"/>
              </w:rPr>
              <w:t>149,000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0.80%</w:t>
            </w:r>
          </w:p>
        </w:tc>
        <w:tc>
          <w:tcPr>
            <w:tcW w:w="6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Container Store,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2,354,000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0.28%</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22</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Petco Animal Supplies, Inc.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2,225,000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0.66%</w:t>
            </w:r>
          </w:p>
        </w:tc>
        <w:tc>
          <w:tcPr>
            <w:tcW w:w="740" w:type="dxa"/>
            <w:vAlign w:val="bottom"/>
          </w:tcPr>
          <w:p>
            <w:pPr>
              <w:jc w:val="right"/>
              <w:spacing w:after="0"/>
              <w:rPr>
                <w:sz w:val="20"/>
                <w:szCs w:val="20"/>
                <w:color w:val="auto"/>
              </w:rPr>
            </w:pPr>
            <w:r>
              <w:rPr>
                <w:rFonts w:ascii="Arial" w:cs="Arial" w:eastAsia="Arial" w:hAnsi="Arial"/>
                <w:sz w:val="17"/>
                <w:szCs w:val="17"/>
                <w:color w:val="auto"/>
              </w:rPr>
              <w:t>104,000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0.56%</w:t>
            </w:r>
          </w:p>
        </w:tc>
        <w:tc>
          <w:tcPr>
            <w:tcW w:w="60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Dress Barn,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2,220,000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0.57%</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24</w:t>
            </w:r>
          </w:p>
        </w:tc>
        <w:tc>
          <w:tcPr>
            <w:tcW w:w="4700" w:type="dxa"/>
            <w:vAlign w:val="bottom"/>
            <w:gridSpan w:val="3"/>
          </w:tcPr>
          <w:p>
            <w:pPr>
              <w:ind w:left="360"/>
              <w:spacing w:after="0"/>
              <w:rPr>
                <w:sz w:val="20"/>
                <w:szCs w:val="20"/>
                <w:color w:val="auto"/>
              </w:rPr>
            </w:pPr>
            <w:r>
              <w:rPr>
                <w:rFonts w:ascii="Arial" w:cs="Arial" w:eastAsia="Arial" w:hAnsi="Arial"/>
                <w:sz w:val="17"/>
                <w:szCs w:val="17"/>
                <w:color w:val="auto"/>
              </w:rPr>
              <w:t>Bally’s Health &amp; Tennis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2,141,000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0.64%</w:t>
            </w:r>
          </w:p>
        </w:tc>
        <w:tc>
          <w:tcPr>
            <w:tcW w:w="740" w:type="dxa"/>
            <w:vAlign w:val="bottom"/>
          </w:tcPr>
          <w:p>
            <w:pPr>
              <w:jc w:val="right"/>
              <w:spacing w:after="0"/>
              <w:rPr>
                <w:sz w:val="20"/>
                <w:szCs w:val="20"/>
                <w:color w:val="auto"/>
              </w:rPr>
            </w:pPr>
            <w:r>
              <w:rPr>
                <w:rFonts w:ascii="Arial" w:cs="Arial" w:eastAsia="Arial" w:hAnsi="Arial"/>
                <w:sz w:val="17"/>
                <w:szCs w:val="17"/>
                <w:color w:val="auto"/>
              </w:rPr>
              <w:t>156,000</w:t>
            </w:r>
          </w:p>
        </w:tc>
        <w:tc>
          <w:tcPr>
            <w:tcW w:w="5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0.84%</w:t>
            </w:r>
          </w:p>
        </w:tc>
        <w:tc>
          <w:tcPr>
            <w:tcW w:w="6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Office Depot, Inc.</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2,108,000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0.63%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142,000</w:t>
            </w:r>
          </w:p>
        </w:tc>
        <w:tc>
          <w:tcPr>
            <w:tcW w:w="5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0.77%</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700" w:type="dxa"/>
            <w:vAlign w:val="bottom"/>
            <w:gridSpan w:val="3"/>
            <w:vMerge w:val="restart"/>
          </w:tcPr>
          <w:p>
            <w:pPr>
              <w:ind w:left="360"/>
              <w:spacing w:after="0"/>
              <w:rPr>
                <w:sz w:val="20"/>
                <w:szCs w:val="20"/>
                <w:color w:val="auto"/>
              </w:rPr>
            </w:pPr>
            <w:r>
              <w:rPr>
                <w:rFonts w:ascii="Arial" w:cs="Arial" w:eastAsia="Arial" w:hAnsi="Arial"/>
                <w:sz w:val="17"/>
                <w:szCs w:val="17"/>
                <w:color w:val="auto"/>
              </w:rPr>
              <w:t>Totals - Top 25 Tenants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w w:val="96"/>
              </w:rPr>
              <w:t>93,138,000</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27.78%</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5,749,000</w:t>
            </w:r>
          </w:p>
        </w:tc>
        <w:tc>
          <w:tcPr>
            <w:tcW w:w="5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31.00%</w:t>
            </w:r>
          </w:p>
        </w:tc>
        <w:tc>
          <w:tcPr>
            <w:tcW w:w="600" w:type="dxa"/>
            <w:vAlign w:val="bottom"/>
          </w:tcPr>
          <w:p>
            <w:pPr>
              <w:jc w:val="right"/>
              <w:spacing w:after="0"/>
              <w:rPr>
                <w:sz w:val="20"/>
                <w:szCs w:val="20"/>
                <w:color w:val="auto"/>
              </w:rPr>
            </w:pPr>
            <w:r>
              <w:rPr>
                <w:rFonts w:ascii="Arial" w:cs="Arial" w:eastAsia="Arial" w:hAnsi="Arial"/>
                <w:sz w:val="17"/>
                <w:szCs w:val="17"/>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shd w:val="clear" w:color="auto" w:fill="CCEEFF"/>
          </w:tcPr>
          <w:p>
            <w:pPr>
              <w:spacing w:after="0"/>
              <w:rPr>
                <w:sz w:val="17"/>
                <w:szCs w:val="17"/>
                <w:color w:val="auto"/>
              </w:rPr>
            </w:pPr>
          </w:p>
        </w:tc>
        <w:tc>
          <w:tcPr>
            <w:tcW w:w="47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8"/>
              </w:rPr>
              <w:t>335,244,000(1)</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6"/>
              </w:rPr>
              <w:t>18,550,000(2)</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September 30, 2006.</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Tenant is in the process of liquidating its business under bankruptcy protection.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67"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center"/>
              <w:ind w:left="59"/>
              <w:spacing w:after="0"/>
              <w:rPr>
                <w:sz w:val="20"/>
                <w:szCs w:val="20"/>
                <w:color w:val="auto"/>
              </w:rPr>
            </w:pPr>
            <w:r>
              <w:rPr>
                <w:rFonts w:ascii="Arial" w:cs="Arial" w:eastAsia="Arial" w:hAnsi="Arial"/>
                <w:sz w:val="13"/>
                <w:szCs w:val="13"/>
                <w:b w:val="1"/>
                <w:bCs w:val="1"/>
                <w:color w:val="auto"/>
                <w:w w:val="89"/>
              </w:rPr>
              <w:t>2006 Guidance</w:t>
            </w: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0"/>
        </w:trPr>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7"/>
          </w:tcPr>
          <w:p>
            <w:pPr>
              <w:jc w:val="center"/>
              <w:ind w:right="17"/>
              <w:spacing w:after="0" w:line="121" w:lineRule="exact"/>
              <w:rPr>
                <w:sz w:val="20"/>
                <w:szCs w:val="20"/>
                <w:color w:val="auto"/>
              </w:rPr>
            </w:pPr>
            <w:r>
              <w:rPr>
                <w:rFonts w:ascii="Arial" w:cs="Arial" w:eastAsia="Arial" w:hAnsi="Arial"/>
                <w:sz w:val="13"/>
                <w:szCs w:val="13"/>
                <w:b w:val="1"/>
                <w:bCs w:val="1"/>
                <w:color w:val="auto"/>
                <w:w w:val="87"/>
              </w:rPr>
              <w:t>($ millions except per share</w:t>
            </w:r>
          </w:p>
        </w:tc>
        <w:tc>
          <w:tcPr>
            <w:tcW w:w="60" w:type="dxa"/>
            <w:vAlign w:val="bottom"/>
          </w:tcPr>
          <w:p>
            <w:pPr>
              <w:spacing w:after="0"/>
              <w:rPr>
                <w:sz w:val="10"/>
                <w:szCs w:val="10"/>
                <w:color w:val="auto"/>
              </w:rPr>
            </w:pPr>
          </w:p>
        </w:tc>
      </w:tr>
      <w:tr>
        <w:trPr>
          <w:trHeight w:val="153"/>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amounts) (1)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60" w:type="dxa"/>
            <w:vAlign w:val="bottom"/>
            <w:shd w:val="clear" w:color="auto" w:fill="CCEEFF"/>
          </w:tcPr>
          <w:p>
            <w:pPr>
              <w:spacing w:after="0"/>
              <w:rPr>
                <w:sz w:val="17"/>
                <w:szCs w:val="17"/>
                <w:color w:val="auto"/>
              </w:rPr>
            </w:pPr>
          </w:p>
        </w:tc>
      </w:tr>
      <w:tr>
        <w:trPr>
          <w:trHeight w:val="204"/>
        </w:trPr>
        <w:tc>
          <w:tcPr>
            <w:tcW w:w="9580" w:type="dxa"/>
            <w:vAlign w:val="bottom"/>
            <w:gridSpan w:val="4"/>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(24)</w:t>
            </w: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joint venture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60" w:type="dxa"/>
            <w:vAlign w:val="bottom"/>
            <w:shd w:val="clear" w:color="auto" w:fill="CCEEFF"/>
          </w:tcPr>
          <w:p>
            <w:pPr>
              <w:spacing w:after="0"/>
              <w:rPr>
                <w:sz w:val="17"/>
                <w:szCs w:val="17"/>
                <w:color w:val="auto"/>
              </w:rPr>
            </w:pPr>
          </w:p>
        </w:tc>
      </w:tr>
      <w:tr>
        <w:trPr>
          <w:trHeight w:val="210"/>
        </w:trPr>
        <w:tc>
          <w:tcPr>
            <w:tcW w:w="9580" w:type="dxa"/>
            <w:vAlign w:val="bottom"/>
            <w:gridSpan w:val="4"/>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60" w:type="dxa"/>
            <w:vAlign w:val="bottom"/>
            <w:shd w:val="clear" w:color="auto" w:fill="CCEEFF"/>
          </w:tcPr>
          <w:p>
            <w:pPr>
              <w:spacing w:after="0"/>
              <w:rPr>
                <w:sz w:val="17"/>
                <w:szCs w:val="17"/>
                <w:color w:val="auto"/>
              </w:rPr>
            </w:pPr>
          </w:p>
        </w:tc>
      </w:tr>
      <w:tr>
        <w:trPr>
          <w:trHeight w:val="204"/>
        </w:trPr>
        <w:tc>
          <w:tcPr>
            <w:tcW w:w="9580" w:type="dxa"/>
            <w:vAlign w:val="bottom"/>
            <w:gridSpan w:val="4"/>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7"/>
                <w:szCs w:val="17"/>
                <w:color w:val="auto"/>
              </w:rPr>
            </w:pP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5"/>
        </w:trPr>
        <w:tc>
          <w:tcPr>
            <w:tcW w:w="9580" w:type="dxa"/>
            <w:vAlign w:val="bottom"/>
            <w:gridSpan w:val="4"/>
          </w:tcPr>
          <w:p>
            <w:pPr>
              <w:spacing w:after="0"/>
              <w:rPr>
                <w:sz w:val="20"/>
                <w:szCs w:val="20"/>
                <w:color w:val="auto"/>
              </w:rPr>
            </w:pPr>
            <w:r>
              <w:rPr>
                <w:rFonts w:ascii="Arial" w:cs="Arial" w:eastAsia="Arial" w:hAnsi="Arial"/>
                <w:sz w:val="17"/>
                <w:szCs w:val="17"/>
                <w:color w:val="auto"/>
              </w:rPr>
              <w:t>Funds from operations available for common shareholders before preferred stock redemption</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60" w:type="dxa"/>
            <w:vAlign w:val="bottom"/>
          </w:tcPr>
          <w:p>
            <w:pPr>
              <w:spacing w:after="0"/>
              <w:rPr>
                <w:sz w:val="18"/>
                <w:szCs w:val="18"/>
                <w:color w:val="auto"/>
              </w:rPr>
            </w:pP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Preferred stock redemption (2)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9"/>
        </w:trPr>
        <w:tc>
          <w:tcPr>
            <w:tcW w:w="9580" w:type="dxa"/>
            <w:vAlign w:val="bottom"/>
            <w:gridSpan w:val="4"/>
          </w:tcPr>
          <w:p>
            <w:pPr>
              <w:spacing w:after="0"/>
              <w:rPr>
                <w:sz w:val="20"/>
                <w:szCs w:val="20"/>
                <w:color w:val="auto"/>
              </w:rPr>
            </w:pPr>
            <w:r>
              <w:rPr>
                <w:rFonts w:ascii="Arial" w:cs="Arial" w:eastAsia="Arial" w:hAnsi="Arial"/>
                <w:sz w:val="17"/>
                <w:szCs w:val="17"/>
                <w:color w:val="auto"/>
              </w:rPr>
              <w:t>Funds from operations available to common shareholders after preferred stock redemption</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54.3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9580" w:type="dxa"/>
            <w:vAlign w:val="bottom"/>
            <w:gridSpan w:val="4"/>
          </w:tcPr>
          <w:p>
            <w:pPr>
              <w:spacing w:after="0"/>
              <w:rPr>
                <w:sz w:val="20"/>
                <w:szCs w:val="20"/>
                <w:color w:val="auto"/>
              </w:rPr>
            </w:pPr>
            <w:r>
              <w:rPr>
                <w:rFonts w:ascii="Arial" w:cs="Arial" w:eastAsia="Arial" w:hAnsi="Arial"/>
                <w:sz w:val="17"/>
                <w:szCs w:val="17"/>
                <w:color w:val="auto"/>
              </w:rPr>
              <w:t>Funds from operations available for common shareholders per diluted share before preferred stock redemption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3.34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3.35</w:t>
            </w:r>
          </w:p>
        </w:tc>
        <w:tc>
          <w:tcPr>
            <w:tcW w:w="60" w:type="dxa"/>
            <w:vAlign w:val="bottom"/>
          </w:tcPr>
          <w:p>
            <w:pPr>
              <w:spacing w:after="0"/>
              <w:rPr>
                <w:sz w:val="18"/>
                <w:szCs w:val="18"/>
                <w:color w:val="auto"/>
              </w:rPr>
            </w:pP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 per diluted share after preferred stock redemption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3.25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3.26</w:t>
            </w:r>
          </w:p>
        </w:tc>
        <w:tc>
          <w:tcPr>
            <w:tcW w:w="60" w:type="dxa"/>
            <w:vAlign w:val="bottom"/>
            <w:shd w:val="clear" w:color="auto" w:fill="CCEEFF"/>
          </w:tcPr>
          <w:p>
            <w:pPr>
              <w:spacing w:after="0"/>
              <w:rPr>
                <w:sz w:val="17"/>
                <w:szCs w:val="17"/>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61"/>
        </w:trPr>
        <w:tc>
          <w:tcPr>
            <w:tcW w:w="400" w:type="dxa"/>
            <w:vAlign w:val="bottom"/>
            <w:gridSpan w:val="2"/>
          </w:tcPr>
          <w:p>
            <w:pPr>
              <w:spacing w:after="0"/>
              <w:rPr>
                <w:sz w:val="20"/>
                <w:szCs w:val="20"/>
                <w:color w:val="auto"/>
              </w:rPr>
            </w:pPr>
            <w:r>
              <w:rPr>
                <w:rFonts w:ascii="Arial" w:cs="Arial" w:eastAsia="Arial" w:hAnsi="Arial"/>
                <w:sz w:val="17"/>
                <w:szCs w:val="17"/>
                <w:color w:val="auto"/>
                <w:w w:val="93"/>
              </w:rPr>
              <w:t>Note:</w:t>
            </w:r>
          </w:p>
        </w:tc>
        <w:tc>
          <w:tcPr>
            <w:tcW w:w="540" w:type="dxa"/>
            <w:vAlign w:val="bottom"/>
          </w:tcPr>
          <w:p>
            <w:pPr>
              <w:spacing w:after="0"/>
              <w:rPr>
                <w:sz w:val="22"/>
                <w:szCs w:val="22"/>
                <w:color w:val="auto"/>
              </w:rPr>
            </w:pPr>
          </w:p>
        </w:tc>
        <w:tc>
          <w:tcPr>
            <w:tcW w:w="8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4"/>
        </w:trPr>
        <w:tc>
          <w:tcPr>
            <w:tcW w:w="3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9180" w:type="dxa"/>
            <w:vAlign w:val="bottom"/>
            <w:gridSpan w:val="2"/>
          </w:tcPr>
          <w:p>
            <w:pPr>
              <w:ind w:left="40"/>
              <w:spacing w:after="0"/>
              <w:rPr>
                <w:sz w:val="20"/>
                <w:szCs w:val="20"/>
                <w:color w:val="auto"/>
              </w:rPr>
            </w:pPr>
            <w:r>
              <w:rPr>
                <w:rFonts w:ascii="Arial" w:cs="Arial" w:eastAsia="Arial" w:hAnsi="Arial"/>
                <w:sz w:val="17"/>
                <w:szCs w:val="17"/>
                <w:color w:val="auto"/>
              </w:rPr>
              <w:t>Individual items may not add up to total due to rounding.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80" w:type="dxa"/>
            <w:vAlign w:val="bottom"/>
          </w:tcPr>
          <w:p>
            <w:pPr>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9180" w:type="dxa"/>
            <w:vAlign w:val="bottom"/>
            <w:gridSpan w:val="2"/>
          </w:tcPr>
          <w:p>
            <w:pPr>
              <w:ind w:left="40"/>
              <w:spacing w:after="0"/>
              <w:rPr>
                <w:sz w:val="20"/>
                <w:szCs w:val="20"/>
                <w:color w:val="auto"/>
              </w:rPr>
            </w:pPr>
            <w:r>
              <w:rPr>
                <w:rFonts w:ascii="Arial" w:cs="Arial" w:eastAsia="Arial" w:hAnsi="Arial"/>
                <w:sz w:val="17"/>
                <w:szCs w:val="17"/>
                <w:color w:val="auto"/>
              </w:rPr>
              <w:t>Preferred stock anticipated to be redeemed effective November 27, 2006.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3"/>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9"/>
              </w:rPr>
              <w:t>2007 Guidance</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20"/>
        </w:trPr>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7"/>
          </w:tcPr>
          <w:p>
            <w:pPr>
              <w:jc w:val="center"/>
              <w:ind w:right="100"/>
              <w:spacing w:after="0" w:line="121" w:lineRule="exact"/>
              <w:rPr>
                <w:sz w:val="20"/>
                <w:szCs w:val="20"/>
                <w:color w:val="auto"/>
              </w:rPr>
            </w:pPr>
            <w:r>
              <w:rPr>
                <w:rFonts w:ascii="Arial" w:cs="Arial" w:eastAsia="Arial" w:hAnsi="Arial"/>
                <w:sz w:val="13"/>
                <w:szCs w:val="13"/>
                <w:b w:val="1"/>
                <w:bCs w:val="1"/>
                <w:color w:val="auto"/>
                <w:w w:val="87"/>
              </w:rPr>
              <w:t>($ millions except per share</w:t>
            </w:r>
          </w:p>
        </w:tc>
      </w:tr>
      <w:tr>
        <w:trPr>
          <w:trHeight w:val="153"/>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amounts) (1)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04"/>
        </w:trPr>
        <w:tc>
          <w:tcPr>
            <w:tcW w:w="9580" w:type="dxa"/>
            <w:vAlign w:val="bottom"/>
            <w:gridSpan w:val="4"/>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joint venture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0"/>
        </w:trPr>
        <w:tc>
          <w:tcPr>
            <w:tcW w:w="9580" w:type="dxa"/>
            <w:vAlign w:val="bottom"/>
            <w:gridSpan w:val="4"/>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w:t>
            </w: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04"/>
        </w:trPr>
        <w:tc>
          <w:tcPr>
            <w:tcW w:w="9580" w:type="dxa"/>
            <w:vAlign w:val="bottom"/>
            <w:gridSpan w:val="4"/>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9"/>
        </w:trPr>
        <w:tc>
          <w:tcPr>
            <w:tcW w:w="9580" w:type="dxa"/>
            <w:vAlign w:val="bottom"/>
            <w:gridSpan w:val="4"/>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w:t>
            </w:r>
          </w:p>
        </w:tc>
        <w:tc>
          <w:tcPr>
            <w:tcW w:w="600" w:type="dxa"/>
            <w:vAlign w:val="bottom"/>
          </w:tcPr>
          <w:p>
            <w:pPr>
              <w:ind w:left="300"/>
              <w:spacing w:after="0"/>
              <w:rPr>
                <w:sz w:val="20"/>
                <w:szCs w:val="20"/>
                <w:color w:val="auto"/>
              </w:rPr>
            </w:pPr>
            <w:r>
              <w:rPr>
                <w:rFonts w:ascii="Arial" w:cs="Arial" w:eastAsia="Arial" w:hAnsi="Arial"/>
                <w:sz w:val="17"/>
                <w:szCs w:val="17"/>
                <w:color w:val="auto"/>
              </w:rPr>
              <w:t>to</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204</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96"/>
        </w:trPr>
        <w:tc>
          <w:tcPr>
            <w:tcW w:w="9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580" w:type="dxa"/>
            <w:vAlign w:val="bottom"/>
            <w:gridSpan w:val="4"/>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3.60</w:t>
            </w:r>
          </w:p>
        </w:tc>
        <w:tc>
          <w:tcPr>
            <w:tcW w:w="6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3.65</w:t>
            </w:r>
          </w:p>
        </w:tc>
      </w:tr>
      <w:tr>
        <w:trPr>
          <w:trHeight w:val="108"/>
        </w:trPr>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16" w:lineRule="exact"/>
        <w:rPr>
          <w:sz w:val="20"/>
          <w:szCs w:val="20"/>
          <w:color w:val="auto"/>
        </w:rPr>
      </w:pPr>
    </w:p>
    <w:p>
      <w:pPr>
        <w:ind w:left="440" w:hanging="438"/>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6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303"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Clarion Lion Properties Fund</w:t>
      </w:r>
    </w:p>
    <w:p>
      <w:pPr>
        <w:spacing w:after="0" w:line="176"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19"/>
          </w:cols>
          <w:pgMar w:left="240" w:top="267" w:right="1440"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Nine months ended</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8"/>
              </w:rPr>
              <w:t>September 30, 2006</w:t>
            </w:r>
          </w:p>
        </w:tc>
        <w:tc>
          <w:tcPr>
            <w:tcW w:w="4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September 30, 2006</w:t>
            </w:r>
          </w:p>
        </w:tc>
        <w:tc>
          <w:tcPr>
            <w:tcW w:w="0" w:type="dxa"/>
            <w:vAlign w:val="bottom"/>
          </w:tcPr>
          <w:p>
            <w:pPr>
              <w:spacing w:after="0"/>
              <w:rPr>
                <w:sz w:val="1"/>
                <w:szCs w:val="1"/>
                <w:color w:val="auto"/>
              </w:rPr>
            </w:pPr>
          </w:p>
        </w:tc>
      </w:tr>
      <w:tr>
        <w:trPr>
          <w:trHeight w:val="177"/>
        </w:trPr>
        <w:tc>
          <w:tcPr>
            <w:tcW w:w="29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7"/>
                <w:szCs w:val="17"/>
                <w:color w:val="auto"/>
                <w:w w:val="91"/>
              </w:rPr>
              <w:t>CONSOLIDATED OPERATING RESULTS</w:t>
            </w:r>
          </w:p>
        </w:tc>
        <w:tc>
          <w:tcPr>
            <w:tcW w:w="164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spacing w:after="0"/>
              <w:rPr>
                <w:sz w:val="20"/>
                <w:szCs w:val="20"/>
                <w:color w:val="auto"/>
              </w:rPr>
            </w:pPr>
            <w:r>
              <w:rPr>
                <w:rFonts w:ascii="Arial" w:cs="Arial" w:eastAsia="Arial" w:hAnsi="Arial"/>
                <w:sz w:val="17"/>
                <w:szCs w:val="17"/>
                <w:color w:val="auto"/>
              </w:rPr>
              <w:t>Revenues</w:t>
            </w: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Rental income</w:t>
            </w:r>
          </w:p>
        </w:tc>
        <w:tc>
          <w:tcPr>
            <w:tcW w:w="3940" w:type="dxa"/>
            <w:vAlign w:val="bottom"/>
            <w:gridSpan w:val="2"/>
            <w:shd w:val="clear" w:color="auto" w:fill="CCEEFF"/>
          </w:tcPr>
          <w:p>
            <w:pPr>
              <w:ind w:left="36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3,058</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ind w:left="420"/>
              <w:spacing w:after="0"/>
              <w:rPr>
                <w:sz w:val="20"/>
                <w:szCs w:val="20"/>
                <w:color w:val="auto"/>
              </w:rPr>
            </w:pPr>
            <w:r>
              <w:rPr>
                <w:rFonts w:ascii="Arial" w:cs="Arial" w:eastAsia="Arial" w:hAnsi="Arial"/>
                <w:sz w:val="17"/>
                <w:szCs w:val="17"/>
                <w:color w:val="auto"/>
              </w:rPr>
              <w:t>Other property income</w:t>
            </w: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81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3,139</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620" w:type="dxa"/>
            <w:vAlign w:val="bottom"/>
            <w:gridSpan w:val="3"/>
          </w:tcPr>
          <w:p>
            <w:pPr>
              <w:spacing w:after="0"/>
              <w:rPr>
                <w:sz w:val="20"/>
                <w:szCs w:val="20"/>
                <w:color w:val="auto"/>
              </w:rPr>
            </w:pPr>
            <w:r>
              <w:rPr>
                <w:rFonts w:ascii="Arial" w:cs="Arial" w:eastAsia="Arial" w:hAnsi="Arial"/>
                <w:sz w:val="17"/>
                <w:szCs w:val="17"/>
                <w:color w:val="auto"/>
              </w:rPr>
              <w:t>Expenses</w:t>
            </w: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407</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ind w:left="420"/>
              <w:spacing w:after="0"/>
              <w:rPr>
                <w:sz w:val="20"/>
                <w:szCs w:val="20"/>
                <w:color w:val="auto"/>
              </w:rPr>
            </w:pPr>
            <w:r>
              <w:rPr>
                <w:rFonts w:ascii="Arial" w:cs="Arial" w:eastAsia="Arial" w:hAnsi="Arial"/>
                <w:sz w:val="17"/>
                <w:szCs w:val="17"/>
                <w:color w:val="auto"/>
              </w:rPr>
              <w:t>Real estate taxes</w:t>
            </w: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280</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867</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1,554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1,585</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(1,076)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(2,433)</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3940" w:type="dxa"/>
            <w:vAlign w:val="bottom"/>
            <w:gridSpan w:val="2"/>
            <w:shd w:val="clear" w:color="auto" w:fill="CCEEFF"/>
          </w:tcPr>
          <w:p>
            <w:pPr>
              <w:ind w:left="36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509</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86"/>
              </w:rPr>
              <w:t>As of</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6"/>
        </w:trPr>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8"/>
              </w:rPr>
              <w:t>September 30, 2006</w:t>
            </w:r>
          </w:p>
        </w:tc>
        <w:tc>
          <w:tcPr>
            <w:tcW w:w="4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December 31, 2005</w:t>
            </w:r>
          </w:p>
        </w:tc>
        <w:tc>
          <w:tcPr>
            <w:tcW w:w="0" w:type="dxa"/>
            <w:vAlign w:val="bottom"/>
          </w:tcPr>
          <w:p>
            <w:pPr>
              <w:spacing w:after="0"/>
              <w:rPr>
                <w:sz w:val="1"/>
                <w:szCs w:val="1"/>
                <w:color w:val="auto"/>
              </w:rPr>
            </w:pPr>
          </w:p>
        </w:tc>
      </w:tr>
      <w:tr>
        <w:trPr>
          <w:trHeight w:val="177"/>
        </w:trPr>
        <w:tc>
          <w:tcPr>
            <w:tcW w:w="274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w w:val="93"/>
              </w:rPr>
              <w:t>CONSOLIDATED BALANCE SHEETS</w:t>
            </w:r>
          </w:p>
        </w:tc>
        <w:tc>
          <w:tcPr>
            <w:tcW w:w="1880" w:type="dxa"/>
            <w:vAlign w:val="bottom"/>
            <w:tcBorders>
              <w:bottom w:val="single" w:sz="8" w:color="CCEEFF"/>
            </w:tcBorders>
            <w:gridSpan w:val="2"/>
            <w:shd w:val="clear" w:color="auto" w:fill="CCEEFF"/>
          </w:tcPr>
          <w:p>
            <w:pPr>
              <w:spacing w:after="0"/>
              <w:rPr>
                <w:sz w:val="15"/>
                <w:szCs w:val="15"/>
                <w:color w:val="auto"/>
              </w:rPr>
            </w:pPr>
          </w:p>
        </w:tc>
        <w:tc>
          <w:tcPr>
            <w:tcW w:w="3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gridSpan w:val="3"/>
          </w:tcPr>
          <w:p>
            <w:pPr>
              <w:spacing w:after="0"/>
              <w:rPr>
                <w:sz w:val="20"/>
                <w:szCs w:val="20"/>
                <w:color w:val="auto"/>
              </w:rPr>
            </w:pPr>
            <w:r>
              <w:rPr>
                <w:rFonts w:ascii="Arial" w:cs="Arial" w:eastAsia="Arial" w:hAnsi="Arial"/>
                <w:sz w:val="17"/>
                <w:szCs w:val="17"/>
                <w:color w:val="auto"/>
              </w:rPr>
              <w:t>ASSETS</w:t>
            </w: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at cost</w:t>
            </w:r>
          </w:p>
        </w:tc>
        <w:tc>
          <w:tcPr>
            <w:tcW w:w="3940" w:type="dxa"/>
            <w:vAlign w:val="bottom"/>
            <w:gridSpan w:val="2"/>
            <w:shd w:val="clear" w:color="auto" w:fill="CCEEFF"/>
          </w:tcPr>
          <w:p>
            <w:pPr>
              <w:ind w:left="36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129,083</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7"/>
                <w:szCs w:val="17"/>
                <w:color w:val="auto"/>
              </w:rPr>
              <w:t>(4,680)</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(2,718)</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124,403</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6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2,094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receivable and other assets</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4,425</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7"/>
                <w:szCs w:val="17"/>
                <w:color w:val="auto"/>
              </w:rPr>
              <w:t>TOTAL ASSETS</w:t>
            </w:r>
          </w:p>
        </w:tc>
        <w:tc>
          <w:tcPr>
            <w:tcW w:w="3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3"/>
            <w:vMerge w:val="continue"/>
          </w:tcPr>
          <w:p>
            <w:pPr>
              <w:spacing w:after="0"/>
              <w:rPr>
                <w:sz w:val="18"/>
                <w:szCs w:val="18"/>
                <w:color w:val="auto"/>
              </w:rPr>
            </w:pPr>
          </w:p>
        </w:tc>
        <w:tc>
          <w:tcPr>
            <w:tcW w:w="3940" w:type="dxa"/>
            <w:vAlign w:val="bottom"/>
            <w:gridSpan w:val="2"/>
          </w:tcPr>
          <w:p>
            <w:pPr>
              <w:ind w:left="36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130,922</w:t>
            </w:r>
          </w:p>
        </w:tc>
        <w:tc>
          <w:tcPr>
            <w:tcW w:w="6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84,101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LIABILITIES AND PARTNERS’ CAPITAL</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620" w:type="dxa"/>
            <w:vAlign w:val="bottom"/>
            <w:gridSpan w:val="3"/>
          </w:tcPr>
          <w:p>
            <w:pPr>
              <w:spacing w:after="0"/>
              <w:rPr>
                <w:sz w:val="20"/>
                <w:szCs w:val="20"/>
                <w:color w:val="auto"/>
              </w:rPr>
            </w:pPr>
            <w:r>
              <w:rPr>
                <w:rFonts w:ascii="Arial" w:cs="Arial" w:eastAsia="Arial" w:hAnsi="Arial"/>
                <w:sz w:val="17"/>
                <w:szCs w:val="17"/>
                <w:color w:val="auto"/>
              </w:rPr>
              <w:t>Liabilities</w:t>
            </w: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Mortgages</w:t>
            </w:r>
          </w:p>
        </w:tc>
        <w:tc>
          <w:tcPr>
            <w:tcW w:w="3940" w:type="dxa"/>
            <w:vAlign w:val="bottom"/>
            <w:gridSpan w:val="2"/>
            <w:shd w:val="clear" w:color="auto" w:fill="CCEEFF"/>
          </w:tcPr>
          <w:p>
            <w:pPr>
              <w:ind w:left="36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77,425</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tcPr>
          <w:p>
            <w:pPr>
              <w:ind w:left="420"/>
              <w:spacing w:after="0"/>
              <w:rPr>
                <w:sz w:val="20"/>
                <w:szCs w:val="20"/>
                <w:color w:val="auto"/>
              </w:rPr>
            </w:pPr>
            <w:r>
              <w:rPr>
                <w:rFonts w:ascii="Arial" w:cs="Arial" w:eastAsia="Arial" w:hAnsi="Arial"/>
                <w:sz w:val="17"/>
                <w:szCs w:val="17"/>
                <w:color w:val="auto"/>
              </w:rPr>
              <w:t>Other liabilities</w:t>
            </w: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6,988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84,413</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620" w:type="dxa"/>
            <w:vAlign w:val="bottom"/>
            <w:gridSpan w:val="3"/>
          </w:tcPr>
          <w:p>
            <w:pPr>
              <w:spacing w:after="0"/>
              <w:rPr>
                <w:sz w:val="20"/>
                <w:szCs w:val="20"/>
                <w:color w:val="auto"/>
              </w:rPr>
            </w:pPr>
            <w:r>
              <w:rPr>
                <w:rFonts w:ascii="Arial" w:cs="Arial" w:eastAsia="Arial" w:hAnsi="Arial"/>
                <w:sz w:val="17"/>
                <w:szCs w:val="17"/>
                <w:color w:val="auto"/>
              </w:rPr>
              <w:t>Partners’ capital</w:t>
            </w: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46,509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31,370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 AND PARTNERS’ CAPITAL</w:t>
            </w:r>
          </w:p>
        </w:tc>
        <w:tc>
          <w:tcPr>
            <w:tcW w:w="3940" w:type="dxa"/>
            <w:vAlign w:val="bottom"/>
            <w:gridSpan w:val="2"/>
            <w:shd w:val="clear" w:color="auto" w:fill="CCEEFF"/>
          </w:tcPr>
          <w:p>
            <w:pPr>
              <w:ind w:left="36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130,922</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vMerge w:val="restart"/>
          </w:tcPr>
          <w:p>
            <w:pPr>
              <w:ind w:left="1020"/>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w w:val="90"/>
              </w:rPr>
              <w:t>Interest Rate as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Maturity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w w:val="85"/>
              </w:rPr>
              <w:t>September 30, 2006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gridSpan w:val="3"/>
            <w:shd w:val="clear" w:color="auto" w:fill="CCEEFF"/>
          </w:tcPr>
          <w:p>
            <w:pPr>
              <w:spacing w:after="0" w:line="166" w:lineRule="exact"/>
              <w:rPr>
                <w:sz w:val="20"/>
                <w:szCs w:val="20"/>
                <w:color w:val="auto"/>
              </w:rPr>
            </w:pPr>
            <w:r>
              <w:rPr>
                <w:rFonts w:ascii="Arial" w:cs="Arial" w:eastAsia="Arial" w:hAnsi="Arial"/>
                <w:sz w:val="17"/>
                <w:szCs w:val="17"/>
                <w:color w:val="auto"/>
                <w:w w:val="87"/>
              </w:rPr>
              <w:t>Mortgage Loans</w:t>
            </w:r>
          </w:p>
        </w:tc>
        <w:tc>
          <w:tcPr>
            <w:tcW w:w="4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right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60" w:type="dxa"/>
            <w:vAlign w:val="bottom"/>
            <w:gridSpan w:val="4"/>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2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Campus Plaza</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jc w:val="right"/>
              <w:ind w:right="419"/>
              <w:spacing w:after="0"/>
              <w:rPr>
                <w:sz w:val="20"/>
                <w:szCs w:val="20"/>
                <w:color w:val="auto"/>
              </w:rPr>
            </w:pPr>
            <w:r>
              <w:rPr>
                <w:rFonts w:ascii="Arial" w:cs="Arial" w:eastAsia="Arial" w:hAnsi="Arial"/>
                <w:sz w:val="17"/>
                <w:szCs w:val="17"/>
                <w:color w:val="auto"/>
              </w:rPr>
              <w:t>12/01/09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4.530% (a)</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60" w:type="dxa"/>
            <w:vAlign w:val="bottom"/>
            <w:gridSpan w:val="4"/>
          </w:tcPr>
          <w:p>
            <w:pPr>
              <w:ind w:left="420"/>
              <w:spacing w:after="0"/>
              <w:rPr>
                <w:sz w:val="20"/>
                <w:szCs w:val="20"/>
                <w:color w:val="auto"/>
              </w:rPr>
            </w:pPr>
            <w:r>
              <w:rPr>
                <w:rFonts w:ascii="Arial" w:cs="Arial" w:eastAsia="Arial" w:hAnsi="Arial"/>
                <w:sz w:val="17"/>
                <w:szCs w:val="17"/>
                <w:color w:val="auto"/>
              </w:rPr>
              <w:t>Pleasant Shops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60" w:type="dxa"/>
            <w:vAlign w:val="bottom"/>
            <w:gridSpan w:val="5"/>
          </w:tcPr>
          <w:p>
            <w:pPr>
              <w:jc w:val="right"/>
              <w:ind w:right="419"/>
              <w:spacing w:after="0"/>
              <w:rPr>
                <w:sz w:val="20"/>
                <w:szCs w:val="20"/>
                <w:color w:val="auto"/>
              </w:rPr>
            </w:pPr>
            <w:r>
              <w:rPr>
                <w:rFonts w:ascii="Arial" w:cs="Arial" w:eastAsia="Arial" w:hAnsi="Arial"/>
                <w:sz w:val="17"/>
                <w:szCs w:val="17"/>
                <w:color w:val="auto"/>
              </w:rPr>
              <w:t>12/01/09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3"/>
          </w:tcPr>
          <w:p>
            <w:pPr>
              <w:ind w:left="300"/>
              <w:spacing w:after="0"/>
              <w:rPr>
                <w:sz w:val="20"/>
                <w:szCs w:val="20"/>
                <w:color w:val="auto"/>
              </w:rPr>
            </w:pPr>
            <w:r>
              <w:rPr>
                <w:rFonts w:ascii="Arial" w:cs="Arial" w:eastAsia="Arial" w:hAnsi="Arial"/>
                <w:sz w:val="17"/>
                <w:szCs w:val="17"/>
                <w:color w:val="auto"/>
              </w:rPr>
              <w:t>4.530% (a)</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Plaza del Mercado</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jc w:val="right"/>
              <w:ind w:right="419"/>
              <w:spacing w:after="0"/>
              <w:rPr>
                <w:sz w:val="20"/>
                <w:szCs w:val="20"/>
                <w:color w:val="auto"/>
              </w:rPr>
            </w:pPr>
            <w:r>
              <w:rPr>
                <w:rFonts w:ascii="Arial" w:cs="Arial" w:eastAsia="Arial" w:hAnsi="Arial"/>
                <w:sz w:val="17"/>
                <w:szCs w:val="17"/>
                <w:color w:val="auto"/>
              </w:rPr>
              <w:t>07/05/14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5.770% (b)</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60" w:type="dxa"/>
            <w:vAlign w:val="bottom"/>
            <w:gridSpan w:val="4"/>
          </w:tcPr>
          <w:p>
            <w:pPr>
              <w:ind w:left="420"/>
              <w:spacing w:after="0"/>
              <w:rPr>
                <w:sz w:val="20"/>
                <w:szCs w:val="20"/>
                <w:color w:val="auto"/>
              </w:rPr>
            </w:pPr>
            <w:r>
              <w:rPr>
                <w:rFonts w:ascii="Arial" w:cs="Arial" w:eastAsia="Arial" w:hAnsi="Arial"/>
                <w:sz w:val="17"/>
                <w:szCs w:val="17"/>
                <w:color w:val="auto"/>
              </w:rPr>
              <w:t>Atlantic Plaza</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60" w:type="dxa"/>
            <w:vAlign w:val="bottom"/>
            <w:gridSpan w:val="5"/>
          </w:tcPr>
          <w:p>
            <w:pPr>
              <w:jc w:val="right"/>
              <w:ind w:right="419"/>
              <w:spacing w:after="0"/>
              <w:rPr>
                <w:sz w:val="20"/>
                <w:szCs w:val="20"/>
                <w:color w:val="auto"/>
              </w:rPr>
            </w:pPr>
            <w:r>
              <w:rPr>
                <w:rFonts w:ascii="Arial" w:cs="Arial" w:eastAsia="Arial" w:hAnsi="Arial"/>
                <w:sz w:val="17"/>
                <w:szCs w:val="17"/>
                <w:color w:val="auto"/>
              </w:rPr>
              <w:t>12/01/14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3"/>
          </w:tcPr>
          <w:p>
            <w:pPr>
              <w:ind w:left="300"/>
              <w:spacing w:after="0"/>
              <w:rPr>
                <w:sz w:val="20"/>
                <w:szCs w:val="20"/>
                <w:color w:val="auto"/>
              </w:rPr>
            </w:pPr>
            <w:r>
              <w:rPr>
                <w:rFonts w:ascii="Arial" w:cs="Arial" w:eastAsia="Arial" w:hAnsi="Arial"/>
                <w:sz w:val="17"/>
                <w:szCs w:val="17"/>
                <w:color w:val="auto"/>
              </w:rPr>
              <w:t>5.120% (a)</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Barcroft Plaza</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jc w:val="right"/>
              <w:ind w:right="419"/>
              <w:spacing w:after="0"/>
              <w:rPr>
                <w:sz w:val="20"/>
                <w:szCs w:val="20"/>
                <w:color w:val="auto"/>
              </w:rPr>
            </w:pPr>
            <w:r>
              <w:rPr>
                <w:rFonts w:ascii="Arial" w:cs="Arial" w:eastAsia="Arial" w:hAnsi="Arial"/>
                <w:sz w:val="17"/>
                <w:szCs w:val="17"/>
                <w:color w:val="auto"/>
              </w:rPr>
              <w:t>07/01/16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6.060% (a)</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gridSpan w:val="4"/>
          </w:tcPr>
          <w:p>
            <w:pPr>
              <w:ind w:left="420"/>
              <w:spacing w:after="0"/>
              <w:rPr>
                <w:sz w:val="20"/>
                <w:szCs w:val="20"/>
                <w:color w:val="auto"/>
              </w:rPr>
            </w:pPr>
            <w:r>
              <w:rPr>
                <w:rFonts w:ascii="Arial" w:cs="Arial" w:eastAsia="Arial" w:hAnsi="Arial"/>
                <w:sz w:val="17"/>
                <w:szCs w:val="17"/>
                <w:color w:val="auto"/>
              </w:rPr>
              <w:t>Greenlawn Plaza</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60" w:type="dxa"/>
            <w:vAlign w:val="bottom"/>
            <w:gridSpan w:val="5"/>
          </w:tcPr>
          <w:p>
            <w:pPr>
              <w:jc w:val="right"/>
              <w:ind w:right="419"/>
              <w:spacing w:after="0"/>
              <w:rPr>
                <w:sz w:val="20"/>
                <w:szCs w:val="20"/>
                <w:color w:val="auto"/>
              </w:rPr>
            </w:pPr>
            <w:r>
              <w:rPr>
                <w:rFonts w:ascii="Arial" w:cs="Arial" w:eastAsia="Arial" w:hAnsi="Arial"/>
                <w:sz w:val="17"/>
                <w:szCs w:val="17"/>
                <w:color w:val="auto"/>
              </w:rPr>
              <w:t>07/01/16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ind w:left="300"/>
              <w:spacing w:after="0"/>
              <w:rPr>
                <w:sz w:val="20"/>
                <w:szCs w:val="20"/>
                <w:color w:val="auto"/>
              </w:rPr>
            </w:pPr>
            <w:r>
              <w:rPr>
                <w:rFonts w:ascii="Arial" w:cs="Arial" w:eastAsia="Arial" w:hAnsi="Arial"/>
                <w:sz w:val="17"/>
                <w:szCs w:val="17"/>
                <w:color w:val="auto"/>
              </w:rPr>
              <w:t>5.900% (a)</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60" w:type="dxa"/>
            <w:vAlign w:val="bottom"/>
            <w:gridSpan w:val="4"/>
            <w:shd w:val="clear" w:color="auto" w:fill="CCEEFF"/>
          </w:tcPr>
          <w:p>
            <w:pPr>
              <w:ind w:left="820"/>
              <w:spacing w:after="0"/>
              <w:rPr>
                <w:sz w:val="20"/>
                <w:szCs w:val="20"/>
                <w:color w:val="auto"/>
              </w:rPr>
            </w:pPr>
            <w:r>
              <w:rPr>
                <w:rFonts w:ascii="Arial" w:cs="Arial" w:eastAsia="Arial" w:hAnsi="Arial"/>
                <w:sz w:val="17"/>
                <w:szCs w:val="17"/>
                <w:color w:val="auto"/>
              </w:rPr>
              <w:t>Total Fixed Rate Debt</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Arial" w:cs="Arial" w:eastAsia="Arial" w:hAnsi="Arial"/>
                <w:sz w:val="17"/>
                <w:szCs w:val="17"/>
                <w:color w:val="auto"/>
                <w:w w:val="90"/>
              </w:rPr>
              <w:t>Debt Maturities</w:t>
            </w:r>
          </w:p>
        </w:tc>
        <w:tc>
          <w:tcPr>
            <w:tcW w:w="4200" w:type="dxa"/>
            <w:vAlign w:val="bottom"/>
            <w:gridSpan w:val="2"/>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60" w:type="dxa"/>
            <w:vAlign w:val="bottom"/>
            <w:tcBorders>
              <w:bottom w:val="single" w:sz="8" w:color="auto"/>
            </w:tcBorders>
            <w:gridSpan w:val="2"/>
            <w:vMerge w:val="continue"/>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60" w:type="dxa"/>
            <w:vAlign w:val="bottom"/>
            <w:gridSpan w:val="4"/>
          </w:tcPr>
          <w:p>
            <w:pPr>
              <w:spacing w:after="0"/>
              <w:rPr>
                <w:sz w:val="20"/>
                <w:szCs w:val="20"/>
                <w:color w:val="auto"/>
              </w:rPr>
            </w:pPr>
            <w:r>
              <w:rPr>
                <w:rFonts w:ascii="Arial" w:cs="Arial" w:eastAsia="Arial" w:hAnsi="Arial"/>
                <w:sz w:val="17"/>
                <w:szCs w:val="17"/>
                <w:color w:val="auto"/>
              </w:rPr>
              <w:t>(in thousands)</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40"/>
        </w:trPr>
        <w:tc>
          <w:tcPr>
            <w:tcW w:w="52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Year</w:t>
            </w:r>
          </w:p>
        </w:tc>
        <w:tc>
          <w:tcPr>
            <w:tcW w:w="48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Scheduled</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3"/>
          </w:tcPr>
          <w:p>
            <w:pPr>
              <w:jc w:val="right"/>
              <w:ind w:right="760"/>
              <w:spacing w:after="0" w:line="141" w:lineRule="exact"/>
              <w:rPr>
                <w:sz w:val="20"/>
                <w:szCs w:val="20"/>
                <w:color w:val="auto"/>
              </w:rPr>
            </w:pPr>
            <w:r>
              <w:rPr>
                <w:rFonts w:ascii="Arial" w:cs="Arial" w:eastAsia="Arial" w:hAnsi="Arial"/>
                <w:sz w:val="13"/>
                <w:szCs w:val="13"/>
                <w:b w:val="1"/>
                <w:bCs w:val="1"/>
                <w:color w:val="auto"/>
              </w:rPr>
              <w:t>Percent of</w:t>
            </w:r>
          </w:p>
        </w:tc>
        <w:tc>
          <w:tcPr>
            <w:tcW w:w="980" w:type="dxa"/>
            <w:vAlign w:val="bottom"/>
            <w:gridSpan w:val="5"/>
          </w:tcPr>
          <w:p>
            <w:pPr>
              <w:jc w:val="center"/>
              <w:ind w:right="160"/>
              <w:spacing w:after="0" w:line="141" w:lineRule="exact"/>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40"/>
        </w:trPr>
        <w:tc>
          <w:tcPr>
            <w:tcW w:w="526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Amortization</w:t>
            </w:r>
          </w:p>
        </w:tc>
        <w:tc>
          <w:tcPr>
            <w:tcW w:w="460" w:type="dxa"/>
            <w:vAlign w:val="bottom"/>
          </w:tcPr>
          <w:p>
            <w:pPr>
              <w:spacing w:after="0"/>
              <w:rPr>
                <w:sz w:val="12"/>
                <w:szCs w:val="12"/>
                <w:color w:val="auto"/>
              </w:rPr>
            </w:pPr>
          </w:p>
        </w:tc>
        <w:tc>
          <w:tcPr>
            <w:tcW w:w="58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91"/>
              </w:rPr>
              <w:t>Maturities</w:t>
            </w:r>
          </w:p>
        </w:tc>
        <w:tc>
          <w:tcPr>
            <w:tcW w:w="520" w:type="dxa"/>
            <w:vAlign w:val="bottom"/>
          </w:tcPr>
          <w:p>
            <w:pPr>
              <w:spacing w:after="0"/>
              <w:rPr>
                <w:sz w:val="12"/>
                <w:szCs w:val="12"/>
                <w:color w:val="auto"/>
              </w:rPr>
            </w:pPr>
          </w:p>
        </w:tc>
        <w:tc>
          <w:tcPr>
            <w:tcW w:w="500" w:type="dxa"/>
            <w:vAlign w:val="bottom"/>
          </w:tcPr>
          <w:p>
            <w:pPr>
              <w:jc w:val="right"/>
              <w:ind w:right="59"/>
              <w:spacing w:after="0" w:line="141"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91"/>
              </w:rPr>
              <w:t>Debt Maturing</w:t>
            </w:r>
          </w:p>
        </w:tc>
        <w:tc>
          <w:tcPr>
            <w:tcW w:w="620" w:type="dxa"/>
            <w:vAlign w:val="bottom"/>
          </w:tcPr>
          <w:p>
            <w:pPr>
              <w:spacing w:after="0"/>
              <w:rPr>
                <w:sz w:val="12"/>
                <w:szCs w:val="12"/>
                <w:color w:val="auto"/>
              </w:rPr>
            </w:pPr>
          </w:p>
        </w:tc>
        <w:tc>
          <w:tcPr>
            <w:tcW w:w="980" w:type="dxa"/>
            <w:vAlign w:val="bottom"/>
            <w:gridSpan w:val="5"/>
          </w:tcPr>
          <w:p>
            <w:pPr>
              <w:jc w:val="center"/>
              <w:ind w:right="160"/>
              <w:spacing w:after="0" w:line="141" w:lineRule="exact"/>
              <w:rPr>
                <w:sz w:val="20"/>
                <w:szCs w:val="20"/>
                <w:color w:val="auto"/>
              </w:rPr>
            </w:pPr>
            <w:r>
              <w:rPr>
                <w:rFonts w:ascii="Arial" w:cs="Arial" w:eastAsia="Arial" w:hAnsi="Arial"/>
                <w:sz w:val="13"/>
                <w:szCs w:val="13"/>
                <w:b w:val="1"/>
                <w:bCs w:val="1"/>
                <w:color w:val="auto"/>
                <w:w w:val="93"/>
              </w:rPr>
              <w:t>Debt Maturing</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17"/>
                <w:szCs w:val="17"/>
                <w:color w:val="auto"/>
              </w:rPr>
            </w:pP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7"/>
                <w:szCs w:val="17"/>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w w:val="84"/>
              </w:rPr>
              <w:t>175</w:t>
            </w:r>
          </w:p>
        </w:tc>
        <w:tc>
          <w:tcPr>
            <w:tcW w:w="4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w w:val="84"/>
              </w:rPr>
              <w:t>185</w:t>
            </w:r>
          </w:p>
        </w:tc>
        <w:tc>
          <w:tcPr>
            <w:tcW w:w="1560" w:type="dxa"/>
            <w:vAlign w:val="bottom"/>
            <w:gridSpan w:val="4"/>
          </w:tcPr>
          <w:p>
            <w:pPr>
              <w:jc w:val="right"/>
              <w:ind w:right="520"/>
              <w:spacing w:after="0"/>
              <w:rPr>
                <w:sz w:val="20"/>
                <w:szCs w:val="20"/>
                <w:color w:val="auto"/>
              </w:rPr>
            </w:pPr>
            <w:r>
              <w:rPr>
                <w:rFonts w:ascii="Arial" w:cs="Arial" w:eastAsia="Arial" w:hAnsi="Arial"/>
                <w:sz w:val="17"/>
                <w:szCs w:val="17"/>
                <w:color w:val="auto"/>
              </w:rPr>
              <w:t>23,400</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23,585</w:t>
            </w:r>
          </w:p>
        </w:tc>
        <w:tc>
          <w:tcPr>
            <w:tcW w:w="80" w:type="dxa"/>
            <w:vAlign w:val="bottom"/>
          </w:tcPr>
          <w:p>
            <w:pPr>
              <w:spacing w:after="0"/>
              <w:rPr>
                <w:sz w:val="17"/>
                <w:szCs w:val="17"/>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7"/>
                <w:szCs w:val="17"/>
                <w:color w:val="auto"/>
              </w:rPr>
              <w:t>30.5%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w w:val="84"/>
              </w:rPr>
              <w:t>196</w:t>
            </w:r>
          </w:p>
        </w:tc>
        <w:tc>
          <w:tcPr>
            <w:tcW w:w="4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8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w w:val="84"/>
              </w:rPr>
              <w:t>208</w:t>
            </w:r>
          </w:p>
        </w:tc>
        <w:tc>
          <w:tcPr>
            <w:tcW w:w="460" w:type="dxa"/>
            <w:vAlign w:val="bottom"/>
          </w:tcPr>
          <w:p>
            <w:pPr>
              <w:spacing w:after="0"/>
              <w:rPr>
                <w:sz w:val="17"/>
                <w:szCs w:val="17"/>
                <w:color w:val="auto"/>
              </w:rPr>
            </w:pP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208</w:t>
            </w:r>
          </w:p>
        </w:tc>
        <w:tc>
          <w:tcPr>
            <w:tcW w:w="80" w:type="dxa"/>
            <w:vAlign w:val="bottom"/>
          </w:tcPr>
          <w:p>
            <w:pPr>
              <w:spacing w:after="0"/>
              <w:rPr>
                <w:sz w:val="17"/>
                <w:szCs w:val="17"/>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w w:val="84"/>
              </w:rPr>
              <w:t>220</w:t>
            </w:r>
          </w:p>
        </w:tc>
        <w:tc>
          <w:tcPr>
            <w:tcW w:w="4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20" w:type="dxa"/>
            <w:vAlign w:val="bottom"/>
            <w:gridSpan w:val="2"/>
          </w:tcPr>
          <w:p>
            <w:pPr>
              <w:ind w:left="960"/>
              <w:spacing w:after="0"/>
              <w:rPr>
                <w:sz w:val="20"/>
                <w:szCs w:val="20"/>
                <w:color w:val="auto"/>
              </w:rPr>
            </w:pPr>
            <w:r>
              <w:rPr>
                <w:rFonts w:ascii="Arial" w:cs="Arial" w:eastAsia="Arial" w:hAnsi="Arial"/>
                <w:sz w:val="17"/>
                <w:szCs w:val="17"/>
                <w:color w:val="auto"/>
                <w:w w:val="84"/>
              </w:rPr>
              <w:t>233</w:t>
            </w:r>
          </w:p>
        </w:tc>
        <w:tc>
          <w:tcPr>
            <w:tcW w:w="460" w:type="dxa"/>
            <w:vAlign w:val="bottom"/>
          </w:tcPr>
          <w:p>
            <w:pPr>
              <w:spacing w:after="0"/>
              <w:rPr>
                <w:sz w:val="17"/>
                <w:szCs w:val="17"/>
                <w:color w:val="auto"/>
              </w:rPr>
            </w:pP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17"/>
                <w:szCs w:val="17"/>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w w:val="84"/>
              </w:rPr>
              <w:t>142</w:t>
            </w:r>
          </w:p>
        </w:tc>
        <w:tc>
          <w:tcPr>
            <w:tcW w:w="1560" w:type="dxa"/>
            <w:vAlign w:val="bottom"/>
            <w:tcBorders>
              <w:right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7"/>
                <w:szCs w:val="17"/>
                <w:color w:val="auto"/>
              </w:rPr>
              <w:t>22,396</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22,538</w:t>
            </w:r>
          </w:p>
        </w:tc>
        <w:tc>
          <w:tcPr>
            <w:tcW w:w="8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29.0%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40" w:type="dxa"/>
            <w:vAlign w:val="bottom"/>
            <w:gridSpan w:val="4"/>
          </w:tcPr>
          <w:p>
            <w:pPr>
              <w:jc w:val="right"/>
              <w:ind w:right="480"/>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Thereafter</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30,200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30,200</w:t>
            </w:r>
          </w:p>
        </w:tc>
        <w:tc>
          <w:tcPr>
            <w:tcW w:w="8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39.0%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4"/>
            <w:vMerge w:val="restart"/>
          </w:tcPr>
          <w:p>
            <w:pPr>
              <w:ind w:left="420"/>
              <w:spacing w:after="0"/>
              <w:rPr>
                <w:sz w:val="20"/>
                <w:szCs w:val="20"/>
                <w:color w:val="auto"/>
              </w:rPr>
            </w:pPr>
            <w:r>
              <w:rPr>
                <w:rFonts w:ascii="Arial" w:cs="Arial" w:eastAsia="Arial" w:hAnsi="Arial"/>
                <w:sz w:val="17"/>
                <w:szCs w:val="17"/>
                <w:color w:val="auto"/>
              </w:rPr>
              <w:t>Total</w:t>
            </w: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4"/>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89"/>
              </w:rPr>
              <w:t>$1,429</w:t>
            </w:r>
          </w:p>
        </w:tc>
        <w:tc>
          <w:tcPr>
            <w:tcW w:w="1560" w:type="dxa"/>
            <w:vAlign w:val="bottom"/>
            <w:gridSpan w:val="4"/>
          </w:tcPr>
          <w:p>
            <w:pPr>
              <w:jc w:val="right"/>
              <w:ind w:right="520"/>
              <w:spacing w:after="0"/>
              <w:rPr>
                <w:sz w:val="20"/>
                <w:szCs w:val="20"/>
                <w:color w:val="auto"/>
              </w:rPr>
            </w:pPr>
            <w:r>
              <w:rPr>
                <w:rFonts w:ascii="Arial" w:cs="Arial" w:eastAsia="Arial" w:hAnsi="Arial"/>
                <w:sz w:val="17"/>
                <w:szCs w:val="17"/>
                <w:color w:val="auto"/>
              </w:rPr>
              <w:t>$ 75,996</w:t>
            </w:r>
          </w:p>
        </w:tc>
        <w:tc>
          <w:tcPr>
            <w:tcW w:w="500" w:type="dxa"/>
            <w:vAlign w:val="bottom"/>
          </w:tcPr>
          <w:p>
            <w:pPr>
              <w:jc w:val="right"/>
              <w:spacing w:after="0"/>
              <w:rPr>
                <w:sz w:val="20"/>
                <w:szCs w:val="20"/>
                <w:color w:val="auto"/>
              </w:rPr>
            </w:pPr>
            <w:r>
              <w:rPr>
                <w:rFonts w:ascii="Arial" w:cs="Arial" w:eastAsia="Arial" w:hAnsi="Arial"/>
                <w:sz w:val="17"/>
                <w:szCs w:val="17"/>
                <w:u w:val="single" w:color="auto"/>
                <w:color w:val="auto"/>
                <w:w w:val="78"/>
              </w:rPr>
              <w:t>$</w:t>
            </w:r>
            <w:r>
              <w:rPr>
                <w:rFonts w:ascii="Arial" w:cs="Arial" w:eastAsia="Arial" w:hAnsi="Arial"/>
                <w:sz w:val="17"/>
                <w:szCs w:val="17"/>
                <w:color w:val="auto"/>
                <w:w w:val="78"/>
              </w:rPr>
              <w:t>77,425</w:t>
            </w:r>
          </w:p>
        </w:tc>
        <w:tc>
          <w:tcPr>
            <w:tcW w:w="80" w:type="dxa"/>
            <w:vAlign w:val="bottom"/>
          </w:tcPr>
          <w:p>
            <w:pPr>
              <w:spacing w:after="0"/>
              <w:rPr>
                <w:sz w:val="18"/>
                <w:szCs w:val="18"/>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8" w:lineRule="exact"/>
        <w:rPr>
          <w:rFonts w:ascii="Arial" w:cs="Arial" w:eastAsia="Arial" w:hAnsi="Arial"/>
          <w:sz w:val="17"/>
          <w:szCs w:val="17"/>
          <w:color w:val="auto"/>
        </w:rPr>
      </w:pPr>
    </w:p>
    <w:p>
      <w:pPr>
        <w:ind w:left="440" w:hanging="438"/>
        <w:spacing w:after="0"/>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Loan is interest only until July 5, 2007, after which principal and interest payments are due based on a 30-year amortization schedule.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67"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 Significant Acquisitions and Dispositions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September 30, 2006</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Joint Venture Acquisitions - Unconsolidated (30% owned)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5"/>
              <w:spacing w:after="0"/>
              <w:rPr>
                <w:sz w:val="20"/>
                <w:szCs w:val="20"/>
                <w:color w:val="auto"/>
              </w:rPr>
            </w:pPr>
            <w:r>
              <w:rPr>
                <w:rFonts w:ascii="Arial" w:cs="Arial" w:eastAsia="Arial" w:hAnsi="Arial"/>
                <w:sz w:val="13"/>
                <w:szCs w:val="13"/>
                <w:b w:val="1"/>
                <w:bCs w:val="1"/>
                <w:color w:val="auto"/>
                <w:w w:val="88"/>
              </w:rPr>
              <w:t>Purchase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480" w:type="dxa"/>
            <w:vAlign w:val="bottom"/>
            <w:gridSpan w:val="2"/>
            <w:vMerge w:val="continue"/>
          </w:tcPr>
          <w:p>
            <w:pPr>
              <w:spacing w:after="0"/>
              <w:rPr>
                <w:sz w:val="12"/>
                <w:szCs w:val="12"/>
                <w:color w:val="auto"/>
              </w:rPr>
            </w:pPr>
          </w:p>
        </w:tc>
        <w:tc>
          <w:tcPr>
            <w:tcW w:w="1620" w:type="dxa"/>
            <w:vAlign w:val="bottom"/>
            <w:gridSpan w:val="2"/>
          </w:tcPr>
          <w:p>
            <w:pPr>
              <w:ind w:left="220"/>
              <w:spacing w:after="0" w:line="141" w:lineRule="exact"/>
              <w:rPr>
                <w:sz w:val="20"/>
                <w:szCs w:val="20"/>
                <w:color w:val="auto"/>
              </w:rPr>
            </w:pPr>
            <w:r>
              <w:rPr>
                <w:rFonts w:ascii="Arial" w:cs="Arial" w:eastAsia="Arial" w:hAnsi="Arial"/>
                <w:sz w:val="13"/>
                <w:szCs w:val="13"/>
                <w:b w:val="1"/>
                <w:bCs w:val="1"/>
                <w:color w:val="auto"/>
              </w:rPr>
              <w:t>Property</w:t>
            </w:r>
          </w:p>
        </w:tc>
        <w:tc>
          <w:tcPr>
            <w:tcW w:w="1400" w:type="dxa"/>
            <w:vAlign w:val="bottom"/>
            <w:gridSpan w:val="2"/>
          </w:tcPr>
          <w:p>
            <w:pPr>
              <w:ind w:left="220"/>
              <w:spacing w:after="0" w:line="141" w:lineRule="exact"/>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12"/>
                <w:szCs w:val="12"/>
                <w:color w:val="auto"/>
              </w:rPr>
            </w:pPr>
          </w:p>
        </w:tc>
        <w:tc>
          <w:tcPr>
            <w:tcW w:w="780" w:type="dxa"/>
            <w:vAlign w:val="bottom"/>
            <w:gridSpan w:val="2"/>
          </w:tcPr>
          <w:p>
            <w:pPr>
              <w:jc w:val="right"/>
              <w:ind w:right="360"/>
              <w:spacing w:after="0" w:line="141" w:lineRule="exact"/>
              <w:rPr>
                <w:sz w:val="20"/>
                <w:szCs w:val="20"/>
                <w:color w:val="auto"/>
              </w:rPr>
            </w:pPr>
            <w:r>
              <w:rPr>
                <w:rFonts w:ascii="Arial" w:cs="Arial" w:eastAsia="Arial" w:hAnsi="Arial"/>
                <w:sz w:val="13"/>
                <w:szCs w:val="13"/>
                <w:b w:val="1"/>
                <w:bCs w:val="1"/>
                <w:color w:val="auto"/>
              </w:rPr>
              <w:t>GLA</w:t>
            </w:r>
          </w:p>
        </w:tc>
        <w:tc>
          <w:tcPr>
            <w:tcW w:w="120" w:type="dxa"/>
            <w:vAlign w:val="bottom"/>
          </w:tcPr>
          <w:p>
            <w:pPr>
              <w:spacing w:after="0"/>
              <w:rPr>
                <w:sz w:val="12"/>
                <w:szCs w:val="12"/>
                <w:color w:val="auto"/>
              </w:rPr>
            </w:pPr>
          </w:p>
        </w:tc>
        <w:tc>
          <w:tcPr>
            <w:tcW w:w="680" w:type="dxa"/>
            <w:vAlign w:val="bottom"/>
          </w:tcPr>
          <w:p>
            <w:pPr>
              <w:jc w:val="right"/>
              <w:ind w:right="185"/>
              <w:spacing w:after="0" w:line="141" w:lineRule="exact"/>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2"/>
                <w:szCs w:val="12"/>
                <w:color w:val="auto"/>
              </w:rPr>
            </w:pPr>
          </w:p>
        </w:tc>
        <w:tc>
          <w:tcPr>
            <w:tcW w:w="900" w:type="dxa"/>
            <w:vAlign w:val="bottom"/>
          </w:tcPr>
          <w:p>
            <w:pPr>
              <w:ind w:left="40"/>
              <w:spacing w:after="0" w:line="141" w:lineRule="exact"/>
              <w:rPr>
                <w:sz w:val="20"/>
                <w:szCs w:val="20"/>
                <w:color w:val="auto"/>
              </w:rPr>
            </w:pPr>
            <w:r>
              <w:rPr>
                <w:rFonts w:ascii="Arial" w:cs="Arial" w:eastAsia="Arial" w:hAnsi="Arial"/>
                <w:sz w:val="13"/>
                <w:szCs w:val="13"/>
                <w:b w:val="1"/>
                <w:bCs w:val="1"/>
                <w:color w:val="auto"/>
                <w:w w:val="88"/>
              </w:rPr>
              <w:t>Anchor tenants</w:t>
            </w:r>
          </w:p>
        </w:tc>
        <w:tc>
          <w:tcPr>
            <w:tcW w:w="0" w:type="dxa"/>
            <w:vAlign w:val="bottom"/>
          </w:tcPr>
          <w:p>
            <w:pPr>
              <w:spacing w:after="0"/>
              <w:rPr>
                <w:sz w:val="1"/>
                <w:szCs w:val="1"/>
                <w:color w:val="auto"/>
              </w:rPr>
            </w:pPr>
          </w:p>
        </w:tc>
      </w:tr>
      <w:tr>
        <w:trPr>
          <w:trHeight w:val="140"/>
        </w:trPr>
        <w:tc>
          <w:tcPr>
            <w:tcW w:w="940" w:type="dxa"/>
            <w:vAlign w:val="bottom"/>
            <w:tcBorders>
              <w:top w:val="single" w:sz="8" w:color="auto"/>
            </w:tcBorders>
          </w:tcPr>
          <w:p>
            <w:pPr>
              <w:spacing w:after="0"/>
              <w:rPr>
                <w:sz w:val="12"/>
                <w:szCs w:val="12"/>
                <w:color w:val="auto"/>
              </w:rPr>
            </w:pPr>
          </w:p>
        </w:tc>
        <w:tc>
          <w:tcPr>
            <w:tcW w:w="4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5, 2006</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9"/>
              </w:rPr>
              <w:t>Greenlawn Plaza (1)</w:t>
            </w:r>
          </w:p>
        </w:tc>
        <w:tc>
          <w:tcPr>
            <w:tcW w:w="1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Huntington, NY</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102,000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4"/>
              </w:rPr>
              <w:t>Waldbaum’s</w:t>
            </w:r>
          </w:p>
        </w:tc>
        <w:tc>
          <w:tcPr>
            <w:tcW w:w="0" w:type="dxa"/>
            <w:vAlign w:val="bottom"/>
          </w:tcPr>
          <w:p>
            <w:pPr>
              <w:spacing w:after="0"/>
              <w:rPr>
                <w:sz w:val="1"/>
                <w:szCs w:val="1"/>
                <w:color w:val="auto"/>
              </w:rPr>
            </w:pPr>
          </w:p>
        </w:tc>
      </w:tr>
      <w:tr>
        <w:trPr>
          <w:trHeight w:val="204"/>
        </w:trPr>
        <w:tc>
          <w:tcPr>
            <w:tcW w:w="5480" w:type="dxa"/>
            <w:vAlign w:val="bottom"/>
            <w:gridSpan w:val="2"/>
          </w:tcPr>
          <w:p>
            <w:pPr>
              <w:spacing w:after="0"/>
              <w:rPr>
                <w:sz w:val="20"/>
                <w:szCs w:val="20"/>
                <w:color w:val="auto"/>
              </w:rPr>
            </w:pPr>
            <w:r>
              <w:rPr>
                <w:rFonts w:ascii="Arial" w:cs="Arial" w:eastAsia="Arial" w:hAnsi="Arial"/>
                <w:sz w:val="17"/>
                <w:szCs w:val="17"/>
                <w:color w:val="auto"/>
              </w:rPr>
              <w:t>June 8, 2006</w:t>
            </w:r>
          </w:p>
        </w:tc>
        <w:tc>
          <w:tcPr>
            <w:tcW w:w="1620" w:type="dxa"/>
            <w:vAlign w:val="bottom"/>
            <w:gridSpan w:val="2"/>
          </w:tcPr>
          <w:p>
            <w:pPr>
              <w:ind w:left="220"/>
              <w:spacing w:after="0"/>
              <w:rPr>
                <w:sz w:val="20"/>
                <w:szCs w:val="20"/>
                <w:color w:val="auto"/>
              </w:rPr>
            </w:pPr>
            <w:r>
              <w:rPr>
                <w:rFonts w:ascii="Arial" w:cs="Arial" w:eastAsia="Arial" w:hAnsi="Arial"/>
                <w:sz w:val="17"/>
                <w:szCs w:val="17"/>
                <w:color w:val="auto"/>
              </w:rPr>
              <w:t>Barcroft Plaza</w:t>
            </w:r>
          </w:p>
        </w:tc>
        <w:tc>
          <w:tcPr>
            <w:tcW w:w="1400" w:type="dxa"/>
            <w:vAlign w:val="bottom"/>
            <w:gridSpan w:val="2"/>
          </w:tcPr>
          <w:p>
            <w:pPr>
              <w:ind w:left="220"/>
              <w:spacing w:after="0"/>
              <w:rPr>
                <w:sz w:val="20"/>
                <w:szCs w:val="20"/>
                <w:color w:val="auto"/>
              </w:rPr>
            </w:pPr>
            <w:r>
              <w:rPr>
                <w:rFonts w:ascii="Arial" w:cs="Arial" w:eastAsia="Arial" w:hAnsi="Arial"/>
                <w:sz w:val="17"/>
                <w:szCs w:val="17"/>
                <w:color w:val="auto"/>
                <w:w w:val="90"/>
              </w:rPr>
              <w:t>Falls Church, VA</w:t>
            </w:r>
          </w:p>
        </w:tc>
        <w:tc>
          <w:tcPr>
            <w:tcW w:w="2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90,000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25.1</w:t>
            </w:r>
          </w:p>
        </w:tc>
        <w:tc>
          <w:tcPr>
            <w:tcW w:w="1120" w:type="dxa"/>
            <w:vAlign w:val="bottom"/>
            <w:gridSpan w:val="2"/>
          </w:tcPr>
          <w:p>
            <w:pPr>
              <w:ind w:left="220"/>
              <w:spacing w:after="0"/>
              <w:rPr>
                <w:sz w:val="20"/>
                <w:szCs w:val="20"/>
                <w:color w:val="auto"/>
              </w:rPr>
            </w:pPr>
            <w:r>
              <w:rPr>
                <w:rFonts w:ascii="Arial" w:cs="Arial" w:eastAsia="Arial" w:hAnsi="Arial"/>
                <w:sz w:val="17"/>
                <w:szCs w:val="17"/>
                <w:color w:val="auto"/>
                <w:w w:val="88"/>
              </w:rPr>
              <w:t>Harris Teeter</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4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192,000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6" w:lineRule="exact"/>
        <w:rPr>
          <w:sz w:val="20"/>
          <w:szCs w:val="20"/>
          <w:color w:val="auto"/>
        </w:rPr>
      </w:pPr>
    </w:p>
    <w:p>
      <w:pPr>
        <w:ind w:left="440" w:hanging="438"/>
        <w:spacing w:after="0"/>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Greenlawn Plaza was acquired by the joint venture from the Trust.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7"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26670"/>
                    </a:xfrm>
                    <a:prstGeom prst="rect">
                      <a:avLst/>
                    </a:prstGeom>
                    <a:noFill/>
                  </pic:spPr>
                </pic:pic>
              </a:graphicData>
            </a:graphic>
          </wp:anchor>
        </w:drawing>
        <w:t>Federal Realty Investment Trust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3"/>
              </w:rPr>
              <w:t>Mortgage or</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w w:val="96"/>
              </w:rPr>
              <w:t>Grocery</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3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MSA Description</w:t>
            </w:r>
          </w:p>
        </w:tc>
        <w:tc>
          <w:tcPr>
            <w:tcW w:w="60" w:type="dxa"/>
            <w:vAlign w:val="bottom"/>
          </w:tcPr>
          <w:p>
            <w:pPr>
              <w:spacing w:after="0"/>
              <w:rPr>
                <w:sz w:val="12"/>
                <w:szCs w:val="12"/>
                <w:color w:val="auto"/>
              </w:rPr>
            </w:pPr>
          </w:p>
        </w:tc>
        <w:tc>
          <w:tcPr>
            <w:tcW w:w="60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9"/>
              </w:rPr>
              <w:t>Total</w:t>
            </w:r>
          </w:p>
        </w:tc>
        <w:tc>
          <w:tcPr>
            <w:tcW w:w="8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w w:val="97"/>
              </w:rPr>
              <w:t>Capital Lease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Anchor</w:t>
            </w:r>
          </w:p>
        </w:tc>
        <w:tc>
          <w:tcPr>
            <w:tcW w:w="40" w:type="dxa"/>
            <w:vAlign w:val="bottom"/>
          </w:tcPr>
          <w:p>
            <w:pPr>
              <w:spacing w:after="0"/>
              <w:rPr>
                <w:sz w:val="12"/>
                <w:szCs w:val="12"/>
                <w:color w:val="auto"/>
              </w:rPr>
            </w:pPr>
          </w:p>
        </w:tc>
        <w:tc>
          <w:tcPr>
            <w:tcW w:w="860" w:type="dxa"/>
            <w:vAlign w:val="bottom"/>
          </w:tcPr>
          <w:p>
            <w:pPr>
              <w:ind w:left="200"/>
              <w:spacing w:after="0" w:line="141" w:lineRule="exact"/>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40" w:type="dxa"/>
            <w:vAlign w:val="bottom"/>
            <w:gridSpan w:val="3"/>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1" w:lineRule="exact"/>
              <w:rPr>
                <w:sz w:val="20"/>
                <w:szCs w:val="20"/>
                <w:color w:val="auto"/>
              </w:rPr>
            </w:pPr>
            <w:r>
              <w:rPr>
                <w:rFonts w:ascii="Arial" w:cs="Arial" w:eastAsia="Arial" w:hAnsi="Arial"/>
                <w:sz w:val="13"/>
                <w:szCs w:val="13"/>
                <w:b w:val="1"/>
                <w:bCs w:val="1"/>
                <w:color w:val="auto"/>
                <w:w w:val="88"/>
              </w:rPr>
              <w:t>Acquired</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0"/>
              </w:rPr>
              <w:t>Investment</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1"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GLA</w:t>
            </w:r>
          </w:p>
        </w:tc>
        <w:tc>
          <w:tcPr>
            <w:tcW w:w="760" w:type="dxa"/>
            <w:vAlign w:val="bottom"/>
            <w:gridSpan w:val="2"/>
          </w:tcPr>
          <w:p>
            <w:pPr>
              <w:jc w:val="right"/>
              <w:ind w:right="220"/>
              <w:spacing w:after="0" w:line="141" w:lineRule="exact"/>
              <w:rPr>
                <w:sz w:val="20"/>
                <w:szCs w:val="20"/>
                <w:color w:val="auto"/>
              </w:rPr>
            </w:pPr>
            <w:r>
              <w:rPr>
                <w:rFonts w:ascii="Arial" w:cs="Arial" w:eastAsia="Arial" w:hAnsi="Arial"/>
                <w:sz w:val="13"/>
                <w:szCs w:val="13"/>
                <w:b w:val="1"/>
                <w:bCs w:val="1"/>
                <w:color w:val="auto"/>
                <w:w w:val="86"/>
              </w:rPr>
              <w:t>% Leased</w:t>
            </w:r>
          </w:p>
        </w:tc>
        <w:tc>
          <w:tcPr>
            <w:tcW w:w="5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GLA (1)</w:t>
            </w:r>
          </w:p>
        </w:tc>
        <w:tc>
          <w:tcPr>
            <w:tcW w:w="40" w:type="dxa"/>
            <w:vAlign w:val="bottom"/>
          </w:tcPr>
          <w:p>
            <w:pPr>
              <w:spacing w:after="0"/>
              <w:rPr>
                <w:sz w:val="12"/>
                <w:szCs w:val="12"/>
                <w:color w:val="auto"/>
              </w:rPr>
            </w:pPr>
          </w:p>
        </w:tc>
        <w:tc>
          <w:tcPr>
            <w:tcW w:w="2260" w:type="dxa"/>
            <w:vAlign w:val="bottom"/>
            <w:gridSpan w:val="3"/>
          </w:tcPr>
          <w:p>
            <w:pPr>
              <w:ind w:left="140"/>
              <w:spacing w:after="0" w:line="141" w:lineRule="exact"/>
              <w:rPr>
                <w:sz w:val="20"/>
                <w:szCs w:val="20"/>
                <w:color w:val="auto"/>
              </w:rPr>
            </w:pPr>
            <w:r>
              <w:rPr>
                <w:rFonts w:ascii="Arial" w:cs="Arial" w:eastAsia="Arial" w:hAnsi="Arial"/>
                <w:sz w:val="13"/>
                <w:szCs w:val="13"/>
                <w:b w:val="1"/>
                <w:bCs w:val="1"/>
                <w:color w:val="auto"/>
                <w:w w:val="94"/>
              </w:rPr>
              <w:t>Anchor (1)   Other Principal Tenants</w:t>
            </w:r>
          </w:p>
        </w:tc>
        <w:tc>
          <w:tcPr>
            <w:tcW w:w="0" w:type="dxa"/>
            <w:vAlign w:val="bottom"/>
          </w:tcPr>
          <w:p>
            <w:pPr>
              <w:spacing w:after="0"/>
              <w:rPr>
                <w:sz w:val="1"/>
                <w:szCs w:val="1"/>
                <w:color w:val="auto"/>
              </w:rPr>
            </w:pPr>
          </w:p>
        </w:tc>
      </w:tr>
      <w:tr>
        <w:trPr>
          <w:trHeight w:val="166"/>
        </w:trPr>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2"/>
              </w:rPr>
              <w:t>(in thousands)</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86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7"/>
                <w:szCs w:val="17"/>
                <w:b w:val="1"/>
                <w:bCs w:val="1"/>
                <w:color w:val="auto"/>
                <w:w w:val="85"/>
              </w:rPr>
              <w:t>East Region</w:t>
            </w:r>
          </w:p>
        </w:tc>
        <w:tc>
          <w:tcPr>
            <w:tcW w:w="380" w:type="dxa"/>
            <w:vAlign w:val="bottom"/>
            <w:tcBorders>
              <w:bottom w:val="single" w:sz="8" w:color="CCEEFF"/>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860" w:type="dxa"/>
            <w:vAlign w:val="bottom"/>
            <w:gridSpan w:val="5"/>
          </w:tcPr>
          <w:p>
            <w:pPr>
              <w:spacing w:after="0"/>
              <w:rPr>
                <w:sz w:val="20"/>
                <w:szCs w:val="20"/>
                <w:color w:val="auto"/>
              </w:rPr>
            </w:pPr>
            <w:r>
              <w:rPr>
                <w:rFonts w:ascii="Arial" w:cs="Arial" w:eastAsia="Arial" w:hAnsi="Arial"/>
                <w:sz w:val="17"/>
                <w:szCs w:val="17"/>
                <w:b w:val="1"/>
                <w:bCs w:val="1"/>
                <w:color w:val="auto"/>
              </w:rPr>
              <w:t>Washington Metropolitan Area</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Barcroft Plaza</w:t>
            </w:r>
          </w:p>
        </w:tc>
        <w:tc>
          <w:tcPr>
            <w:tcW w:w="3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Washington, DC-MD-VA</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27,565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5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46,000</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Harris Teeter</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60" w:type="dxa"/>
            <w:vAlign w:val="bottom"/>
            <w:gridSpan w:val="5"/>
          </w:tcPr>
          <w:p>
            <w:pPr>
              <w:spacing w:after="0"/>
              <w:rPr>
                <w:sz w:val="20"/>
                <w:szCs w:val="20"/>
                <w:color w:val="auto"/>
              </w:rPr>
            </w:pPr>
            <w:r>
              <w:rPr>
                <w:rFonts w:ascii="Arial" w:cs="Arial" w:eastAsia="Arial" w:hAnsi="Arial"/>
                <w:sz w:val="17"/>
                <w:szCs w:val="17"/>
                <w:color w:val="auto"/>
              </w:rPr>
              <w:t>Plaza del Mercado Washington, DC-MD-VA</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13,325</w:t>
            </w:r>
          </w:p>
        </w:tc>
        <w:tc>
          <w:tcPr>
            <w:tcW w:w="560" w:type="dxa"/>
            <w:vAlign w:val="bottom"/>
          </w:tcPr>
          <w:p>
            <w:pPr>
              <w:jc w:val="right"/>
              <w:spacing w:after="0"/>
              <w:rPr>
                <w:sz w:val="20"/>
                <w:szCs w:val="20"/>
                <w:color w:val="auto"/>
              </w:rPr>
            </w:pPr>
            <w:r>
              <w:rPr>
                <w:rFonts w:ascii="Arial" w:cs="Arial" w:eastAsia="Arial" w:hAnsi="Arial"/>
                <w:sz w:val="17"/>
                <w:szCs w:val="17"/>
                <w:color w:val="auto"/>
              </w:rPr>
              <w:t>96,000</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500" w:type="dxa"/>
            <w:vAlign w:val="bottom"/>
            <w:gridSpan w:val="2"/>
          </w:tcPr>
          <w:p>
            <w:pPr>
              <w:spacing w:after="0"/>
              <w:rPr>
                <w:sz w:val="20"/>
                <w:szCs w:val="20"/>
                <w:color w:val="auto"/>
              </w:rPr>
            </w:pPr>
            <w:r>
              <w:rPr>
                <w:rFonts w:ascii="Arial" w:cs="Arial" w:eastAsia="Arial" w:hAnsi="Arial"/>
                <w:sz w:val="17"/>
                <w:szCs w:val="17"/>
                <w:color w:val="auto"/>
                <w:w w:val="92"/>
              </w:rPr>
              <w:t>25,000</w:t>
            </w:r>
          </w:p>
        </w:tc>
        <w:tc>
          <w:tcPr>
            <w:tcW w:w="900" w:type="dxa"/>
            <w:vAlign w:val="bottom"/>
            <w:gridSpan w:val="2"/>
          </w:tcPr>
          <w:p>
            <w:pPr>
              <w:ind w:left="40"/>
              <w:spacing w:after="0"/>
              <w:rPr>
                <w:sz w:val="20"/>
                <w:szCs w:val="20"/>
                <w:color w:val="auto"/>
              </w:rPr>
            </w:pPr>
            <w:r>
              <w:rPr>
                <w:rFonts w:ascii="Arial" w:cs="Arial" w:eastAsia="Arial" w:hAnsi="Arial"/>
                <w:sz w:val="17"/>
                <w:szCs w:val="17"/>
                <w:color w:val="auto"/>
                <w:w w:val="99"/>
              </w:rPr>
              <w:t>Giant Food</w:t>
            </w: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Total Washington Metropolitan Area</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187,000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4860" w:type="dxa"/>
            <w:vAlign w:val="bottom"/>
            <w:gridSpan w:val="5"/>
          </w:tcPr>
          <w:p>
            <w:pPr>
              <w:spacing w:after="0"/>
              <w:rPr>
                <w:sz w:val="20"/>
                <w:szCs w:val="20"/>
                <w:color w:val="auto"/>
              </w:rPr>
            </w:pPr>
            <w:r>
              <w:rPr>
                <w:rFonts w:ascii="Arial" w:cs="Arial" w:eastAsia="Arial" w:hAnsi="Arial"/>
                <w:sz w:val="17"/>
                <w:szCs w:val="17"/>
                <w:b w:val="1"/>
                <w:bCs w:val="1"/>
                <w:color w:val="auto"/>
              </w:rPr>
              <w:t>New York/New Jersey</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Greenlawn Plaza</w:t>
            </w:r>
          </w:p>
        </w:tc>
        <w:tc>
          <w:tcPr>
            <w:tcW w:w="3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Nassau-Suffolk, NY</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19,829</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102,000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5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46,000</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9"/>
              </w:rPr>
              <w:t>Waldbaum’s</w:t>
            </w: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Tuesday</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Morning</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 New York/New Jersey</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19,829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102,000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2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New England</w:t>
            </w:r>
          </w:p>
        </w:tc>
        <w:tc>
          <w:tcPr>
            <w:tcW w:w="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3"/>
          </w:tcPr>
          <w:p>
            <w:pPr>
              <w:spacing w:after="0"/>
              <w:rPr>
                <w:sz w:val="20"/>
                <w:szCs w:val="20"/>
                <w:color w:val="auto"/>
              </w:rPr>
            </w:pPr>
            <w:r>
              <w:rPr>
                <w:rFonts w:ascii="Arial" w:cs="Arial" w:eastAsia="Arial" w:hAnsi="Arial"/>
                <w:sz w:val="17"/>
                <w:szCs w:val="17"/>
                <w:color w:val="auto"/>
              </w:rPr>
              <w:t>Atlantic Plaza</w:t>
            </w:r>
          </w:p>
        </w:tc>
        <w:tc>
          <w:tcPr>
            <w:tcW w:w="3620" w:type="dxa"/>
            <w:vAlign w:val="bottom"/>
            <w:gridSpan w:val="2"/>
          </w:tcPr>
          <w:p>
            <w:pPr>
              <w:ind w:left="60"/>
              <w:spacing w:after="0"/>
              <w:rPr>
                <w:sz w:val="20"/>
                <w:szCs w:val="20"/>
                <w:color w:val="auto"/>
              </w:rPr>
            </w:pPr>
            <w:r>
              <w:rPr>
                <w:rFonts w:ascii="Arial" w:cs="Arial" w:eastAsia="Arial" w:hAnsi="Arial"/>
                <w:sz w:val="17"/>
                <w:szCs w:val="17"/>
                <w:color w:val="auto"/>
                <w:w w:val="93"/>
              </w:rPr>
              <w:t>Boston-Worcester-Lawrence-Lowell-Brockton, MA</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16,312</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10,500</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123,000</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500" w:type="dxa"/>
            <w:vAlign w:val="bottom"/>
            <w:gridSpan w:val="2"/>
          </w:tcPr>
          <w:p>
            <w:pPr>
              <w:spacing w:after="0"/>
              <w:rPr>
                <w:sz w:val="20"/>
                <w:szCs w:val="20"/>
                <w:color w:val="auto"/>
              </w:rPr>
            </w:pPr>
            <w:r>
              <w:rPr>
                <w:rFonts w:ascii="Arial" w:cs="Arial" w:eastAsia="Arial" w:hAnsi="Arial"/>
                <w:sz w:val="17"/>
                <w:szCs w:val="17"/>
                <w:color w:val="auto"/>
                <w:w w:val="92"/>
              </w:rPr>
              <w:t>63,000</w:t>
            </w:r>
          </w:p>
        </w:tc>
        <w:tc>
          <w:tcPr>
            <w:tcW w:w="900" w:type="dxa"/>
            <w:vAlign w:val="bottom"/>
            <w:gridSpan w:val="2"/>
          </w:tcPr>
          <w:p>
            <w:pPr>
              <w:ind w:left="40"/>
              <w:spacing w:after="0"/>
              <w:rPr>
                <w:sz w:val="20"/>
                <w:szCs w:val="20"/>
                <w:color w:val="auto"/>
              </w:rPr>
            </w:pPr>
            <w:r>
              <w:rPr>
                <w:rFonts w:ascii="Arial" w:cs="Arial" w:eastAsia="Arial" w:hAnsi="Arial"/>
                <w:sz w:val="17"/>
                <w:szCs w:val="17"/>
                <w:color w:val="auto"/>
              </w:rPr>
              <w:t>Shaw’s</w:t>
            </w: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Sears</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7"/>
                <w:szCs w:val="17"/>
                <w:color w:val="auto"/>
                <w:w w:val="86"/>
              </w:rPr>
              <w:t>Supermarket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Campus Plaza</w:t>
            </w:r>
          </w:p>
        </w:tc>
        <w:tc>
          <w:tcPr>
            <w:tcW w:w="3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3"/>
              </w:rPr>
              <w:t>Boston-Worcester-Lawrence-Lowell-Brockton, MA</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2004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21,951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116,000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5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46,000</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Roche</w:t>
            </w: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Brothers</w:t>
            </w: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Coat</w:t>
            </w:r>
          </w:p>
        </w:tc>
        <w:tc>
          <w:tcPr>
            <w:tcW w:w="0" w:type="dxa"/>
            <w:vAlign w:val="bottom"/>
          </w:tcPr>
          <w:p>
            <w:pPr>
              <w:spacing w:after="0"/>
              <w:rPr>
                <w:sz w:val="1"/>
                <w:szCs w:val="1"/>
                <w:color w:val="auto"/>
              </w:rPr>
            </w:pPr>
          </w:p>
        </w:tc>
      </w:tr>
      <w:tr>
        <w:trPr>
          <w:trHeight w:val="213"/>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Factory</w:t>
            </w:r>
          </w:p>
        </w:tc>
        <w:tc>
          <w:tcPr>
            <w:tcW w:w="0" w:type="dxa"/>
            <w:vAlign w:val="bottom"/>
          </w:tcPr>
          <w:p>
            <w:pPr>
              <w:spacing w:after="0"/>
              <w:rPr>
                <w:sz w:val="1"/>
                <w:szCs w:val="1"/>
                <w:color w:val="auto"/>
              </w:rPr>
            </w:pPr>
          </w:p>
        </w:tc>
      </w:tr>
      <w:tr>
        <w:trPr>
          <w:trHeight w:val="214"/>
        </w:trPr>
        <w:tc>
          <w:tcPr>
            <w:tcW w:w="1240" w:type="dxa"/>
            <w:vAlign w:val="bottom"/>
            <w:gridSpan w:val="3"/>
          </w:tcPr>
          <w:p>
            <w:pPr>
              <w:spacing w:after="0"/>
              <w:rPr>
                <w:sz w:val="20"/>
                <w:szCs w:val="20"/>
                <w:color w:val="auto"/>
              </w:rPr>
            </w:pPr>
            <w:r>
              <w:rPr>
                <w:rFonts w:ascii="Arial" w:cs="Arial" w:eastAsia="Arial" w:hAnsi="Arial"/>
                <w:sz w:val="17"/>
                <w:szCs w:val="17"/>
                <w:color w:val="auto"/>
              </w:rPr>
              <w:t>Pleasant Shops</w:t>
            </w:r>
          </w:p>
        </w:tc>
        <w:tc>
          <w:tcPr>
            <w:tcW w:w="3620" w:type="dxa"/>
            <w:vAlign w:val="bottom"/>
            <w:gridSpan w:val="2"/>
          </w:tcPr>
          <w:p>
            <w:pPr>
              <w:ind w:left="60"/>
              <w:spacing w:after="0"/>
              <w:rPr>
                <w:sz w:val="20"/>
                <w:szCs w:val="20"/>
                <w:color w:val="auto"/>
              </w:rPr>
            </w:pPr>
            <w:r>
              <w:rPr>
                <w:rFonts w:ascii="Arial" w:cs="Arial" w:eastAsia="Arial" w:hAnsi="Arial"/>
                <w:sz w:val="17"/>
                <w:szCs w:val="17"/>
                <w:color w:val="auto"/>
                <w:w w:val="93"/>
              </w:rPr>
              <w:t>Boston-Worcester-Lawrence-Lowell-Brockton, MA</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22,637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12,400</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130,000</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95%</w:t>
            </w:r>
          </w:p>
        </w:tc>
        <w:tc>
          <w:tcPr>
            <w:tcW w:w="500" w:type="dxa"/>
            <w:vAlign w:val="bottom"/>
            <w:gridSpan w:val="2"/>
          </w:tcPr>
          <w:p>
            <w:pPr>
              <w:spacing w:after="0"/>
              <w:rPr>
                <w:sz w:val="20"/>
                <w:szCs w:val="20"/>
                <w:color w:val="auto"/>
              </w:rPr>
            </w:pPr>
            <w:r>
              <w:rPr>
                <w:rFonts w:ascii="Arial" w:cs="Arial" w:eastAsia="Arial" w:hAnsi="Arial"/>
                <w:sz w:val="17"/>
                <w:szCs w:val="17"/>
                <w:color w:val="auto"/>
                <w:w w:val="92"/>
              </w:rPr>
              <w:t>38,000</w:t>
            </w:r>
          </w:p>
        </w:tc>
        <w:tc>
          <w:tcPr>
            <w:tcW w:w="900" w:type="dxa"/>
            <w:vAlign w:val="bottom"/>
            <w:gridSpan w:val="2"/>
          </w:tcPr>
          <w:p>
            <w:pPr>
              <w:ind w:left="40"/>
              <w:spacing w:after="0"/>
              <w:rPr>
                <w:sz w:val="20"/>
                <w:szCs w:val="20"/>
                <w:color w:val="auto"/>
              </w:rPr>
            </w:pPr>
            <w:r>
              <w:rPr>
                <w:rFonts w:ascii="Arial" w:cs="Arial" w:eastAsia="Arial" w:hAnsi="Arial"/>
                <w:sz w:val="17"/>
                <w:szCs w:val="17"/>
                <w:color w:val="auto"/>
                <w:w w:val="92"/>
              </w:rPr>
              <w:t>Foodmaster</w:t>
            </w: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Total New England</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369,000</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 East Region</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129,083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658,000</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98%</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2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Grand Totals</w:t>
            </w:r>
          </w:p>
        </w:tc>
        <w:tc>
          <w:tcPr>
            <w:tcW w:w="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129,083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77,425</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658,000</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98%</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16" w:lineRule="exact"/>
        <w:rPr>
          <w:sz w:val="20"/>
          <w:szCs w:val="20"/>
          <w:color w:val="auto"/>
        </w:rPr>
      </w:pPr>
    </w:p>
    <w:p>
      <w:pPr>
        <w:jc w:val="right"/>
        <w:ind w:left="5640" w:right="5580" w:hanging="5638"/>
        <w:spacing w:after="0" w:line="440" w:lineRule="auto"/>
        <w:tabs>
          <w:tab w:leader="none" w:pos="458" w:val="left"/>
        </w:tabs>
        <w:numPr>
          <w:ilvl w:val="0"/>
          <w:numId w:val="25"/>
        </w:numPr>
        <w:rPr>
          <w:rFonts w:ascii="Arial" w:cs="Arial" w:eastAsia="Arial" w:hAnsi="Arial"/>
          <w:sz w:val="13"/>
          <w:szCs w:val="13"/>
          <w:color w:val="auto"/>
        </w:rPr>
      </w:pPr>
      <w:r>
        <w:rPr>
          <w:rFonts w:ascii="Arial" w:cs="Arial" w:eastAsia="Arial" w:hAnsi="Arial"/>
          <w:sz w:val="13"/>
          <w:szCs w:val="13"/>
          <w:color w:val="auto"/>
        </w:rPr>
        <w:t>Grocery anchor is defined as a grocery tenant leasing 15,000 square feet or more. 29</w:t>
      </w:r>
    </w:p>
    <w:p>
      <w:pPr>
        <w:sectPr>
          <w:pgSz w:w="11900" w:h="16838" w:orient="portrait"/>
          <w:cols w:equalWidth="0" w:num="1">
            <w:col w:w="11420"/>
          </w:cols>
          <w:pgMar w:left="240" w:top="26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75195" cy="26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26670"/>
                    </a:xfrm>
                    <a:prstGeom prst="rect">
                      <a:avLst/>
                    </a:prstGeom>
                    <a:noFill/>
                  </pic:spPr>
                </pic:pic>
              </a:graphicData>
            </a:graphic>
          </wp:anchor>
        </w:drawing>
        <w:t>Glossary of Terms</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 Adjusted EBITDA is a non-GAAP measure that means net income or loss plus depreciation and amortization, net interest expense, income taxes, gain</w:t>
      </w:r>
      <w:r>
        <w:rPr>
          <w:rFonts w:ascii="Arial" w:cs="Arial" w:eastAsia="Arial" w:hAnsi="Arial"/>
          <w:sz w:val="17"/>
          <w:szCs w:val="17"/>
          <w:b w:val="1"/>
          <w:bCs w:val="1"/>
          <w:color w:val="auto"/>
        </w:rPr>
        <w:t xml:space="preserve"> </w:t>
      </w:r>
      <w:r>
        <w:rPr>
          <w:rFonts w:ascii="Arial" w:cs="Arial" w:eastAsia="Arial" w:hAnsi="Arial"/>
          <w:sz w:val="17"/>
          <w:szCs w:val="17"/>
          <w:color w:val="auto"/>
        </w:rPr>
        <w:t>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nine months ended September 30, 2006 and 2005 is as follows:</w:t>
      </w:r>
    </w:p>
    <w:p>
      <w:pPr>
        <w:spacing w:after="0" w:line="170" w:lineRule="exact"/>
        <w:rPr>
          <w:sz w:val="20"/>
          <w:szCs w:val="20"/>
          <w:color w:val="auto"/>
        </w:rPr>
      </w:pPr>
    </w:p>
    <w:p>
      <w:pPr>
        <w:jc w:val="center"/>
        <w:ind w:left="9600"/>
        <w:spacing w:after="0"/>
        <w:rPr>
          <w:sz w:val="20"/>
          <w:szCs w:val="20"/>
          <w:color w:val="auto"/>
        </w:rPr>
      </w:pPr>
      <w:r>
        <w:rPr>
          <w:rFonts w:ascii="Arial" w:cs="Arial" w:eastAsia="Arial" w:hAnsi="Arial"/>
          <w:sz w:val="13"/>
          <w:szCs w:val="13"/>
          <w:b w:val="1"/>
          <w:bCs w:val="1"/>
          <w:color w:val="auto"/>
        </w:rPr>
        <w:t>For the Nine Months Ended</w:t>
      </w:r>
    </w:p>
    <w:p>
      <w:pPr>
        <w:spacing w:after="0" w:line="5" w:lineRule="exact"/>
        <w:rPr>
          <w:sz w:val="20"/>
          <w:szCs w:val="20"/>
          <w:color w:val="auto"/>
        </w:rPr>
      </w:pPr>
    </w:p>
    <w:p>
      <w:pPr>
        <w:jc w:val="center"/>
        <w:ind w:left="9600"/>
        <w:spacing w:after="0"/>
        <w:rPr>
          <w:sz w:val="20"/>
          <w:szCs w:val="20"/>
          <w:color w:val="auto"/>
        </w:rPr>
      </w:pPr>
      <w:r>
        <w:rPr>
          <w:rFonts w:ascii="Arial" w:cs="Arial" w:eastAsia="Arial" w:hAnsi="Arial"/>
          <w:sz w:val="13"/>
          <w:szCs w:val="13"/>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8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4"/>
          </w:tcPr>
          <w:p>
            <w:pPr>
              <w:jc w:val="right"/>
              <w:ind w:right="379"/>
              <w:spacing w:after="0" w:line="121" w:lineRule="exact"/>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0"/>
                <w:szCs w:val="10"/>
                <w:color w:val="auto"/>
              </w:rPr>
            </w:pPr>
          </w:p>
        </w:tc>
      </w:tr>
      <w:tr>
        <w:trPr>
          <w:trHeight w:val="153"/>
        </w:trPr>
        <w:tc>
          <w:tcPr>
            <w:tcW w:w="58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2006</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r>
      <w:tr>
        <w:trPr>
          <w:trHeight w:val="19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94,271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79,484</w:t>
            </w:r>
          </w:p>
        </w:tc>
        <w:tc>
          <w:tcPr>
            <w:tcW w:w="60" w:type="dxa"/>
            <w:vAlign w:val="bottom"/>
            <w:shd w:val="clear" w:color="auto" w:fill="CCEEFF"/>
          </w:tcPr>
          <w:p>
            <w:pPr>
              <w:spacing w:after="0"/>
              <w:rPr>
                <w:sz w:val="17"/>
                <w:szCs w:val="17"/>
                <w:color w:val="auto"/>
              </w:rPr>
            </w:pPr>
          </w:p>
        </w:tc>
      </w:tr>
      <w:tr>
        <w:trPr>
          <w:trHeight w:val="204"/>
        </w:trPr>
        <w:tc>
          <w:tcPr>
            <w:tcW w:w="58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72,318</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68,311</w:t>
            </w:r>
          </w:p>
        </w:tc>
        <w:tc>
          <w:tcPr>
            <w:tcW w:w="60" w:type="dxa"/>
            <w:vAlign w:val="bottom"/>
          </w:tcPr>
          <w:p>
            <w:pPr>
              <w:spacing w:after="0"/>
              <w:rPr>
                <w:sz w:val="17"/>
                <w:szCs w:val="17"/>
                <w:color w:val="auto"/>
              </w:rPr>
            </w:pP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75,183</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65,554</w:t>
            </w:r>
          </w:p>
        </w:tc>
        <w:tc>
          <w:tcPr>
            <w:tcW w:w="60" w:type="dxa"/>
            <w:vAlign w:val="bottom"/>
            <w:shd w:val="clear" w:color="auto" w:fill="CCEEFF"/>
          </w:tcPr>
          <w:p>
            <w:pPr>
              <w:spacing w:after="0"/>
              <w:rPr>
                <w:sz w:val="17"/>
                <w:szCs w:val="17"/>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7"/>
                <w:szCs w:val="17"/>
                <w:color w:val="auto"/>
              </w:rPr>
              <w:t>Other interest income</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(2,127)</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(1,946)</w:t>
            </w: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38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239,645</w:t>
            </w: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211,403</w:t>
            </w:r>
          </w:p>
        </w:tc>
        <w:tc>
          <w:tcPr>
            <w:tcW w:w="60" w:type="dxa"/>
            <w:vAlign w:val="bottom"/>
            <w:shd w:val="clear" w:color="auto" w:fill="CCEEFF"/>
          </w:tcPr>
          <w:p>
            <w:pPr>
              <w:spacing w:after="0"/>
              <w:rPr>
                <w:sz w:val="17"/>
                <w:szCs w:val="17"/>
                <w:color w:val="auto"/>
              </w:rPr>
            </w:pPr>
          </w:p>
        </w:tc>
      </w:tr>
      <w:tr>
        <w:trPr>
          <w:trHeight w:val="204"/>
        </w:trPr>
        <w:tc>
          <w:tcPr>
            <w:tcW w:w="58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(23,866)</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(17,347)</w:t>
            </w:r>
          </w:p>
        </w:tc>
      </w:tr>
      <w:tr>
        <w:trPr>
          <w:trHeight w:val="26"/>
        </w:trPr>
        <w:tc>
          <w:tcPr>
            <w:tcW w:w="5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1"/>
              </w:rPr>
              <w:t>215,779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194,056</w:t>
            </w:r>
          </w:p>
        </w:tc>
        <w:tc>
          <w:tcPr>
            <w:tcW w:w="60" w:type="dxa"/>
            <w:vAlign w:val="bottom"/>
            <w:shd w:val="clear" w:color="auto" w:fill="CCEEFF"/>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line="291"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The National Association of Real Estate Investment</w:t>
      </w:r>
      <w:r>
        <w:rPr>
          <w:rFonts w:ascii="Arial" w:cs="Arial" w:eastAsia="Arial" w:hAnsi="Arial"/>
          <w:sz w:val="15"/>
          <w:szCs w:val="15"/>
          <w:b w:val="1"/>
          <w:bCs w:val="1"/>
          <w:color w:val="auto"/>
        </w:rPr>
        <w:t xml:space="preserve"> </w:t>
      </w:r>
      <w:r>
        <w:rPr>
          <w:rFonts w:ascii="Arial" w:cs="Arial" w:eastAsia="Arial" w:hAnsi="Arial"/>
          <w:sz w:val="15"/>
          <w:szCs w:val="15"/>
          <w:color w:val="auto"/>
        </w:rPr>
        <w:t>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9"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62" w:lineRule="exact"/>
        <w:rPr>
          <w:sz w:val="20"/>
          <w:szCs w:val="20"/>
          <w:color w:val="auto"/>
        </w:rPr>
      </w:pPr>
    </w:p>
    <w:p>
      <w:pPr>
        <w:ind w:right="300"/>
        <w:spacing w:after="0" w:line="434" w:lineRule="auto"/>
        <w:rPr>
          <w:sz w:val="20"/>
          <w:szCs w:val="20"/>
          <w:color w:val="auto"/>
        </w:rPr>
      </w:pPr>
      <w:r>
        <w:rPr>
          <w:rFonts w:ascii="Arial" w:cs="Arial" w:eastAsia="Arial" w:hAnsi="Arial"/>
          <w:sz w:val="13"/>
          <w:szCs w:val="13"/>
          <w:b w:val="1"/>
          <w:bCs w:val="1"/>
          <w:color w:val="auto"/>
        </w:rPr>
        <w:t xml:space="preserve">Same Center: </w:t>
      </w:r>
      <w:r>
        <w:rPr>
          <w:rFonts w:ascii="Arial" w:cs="Arial" w:eastAsia="Arial" w:hAnsi="Arial"/>
          <w:sz w:val="13"/>
          <w:szCs w:val="13"/>
          <w:color w:val="auto"/>
        </w:rPr>
        <w:t>Information provided on a same center basis is provided for only those properties that were owned and operated for the entirety of both periods being</w:t>
      </w:r>
      <w:r>
        <w:rPr>
          <w:rFonts w:ascii="Arial" w:cs="Arial" w:eastAsia="Arial" w:hAnsi="Arial"/>
          <w:sz w:val="13"/>
          <w:szCs w:val="13"/>
          <w:b w:val="1"/>
          <w:bCs w:val="1"/>
          <w:color w:val="auto"/>
        </w:rPr>
        <w:t xml:space="preserve"> </w:t>
      </w:r>
      <w:r>
        <w:rPr>
          <w:rFonts w:ascii="Arial" w:cs="Arial" w:eastAsia="Arial" w:hAnsi="Arial"/>
          <w:sz w:val="13"/>
          <w:szCs w:val="13"/>
          <w:color w:val="auto"/>
        </w:rPr>
        <w:t>compared, excludes properties that were redeveloped, expanded or under development and properties purchased or sold at any time during the periods being compared.</w:t>
      </w:r>
    </w:p>
    <w:p>
      <w:pPr>
        <w:spacing w:after="0" w:line="2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b w:val="1"/>
          <w:bCs w:val="1"/>
          <w:color w:val="auto"/>
        </w:rPr>
        <w:t>Tenant Improvements and Incentives</w:t>
      </w:r>
      <w:r>
        <w:rPr>
          <w:rFonts w:ascii="Arial" w:cs="Arial" w:eastAsia="Arial" w:hAnsi="Arial"/>
          <w:sz w:val="17"/>
          <w:szCs w:val="17"/>
          <w:color w:val="auto"/>
        </w:rPr>
        <w:t>: Represents not only the total dollars committed for the improvement (fit-out) of a space as it relates to a specific lease but may</w:t>
      </w:r>
      <w:r>
        <w:rPr>
          <w:rFonts w:ascii="Arial" w:cs="Arial" w:eastAsia="Arial" w:hAnsi="Arial"/>
          <w:sz w:val="17"/>
          <w:szCs w:val="17"/>
          <w:b w:val="1"/>
          <w:bCs w:val="1"/>
          <w:color w:val="auto"/>
        </w:rPr>
        <w:t xml:space="preserve"> </w:t>
      </w:r>
      <w:r>
        <w:rPr>
          <w:rFonts w:ascii="Arial" w:cs="Arial" w:eastAsia="Arial" w:hAnsi="Arial"/>
          <w:sz w:val="17"/>
          <w:szCs w:val="17"/>
          <w:color w:val="auto"/>
        </w:rPr>
        <w:t>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3"/>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endash "/>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2019-12-12T08:57:40Z</dcterms:created>
  <dcterms:modified xsi:type="dcterms:W3CDTF">2019-12-12T08:57:40Z</dcterms:modified>
</cp:coreProperties>
</file>