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0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191770</wp:posOffset>
            </wp:positionV>
            <wp:extent cx="1247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219710</wp:posOffset>
            </wp:positionV>
            <wp:extent cx="1247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151" w:lineRule="exact"/>
        <w:rPr>
          <w:sz w:val="24"/>
          <w:szCs w:val="24"/>
          <w:color w:val="auto"/>
        </w:rPr>
      </w:pPr>
    </w:p>
    <w:p>
      <w:pPr>
        <w:jc w:val="center"/>
        <w:ind w:right="-4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87" w:lineRule="exact"/>
        <w:rPr>
          <w:sz w:val="24"/>
          <w:szCs w:val="24"/>
          <w:color w:val="auto"/>
        </w:rPr>
      </w:pPr>
    </w:p>
    <w:p>
      <w:pPr>
        <w:ind w:left="3480"/>
        <w:spacing w:after="0"/>
        <w:rPr>
          <w:sz w:val="20"/>
          <w:szCs w:val="20"/>
          <w:color w:val="auto"/>
        </w:rPr>
      </w:pPr>
      <w:r>
        <w:rPr>
          <w:rFonts w:ascii="Arial" w:cs="Arial" w:eastAsia="Arial" w:hAnsi="Arial"/>
          <w:sz w:val="17"/>
          <w:szCs w:val="17"/>
          <w:b w:val="1"/>
          <w:bCs w:val="1"/>
          <w:color w:val="auto"/>
        </w:rPr>
        <w:t>Date of Report (Date of earliest event reported) May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218440</wp:posOffset>
            </wp:positionV>
            <wp:extent cx="1247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Federal Realty Investment Trust</w:t>
      </w:r>
    </w:p>
    <w:p>
      <w:pPr>
        <w:spacing w:after="0" w:line="48"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194945</wp:posOffset>
            </wp:positionV>
            <wp:extent cx="1247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ectPr>
          <w:pgSz w:w="11900" w:h="16838" w:orient="portrait"/>
          <w:cols w:equalWidth="0" w:num="1">
            <w:col w:w="10980"/>
          </w:cols>
          <w:pgMar w:left="240" w:top="354"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5" w:lineRule="exact"/>
        <w:rPr>
          <w:sz w:val="24"/>
          <w:szCs w:val="24"/>
          <w:color w:val="auto"/>
        </w:rPr>
      </w:pPr>
    </w:p>
    <w:p>
      <w:pPr>
        <w:jc w:val="center"/>
        <w:ind w:right="232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5" w:lineRule="exact"/>
        <w:rPr>
          <w:sz w:val="24"/>
          <w:szCs w:val="24"/>
          <w:color w:val="auto"/>
        </w:rPr>
      </w:pPr>
    </w:p>
    <w:p>
      <w:pPr>
        <w:sectPr>
          <w:pgSz w:w="11900" w:h="16838" w:orient="portrait"/>
          <w:cols w:equalWidth="0" w:num="3">
            <w:col w:w="4840" w:space="720"/>
            <w:col w:w="2900" w:space="720"/>
            <w:col w:w="1800"/>
          </w:cols>
          <w:pgMar w:left="240" w:top="354" w:right="67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340" w:space="720"/>
            <w:col w:w="3280" w:space="720"/>
            <w:col w:w="1920"/>
          </w:cols>
          <w:pgMar w:left="240" w:top="354" w:right="67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5" w:lineRule="exact"/>
        <w:rPr>
          <w:sz w:val="24"/>
          <w:szCs w:val="24"/>
          <w:color w:val="auto"/>
        </w:rPr>
      </w:pPr>
    </w:p>
    <w:p>
      <w:pPr>
        <w:sectPr>
          <w:pgSz w:w="11900" w:h="16838" w:orient="portrait"/>
          <w:cols w:equalWidth="0" w:num="2">
            <w:col w:w="7540" w:space="720"/>
            <w:col w:w="2720"/>
          </w:cols>
          <w:pgMar w:left="240" w:top="354" w:right="679" w:bottom="1440" w:gutter="0" w:footer="0" w:header="0"/>
          <w:type w:val="continuous"/>
        </w:sectPr>
      </w:pPr>
    </w:p>
    <w:p>
      <w:pPr>
        <w:ind w:left="17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9" w:lineRule="exact"/>
        <w:rPr>
          <w:sz w:val="24"/>
          <w:szCs w:val="24"/>
          <w:color w:val="auto"/>
        </w:rPr>
      </w:pPr>
    </w:p>
    <w:p>
      <w:pPr>
        <w:sectPr>
          <w:pgSz w:w="11900" w:h="16838" w:orient="portrait"/>
          <w:cols w:equalWidth="0" w:num="2">
            <w:col w:w="7640" w:space="720"/>
            <w:col w:w="2620"/>
          </w:cols>
          <w:pgMar w:left="240" w:top="354" w:right="679" w:bottom="1440" w:gutter="0" w:footer="0" w:header="0"/>
          <w:type w:val="continuous"/>
        </w:sectPr>
      </w:pPr>
    </w:p>
    <w:p>
      <w:pPr>
        <w:ind w:left="326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218440</wp:posOffset>
            </wp:positionV>
            <wp:extent cx="1247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line="29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1" w:lineRule="exact"/>
        <w:rPr>
          <w:rFonts w:ascii="MS PGothic" w:cs="MS PGothic" w:eastAsia="MS PGothic" w:hAnsi="MS PGothic"/>
          <w:sz w:val="17"/>
          <w:szCs w:val="17"/>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1" w:lineRule="exact"/>
        <w:rPr>
          <w:rFonts w:ascii="MS PGothic" w:cs="MS PGothic" w:eastAsia="MS PGothic" w:hAnsi="MS PGothic"/>
          <w:sz w:val="17"/>
          <w:szCs w:val="17"/>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1" w:lineRule="exact"/>
        <w:rPr>
          <w:rFonts w:ascii="MS PGothic" w:cs="MS PGothic" w:eastAsia="MS PGothic" w:hAnsi="MS PGothic"/>
          <w:sz w:val="17"/>
          <w:szCs w:val="17"/>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5106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0980"/>
          </w:cols>
          <w:pgMar w:left="240" w:top="354"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Item 2.02. Results of Operations and Financial Condition.</w:t>
      </w:r>
    </w:p>
    <w:p>
      <w:pPr>
        <w:spacing w:after="0" w:line="10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12" w:lineRule="exact"/>
        <w:rPr>
          <w:sz w:val="20"/>
          <w:szCs w:val="20"/>
          <w:color w:val="auto"/>
        </w:rPr>
      </w:pPr>
    </w:p>
    <w:p>
      <w:pPr>
        <w:ind w:right="360" w:firstLine="456"/>
        <w:spacing w:after="0" w:line="296" w:lineRule="auto"/>
        <w:rPr>
          <w:sz w:val="20"/>
          <w:szCs w:val="20"/>
          <w:color w:val="auto"/>
        </w:rPr>
      </w:pPr>
      <w:r>
        <w:rPr>
          <w:rFonts w:ascii="Arial" w:cs="Arial" w:eastAsia="Arial" w:hAnsi="Arial"/>
          <w:sz w:val="17"/>
          <w:szCs w:val="17"/>
          <w:color w:val="auto"/>
        </w:rPr>
        <w:t>On May 3, 2006, Federal Realty Investment Trust issued supplemental data pertaining to its operations, as well as a press release, to report its financial results for the quarter ended March 31, 2006. The supplemental data and press release are furnished as Exhibit 99.1 hereto.</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07" w:lineRule="exact"/>
        <w:rPr>
          <w:sz w:val="20"/>
          <w:szCs w:val="20"/>
          <w:color w:val="auto"/>
        </w:rPr>
      </w:pPr>
    </w:p>
    <w:p>
      <w:pPr>
        <w:ind w:left="900" w:hanging="448"/>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10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March 31, 2006 (including press release dated May 3, 2006)</w:t>
      </w:r>
    </w:p>
    <w:p>
      <w:pPr>
        <w:spacing w:after="0" w:line="16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3" w:right="2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SIGNATURES</w:t>
      </w:r>
    </w:p>
    <w:p>
      <w:pPr>
        <w:spacing w:after="0" w:line="187" w:lineRule="exact"/>
        <w:rPr>
          <w:sz w:val="20"/>
          <w:szCs w:val="20"/>
          <w:color w:val="auto"/>
        </w:rPr>
      </w:pPr>
    </w:p>
    <w:p>
      <w:pPr>
        <w:ind w:firstLine="456"/>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41"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May 3, 2006</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17780</wp:posOffset>
            </wp:positionV>
            <wp:extent cx="3546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Executive Vice President,</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73" w:right="29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7940"/>
                    </a:xfrm>
                    <a:prstGeom prst="rect">
                      <a:avLst/>
                    </a:prstGeom>
                    <a:noFill/>
                  </pic:spPr>
                </pic:pic>
              </a:graphicData>
            </a:graphic>
          </wp:anchor>
        </w:drawing>
        <w:t>EXHIBIT INDEX</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6985</wp:posOffset>
            </wp:positionV>
            <wp:extent cx="6743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3065" cy="8255"/>
                    </a:xfrm>
                    <a:prstGeom prst="rect">
                      <a:avLst/>
                    </a:prstGeom>
                    <a:noFill/>
                  </pic:spPr>
                </pic:pic>
              </a:graphicData>
            </a:graphic>
          </wp:anchor>
        </w:drawing>
      </w:r>
    </w:p>
    <w:p>
      <w:pPr>
        <w:spacing w:after="0" w:line="18"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6"/>
          <w:szCs w:val="16"/>
          <w:color w:val="auto"/>
        </w:rPr>
        <w:t>Supplemental Information at March 31, 2006</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27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77"/>
        </w:trPr>
        <w:tc>
          <w:tcPr>
            <w:tcW w:w="340" w:type="dxa"/>
            <w:vAlign w:val="bottom"/>
          </w:tcPr>
          <w:p>
            <w:pPr>
              <w:spacing w:after="0"/>
              <w:rPr>
                <w:sz w:val="24"/>
                <w:szCs w:val="24"/>
                <w:color w:val="auto"/>
              </w:rPr>
            </w:pPr>
          </w:p>
        </w:tc>
        <w:tc>
          <w:tcPr>
            <w:tcW w:w="8640" w:type="dxa"/>
            <w:vAlign w:val="bottom"/>
          </w:tcPr>
          <w:p>
            <w:pPr>
              <w:jc w:val="center"/>
              <w:ind w:left="2033"/>
              <w:spacing w:after="0"/>
              <w:rPr>
                <w:sz w:val="20"/>
                <w:szCs w:val="20"/>
                <w:color w:val="auto"/>
              </w:rPr>
            </w:pPr>
            <w:r>
              <w:rPr>
                <w:rFonts w:ascii="Arial" w:cs="Arial" w:eastAsia="Arial" w:hAnsi="Arial"/>
                <w:sz w:val="17"/>
                <w:szCs w:val="17"/>
                <w:b w:val="1"/>
                <w:bCs w:val="1"/>
                <w:color w:val="auto"/>
              </w:rPr>
              <w:t>FEDERAL REALTY INVESTMENT TRUST</w:t>
            </w:r>
          </w:p>
        </w:tc>
        <w:tc>
          <w:tcPr>
            <w:tcW w:w="2440" w:type="dxa"/>
            <w:vAlign w:val="bottom"/>
          </w:tcPr>
          <w:p>
            <w:pPr>
              <w:spacing w:after="0"/>
              <w:rPr>
                <w:sz w:val="24"/>
                <w:szCs w:val="24"/>
                <w:color w:val="auto"/>
              </w:rPr>
            </w:pPr>
          </w:p>
        </w:tc>
      </w:tr>
      <w:tr>
        <w:trPr>
          <w:trHeight w:val="296"/>
        </w:trPr>
        <w:tc>
          <w:tcPr>
            <w:tcW w:w="340" w:type="dxa"/>
            <w:vAlign w:val="bottom"/>
          </w:tcPr>
          <w:p>
            <w:pPr>
              <w:spacing w:after="0"/>
              <w:rPr>
                <w:sz w:val="24"/>
                <w:szCs w:val="24"/>
                <w:color w:val="auto"/>
              </w:rPr>
            </w:pPr>
          </w:p>
        </w:tc>
        <w:tc>
          <w:tcPr>
            <w:tcW w:w="8640" w:type="dxa"/>
            <w:vAlign w:val="bottom"/>
          </w:tcPr>
          <w:p>
            <w:pPr>
              <w:jc w:val="center"/>
              <w:ind w:left="2033"/>
              <w:spacing w:after="0"/>
              <w:rPr>
                <w:sz w:val="20"/>
                <w:szCs w:val="20"/>
                <w:color w:val="auto"/>
              </w:rPr>
            </w:pPr>
            <w:r>
              <w:rPr>
                <w:rFonts w:ascii="Arial" w:cs="Arial" w:eastAsia="Arial" w:hAnsi="Arial"/>
                <w:sz w:val="17"/>
                <w:szCs w:val="17"/>
                <w:color w:val="auto"/>
              </w:rPr>
              <w:t>SUPPLEMENTAL INFORMATION</w:t>
            </w:r>
          </w:p>
        </w:tc>
        <w:tc>
          <w:tcPr>
            <w:tcW w:w="2440" w:type="dxa"/>
            <w:vAlign w:val="bottom"/>
          </w:tcPr>
          <w:p>
            <w:pPr>
              <w:spacing w:after="0"/>
              <w:rPr>
                <w:sz w:val="24"/>
                <w:szCs w:val="24"/>
                <w:color w:val="auto"/>
              </w:rPr>
            </w:pPr>
          </w:p>
        </w:tc>
      </w:tr>
      <w:tr>
        <w:trPr>
          <w:trHeight w:val="296"/>
        </w:trPr>
        <w:tc>
          <w:tcPr>
            <w:tcW w:w="340" w:type="dxa"/>
            <w:vAlign w:val="bottom"/>
          </w:tcPr>
          <w:p>
            <w:pPr>
              <w:spacing w:after="0"/>
              <w:rPr>
                <w:sz w:val="24"/>
                <w:szCs w:val="24"/>
                <w:color w:val="auto"/>
              </w:rPr>
            </w:pPr>
          </w:p>
        </w:tc>
        <w:tc>
          <w:tcPr>
            <w:tcW w:w="8640" w:type="dxa"/>
            <w:vAlign w:val="bottom"/>
          </w:tcPr>
          <w:p>
            <w:pPr>
              <w:jc w:val="center"/>
              <w:ind w:left="2013"/>
              <w:spacing w:after="0"/>
              <w:rPr>
                <w:sz w:val="20"/>
                <w:szCs w:val="20"/>
                <w:color w:val="auto"/>
              </w:rPr>
            </w:pPr>
            <w:r>
              <w:rPr>
                <w:rFonts w:ascii="Arial" w:cs="Arial" w:eastAsia="Arial" w:hAnsi="Arial"/>
                <w:sz w:val="17"/>
                <w:szCs w:val="17"/>
                <w:color w:val="auto"/>
                <w:w w:val="97"/>
              </w:rPr>
              <w:t>MARCH 31, 2006</w:t>
            </w:r>
          </w:p>
        </w:tc>
        <w:tc>
          <w:tcPr>
            <w:tcW w:w="2440" w:type="dxa"/>
            <w:vAlign w:val="bottom"/>
          </w:tcPr>
          <w:p>
            <w:pPr>
              <w:spacing w:after="0"/>
              <w:rPr>
                <w:sz w:val="24"/>
                <w:szCs w:val="24"/>
                <w:color w:val="auto"/>
              </w:rPr>
            </w:pPr>
          </w:p>
        </w:tc>
      </w:tr>
      <w:tr>
        <w:trPr>
          <w:trHeight w:val="377"/>
        </w:trPr>
        <w:tc>
          <w:tcPr>
            <w:tcW w:w="340" w:type="dxa"/>
            <w:vAlign w:val="bottom"/>
          </w:tcPr>
          <w:p>
            <w:pPr>
              <w:spacing w:after="0"/>
              <w:rPr>
                <w:sz w:val="24"/>
                <w:szCs w:val="24"/>
                <w:color w:val="auto"/>
              </w:rPr>
            </w:pPr>
          </w:p>
        </w:tc>
        <w:tc>
          <w:tcPr>
            <w:tcW w:w="8640" w:type="dxa"/>
            <w:vAlign w:val="bottom"/>
          </w:tcPr>
          <w:p>
            <w:pPr>
              <w:jc w:val="center"/>
              <w:ind w:left="2033"/>
              <w:spacing w:after="0"/>
              <w:rPr>
                <w:sz w:val="20"/>
                <w:szCs w:val="20"/>
                <w:color w:val="auto"/>
              </w:rPr>
            </w:pPr>
            <w:r>
              <w:rPr>
                <w:rFonts w:ascii="Arial" w:cs="Arial" w:eastAsia="Arial" w:hAnsi="Arial"/>
                <w:sz w:val="17"/>
                <w:szCs w:val="17"/>
                <w:b w:val="1"/>
                <w:bCs w:val="1"/>
                <w:color w:val="auto"/>
              </w:rPr>
              <w:t>TABLE OF CONTENTS</w:t>
            </w:r>
          </w:p>
        </w:tc>
        <w:tc>
          <w:tcPr>
            <w:tcW w:w="2440" w:type="dxa"/>
            <w:vAlign w:val="bottom"/>
          </w:tcPr>
          <w:p>
            <w:pPr>
              <w:spacing w:after="0"/>
              <w:rPr>
                <w:sz w:val="24"/>
                <w:szCs w:val="24"/>
                <w:color w:val="auto"/>
              </w:rPr>
            </w:pPr>
          </w:p>
        </w:tc>
      </w:tr>
      <w:tr>
        <w:trPr>
          <w:trHeight w:val="417"/>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1.</w:t>
            </w:r>
          </w:p>
        </w:tc>
        <w:tc>
          <w:tcPr>
            <w:tcW w:w="8640" w:type="dxa"/>
            <w:vAlign w:val="bottom"/>
          </w:tcPr>
          <w:p>
            <w:pPr>
              <w:ind w:left="200"/>
              <w:spacing w:after="0"/>
              <w:rPr>
                <w:sz w:val="20"/>
                <w:szCs w:val="20"/>
                <w:color w:val="auto"/>
              </w:rPr>
            </w:pPr>
            <w:r>
              <w:rPr>
                <w:rFonts w:ascii="Arial" w:cs="Arial" w:eastAsia="Arial" w:hAnsi="Arial"/>
                <w:sz w:val="17"/>
                <w:szCs w:val="17"/>
                <w:color w:val="auto"/>
              </w:rPr>
              <w:t>First Quarter 2006 Earnings Press Release</w:t>
            </w:r>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6"/>
        </w:trPr>
        <w:tc>
          <w:tcPr>
            <w:tcW w:w="340" w:type="dxa"/>
            <w:vAlign w:val="bottom"/>
          </w:tcPr>
          <w:p>
            <w:pPr>
              <w:jc w:val="right"/>
              <w:ind w:right="113"/>
              <w:spacing w:after="0"/>
              <w:rPr>
                <w:sz w:val="20"/>
                <w:szCs w:val="20"/>
                <w:color w:val="auto"/>
              </w:rPr>
            </w:pPr>
            <w:r>
              <w:rPr>
                <w:rFonts w:ascii="Arial" w:cs="Arial" w:eastAsia="Arial" w:hAnsi="Arial"/>
                <w:sz w:val="17"/>
                <w:szCs w:val="17"/>
                <w:color w:val="auto"/>
                <w:w w:val="84"/>
              </w:rPr>
              <w:t>2.</w:t>
            </w:r>
          </w:p>
        </w:tc>
        <w:tc>
          <w:tcPr>
            <w:tcW w:w="8640" w:type="dxa"/>
            <w:vAlign w:val="bottom"/>
          </w:tcPr>
          <w:p>
            <w:pPr>
              <w:ind w:left="200"/>
              <w:spacing w:after="0"/>
              <w:rPr>
                <w:sz w:val="20"/>
                <w:szCs w:val="20"/>
                <w:color w:val="auto"/>
              </w:rPr>
            </w:pPr>
            <w:r>
              <w:rPr>
                <w:rFonts w:ascii="Arial" w:cs="Arial" w:eastAsia="Arial" w:hAnsi="Arial"/>
                <w:sz w:val="17"/>
                <w:szCs w:val="17"/>
                <w:color w:val="auto"/>
              </w:rPr>
              <w:t>Financial Highlights</w:t>
            </w:r>
          </w:p>
        </w:tc>
        <w:tc>
          <w:tcPr>
            <w:tcW w:w="2440" w:type="dxa"/>
            <w:vAlign w:val="bottom"/>
          </w:tcPr>
          <w:p>
            <w:pPr>
              <w:spacing w:after="0"/>
              <w:rPr>
                <w:sz w:val="24"/>
                <w:szCs w:val="24"/>
                <w:color w:val="auto"/>
              </w:rPr>
            </w:pPr>
          </w:p>
        </w:tc>
      </w:tr>
      <w:tr>
        <w:trPr>
          <w:trHeight w:val="215"/>
        </w:trPr>
        <w:tc>
          <w:tcPr>
            <w:tcW w:w="34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7"/>
                <w:szCs w:val="17"/>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5"/>
        </w:trPr>
        <w:tc>
          <w:tcPr>
            <w:tcW w:w="34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7"/>
                <w:szCs w:val="17"/>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5"/>
        </w:trPr>
        <w:tc>
          <w:tcPr>
            <w:tcW w:w="34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7"/>
                <w:szCs w:val="17"/>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5"/>
        </w:trPr>
        <w:tc>
          <w:tcPr>
            <w:tcW w:w="34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7"/>
                <w:szCs w:val="17"/>
                <w:color w:val="auto"/>
              </w:rPr>
              <w:t>Market Data</w:t>
            </w:r>
          </w:p>
        </w:tc>
        <w:tc>
          <w:tcPr>
            <w:tcW w:w="24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34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7"/>
                <w:szCs w:val="17"/>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0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7880" w:type="dxa"/>
            <w:vAlign w:val="bottom"/>
          </w:tcPr>
          <w:p>
            <w:pPr>
              <w:ind w:left="600"/>
              <w:spacing w:after="0"/>
              <w:rPr>
                <w:sz w:val="20"/>
                <w:szCs w:val="20"/>
                <w:color w:val="auto"/>
              </w:rPr>
            </w:pPr>
            <w:r>
              <w:rPr>
                <w:rFonts w:ascii="Arial" w:cs="Arial" w:eastAsia="Arial" w:hAnsi="Arial"/>
                <w:sz w:val="17"/>
                <w:szCs w:val="17"/>
                <w:color w:val="auto"/>
              </w:rPr>
              <w:t>Summary of Outstanding Debt and Capital Lease Obligations</w:t>
            </w:r>
          </w:p>
        </w:tc>
        <w:tc>
          <w:tcPr>
            <w:tcW w:w="31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38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7"/>
                <w:szCs w:val="17"/>
                <w:color w:val="auto"/>
              </w:rPr>
              <w:t>Summary of Debt Maturities</w:t>
            </w:r>
          </w:p>
        </w:tc>
        <w:tc>
          <w:tcPr>
            <w:tcW w:w="3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4.</w:t>
            </w:r>
          </w:p>
        </w:tc>
        <w:tc>
          <w:tcPr>
            <w:tcW w:w="7880" w:type="dxa"/>
            <w:vAlign w:val="bottom"/>
          </w:tcPr>
          <w:p>
            <w:pPr>
              <w:ind w:left="160"/>
              <w:spacing w:after="0"/>
              <w:rPr>
                <w:sz w:val="20"/>
                <w:szCs w:val="20"/>
                <w:color w:val="auto"/>
              </w:rPr>
            </w:pPr>
            <w:r>
              <w:rPr>
                <w:rFonts w:ascii="Arial" w:cs="Arial" w:eastAsia="Arial" w:hAnsi="Arial"/>
                <w:sz w:val="17"/>
                <w:szCs w:val="17"/>
                <w:color w:val="auto"/>
              </w:rPr>
              <w:t>Summary of Redevelopment Opportunities</w:t>
            </w:r>
          </w:p>
        </w:tc>
        <w:tc>
          <w:tcPr>
            <w:tcW w:w="3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5.</w:t>
            </w:r>
          </w:p>
        </w:tc>
        <w:tc>
          <w:tcPr>
            <w:tcW w:w="7880" w:type="dxa"/>
            <w:vAlign w:val="bottom"/>
          </w:tcPr>
          <w:p>
            <w:pPr>
              <w:ind w:left="160"/>
              <w:spacing w:after="0"/>
              <w:rPr>
                <w:sz w:val="20"/>
                <w:szCs w:val="20"/>
                <w:color w:val="auto"/>
              </w:rPr>
            </w:pPr>
            <w:r>
              <w:rPr>
                <w:rFonts w:ascii="Arial" w:cs="Arial" w:eastAsia="Arial" w:hAnsi="Arial"/>
                <w:sz w:val="17"/>
                <w:szCs w:val="17"/>
                <w:color w:val="auto"/>
              </w:rPr>
              <w:t>Santana Row Summary</w:t>
            </w:r>
          </w:p>
        </w:tc>
        <w:tc>
          <w:tcPr>
            <w:tcW w:w="31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6.</w:t>
            </w:r>
          </w:p>
        </w:tc>
        <w:tc>
          <w:tcPr>
            <w:tcW w:w="7880" w:type="dxa"/>
            <w:vAlign w:val="bottom"/>
          </w:tcPr>
          <w:p>
            <w:pPr>
              <w:ind w:left="160"/>
              <w:spacing w:after="0"/>
              <w:rPr>
                <w:sz w:val="20"/>
                <w:szCs w:val="20"/>
                <w:color w:val="auto"/>
              </w:rPr>
            </w:pPr>
            <w:r>
              <w:rPr>
                <w:rFonts w:ascii="Arial" w:cs="Arial" w:eastAsia="Arial" w:hAnsi="Arial"/>
                <w:sz w:val="17"/>
                <w:szCs w:val="17"/>
                <w:color w:val="auto"/>
              </w:rPr>
              <w:t>2006 Significant Acquisitions and Dispositions</w:t>
            </w:r>
          </w:p>
        </w:tc>
        <w:tc>
          <w:tcPr>
            <w:tcW w:w="3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7.</w:t>
            </w:r>
          </w:p>
        </w:tc>
        <w:tc>
          <w:tcPr>
            <w:tcW w:w="7880" w:type="dxa"/>
            <w:vAlign w:val="bottom"/>
          </w:tcPr>
          <w:p>
            <w:pPr>
              <w:ind w:left="160"/>
              <w:spacing w:after="0"/>
              <w:rPr>
                <w:sz w:val="20"/>
                <w:szCs w:val="20"/>
                <w:color w:val="auto"/>
              </w:rPr>
            </w:pPr>
            <w:r>
              <w:rPr>
                <w:rFonts w:ascii="Arial" w:cs="Arial" w:eastAsia="Arial" w:hAnsi="Arial"/>
                <w:sz w:val="17"/>
                <w:szCs w:val="17"/>
                <w:color w:val="auto"/>
              </w:rPr>
              <w:t>Real Estate Status Report</w:t>
            </w:r>
          </w:p>
        </w:tc>
        <w:tc>
          <w:tcPr>
            <w:tcW w:w="31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8.</w:t>
            </w:r>
          </w:p>
        </w:tc>
        <w:tc>
          <w:tcPr>
            <w:tcW w:w="7880" w:type="dxa"/>
            <w:vAlign w:val="bottom"/>
          </w:tcPr>
          <w:p>
            <w:pPr>
              <w:ind w:left="160"/>
              <w:spacing w:after="0"/>
              <w:rPr>
                <w:sz w:val="20"/>
                <w:szCs w:val="20"/>
                <w:color w:val="auto"/>
              </w:rPr>
            </w:pPr>
            <w:r>
              <w:rPr>
                <w:rFonts w:ascii="Arial" w:cs="Arial" w:eastAsia="Arial" w:hAnsi="Arial"/>
                <w:sz w:val="17"/>
                <w:szCs w:val="17"/>
                <w:color w:val="auto"/>
              </w:rPr>
              <w:t>Retail Leasing Summary</w:t>
            </w:r>
          </w:p>
        </w:tc>
        <w:tc>
          <w:tcPr>
            <w:tcW w:w="31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9.</w:t>
            </w:r>
          </w:p>
        </w:tc>
        <w:tc>
          <w:tcPr>
            <w:tcW w:w="7880" w:type="dxa"/>
            <w:vAlign w:val="bottom"/>
          </w:tcPr>
          <w:p>
            <w:pPr>
              <w:ind w:left="160"/>
              <w:spacing w:after="0"/>
              <w:rPr>
                <w:sz w:val="20"/>
                <w:szCs w:val="20"/>
                <w:color w:val="auto"/>
              </w:rPr>
            </w:pPr>
            <w:r>
              <w:rPr>
                <w:rFonts w:ascii="Arial" w:cs="Arial" w:eastAsia="Arial" w:hAnsi="Arial"/>
                <w:sz w:val="17"/>
                <w:szCs w:val="17"/>
                <w:color w:val="auto"/>
              </w:rPr>
              <w:t>Lease Expirations</w:t>
            </w:r>
          </w:p>
        </w:tc>
        <w:tc>
          <w:tcPr>
            <w:tcW w:w="31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10.</w:t>
            </w:r>
          </w:p>
        </w:tc>
        <w:tc>
          <w:tcPr>
            <w:tcW w:w="7880" w:type="dxa"/>
            <w:vAlign w:val="bottom"/>
          </w:tcPr>
          <w:p>
            <w:pPr>
              <w:ind w:left="160"/>
              <w:spacing w:after="0"/>
              <w:rPr>
                <w:sz w:val="20"/>
                <w:szCs w:val="20"/>
                <w:color w:val="auto"/>
              </w:rPr>
            </w:pPr>
            <w:r>
              <w:rPr>
                <w:rFonts w:ascii="Arial" w:cs="Arial" w:eastAsia="Arial" w:hAnsi="Arial"/>
                <w:sz w:val="17"/>
                <w:szCs w:val="17"/>
                <w:color w:val="auto"/>
              </w:rPr>
              <w:t>Portfolio Leased Statistics</w:t>
            </w:r>
          </w:p>
        </w:tc>
        <w:tc>
          <w:tcPr>
            <w:tcW w:w="31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11.</w:t>
            </w:r>
          </w:p>
        </w:tc>
        <w:tc>
          <w:tcPr>
            <w:tcW w:w="7880" w:type="dxa"/>
            <w:vAlign w:val="bottom"/>
          </w:tcPr>
          <w:p>
            <w:pPr>
              <w:ind w:left="160"/>
              <w:spacing w:after="0"/>
              <w:rPr>
                <w:sz w:val="20"/>
                <w:szCs w:val="20"/>
                <w:color w:val="auto"/>
              </w:rPr>
            </w:pPr>
            <w:r>
              <w:rPr>
                <w:rFonts w:ascii="Arial" w:cs="Arial" w:eastAsia="Arial" w:hAnsi="Arial"/>
                <w:sz w:val="17"/>
                <w:szCs w:val="17"/>
                <w:color w:val="auto"/>
              </w:rPr>
              <w:t>Summary of Top 25 Tenants</w:t>
            </w:r>
          </w:p>
        </w:tc>
        <w:tc>
          <w:tcPr>
            <w:tcW w:w="31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23"/>
        </w:trPr>
        <w:tc>
          <w:tcPr>
            <w:tcW w:w="380" w:type="dxa"/>
            <w:vAlign w:val="bottom"/>
          </w:tcPr>
          <w:p>
            <w:pPr>
              <w:spacing w:after="0"/>
              <w:rPr>
                <w:sz w:val="20"/>
                <w:szCs w:val="20"/>
                <w:color w:val="auto"/>
              </w:rPr>
            </w:pPr>
            <w:r>
              <w:rPr>
                <w:rFonts w:ascii="Arial" w:cs="Arial" w:eastAsia="Arial" w:hAnsi="Arial"/>
                <w:sz w:val="17"/>
                <w:szCs w:val="17"/>
                <w:color w:val="auto"/>
              </w:rPr>
              <w:t>12.</w:t>
            </w:r>
          </w:p>
        </w:tc>
        <w:tc>
          <w:tcPr>
            <w:tcW w:w="7880" w:type="dxa"/>
            <w:vAlign w:val="bottom"/>
          </w:tcPr>
          <w:p>
            <w:pPr>
              <w:ind w:left="160"/>
              <w:spacing w:after="0"/>
              <w:rPr>
                <w:sz w:val="20"/>
                <w:szCs w:val="20"/>
                <w:color w:val="auto"/>
              </w:rPr>
            </w:pPr>
            <w:r>
              <w:rPr>
                <w:rFonts w:ascii="Arial" w:cs="Arial" w:eastAsia="Arial" w:hAnsi="Arial"/>
                <w:sz w:val="17"/>
                <w:szCs w:val="17"/>
                <w:color w:val="auto"/>
              </w:rPr>
              <w:t>Reconciliation of Net Income to FFO Guidance</w:t>
            </w:r>
          </w:p>
        </w:tc>
        <w:tc>
          <w:tcPr>
            <w:tcW w:w="316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10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Joint Venture Disclosure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7520" w:type="dxa"/>
            <w:vAlign w:val="bottom"/>
          </w:tcPr>
          <w:p>
            <w:pPr>
              <w:ind w:left="600"/>
              <w:spacing w:after="0"/>
              <w:rPr>
                <w:sz w:val="20"/>
                <w:szCs w:val="20"/>
                <w:color w:val="auto"/>
              </w:rPr>
            </w:pPr>
            <w:r>
              <w:rPr>
                <w:rFonts w:ascii="Arial" w:cs="Arial" w:eastAsia="Arial" w:hAnsi="Arial"/>
                <w:sz w:val="17"/>
                <w:szCs w:val="17"/>
                <w:color w:val="auto"/>
              </w:rPr>
              <w:t>Summarized Operating Results and Balance Sheets</w:t>
            </w:r>
          </w:p>
        </w:tc>
        <w:tc>
          <w:tcPr>
            <w:tcW w:w="35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5"/>
        </w:trPr>
        <w:tc>
          <w:tcPr>
            <w:tcW w:w="380" w:type="dxa"/>
            <w:vAlign w:val="bottom"/>
          </w:tcPr>
          <w:p>
            <w:pPr>
              <w:spacing w:after="0"/>
              <w:rPr>
                <w:sz w:val="18"/>
                <w:szCs w:val="18"/>
                <w:color w:val="auto"/>
              </w:rPr>
            </w:pPr>
          </w:p>
        </w:tc>
        <w:tc>
          <w:tcPr>
            <w:tcW w:w="7520" w:type="dxa"/>
            <w:vAlign w:val="bottom"/>
          </w:tcPr>
          <w:p>
            <w:pPr>
              <w:ind w:left="600"/>
              <w:spacing w:after="0"/>
              <w:rPr>
                <w:sz w:val="20"/>
                <w:szCs w:val="20"/>
                <w:color w:val="auto"/>
              </w:rPr>
            </w:pPr>
            <w:r>
              <w:rPr>
                <w:rFonts w:ascii="Arial" w:cs="Arial" w:eastAsia="Arial" w:hAnsi="Arial"/>
                <w:sz w:val="17"/>
                <w:szCs w:val="17"/>
                <w:color w:val="auto"/>
              </w:rPr>
              <w:t>Summary of Outstanding Debt and Debt Maturities</w:t>
            </w:r>
          </w:p>
        </w:tc>
        <w:tc>
          <w:tcPr>
            <w:tcW w:w="35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2"/>
        </w:trPr>
        <w:tc>
          <w:tcPr>
            <w:tcW w:w="380" w:type="dxa"/>
            <w:vAlign w:val="bottom"/>
          </w:tcPr>
          <w:p>
            <w:pPr>
              <w:spacing w:after="0"/>
              <w:rPr>
                <w:sz w:val="19"/>
                <w:szCs w:val="19"/>
                <w:color w:val="auto"/>
              </w:rPr>
            </w:pPr>
          </w:p>
        </w:tc>
        <w:tc>
          <w:tcPr>
            <w:tcW w:w="7520" w:type="dxa"/>
            <w:vAlign w:val="bottom"/>
          </w:tcPr>
          <w:p>
            <w:pPr>
              <w:ind w:left="600"/>
              <w:spacing w:after="0"/>
              <w:rPr>
                <w:sz w:val="20"/>
                <w:szCs w:val="20"/>
                <w:color w:val="auto"/>
              </w:rPr>
            </w:pPr>
            <w:r>
              <w:rPr>
                <w:rFonts w:ascii="Arial" w:cs="Arial" w:eastAsia="Arial" w:hAnsi="Arial"/>
                <w:sz w:val="17"/>
                <w:szCs w:val="17"/>
                <w:color w:val="auto"/>
              </w:rPr>
              <w:t>Real Estate Status Report</w:t>
            </w:r>
          </w:p>
        </w:tc>
        <w:tc>
          <w:tcPr>
            <w:tcW w:w="35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23"/>
        </w:trPr>
        <w:tc>
          <w:tcPr>
            <w:tcW w:w="380" w:type="dxa"/>
            <w:vAlign w:val="bottom"/>
          </w:tcPr>
          <w:p>
            <w:pPr>
              <w:jc w:val="right"/>
              <w:ind w:right="73"/>
              <w:spacing w:after="0"/>
              <w:rPr>
                <w:sz w:val="20"/>
                <w:szCs w:val="20"/>
                <w:color w:val="auto"/>
              </w:rPr>
            </w:pPr>
            <w:r>
              <w:rPr>
                <w:rFonts w:ascii="Arial" w:cs="Arial" w:eastAsia="Arial" w:hAnsi="Arial"/>
                <w:sz w:val="17"/>
                <w:szCs w:val="17"/>
                <w:color w:val="auto"/>
                <w:w w:val="84"/>
              </w:rPr>
              <w:t>14.</w:t>
            </w:r>
          </w:p>
        </w:tc>
        <w:tc>
          <w:tcPr>
            <w:tcW w:w="7520" w:type="dxa"/>
            <w:vAlign w:val="bottom"/>
          </w:tcPr>
          <w:p>
            <w:pPr>
              <w:ind w:left="160"/>
              <w:spacing w:after="0"/>
              <w:rPr>
                <w:sz w:val="20"/>
                <w:szCs w:val="20"/>
                <w:color w:val="auto"/>
              </w:rPr>
            </w:pPr>
            <w:r>
              <w:rPr>
                <w:rFonts w:ascii="Arial" w:cs="Arial" w:eastAsia="Arial" w:hAnsi="Arial"/>
                <w:sz w:val="17"/>
                <w:szCs w:val="17"/>
                <w:color w:val="auto"/>
              </w:rPr>
              <w:t>Glossary of Terms</w:t>
            </w:r>
          </w:p>
        </w:tc>
        <w:tc>
          <w:tcPr>
            <w:tcW w:w="352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Safe Harbor Language</w:t>
      </w:r>
    </w:p>
    <w:p>
      <w:pPr>
        <w:spacing w:after="0" w:line="10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March 3, 2006 (as amended), and include the following:</w:t>
      </w:r>
    </w:p>
    <w:p>
      <w:pPr>
        <w:spacing w:after="0" w:line="46" w:lineRule="exact"/>
        <w:rPr>
          <w:sz w:val="20"/>
          <w:szCs w:val="20"/>
          <w:color w:val="auto"/>
        </w:rPr>
      </w:pPr>
    </w:p>
    <w:p>
      <w:pPr>
        <w:ind w:left="780" w:hanging="328"/>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100" w:lineRule="exact"/>
        <w:rPr>
          <w:rFonts w:ascii="Arial" w:cs="Arial" w:eastAsia="Arial" w:hAnsi="Arial"/>
          <w:sz w:val="17"/>
          <w:szCs w:val="17"/>
          <w:color w:val="auto"/>
        </w:rPr>
      </w:pPr>
    </w:p>
    <w:p>
      <w:pPr>
        <w:ind w:left="780" w:right="500" w:hanging="328"/>
        <w:spacing w:after="0" w:line="330"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5" w:lineRule="exact"/>
        <w:rPr>
          <w:rFonts w:ascii="Arial" w:cs="Arial" w:eastAsia="Arial" w:hAnsi="Arial"/>
          <w:sz w:val="16"/>
          <w:szCs w:val="16"/>
          <w:color w:val="auto"/>
        </w:rPr>
      </w:pPr>
    </w:p>
    <w:p>
      <w:pPr>
        <w:ind w:left="780" w:hanging="328"/>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that we may not be able to sell the condominium units at Santana Row for the expected prices or within the anticipated time frames;</w:t>
      </w:r>
    </w:p>
    <w:p>
      <w:pPr>
        <w:spacing w:after="0" w:line="100" w:lineRule="exact"/>
        <w:rPr>
          <w:rFonts w:ascii="Arial" w:cs="Arial" w:eastAsia="Arial" w:hAnsi="Arial"/>
          <w:sz w:val="17"/>
          <w:szCs w:val="17"/>
          <w:color w:val="auto"/>
        </w:rPr>
      </w:pPr>
    </w:p>
    <w:p>
      <w:pPr>
        <w:ind w:left="780" w:right="140" w:hanging="328"/>
        <w:spacing w:after="0" w:line="296"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29" w:lineRule="exact"/>
        <w:rPr>
          <w:rFonts w:ascii="Arial" w:cs="Arial" w:eastAsia="Arial" w:hAnsi="Arial"/>
          <w:sz w:val="17"/>
          <w:szCs w:val="17"/>
          <w:color w:val="auto"/>
        </w:rPr>
      </w:pPr>
    </w:p>
    <w:p>
      <w:pPr>
        <w:ind w:left="780" w:right="20" w:hanging="328"/>
        <w:spacing w:after="0" w:line="275"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6" w:lineRule="exact"/>
        <w:rPr>
          <w:rFonts w:ascii="Arial" w:cs="Arial" w:eastAsia="Arial" w:hAnsi="Arial"/>
          <w:sz w:val="17"/>
          <w:szCs w:val="17"/>
          <w:color w:val="auto"/>
        </w:rPr>
      </w:pPr>
    </w:p>
    <w:p>
      <w:pPr>
        <w:ind w:left="780" w:hanging="328"/>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that our growth will be limited if we cannot obtain additional capital;</w:t>
      </w:r>
    </w:p>
    <w:p>
      <w:pPr>
        <w:spacing w:after="0" w:line="100" w:lineRule="exact"/>
        <w:rPr>
          <w:rFonts w:ascii="Arial" w:cs="Arial" w:eastAsia="Arial" w:hAnsi="Arial"/>
          <w:sz w:val="17"/>
          <w:szCs w:val="17"/>
          <w:color w:val="auto"/>
        </w:rPr>
      </w:pPr>
    </w:p>
    <w:p>
      <w:pPr>
        <w:ind w:left="780" w:hanging="328"/>
        <w:spacing w:after="0" w:line="280"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2" w:lineRule="exact"/>
        <w:rPr>
          <w:rFonts w:ascii="Arial" w:cs="Arial" w:eastAsia="Arial" w:hAnsi="Arial"/>
          <w:sz w:val="17"/>
          <w:szCs w:val="17"/>
          <w:color w:val="auto"/>
        </w:rPr>
      </w:pPr>
    </w:p>
    <w:p>
      <w:pPr>
        <w:ind w:left="780" w:right="220" w:hanging="328"/>
        <w:spacing w:after="0" w:line="280"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March 3, 2006 (as amended).</w:t>
      </w:r>
    </w:p>
    <w:p>
      <w:pPr>
        <w:sectPr>
          <w:pgSz w:w="11900" w:h="16838" w:orient="portrait"/>
          <w:cols w:equalWidth="0" w:num="1">
            <w:col w:w="11400"/>
          </w:cols>
          <w:pgMar w:left="240" w:top="273"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1358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080" w:type="dxa"/>
            <w:vAlign w:val="bottom"/>
          </w:tcPr>
          <w:p>
            <w:pPr>
              <w:spacing w:after="0"/>
              <w:rPr>
                <w:sz w:val="19"/>
                <w:szCs w:val="19"/>
                <w:color w:val="auto"/>
              </w:rPr>
            </w:pPr>
          </w:p>
        </w:tc>
      </w:tr>
      <w:tr>
        <w:trPr>
          <w:trHeight w:val="379"/>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5"/>
              </w:rPr>
              <w:t>Investor and Media Inquiries</w:t>
            </w:r>
          </w:p>
        </w:tc>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7"/>
        </w:trPr>
        <w:tc>
          <w:tcPr>
            <w:tcW w:w="4840" w:type="dxa"/>
            <w:vAlign w:val="bottom"/>
            <w:gridSpan w:val="2"/>
          </w:tcPr>
          <w:p>
            <w:pPr>
              <w:spacing w:after="0"/>
              <w:rPr>
                <w:sz w:val="20"/>
                <w:szCs w:val="20"/>
                <w:color w:val="auto"/>
              </w:rPr>
            </w:pPr>
            <w:r>
              <w:rPr>
                <w:rFonts w:ascii="Arial" w:cs="Arial" w:eastAsia="Arial" w:hAnsi="Arial"/>
                <w:sz w:val="17"/>
                <w:szCs w:val="17"/>
                <w:color w:val="auto"/>
              </w:rPr>
              <w:t>Andrew Blocher</w:t>
            </w:r>
          </w:p>
        </w:tc>
        <w:tc>
          <w:tcPr>
            <w:tcW w:w="3080" w:type="dxa"/>
            <w:vAlign w:val="bottom"/>
          </w:tcPr>
          <w:p>
            <w:pPr>
              <w:ind w:left="1100"/>
              <w:spacing w:after="0"/>
              <w:rPr>
                <w:sz w:val="20"/>
                <w:szCs w:val="20"/>
                <w:color w:val="auto"/>
              </w:rPr>
            </w:pPr>
            <w:r>
              <w:rPr>
                <w:rFonts w:ascii="Arial" w:cs="Arial" w:eastAsia="Arial" w:hAnsi="Arial"/>
                <w:sz w:val="17"/>
                <w:szCs w:val="17"/>
                <w:color w:val="auto"/>
              </w:rPr>
              <w:t>Suzanne O’Neill</w:t>
            </w:r>
          </w:p>
        </w:tc>
      </w:tr>
      <w:tr>
        <w:trPr>
          <w:trHeight w:val="215"/>
        </w:trPr>
        <w:tc>
          <w:tcPr>
            <w:tcW w:w="4840" w:type="dxa"/>
            <w:vAlign w:val="bottom"/>
            <w:gridSpan w:val="2"/>
          </w:tcPr>
          <w:p>
            <w:pPr>
              <w:spacing w:after="0"/>
              <w:rPr>
                <w:sz w:val="20"/>
                <w:szCs w:val="20"/>
                <w:color w:val="auto"/>
              </w:rPr>
            </w:pPr>
            <w:r>
              <w:rPr>
                <w:rFonts w:ascii="Arial" w:cs="Arial" w:eastAsia="Arial" w:hAnsi="Arial"/>
                <w:sz w:val="17"/>
                <w:szCs w:val="17"/>
                <w:color w:val="auto"/>
              </w:rPr>
              <w:t>Vice President, Capital Markets &amp; Investor Relations</w:t>
            </w:r>
          </w:p>
        </w:tc>
        <w:tc>
          <w:tcPr>
            <w:tcW w:w="3080" w:type="dxa"/>
            <w:vAlign w:val="bottom"/>
          </w:tcPr>
          <w:p>
            <w:pPr>
              <w:ind w:left="1100"/>
              <w:spacing w:after="0"/>
              <w:rPr>
                <w:sz w:val="20"/>
                <w:szCs w:val="20"/>
                <w:color w:val="auto"/>
              </w:rPr>
            </w:pPr>
            <w:r>
              <w:rPr>
                <w:rFonts w:ascii="Arial" w:cs="Arial" w:eastAsia="Arial" w:hAnsi="Arial"/>
                <w:sz w:val="17"/>
                <w:szCs w:val="17"/>
                <w:color w:val="auto"/>
                <w:w w:val="92"/>
              </w:rPr>
              <w:t>Manager, Investor Relations</w:t>
            </w:r>
          </w:p>
        </w:tc>
      </w:tr>
      <w:tr>
        <w:trPr>
          <w:trHeight w:val="215"/>
        </w:trPr>
        <w:tc>
          <w:tcPr>
            <w:tcW w:w="2060" w:type="dxa"/>
            <w:vAlign w:val="bottom"/>
          </w:tcPr>
          <w:p>
            <w:pPr>
              <w:spacing w:after="0"/>
              <w:rPr>
                <w:sz w:val="20"/>
                <w:szCs w:val="20"/>
                <w:color w:val="auto"/>
              </w:rPr>
            </w:pPr>
            <w:r>
              <w:rPr>
                <w:rFonts w:ascii="Arial" w:cs="Arial" w:eastAsia="Arial" w:hAnsi="Arial"/>
                <w:sz w:val="17"/>
                <w:szCs w:val="17"/>
                <w:color w:val="auto"/>
              </w:rPr>
              <w:t>301/998-8166</w:t>
            </w:r>
          </w:p>
        </w:tc>
        <w:tc>
          <w:tcPr>
            <w:tcW w:w="2780" w:type="dxa"/>
            <w:vAlign w:val="bottom"/>
          </w:tcPr>
          <w:p>
            <w:pPr>
              <w:spacing w:after="0"/>
              <w:rPr>
                <w:sz w:val="18"/>
                <w:szCs w:val="18"/>
                <w:color w:val="auto"/>
              </w:rPr>
            </w:pPr>
          </w:p>
        </w:tc>
        <w:tc>
          <w:tcPr>
            <w:tcW w:w="3080" w:type="dxa"/>
            <w:vAlign w:val="bottom"/>
          </w:tcPr>
          <w:p>
            <w:pPr>
              <w:ind w:left="1100"/>
              <w:spacing w:after="0"/>
              <w:rPr>
                <w:sz w:val="20"/>
                <w:szCs w:val="20"/>
                <w:color w:val="auto"/>
              </w:rPr>
            </w:pPr>
            <w:r>
              <w:rPr>
                <w:rFonts w:ascii="Arial" w:cs="Arial" w:eastAsia="Arial" w:hAnsi="Arial"/>
                <w:sz w:val="17"/>
                <w:szCs w:val="17"/>
                <w:color w:val="auto"/>
              </w:rPr>
              <w:t>301/998-8358</w:t>
            </w:r>
          </w:p>
        </w:tc>
      </w:tr>
      <w:tr>
        <w:trPr>
          <w:trHeight w:val="222"/>
        </w:trPr>
        <w:tc>
          <w:tcPr>
            <w:tcW w:w="4840" w:type="dxa"/>
            <w:vAlign w:val="bottom"/>
            <w:gridSpan w:val="2"/>
          </w:tcPr>
          <w:p>
            <w:pPr>
              <w:spacing w:after="0"/>
              <w:rPr>
                <w:sz w:val="20"/>
                <w:szCs w:val="20"/>
                <w:color w:val="auto"/>
              </w:rPr>
            </w:pPr>
            <w:r>
              <w:rPr>
                <w:rFonts w:ascii="Arial" w:cs="Arial" w:eastAsia="Arial" w:hAnsi="Arial"/>
                <w:sz w:val="17"/>
                <w:szCs w:val="17"/>
                <w:i w:val="1"/>
                <w:iCs w:val="1"/>
                <w:color w:val="auto"/>
              </w:rPr>
              <w:t>ablocher@federalrealty.com</w:t>
            </w:r>
          </w:p>
        </w:tc>
        <w:tc>
          <w:tcPr>
            <w:tcW w:w="3080" w:type="dxa"/>
            <w:vAlign w:val="bottom"/>
          </w:tcPr>
          <w:p>
            <w:pPr>
              <w:ind w:left="1100"/>
              <w:spacing w:after="0"/>
              <w:rPr>
                <w:sz w:val="20"/>
                <w:szCs w:val="20"/>
                <w:color w:val="auto"/>
              </w:rPr>
            </w:pPr>
            <w:r>
              <w:rPr>
                <w:rFonts w:ascii="Arial" w:cs="Arial" w:eastAsia="Arial" w:hAnsi="Arial"/>
                <w:sz w:val="17"/>
                <w:szCs w:val="17"/>
                <w:i w:val="1"/>
                <w:iCs w:val="1"/>
                <w:color w:val="auto"/>
              </w:rPr>
              <w:t>soneill@federalrealty.com</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 FIRST QUARTER 2006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-Increased Occupancy and Redevelopment Stabilizations Drive Strong Internal Growth-</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ROCKVILLE, Md. (May 3, 2006) – Federal Realty Investment Trust (NYSE:FRT) today reported operating results for its first quarter ended March 31, 2006.</w:t>
      </w:r>
    </w:p>
    <w:p>
      <w:pPr>
        <w:spacing w:after="0" w:line="112" w:lineRule="exact"/>
        <w:rPr>
          <w:sz w:val="20"/>
          <w:szCs w:val="20"/>
          <w:color w:val="auto"/>
        </w:rPr>
      </w:pPr>
    </w:p>
    <w:p>
      <w:pPr>
        <w:ind w:left="780" w:right="2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Funds from operations available for common shareholders (FFO) per diluted share was $0.81 and earnings per diluted common share was $0.53 for the quarter ended March 31, 2006, versus $0.74 and $0.40, respectively, for first quarter 2005.</w:t>
      </w:r>
    </w:p>
    <w:p>
      <w:pPr>
        <w:spacing w:after="0" w:line="29" w:lineRule="exact"/>
        <w:rPr>
          <w:rFonts w:ascii="Arial" w:cs="Arial" w:eastAsia="Arial" w:hAnsi="Arial"/>
          <w:sz w:val="17"/>
          <w:szCs w:val="17"/>
          <w:color w:val="auto"/>
        </w:rPr>
      </w:pPr>
    </w:p>
    <w:p>
      <w:pPr>
        <w:ind w:left="780" w:right="34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When compared to first quarter 2005, same-center property operating income increased 6.4% including redevelopments and expansions, and 5.0% excluding redevelopments and expansions.</w:t>
      </w:r>
    </w:p>
    <w:p>
      <w:pPr>
        <w:spacing w:after="0" w:line="29" w:lineRule="exact"/>
        <w:rPr>
          <w:rFonts w:ascii="Arial" w:cs="Arial" w:eastAsia="Arial" w:hAnsi="Arial"/>
          <w:sz w:val="17"/>
          <w:szCs w:val="17"/>
          <w:color w:val="auto"/>
        </w:rPr>
      </w:pPr>
    </w:p>
    <w:p>
      <w:pPr>
        <w:ind w:left="780" w:hanging="328"/>
        <w:spacing w:after="0" w:line="29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Rent increases on lease rollovers for retail space for which there was a prior tenant were 16% on a cash-basis and 27% on a GAAP-basis for the quarter ended March 31, 2006.</w:t>
      </w:r>
    </w:p>
    <w:p>
      <w:pPr>
        <w:spacing w:after="0" w:line="29"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Trust’s portfolio was 96.2% leased and 94.8% occupied as of March 31, 2006.</w:t>
      </w:r>
    </w:p>
    <w:p>
      <w:pPr>
        <w:spacing w:after="0" w:line="100"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Guidance for 2006 FFO per diluted share remains unchanged at $3.30 to $3.35.</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107" w:lineRule="exact"/>
        <w:rPr>
          <w:sz w:val="20"/>
          <w:szCs w:val="20"/>
          <w:color w:val="auto"/>
        </w:rPr>
      </w:pPr>
    </w:p>
    <w:p>
      <w:pPr>
        <w:jc w:val="both"/>
        <w:ind w:right="40"/>
        <w:spacing w:after="0" w:line="280" w:lineRule="auto"/>
        <w:rPr>
          <w:sz w:val="20"/>
          <w:szCs w:val="20"/>
          <w:color w:val="auto"/>
        </w:rPr>
      </w:pPr>
      <w:r>
        <w:rPr>
          <w:rFonts w:ascii="Arial" w:cs="Arial" w:eastAsia="Arial" w:hAnsi="Arial"/>
          <w:sz w:val="17"/>
          <w:szCs w:val="17"/>
          <w:color w:val="auto"/>
        </w:rPr>
        <w:t>In first quarter 2006, Federal Realty reported FFO of $43.4 million, or $0.81 per diluted share. This compares to FFO of $39.3 million, or $0.74 per diluted share, reported in first quarter 2005. Net income available for common shareholders was $28.2 million and earnings per diluted common share was $0.53 for the quarter ended March 31, 2006, versus $21.1 million and $0.40, respectively, for first quarter 2005.</w:t>
      </w:r>
    </w:p>
    <w:p>
      <w:pPr>
        <w:spacing w:after="0" w:line="12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107"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On a same-center basis, including redevelopments and expansions, property operating income increased 6.4% over first quarter 2005. When redevelopments and expansions are excluded from the same-center results, property operating income increased 5.0% from first quarter 2005.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80"/>
          </w:cols>
          <w:pgMar w:left="240" w:top="1440" w:right="27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 ANNOUNCES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2006 OPERATING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3, 2006</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75" w:lineRule="exact"/>
        <w:rPr>
          <w:sz w:val="20"/>
          <w:szCs w:val="20"/>
          <w:color w:val="auto"/>
        </w:rPr>
      </w:pPr>
    </w:p>
    <w:p>
      <w:pPr>
        <w:jc w:val="both"/>
        <w:ind w:right="360"/>
        <w:spacing w:after="0" w:line="280" w:lineRule="auto"/>
        <w:rPr>
          <w:sz w:val="20"/>
          <w:szCs w:val="20"/>
          <w:color w:val="auto"/>
        </w:rPr>
      </w:pPr>
      <w:r>
        <w:rPr>
          <w:rFonts w:ascii="Arial" w:cs="Arial" w:eastAsia="Arial" w:hAnsi="Arial"/>
          <w:sz w:val="17"/>
          <w:szCs w:val="17"/>
          <w:color w:val="auto"/>
        </w:rPr>
        <w:t>Overall, the Trust’s portfolio was 96.2% leased and 94.8% occupied as of March 31, 2006, compared to 95.1% and 91.5%, respectively, on March 31, 2005. Federal Realty’s same-center portfolio was 97.3% leased and 96.4% occupied on March 31, 2006, compared to 96.6% and 95.4%, respectively, on March 31, 2005.</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first quarter 2006, the Trust signed 82 leases for 349,000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286,000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16%. The average contractual rent on this comparable space for the first year of the new lease is $23.05 per square foot compared to the average contractual rent of $19.85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27% for first quarter 2006. As of March 31, 2006, Federal Realty’s average contractual minimum rent for retail and commercial space in its portfolio is $18.97 per square foot.</w:t>
      </w:r>
    </w:p>
    <w:p>
      <w:pPr>
        <w:spacing w:after="0" w:line="118"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“Our first quarter results reflect the continued stabilization of redevelopment projects and the associated increase in occupancy at these properties,” commented Donald C. Wood, president and chief executive officer of Federal Realty Investment Trust. “We continue to focus on our core competencies – leasing, redevelopment, acquisitions and operations – capitalizing on the strength of our portfolio and our team.”</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Residential condominium sales at Santana Row, Federal Realty’s mixed-use community in San Jose, Calif., remain strong. Through May 1, 2006, the Trust had closed sales on 189 units and had 19 units under contract, with associated gross sales proceeds of $131.3 million and $12.5 million, respectively. Federal Realty continues to expect gross sales proceeds from the sale of the 219 residential units at Santana Row to be approximately $150 million with sellout anticipated to be completed in 2006.</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107"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Federal Realty left its guidance for 2006 FFO per diluted share unchanged at a range of $3.30 to $3.35, and its 2006 earnings per diluted common share guidance increased to a range of $1.68 to $1.74.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107" w:lineRule="exact"/>
        <w:rPr>
          <w:sz w:val="20"/>
          <w:szCs w:val="20"/>
          <w:color w:val="auto"/>
        </w:rPr>
      </w:pPr>
    </w:p>
    <w:p>
      <w:pPr>
        <w:ind w:left="340" w:right="140" w:hanging="332"/>
        <w:spacing w:after="0" w:line="29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April 8, 2006 – A ribbon cutting ceremony was held to mark the opening of The Sports Authority sporting goods store at Assembly Square Mall. The grand opening event brings the renovated power center to full occupancy.</w:t>
      </w:r>
    </w:p>
    <w:p>
      <w:pPr>
        <w:spacing w:after="0" w:line="109" w:lineRule="exact"/>
        <w:rPr>
          <w:rFonts w:ascii="Arial" w:cs="Arial" w:eastAsia="Arial" w:hAnsi="Arial"/>
          <w:sz w:val="17"/>
          <w:szCs w:val="17"/>
          <w:color w:val="auto"/>
        </w:rPr>
      </w:pPr>
    </w:p>
    <w:p>
      <w:pPr>
        <w:ind w:left="5340"/>
        <w:spacing w:after="0"/>
        <w:rPr>
          <w:rFonts w:ascii="Arial" w:cs="Arial" w:eastAsia="Arial" w:hAnsi="Arial"/>
          <w:sz w:val="17"/>
          <w:szCs w:val="17"/>
          <w:color w:val="auto"/>
        </w:rPr>
      </w:pPr>
      <w:r>
        <w:rPr>
          <w:rFonts w:ascii="Arial" w:cs="Arial" w:eastAsia="Arial" w:hAnsi="Arial"/>
          <w:sz w:val="17"/>
          <w:szCs w:val="17"/>
          <w:color w:val="auto"/>
        </w:rPr>
        <w:t>– MORE –</w:t>
      </w:r>
    </w:p>
    <w:p>
      <w:pPr>
        <w:sectPr>
          <w:pgSz w:w="11900" w:h="16838" w:orient="portrait"/>
          <w:cols w:equalWidth="0" w:num="1">
            <w:col w:w="11380"/>
          </w:cols>
          <w:pgMar w:left="240" w:top="279"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 ANNOUNCES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2006 OPERATING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3, 2006</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215" w:lineRule="exact"/>
        <w:rPr>
          <w:sz w:val="20"/>
          <w:szCs w:val="20"/>
          <w:color w:val="auto"/>
        </w:rPr>
      </w:pPr>
    </w:p>
    <w:p>
      <w:pPr>
        <w:ind w:left="340" w:right="380" w:hanging="332"/>
        <w:spacing w:after="0" w:line="29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March 20, 2006 – Federal Realty celebrated the completion of Phase I of the redevelopment of Leesburg Plaza in Leesburg, Va. The center section of the plaza, formerly a vacant Kmart space, is now anchored by Party City, PetSmart, and Champion Billiards Sports Cafe.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10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first quarter 2006 earnings conference call, which is scheduled for May 4, 2006, at 11 a.m. Eastern Daylight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through June 5, 2006, by dialing (866) 448-4809.</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17.6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 properties) was 96.2% leased to national, regional, and local retailers as of March 31, 2006, with no single tenant accounting for more than approximately 2.5% of annualized base rent. Federal Realty has paid quarterly dividends to its shareholders continuously since its founding in 1962, and has increased its dividend rate for 38 consecutive years, the longest consecutive record in the REIT industry. Shares of Federal Realty are traded on the NYSE under the symbol FRT.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most recent annual report on Form 10-K (as amended), and include the following:</w:t>
      </w:r>
    </w:p>
    <w:p>
      <w:pPr>
        <w:spacing w:after="0" w:line="46" w:lineRule="exact"/>
        <w:rPr>
          <w:sz w:val="20"/>
          <w:szCs w:val="20"/>
          <w:color w:val="auto"/>
        </w:rPr>
      </w:pPr>
    </w:p>
    <w:p>
      <w:pPr>
        <w:ind w:left="780" w:hanging="328"/>
        <w:spacing w:after="0"/>
        <w:tabs>
          <w:tab w:leader="none" w:pos="7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100" w:lineRule="exact"/>
        <w:rPr>
          <w:rFonts w:ascii="Arial" w:cs="Arial" w:eastAsia="Arial" w:hAnsi="Arial"/>
          <w:sz w:val="17"/>
          <w:szCs w:val="17"/>
          <w:i w:val="1"/>
          <w:iCs w:val="1"/>
          <w:color w:val="auto"/>
        </w:rPr>
      </w:pPr>
    </w:p>
    <w:p>
      <w:pPr>
        <w:ind w:left="780" w:right="520" w:hanging="328"/>
        <w:spacing w:after="0" w:line="330" w:lineRule="auto"/>
        <w:tabs>
          <w:tab w:leader="none" w:pos="7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5" w:lineRule="exact"/>
        <w:rPr>
          <w:rFonts w:ascii="Arial" w:cs="Arial" w:eastAsia="Arial" w:hAnsi="Arial"/>
          <w:sz w:val="16"/>
          <w:szCs w:val="16"/>
          <w:i w:val="1"/>
          <w:iCs w:val="1"/>
          <w:color w:val="auto"/>
        </w:rPr>
      </w:pPr>
    </w:p>
    <w:p>
      <w:pPr>
        <w:ind w:left="780" w:hanging="328"/>
        <w:spacing w:after="0"/>
        <w:tabs>
          <w:tab w:leader="none" w:pos="7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sell the condominium units at Santana Row for the expected prices or within the anticipated time frames;</w:t>
      </w:r>
    </w:p>
    <w:p>
      <w:pPr>
        <w:spacing w:after="0" w:line="100" w:lineRule="exact"/>
        <w:rPr>
          <w:rFonts w:ascii="Arial" w:cs="Arial" w:eastAsia="Arial" w:hAnsi="Arial"/>
          <w:sz w:val="17"/>
          <w:szCs w:val="17"/>
          <w:i w:val="1"/>
          <w:iCs w:val="1"/>
          <w:color w:val="auto"/>
        </w:rPr>
      </w:pPr>
    </w:p>
    <w:p>
      <w:pPr>
        <w:ind w:left="780" w:right="160" w:hanging="328"/>
        <w:spacing w:after="0" w:line="296" w:lineRule="auto"/>
        <w:tabs>
          <w:tab w:leader="none" w:pos="7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109" w:lineRule="exact"/>
        <w:rPr>
          <w:rFonts w:ascii="Arial" w:cs="Arial" w:eastAsia="Arial" w:hAnsi="Arial"/>
          <w:sz w:val="17"/>
          <w:szCs w:val="17"/>
          <w:i w:val="1"/>
          <w:iCs w:val="1"/>
          <w:color w:val="auto"/>
        </w:rPr>
      </w:pPr>
    </w:p>
    <w:p>
      <w:pPr>
        <w:ind w:left="5340"/>
        <w:spacing w:after="0"/>
        <w:rPr>
          <w:rFonts w:ascii="Arial" w:cs="Arial" w:eastAsia="Arial" w:hAnsi="Arial"/>
          <w:sz w:val="17"/>
          <w:szCs w:val="17"/>
          <w:i w:val="1"/>
          <w:iCs w:val="1"/>
          <w:color w:val="auto"/>
        </w:rPr>
      </w:pPr>
      <w:r>
        <w:rPr>
          <w:rFonts w:ascii="Arial" w:cs="Arial" w:eastAsia="Arial" w:hAnsi="Arial"/>
          <w:sz w:val="17"/>
          <w:szCs w:val="17"/>
          <w:color w:val="auto"/>
        </w:rPr>
        <w:t>– MORE –</w:t>
      </w:r>
    </w:p>
    <w:p>
      <w:pPr>
        <w:sectPr>
          <w:pgSz w:w="11900" w:h="16838" w:orient="portrait"/>
          <w:cols w:equalWidth="0" w:num="1">
            <w:col w:w="11420"/>
          </w:cols>
          <w:pgMar w:left="240" w:top="279"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 ANNOUNCES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FIRST QUARTER 2006 OPERATING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3, 2006</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215" w:lineRule="exact"/>
        <w:rPr>
          <w:sz w:val="20"/>
          <w:szCs w:val="20"/>
          <w:color w:val="auto"/>
        </w:rPr>
      </w:pPr>
    </w:p>
    <w:p>
      <w:pPr>
        <w:ind w:left="780" w:right="20" w:hanging="328"/>
        <w:spacing w:after="0" w:line="275" w:lineRule="auto"/>
        <w:tabs>
          <w:tab w:leader="none" w:pos="7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46" w:lineRule="exact"/>
        <w:rPr>
          <w:rFonts w:ascii="Arial" w:cs="Arial" w:eastAsia="Arial" w:hAnsi="Arial"/>
          <w:sz w:val="17"/>
          <w:szCs w:val="17"/>
          <w:i w:val="1"/>
          <w:iCs w:val="1"/>
          <w:color w:val="auto"/>
        </w:rPr>
      </w:pPr>
    </w:p>
    <w:p>
      <w:pPr>
        <w:ind w:left="780" w:hanging="328"/>
        <w:spacing w:after="0"/>
        <w:tabs>
          <w:tab w:leader="none" w:pos="7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100" w:lineRule="exact"/>
        <w:rPr>
          <w:rFonts w:ascii="Arial" w:cs="Arial" w:eastAsia="Arial" w:hAnsi="Arial"/>
          <w:sz w:val="17"/>
          <w:szCs w:val="17"/>
          <w:i w:val="1"/>
          <w:iCs w:val="1"/>
          <w:color w:val="auto"/>
        </w:rPr>
      </w:pPr>
    </w:p>
    <w:p>
      <w:pPr>
        <w:ind w:left="780" w:hanging="328"/>
        <w:spacing w:after="0" w:line="280" w:lineRule="auto"/>
        <w:tabs>
          <w:tab w:leader="none" w:pos="7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2" w:lineRule="exact"/>
        <w:rPr>
          <w:rFonts w:ascii="Arial" w:cs="Arial" w:eastAsia="Arial" w:hAnsi="Arial"/>
          <w:sz w:val="17"/>
          <w:szCs w:val="17"/>
          <w:i w:val="1"/>
          <w:iCs w:val="1"/>
          <w:color w:val="auto"/>
        </w:rPr>
      </w:pPr>
    </w:p>
    <w:p>
      <w:pPr>
        <w:ind w:left="780" w:right="220" w:hanging="328"/>
        <w:spacing w:after="0" w:line="280" w:lineRule="auto"/>
        <w:tabs>
          <w:tab w:leader="none" w:pos="7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most current annual report on Form 10-K (as amended) and our quarterly reports on Form 10-Q.</w:t>
      </w:r>
    </w:p>
    <w:p>
      <w:pPr>
        <w:sectPr>
          <w:pgSz w:w="11900" w:h="16838" w:orient="portrait"/>
          <w:cols w:equalWidth="0" w:num="1">
            <w:col w:w="11400"/>
          </w:cols>
          <w:pgMar w:left="240" w:top="279"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00" w:type="dxa"/>
            <w:vAlign w:val="bottom"/>
            <w:gridSpan w:val="5"/>
            <w:shd w:val="clear" w:color="auto" w:fill="CCEEFF"/>
          </w:tcPr>
          <w:p>
            <w:pPr>
              <w:spacing w:after="0" w:line="168" w:lineRule="exact"/>
              <w:rPr>
                <w:sz w:val="20"/>
                <w:szCs w:val="20"/>
                <w:color w:val="auto"/>
              </w:rPr>
            </w:pPr>
            <w:r>
              <w:rPr>
                <w:rFonts w:ascii="Arial" w:cs="Arial" w:eastAsia="Arial" w:hAnsi="Arial"/>
                <w:sz w:val="17"/>
                <w:szCs w:val="17"/>
                <w:color w:val="auto"/>
              </w:rPr>
              <w:t>CONSOLIDATED OPERATING RESULTS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w:t>
            </w:r>
          </w:p>
        </w:tc>
        <w:tc>
          <w:tcPr>
            <w:tcW w:w="658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105,488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Mortgage 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108,905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101,518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22,190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Real estate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10,611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24,036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61,338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9720" w:type="dxa"/>
            <w:vAlign w:val="bottom"/>
            <w:gridSpan w:val="6"/>
          </w:tcPr>
          <w:p>
            <w:pPr>
              <w:spacing w:after="0"/>
              <w:rPr>
                <w:sz w:val="20"/>
                <w:szCs w:val="20"/>
                <w:color w:val="auto"/>
              </w:rPr>
            </w:pPr>
            <w:r>
              <w:rPr>
                <w:rFonts w:ascii="Arial" w:cs="Arial" w:eastAsia="Arial" w:hAnsi="Arial"/>
                <w:sz w:val="17"/>
                <w:szCs w:val="17"/>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7"/>
              </w:rPr>
              <w:t>(24,280)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(22,063)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(1,516)</w:t>
            </w:r>
          </w:p>
        </w:tc>
        <w:tc>
          <w:tcPr>
            <w:tcW w:w="0" w:type="dxa"/>
            <w:vAlign w:val="bottom"/>
          </w:tcPr>
          <w:p>
            <w:pPr>
              <w:spacing w:after="0"/>
              <w:rPr>
                <w:sz w:val="1"/>
                <w:szCs w:val="1"/>
                <w:color w:val="auto"/>
              </w:rPr>
            </w:pPr>
          </w:p>
        </w:tc>
      </w:tr>
      <w:tr>
        <w:trPr>
          <w:trHeight w:val="220"/>
        </w:trPr>
        <w:tc>
          <w:tcPr>
            <w:tcW w:w="9720" w:type="dxa"/>
            <w:vAlign w:val="bottom"/>
            <w:gridSpan w:val="6"/>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22,625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ind w:left="420"/>
              <w:spacing w:after="0"/>
              <w:rPr>
                <w:sz w:val="20"/>
                <w:szCs w:val="20"/>
                <w:color w:val="auto"/>
              </w:rPr>
            </w:pPr>
            <w:r>
              <w:rPr>
                <w:rFonts w:ascii="Arial" w:cs="Arial" w:eastAsia="Arial" w:hAnsi="Arial"/>
                <w:sz w:val="17"/>
                <w:szCs w:val="17"/>
                <w:color w:val="auto"/>
              </w:rPr>
              <w:t>(Loss) income from discontinued operations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720" w:type="dxa"/>
            <w:vAlign w:val="bottom"/>
            <w:gridSpan w:val="6"/>
          </w:tcPr>
          <w:p>
            <w:pPr>
              <w:spacing w:after="0"/>
              <w:rPr>
                <w:sz w:val="20"/>
                <w:szCs w:val="20"/>
                <w:color w:val="auto"/>
              </w:rPr>
            </w:pPr>
            <w:r>
              <w:rPr>
                <w:rFonts w:ascii="Arial" w:cs="Arial" w:eastAsia="Arial" w:hAnsi="Arial"/>
                <w:sz w:val="17"/>
                <w:szCs w:val="17"/>
                <w:color w:val="auto"/>
              </w:rPr>
              <w:t>Results from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720" w:type="dxa"/>
            <w:vAlign w:val="bottom"/>
            <w:gridSpan w:val="6"/>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28,162</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20" w:type="dxa"/>
            <w:vAlign w:val="bottom"/>
            <w:gridSpan w:val="6"/>
            <w:vMerge w:val="restart"/>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7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(8,737)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Amortization of initial direct costs of leases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Depreciation of real estate partnership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720" w:type="dxa"/>
            <w:vAlign w:val="bottom"/>
            <w:gridSpan w:val="6"/>
          </w:tcPr>
          <w:p>
            <w:pPr>
              <w:spacing w:after="0"/>
              <w:rPr>
                <w:sz w:val="20"/>
                <w:szCs w:val="20"/>
                <w:color w:val="auto"/>
              </w:rPr>
            </w:pPr>
            <w:r>
              <w:rPr>
                <w:rFonts w:ascii="Arial" w:cs="Arial" w:eastAsia="Arial" w:hAnsi="Arial"/>
                <w:sz w:val="17"/>
                <w:szCs w:val="17"/>
                <w:color w:val="auto"/>
              </w:rPr>
              <w:t>Funds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46,072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Income attributable to operating partnership units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43,436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20" w:type="dxa"/>
            <w:vAlign w:val="bottom"/>
            <w:gridSpan w:val="6"/>
            <w:vMerge w:val="restart"/>
          </w:tcPr>
          <w:p>
            <w:pPr>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gridSpan w:val="6"/>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53,662</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720" w:type="dxa"/>
            <w:vAlign w:val="bottom"/>
            <w:gridSpan w:val="6"/>
          </w:tcPr>
          <w:p>
            <w:pPr>
              <w:spacing w:after="0" w:line="182" w:lineRule="exact"/>
              <w:rPr>
                <w:sz w:val="20"/>
                <w:szCs w:val="20"/>
                <w:color w:val="auto"/>
              </w:rPr>
            </w:pPr>
            <w:r>
              <w:rPr>
                <w:rFonts w:ascii="Arial" w:cs="Arial" w:eastAsia="Arial" w:hAnsi="Arial"/>
                <w:sz w:val="17"/>
                <w:szCs w:val="17"/>
                <w:color w:val="auto"/>
              </w:rPr>
              <w:t>EARNINGS PER COMMON SHARE, BASIC</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20" w:type="dxa"/>
            <w:vAlign w:val="bottom"/>
            <w:gridSpan w:val="6"/>
            <w:vMerge w:val="restart"/>
          </w:tcPr>
          <w:p>
            <w:pPr>
              <w:spacing w:after="0"/>
              <w:rPr>
                <w:sz w:val="20"/>
                <w:szCs w:val="20"/>
                <w:color w:val="auto"/>
              </w:rPr>
            </w:pPr>
            <w:r>
              <w:rPr>
                <w:rFonts w:ascii="Arial" w:cs="Arial" w:eastAsia="Arial" w:hAnsi="Arial"/>
                <w:sz w:val="17"/>
                <w:szCs w:val="17"/>
                <w:color w:val="auto"/>
              </w:rPr>
              <w:t>Weighted average number of common shares, basic</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gridSpan w:val="6"/>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52,731</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7"/>
                <w:szCs w:val="17"/>
                <w:color w:val="auto"/>
                <w:w w:val="98"/>
              </w:rPr>
              <w:t>EARNINGS PER COMMON SHARE, DILUTED</w:t>
            </w:r>
          </w:p>
        </w:tc>
        <w:tc>
          <w:tcPr>
            <w:tcW w:w="61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tcPr>
          <w:p>
            <w:pPr>
              <w:spacing w:after="0"/>
              <w:rPr>
                <w:sz w:val="20"/>
                <w:szCs w:val="20"/>
                <w:color w:val="auto"/>
              </w:rPr>
            </w:pPr>
            <w:r>
              <w:rPr>
                <w:rFonts w:ascii="Arial" w:cs="Arial" w:eastAsia="Arial" w:hAnsi="Arial"/>
                <w:sz w:val="17"/>
                <w:szCs w:val="17"/>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0.37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0.53</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53,254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March 31,</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2006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7"/>
                <w:szCs w:val="17"/>
                <w:color w:val="auto"/>
                <w:w w:val="98"/>
              </w:rPr>
              <w:t>CONSOLIDATED BALANCE SHEETS</w:t>
            </w:r>
          </w:p>
        </w:tc>
        <w:tc>
          <w:tcPr>
            <w:tcW w:w="6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7"/>
                <w:szCs w:val="17"/>
                <w:color w:val="auto"/>
              </w:rPr>
              <w:t>Operating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2,774,603</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2,743,658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Construction-in-progress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7"/>
                <w:szCs w:val="17"/>
                <w:color w:val="auto"/>
              </w:rPr>
              <w:t>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2,845,436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2,829,321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(682,049)</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(663,750)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real estate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2,163,387</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2,165,571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948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4,792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and notes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7"/>
                <w:szCs w:val="17"/>
                <w:color w:val="auto"/>
              </w:rPr>
              <w:t>Mortgage notes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40,368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40,531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90,533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2,347,869</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2,350,852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7"/>
                <w:szCs w:val="17"/>
                <w:color w:val="auto"/>
              </w:rPr>
              <w:t>Obligations under capital leases and mortgage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418,467</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419,713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Notes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360,210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7"/>
                <w:szCs w:val="17"/>
                <w:color w:val="auto"/>
              </w:rPr>
              <w:t>Senior notes and debentures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613,316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653,675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166,683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48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1,558,676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1,556,812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3"/>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Preferred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7"/>
                <w:szCs w:val="17"/>
                <w:color w:val="auto"/>
              </w:rPr>
              <w:t>Common shares and other shareholders’ equity</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634,713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769,713</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3"/>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2,347,869</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2,350,852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3"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b w:val="1"/>
                <w:bCs w:val="1"/>
                <w:color w:val="auto"/>
                <w:w w:val="99"/>
              </w:rPr>
              <w:t>March 31,</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2006</w:t>
            </w: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 thousands, except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4"/>
              </w:rPr>
              <w:t>per share data)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7"/>
                <w:szCs w:val="17"/>
                <w:b w:val="1"/>
                <w:bCs w:val="1"/>
                <w:color w:val="auto"/>
                <w:w w:val="93"/>
              </w:rPr>
              <w:t>Funds from Operations available for common shareholders (FFO) (1)</w:t>
            </w:r>
          </w:p>
        </w:tc>
        <w:tc>
          <w:tcPr>
            <w:tcW w:w="24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7680" w:type="dxa"/>
            <w:vAlign w:val="bottom"/>
            <w:gridSpan w:val="5"/>
          </w:tcPr>
          <w:p>
            <w:pPr>
              <w:spacing w:after="0"/>
              <w:rPr>
                <w:sz w:val="20"/>
                <w:szCs w:val="20"/>
                <w:color w:val="auto"/>
              </w:rPr>
            </w:pPr>
            <w:r>
              <w:rPr>
                <w:rFonts w:ascii="Arial" w:cs="Arial" w:eastAsia="Arial" w:hAnsi="Arial"/>
                <w:sz w:val="17"/>
                <w:szCs w:val="17"/>
                <w:color w:val="auto"/>
              </w:rPr>
              <w:t>Net income</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w w:val="88"/>
              </w:rPr>
              <w:t>31,031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23,997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6"/>
              </w:rPr>
              <w:t>(8,737)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w w:val="88"/>
              </w:rPr>
              <w:t>21,874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20,519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1,739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Depreciation of real estate partnership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46,072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42,016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Dividends on preferred stock</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w w:val="96"/>
              </w:rPr>
              <w:t>(2,869)</w:t>
            </w: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5"/>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43,436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39,305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53,662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53,179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Funds from operations available for common shareholders per diluted share</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80" w:type="dxa"/>
            <w:vAlign w:val="bottom"/>
            <w:gridSpan w:val="5"/>
            <w:vMerge w:val="continue"/>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0.81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93"/>
              </w:rPr>
              <w:t>Summary of Capital Expenditures</w:t>
            </w:r>
          </w:p>
        </w:tc>
        <w:tc>
          <w:tcPr>
            <w:tcW w:w="5100" w:type="dxa"/>
            <w:vAlign w:val="bottom"/>
            <w:tcBorders>
              <w:bottom w:val="single" w:sz="8" w:color="CCEEFF"/>
            </w:tcBorders>
            <w:gridSpan w:val="2"/>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7680" w:type="dxa"/>
            <w:vAlign w:val="bottom"/>
            <w:gridSpan w:val="5"/>
          </w:tcPr>
          <w:p>
            <w:pPr>
              <w:spacing w:after="0"/>
              <w:rPr>
                <w:sz w:val="20"/>
                <w:szCs w:val="20"/>
                <w:color w:val="auto"/>
              </w:rPr>
            </w:pPr>
            <w:r>
              <w:rPr>
                <w:rFonts w:ascii="Arial" w:cs="Arial" w:eastAsia="Arial" w:hAnsi="Arial"/>
                <w:sz w:val="17"/>
                <w:szCs w:val="17"/>
                <w:color w:val="auto"/>
              </w:rPr>
              <w:t>Non-maintenance capital expenditures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13,444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ind w:left="420"/>
              <w:spacing w:after="0"/>
              <w:rPr>
                <w:sz w:val="20"/>
                <w:szCs w:val="20"/>
                <w:color w:val="auto"/>
              </w:rPr>
            </w:pPr>
            <w:r>
              <w:rPr>
                <w:rFonts w:ascii="Arial" w:cs="Arial" w:eastAsia="Arial" w:hAnsi="Arial"/>
                <w:sz w:val="17"/>
                <w:szCs w:val="17"/>
                <w:color w:val="auto"/>
              </w:rPr>
              <w:t>Tenant improvements and incentives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9,547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22,991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20,701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Maintenance capital expenditures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215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u w:val="single" w:color="auto"/>
                <w:color w:val="auto"/>
                <w:w w:val="84"/>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w w:val="88"/>
              </w:rPr>
              <w:t>23,206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21,408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Dividends and Payout Ratios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gridSpan w:val="5"/>
            <w:vMerge w:val="continue"/>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Regular common dividends declared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29,431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tcPr>
          <w:p>
            <w:pPr>
              <w:ind w:left="420"/>
              <w:spacing w:after="0"/>
              <w:rPr>
                <w:sz w:val="20"/>
                <w:szCs w:val="20"/>
                <w:color w:val="auto"/>
              </w:rPr>
            </w:pPr>
            <w:r>
              <w:rPr>
                <w:rFonts w:ascii="Arial" w:cs="Arial" w:eastAsia="Arial" w:hAnsi="Arial"/>
                <w:sz w:val="17"/>
                <w:szCs w:val="17"/>
                <w:color w:val="auto"/>
              </w:rPr>
              <w:t>Special common dividends declared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w w:val="88"/>
              </w:rPr>
              <w:t>10,606</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Common dividends declared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40,037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26,506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gridSpan w:val="4"/>
            <w:vMerge w:val="restart"/>
          </w:tcPr>
          <w:p>
            <w:pPr>
              <w:ind w:left="420"/>
              <w:spacing w:after="0"/>
              <w:rPr>
                <w:sz w:val="20"/>
                <w:szCs w:val="20"/>
                <w:color w:val="auto"/>
              </w:rPr>
            </w:pPr>
            <w:r>
              <w:rPr>
                <w:rFonts w:ascii="Arial" w:cs="Arial" w:eastAsia="Arial" w:hAnsi="Arial"/>
                <w:sz w:val="17"/>
                <w:szCs w:val="17"/>
                <w:color w:val="auto"/>
              </w:rPr>
              <w:t>Dividend payout ratio % - FFO (excluding special dividends) (2)</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660" w:type="dxa"/>
            <w:vAlign w:val="bottom"/>
            <w:gridSpan w:val="4"/>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598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Glossary of Terms. FFO available for common shareholders excludes the gain on sale of condominiums at Santana Row.</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sale of condominiums at Santana Row has resulted in special dividends in the fourth quarter of 2005 and the first quarter of 2006.</w:t>
      </w:r>
    </w:p>
    <w:p>
      <w:pPr>
        <w:sectPr>
          <w:pgSz w:w="11900" w:h="16838" w:orient="portrait"/>
          <w:cols w:equalWidth="0" w:num="1">
            <w:col w:w="11420"/>
          </w:cols>
          <w:pgMar w:left="240" w:top="273"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9"/>
              <w:spacing w:after="0"/>
              <w:rPr>
                <w:sz w:val="20"/>
                <w:szCs w:val="20"/>
                <w:color w:val="auto"/>
              </w:rPr>
            </w:pPr>
            <w:r>
              <w:rPr>
                <w:rFonts w:ascii="Arial" w:cs="Arial" w:eastAsia="Arial" w:hAnsi="Arial"/>
                <w:sz w:val="13"/>
                <w:szCs w:val="13"/>
                <w:b w:val="1"/>
                <w:bCs w:val="1"/>
                <w:color w:val="auto"/>
                <w:w w:val="96"/>
              </w:rPr>
              <w:t>March 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61"/>
        </w:trPr>
        <w:tc>
          <w:tcPr>
            <w:tcW w:w="9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2006</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2005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5"/>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 thousands, except</w:t>
            </w:r>
          </w:p>
        </w:tc>
        <w:tc>
          <w:tcPr>
            <w:tcW w:w="0" w:type="dxa"/>
            <w:vAlign w:val="bottom"/>
          </w:tcPr>
          <w:p>
            <w:pPr>
              <w:spacing w:after="0"/>
              <w:rPr>
                <w:sz w:val="1"/>
                <w:szCs w:val="1"/>
                <w:color w:val="auto"/>
              </w:rPr>
            </w:pPr>
          </w:p>
        </w:tc>
      </w:tr>
      <w:tr>
        <w:trPr>
          <w:trHeight w:val="174"/>
        </w:trPr>
        <w:tc>
          <w:tcPr>
            <w:tcW w:w="9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4"/>
              </w:rPr>
              <w:t>per share data)</w:t>
            </w: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Market data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20" w:type="dxa"/>
            <w:vAlign w:val="bottom"/>
          </w:tcPr>
          <w:p>
            <w:pPr>
              <w:ind w:left="440"/>
              <w:spacing w:after="0"/>
              <w:rPr>
                <w:sz w:val="20"/>
                <w:szCs w:val="20"/>
                <w:color w:val="auto"/>
              </w:rPr>
            </w:pPr>
            <w:r>
              <w:rPr>
                <w:rFonts w:ascii="Arial" w:cs="Arial" w:eastAsia="Arial" w:hAnsi="Arial"/>
                <w:sz w:val="17"/>
                <w:szCs w:val="17"/>
                <w:color w:val="auto"/>
              </w:rPr>
              <w:t>Common shares outstanding (1)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53,035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52,493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Market price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860"/>
              <w:spacing w:after="0"/>
              <w:rPr>
                <w:sz w:val="20"/>
                <w:szCs w:val="20"/>
                <w:color w:val="auto"/>
              </w:rPr>
            </w:pPr>
            <w:r>
              <w:rPr>
                <w:rFonts w:ascii="Arial" w:cs="Arial" w:eastAsia="Arial" w:hAnsi="Arial"/>
                <w:sz w:val="17"/>
                <w:szCs w:val="17"/>
                <w:color w:val="auto"/>
              </w:rPr>
              <w:t>Common equity market capitalization</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3,988,232</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2,538,037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Series B preferred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20" w:type="dxa"/>
            <w:vAlign w:val="bottom"/>
          </w:tcPr>
          <w:p>
            <w:pPr>
              <w:ind w:left="440"/>
              <w:spacing w:after="0"/>
              <w:rPr>
                <w:sz w:val="20"/>
                <w:szCs w:val="20"/>
                <w:color w:val="auto"/>
              </w:rPr>
            </w:pPr>
            <w:r>
              <w:rPr>
                <w:rFonts w:ascii="Arial" w:cs="Arial" w:eastAsia="Arial" w:hAnsi="Arial"/>
                <w:sz w:val="17"/>
                <w:szCs w:val="17"/>
                <w:color w:val="auto"/>
              </w:rPr>
              <w:t>Market price per Series B preferred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25.79</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2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Preferred equity market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440"/>
              <w:spacing w:after="0"/>
              <w:rPr>
                <w:sz w:val="20"/>
                <w:szCs w:val="20"/>
                <w:color w:val="auto"/>
              </w:rPr>
            </w:pPr>
            <w:r>
              <w:rPr>
                <w:rFonts w:ascii="Arial" w:cs="Arial" w:eastAsia="Arial" w:hAnsi="Arial"/>
                <w:sz w:val="17"/>
                <w:szCs w:val="17"/>
                <w:color w:val="auto"/>
              </w:rPr>
              <w:t>Equity market capitalization</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4,127,498</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2,681,137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9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9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debt (2)</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1,391,993</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1,359,485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20" w:type="dxa"/>
            <w:vAlign w:val="bottom"/>
          </w:tcPr>
          <w:p>
            <w:pPr>
              <w:ind w:left="440"/>
              <w:spacing w:after="0"/>
              <w:rPr>
                <w:sz w:val="20"/>
                <w:szCs w:val="20"/>
                <w:color w:val="auto"/>
              </w:rPr>
            </w:pPr>
            <w:r>
              <w:rPr>
                <w:rFonts w:ascii="Arial" w:cs="Arial" w:eastAsia="Arial" w:hAnsi="Arial"/>
                <w:sz w:val="17"/>
                <w:szCs w:val="17"/>
                <w:color w:val="auto"/>
              </w:rPr>
              <w:t>Total market capitalization</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5,519,491</w:t>
            </w: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4,040,622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321"/>
        </w:trPr>
        <w:tc>
          <w:tcPr>
            <w:tcW w:w="9220" w:type="dxa"/>
            <w:vAlign w:val="bottom"/>
            <w:gridSpan w:val="2"/>
          </w:tcPr>
          <w:p>
            <w:pPr>
              <w:ind w:left="440"/>
              <w:spacing w:after="0"/>
              <w:rPr>
                <w:sz w:val="20"/>
                <w:szCs w:val="20"/>
                <w:color w:val="auto"/>
              </w:rPr>
            </w:pPr>
            <w:r>
              <w:rPr>
                <w:rFonts w:ascii="Arial" w:cs="Arial" w:eastAsia="Arial" w:hAnsi="Arial"/>
                <w:sz w:val="17"/>
                <w:szCs w:val="17"/>
                <w:color w:val="auto"/>
              </w:rPr>
              <w:t>Total debt to market capitalization at constant common share price of $48.35</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34%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34%</w:t>
            </w:r>
          </w:p>
        </w:tc>
      </w:tr>
      <w:tr>
        <w:trPr>
          <w:trHeight w:val="110"/>
        </w:trPr>
        <w:tc>
          <w:tcPr>
            <w:tcW w:w="940" w:type="dxa"/>
            <w:vAlign w:val="bottom"/>
          </w:tcPr>
          <w:p>
            <w:pPr>
              <w:spacing w:after="0"/>
              <w:rPr>
                <w:sz w:val="9"/>
                <w:szCs w:val="9"/>
                <w:color w:val="auto"/>
              </w:rPr>
            </w:pPr>
          </w:p>
        </w:tc>
        <w:tc>
          <w:tcPr>
            <w:tcW w:w="8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5"/>
        </w:trPr>
        <w:tc>
          <w:tcPr>
            <w:tcW w:w="9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Fixed rate debt ratio:</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9220" w:type="dxa"/>
            <w:vAlign w:val="bottom"/>
            <w:gridSpan w:val="2"/>
          </w:tcPr>
          <w:p>
            <w:pPr>
              <w:ind w:left="860"/>
              <w:spacing w:after="0"/>
              <w:rPr>
                <w:sz w:val="20"/>
                <w:szCs w:val="20"/>
                <w:color w:val="auto"/>
              </w:rPr>
            </w:pPr>
            <w:r>
              <w:rPr>
                <w:rFonts w:ascii="Arial" w:cs="Arial" w:eastAsia="Arial" w:hAnsi="Arial"/>
                <w:sz w:val="17"/>
                <w:szCs w:val="17"/>
                <w:color w:val="auto"/>
              </w:rPr>
              <w:t>Fixed rate debt and capital lease obligations</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83%</w:t>
            </w:r>
          </w:p>
        </w:tc>
      </w:tr>
      <w:tr>
        <w:trPr>
          <w:trHeight w:val="215"/>
        </w:trPr>
        <w:tc>
          <w:tcPr>
            <w:tcW w:w="92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Variable rate debt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9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1"/>
        </w:trPr>
        <w:tc>
          <w:tcPr>
            <w:tcW w:w="94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9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jc w:val="both"/>
        <w:ind w:left="460" w:right="200" w:hanging="452"/>
        <w:spacing w:after="0" w:line="26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54,515,403 shares issued net of 1,480,798 shares held in Treasury as of March 31, 2006. As of March 31, 2005, consists of 53,972,962 shares issued net of 1,480,202 shares held in Treasury. Amounts do not include 420,426 and 449,325 Operating Partnership Units outstanding at March 31, 2006 and March 31, 2005, respectively.</w:t>
      </w:r>
    </w:p>
    <w:p>
      <w:pPr>
        <w:ind w:left="460" w:right="120" w:hanging="452"/>
        <w:spacing w:after="0" w:line="28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ectPr>
          <w:pgSz w:w="11900" w:h="16838" w:orient="portrait"/>
          <w:cols w:equalWidth="0" w:num="1">
            <w:col w:w="11420"/>
          </w:cols>
          <w:pgMar w:left="240" w:top="273"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75"/>
              <w:spacing w:after="0"/>
              <w:rPr>
                <w:sz w:val="20"/>
                <w:szCs w:val="20"/>
                <w:color w:val="auto"/>
              </w:rPr>
            </w:pPr>
            <w:r>
              <w:rPr>
                <w:rFonts w:ascii="Arial" w:cs="Arial" w:eastAsia="Arial" w:hAnsi="Arial"/>
                <w:sz w:val="13"/>
                <w:szCs w:val="13"/>
                <w:b w:val="1"/>
                <w:bCs w:val="1"/>
                <w:color w:val="auto"/>
                <w:w w:val="95"/>
              </w:rPr>
              <w:t>Three months ended</w:t>
            </w:r>
          </w:p>
        </w:tc>
      </w:tr>
      <w:tr>
        <w:trPr>
          <w:trHeight w:val="161"/>
        </w:trPr>
        <w:tc>
          <w:tcPr>
            <w:tcW w:w="94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3"/>
                <w:szCs w:val="13"/>
                <w:b w:val="1"/>
                <w:bCs w:val="1"/>
                <w:color w:val="auto"/>
              </w:rPr>
              <w:t>March 31,</w:t>
            </w:r>
          </w:p>
        </w:tc>
      </w:tr>
      <w:tr>
        <w:trPr>
          <w:trHeight w:val="141"/>
        </w:trPr>
        <w:tc>
          <w:tcPr>
            <w:tcW w:w="94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3"/>
                <w:szCs w:val="13"/>
                <w:b w:val="1"/>
                <w:bCs w:val="1"/>
                <w:color w:val="auto"/>
              </w:rPr>
              <w:t>2006</w:t>
            </w:r>
          </w:p>
        </w:tc>
        <w:tc>
          <w:tcPr>
            <w:tcW w:w="22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2005</w:t>
            </w:r>
          </w:p>
        </w:tc>
      </w:tr>
      <w:tr>
        <w:trPr>
          <w:trHeight w:val="142"/>
        </w:trPr>
        <w:tc>
          <w:tcPr>
            <w:tcW w:w="94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01"/>
              <w:spacing w:after="0" w:line="142"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2"/>
          </w:tcPr>
          <w:p>
            <w:pPr>
              <w:jc w:val="right"/>
              <w:ind w:right="255"/>
              <w:spacing w:after="0"/>
              <w:rPr>
                <w:sz w:val="20"/>
                <w:szCs w:val="20"/>
                <w:color w:val="auto"/>
              </w:rPr>
            </w:pPr>
            <w:r>
              <w:rPr>
                <w:rFonts w:ascii="Arial" w:cs="Arial" w:eastAsia="Arial" w:hAnsi="Arial"/>
                <w:sz w:val="12"/>
                <w:szCs w:val="12"/>
                <w:b w:val="1"/>
                <w:bCs w:val="1"/>
                <w:color w:val="auto"/>
                <w:w w:val="71"/>
              </w:rPr>
              <w:t>thousands)</w:t>
            </w:r>
          </w:p>
        </w:tc>
      </w:tr>
      <w:tr>
        <w:trPr>
          <w:trHeight w:val="215"/>
        </w:trPr>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Rental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321"/>
        </w:trPr>
        <w:tc>
          <w:tcPr>
            <w:tcW w:w="9920" w:type="dxa"/>
            <w:vAlign w:val="bottom"/>
            <w:gridSpan w:val="2"/>
          </w:tcPr>
          <w:p>
            <w:pPr>
              <w:ind w:left="440"/>
              <w:spacing w:after="0"/>
              <w:rPr>
                <w:sz w:val="20"/>
                <w:szCs w:val="20"/>
                <w:color w:val="auto"/>
              </w:rPr>
            </w:pPr>
            <w:r>
              <w:rPr>
                <w:rFonts w:ascii="Arial" w:cs="Arial" w:eastAsia="Arial" w:hAnsi="Arial"/>
                <w:sz w:val="17"/>
                <w:szCs w:val="17"/>
                <w:color w:val="auto"/>
              </w:rPr>
              <w:t>Minimum rents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7"/>
        </w:trPr>
        <w:tc>
          <w:tcPr>
            <w:tcW w:w="99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Retail and commercial properties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79,348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$ 73,390</w:t>
            </w:r>
          </w:p>
        </w:tc>
      </w:tr>
      <w:tr>
        <w:trPr>
          <w:trHeight w:val="215"/>
        </w:trPr>
        <w:tc>
          <w:tcPr>
            <w:tcW w:w="9920" w:type="dxa"/>
            <w:vAlign w:val="bottom"/>
            <w:gridSpan w:val="2"/>
          </w:tcPr>
          <w:p>
            <w:pPr>
              <w:ind w:left="860"/>
              <w:spacing w:after="0"/>
              <w:rPr>
                <w:sz w:val="20"/>
                <w:szCs w:val="20"/>
                <w:color w:val="auto"/>
              </w:rPr>
            </w:pPr>
            <w:r>
              <w:rPr>
                <w:rFonts w:ascii="Arial" w:cs="Arial" w:eastAsia="Arial" w:hAnsi="Arial"/>
                <w:sz w:val="17"/>
                <w:szCs w:val="17"/>
                <w:color w:val="auto"/>
              </w:rPr>
              <w:t>Residential (2)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2,494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1,675</w:t>
            </w:r>
          </w:p>
        </w:tc>
      </w:tr>
      <w:tr>
        <w:trPr>
          <w:trHeight w:val="215"/>
        </w:trPr>
        <w:tc>
          <w:tcPr>
            <w:tcW w:w="9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Cost reimbursements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20,473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19,984</w:t>
            </w:r>
          </w:p>
        </w:tc>
      </w:tr>
      <w:tr>
        <w:trPr>
          <w:trHeight w:val="215"/>
        </w:trPr>
        <w:tc>
          <w:tcPr>
            <w:tcW w:w="9920" w:type="dxa"/>
            <w:vAlign w:val="bottom"/>
            <w:gridSpan w:val="2"/>
          </w:tcPr>
          <w:p>
            <w:pPr>
              <w:ind w:left="440"/>
              <w:spacing w:after="0"/>
              <w:rPr>
                <w:sz w:val="20"/>
                <w:szCs w:val="20"/>
                <w:color w:val="auto"/>
              </w:rPr>
            </w:pPr>
            <w:r>
              <w:rPr>
                <w:rFonts w:ascii="Arial" w:cs="Arial" w:eastAsia="Arial" w:hAnsi="Arial"/>
                <w:sz w:val="17"/>
                <w:szCs w:val="17"/>
                <w:color w:val="auto"/>
              </w:rPr>
              <w:t>Percentage rents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1,934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1,796</w:t>
            </w:r>
          </w:p>
        </w:tc>
      </w:tr>
      <w:tr>
        <w:trPr>
          <w:trHeight w:val="215"/>
        </w:trPr>
        <w:tc>
          <w:tcPr>
            <w:tcW w:w="99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rental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w:t>
            </w:r>
          </w:p>
        </w:tc>
      </w:tr>
      <w:tr>
        <w:trPr>
          <w:trHeight w:val="221"/>
        </w:trPr>
        <w:tc>
          <w:tcPr>
            <w:tcW w:w="9920" w:type="dxa"/>
            <w:vAlign w:val="bottom"/>
            <w:gridSpan w:val="2"/>
          </w:tcPr>
          <w:p>
            <w:pPr>
              <w:ind w:left="440"/>
              <w:spacing w:after="0"/>
              <w:rPr>
                <w:sz w:val="20"/>
                <w:szCs w:val="20"/>
                <w:color w:val="auto"/>
              </w:rPr>
            </w:pPr>
            <w:r>
              <w:rPr>
                <w:rFonts w:ascii="Arial" w:cs="Arial" w:eastAsia="Arial" w:hAnsi="Arial"/>
                <w:sz w:val="17"/>
                <w:szCs w:val="17"/>
                <w:color w:val="auto"/>
              </w:rPr>
              <w:t>Total rental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105,488</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$ 98,307</w:t>
            </w:r>
          </w:p>
        </w:tc>
      </w:tr>
      <w:tr>
        <w:trPr>
          <w:trHeight w:val="20"/>
        </w:trPr>
        <w:tc>
          <w:tcPr>
            <w:tcW w:w="9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140" w:hanging="452"/>
        <w:spacing w:after="0" w:line="264"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Minimum rents include $1.4 million and $1.6 million for the three months ended March 31, 2006 and 2005, respectively, to recognize minimum rents on a straight line basis as required by GAAP. Minimum rents include $0.5 million and $0.4 million for the three months ended March 31, 2006 and 2005, to recognize income attributable to market lease adjustments on acquired properties in accordance with SFAS 141.</w:t>
      </w:r>
    </w:p>
    <w:p>
      <w:pPr>
        <w:ind w:left="460" w:right="20" w:hanging="452"/>
        <w:spacing w:after="0" w:line="27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Residential minimum rents consist of rents at Rollingwood Apartments, the Crest at Congressional Apartments and the residential units at Santana Row. In the third quarter of 2005, we commenced closing sales of the 219 units located in Buildings Three, Four, and Six which have been classified as discontinued operations. Accordingly, the rental income for all 219 units in Buildings Three, Four, and Six have been excluded for all periods presented to assure comparability of these periods.</w:t>
      </w:r>
    </w:p>
    <w:p>
      <w:pPr>
        <w:sectPr>
          <w:pgSz w:w="11900" w:h="16838" w:orient="portrait"/>
          <w:cols w:equalWidth="0" w:num="1">
            <w:col w:w="11420"/>
          </w:cols>
          <w:pgMar w:left="240" w:top="273"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Interest Rate as of</w:t>
            </w:r>
          </w:p>
        </w:tc>
        <w:tc>
          <w:tcPr>
            <w:tcW w:w="620" w:type="dxa"/>
            <w:vAlign w:val="bottom"/>
          </w:tcPr>
          <w:p>
            <w:pPr>
              <w:spacing w:after="0"/>
              <w:rPr>
                <w:sz w:val="13"/>
                <w:szCs w:val="13"/>
                <w:color w:val="auto"/>
              </w:rPr>
            </w:pPr>
          </w:p>
        </w:tc>
        <w:tc>
          <w:tcPr>
            <w:tcW w:w="12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0"/>
              </w:rPr>
              <w:t>Balance as of</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9"/>
              </w:rPr>
              <w:t>March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8" w:lineRule="exact"/>
              <w:rPr>
                <w:sz w:val="20"/>
                <w:szCs w:val="20"/>
                <w:color w:val="auto"/>
              </w:rPr>
            </w:pPr>
            <w:r>
              <w:rPr>
                <w:rFonts w:ascii="Arial" w:cs="Arial" w:eastAsia="Arial" w:hAnsi="Arial"/>
                <w:sz w:val="13"/>
                <w:szCs w:val="13"/>
                <w:b w:val="1"/>
                <w:bCs w:val="1"/>
                <w:color w:val="auto"/>
                <w:w w:val="96"/>
              </w:rPr>
              <w:t>March 31,</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Maturity Date</w:t>
            </w:r>
          </w:p>
        </w:tc>
        <w:tc>
          <w:tcPr>
            <w:tcW w:w="1460" w:type="dxa"/>
            <w:vAlign w:val="bottom"/>
            <w:gridSpan w:val="2"/>
          </w:tcPr>
          <w:p>
            <w:pPr>
              <w:jc w:val="center"/>
              <w:ind w:left="333"/>
              <w:spacing w:after="0"/>
              <w:rPr>
                <w:sz w:val="20"/>
                <w:szCs w:val="20"/>
                <w:color w:val="auto"/>
              </w:rPr>
            </w:pPr>
            <w:r>
              <w:rPr>
                <w:rFonts w:ascii="Arial" w:cs="Arial" w:eastAsia="Arial" w:hAnsi="Arial"/>
                <w:sz w:val="13"/>
                <w:szCs w:val="13"/>
                <w:b w:val="1"/>
                <w:bCs w:val="1"/>
                <w:color w:val="auto"/>
                <w:w w:val="96"/>
              </w:rPr>
              <w:t>2006</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2006</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gridSpan w:val="5"/>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Mortgage Loans (a)</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b w:val="1"/>
                <w:bCs w:val="1"/>
                <w:i w:val="1"/>
                <w:iCs w:val="1"/>
                <w:color w:val="auto"/>
              </w:rPr>
              <w:t>Secured Fixed Rate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10/01/08</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6.510%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164 E Houston Street</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10/06/08</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7.500%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04/01/09</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8.375%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Federal Plaza</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06/01/11</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6.750%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34,550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09/01/11</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7.400%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Crow Canyon</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08/11/13</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5.400%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22,197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Barracks Road</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43,052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Hauppauge</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7.950%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16,230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Wildwood</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7.950%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26,823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Brick Plaza</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11/01/15</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7.415%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31,985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Mount Vernon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04/15/28</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5.660%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5"/>
          </w:tcPr>
          <w:p>
            <w:pPr>
              <w:ind w:left="840"/>
              <w:spacing w:after="0"/>
              <w:rPr>
                <w:sz w:val="20"/>
                <w:szCs w:val="20"/>
                <w:color w:val="auto"/>
              </w:rPr>
            </w:pPr>
            <w:r>
              <w:rPr>
                <w:rFonts w:ascii="Arial" w:cs="Arial" w:eastAsia="Arial" w:hAnsi="Arial"/>
                <w:sz w:val="17"/>
                <w:szCs w:val="17"/>
                <w:color w:val="auto"/>
              </w:rPr>
              <w:t>Total Mortgage Loans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269,951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gridSpan w:val="5"/>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Notes Payable</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b w:val="1"/>
                <w:bCs w:val="1"/>
                <w:i w:val="1"/>
                <w:iCs w:val="1"/>
                <w:color w:val="auto"/>
              </w:rPr>
              <w:t>Unsecured Fixed Rate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01/31/13</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Other</w:t>
            </w:r>
          </w:p>
        </w:tc>
        <w:tc>
          <w:tcPr>
            <w:tcW w:w="820" w:type="dxa"/>
            <w:vAlign w:val="bottom"/>
          </w:tcPr>
          <w:p>
            <w:pPr>
              <w:jc w:val="center"/>
              <w:spacing w:after="0"/>
              <w:rPr>
                <w:sz w:val="20"/>
                <w:szCs w:val="20"/>
                <w:color w:val="auto"/>
              </w:rPr>
            </w:pPr>
            <w:r>
              <w:rPr>
                <w:rFonts w:ascii="Arial" w:cs="Arial" w:eastAsia="Arial" w:hAnsi="Arial"/>
                <w:sz w:val="17"/>
                <w:szCs w:val="17"/>
                <w:color w:val="auto"/>
                <w:w w:val="91"/>
              </w:rPr>
              <w:t>various</w:t>
            </w: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various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Unsecured Variable Rate</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Revolving credit facility</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10/08/06</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LIBOR + .75%</w:t>
            </w:r>
          </w:p>
        </w:tc>
        <w:tc>
          <w:tcPr>
            <w:tcW w:w="620" w:type="dxa"/>
            <w:vAlign w:val="bottom"/>
          </w:tcPr>
          <w:p>
            <w:pPr>
              <w:ind w:left="20"/>
              <w:spacing w:after="0"/>
              <w:rPr>
                <w:sz w:val="20"/>
                <w:szCs w:val="20"/>
                <w:color w:val="auto"/>
              </w:rPr>
            </w:pPr>
            <w:r>
              <w:rPr>
                <w:rFonts w:ascii="Arial" w:cs="Arial" w:eastAsia="Arial" w:hAnsi="Arial"/>
                <w:sz w:val="17"/>
                <w:szCs w:val="17"/>
                <w:color w:val="auto"/>
              </w:rPr>
              <w:t>(c)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99,000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Term note with banks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10/08/06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LIBOR + .95%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Term note with banks</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10/08/08</w:t>
            </w:r>
          </w:p>
        </w:tc>
        <w:tc>
          <w:tcPr>
            <w:tcW w:w="4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LIBOR + .95%</w:t>
            </w:r>
          </w:p>
        </w:tc>
        <w:tc>
          <w:tcPr>
            <w:tcW w:w="620" w:type="dxa"/>
            <w:vAlign w:val="bottom"/>
          </w:tcPr>
          <w:p>
            <w:pPr>
              <w:ind w:left="20"/>
              <w:spacing w:after="0"/>
              <w:rPr>
                <w:sz w:val="20"/>
                <w:szCs w:val="20"/>
                <w:color w:val="auto"/>
              </w:rPr>
            </w:pPr>
            <w:r>
              <w:rPr>
                <w:rFonts w:ascii="Arial" w:cs="Arial" w:eastAsia="Arial" w:hAnsi="Arial"/>
                <w:sz w:val="17"/>
                <w:szCs w:val="17"/>
                <w:color w:val="auto"/>
              </w:rPr>
              <w:t>(d)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10/01/16</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3.040%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5"/>
          </w:tcPr>
          <w:p>
            <w:pPr>
              <w:ind w:left="840"/>
              <w:spacing w:after="0"/>
              <w:rPr>
                <w:sz w:val="20"/>
                <w:szCs w:val="20"/>
                <w:color w:val="auto"/>
              </w:rPr>
            </w:pPr>
            <w:r>
              <w:rPr>
                <w:rFonts w:ascii="Arial" w:cs="Arial" w:eastAsia="Arial" w:hAnsi="Arial"/>
                <w:sz w:val="17"/>
                <w:szCs w:val="17"/>
                <w:color w:val="auto"/>
              </w:rPr>
              <w:t>Total Notes Payable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360,210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Borders>
              <w:bottom w:val="single" w:sz="8" w:color="auto"/>
            </w:tcBorders>
            <w:gridSpan w:val="4"/>
            <w:shd w:val="clear" w:color="auto" w:fill="CCEEFF"/>
          </w:tcPr>
          <w:p>
            <w:pPr>
              <w:spacing w:after="0" w:line="175" w:lineRule="exact"/>
              <w:rPr>
                <w:sz w:val="20"/>
                <w:szCs w:val="20"/>
                <w:color w:val="auto"/>
              </w:rPr>
            </w:pPr>
            <w:r>
              <w:rPr>
                <w:rFonts w:ascii="Arial" w:cs="Arial" w:eastAsia="Arial" w:hAnsi="Arial"/>
                <w:sz w:val="17"/>
                <w:szCs w:val="17"/>
                <w:b w:val="1"/>
                <w:bCs w:val="1"/>
                <w:color w:val="auto"/>
                <w:w w:val="89"/>
              </w:rPr>
              <w:t>Senior Notes and Debentures</w:t>
            </w:r>
          </w:p>
        </w:tc>
        <w:tc>
          <w:tcPr>
            <w:tcW w:w="28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b w:val="1"/>
                <w:bCs w:val="1"/>
                <w:i w:val="1"/>
                <w:iCs w:val="1"/>
                <w:color w:val="auto"/>
              </w:rPr>
              <w:t>Unsecured Fixed Rate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6.125% Notes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11/15/07</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6.325%</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8.75% Notes</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12/01/09</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8.750%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02/15/11</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5.65% Notes</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06/01/16</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5.650%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7.48% Debentures</w:t>
            </w: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08/15/26</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7.480%</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6.82% Medium Term Notes</w:t>
            </w:r>
          </w:p>
        </w:tc>
        <w:tc>
          <w:tcPr>
            <w:tcW w:w="820" w:type="dxa"/>
            <w:vAlign w:val="bottom"/>
          </w:tcPr>
          <w:p>
            <w:pPr>
              <w:jc w:val="center"/>
              <w:spacing w:after="0"/>
              <w:rPr>
                <w:sz w:val="20"/>
                <w:szCs w:val="20"/>
                <w:color w:val="auto"/>
              </w:rPr>
            </w:pPr>
            <w:r>
              <w:rPr>
                <w:rFonts w:ascii="Arial" w:cs="Arial" w:eastAsia="Arial" w:hAnsi="Arial"/>
                <w:sz w:val="17"/>
                <w:szCs w:val="17"/>
                <w:color w:val="auto"/>
                <w:w w:val="93"/>
              </w:rPr>
              <w:t>08/01/27</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6.820%</w:t>
            </w:r>
          </w:p>
        </w:tc>
        <w:tc>
          <w:tcPr>
            <w:tcW w:w="620" w:type="dxa"/>
            <w:vAlign w:val="bottom"/>
          </w:tcPr>
          <w:p>
            <w:pPr>
              <w:ind w:left="20"/>
              <w:spacing w:after="0"/>
              <w:rPr>
                <w:sz w:val="20"/>
                <w:szCs w:val="20"/>
                <w:color w:val="auto"/>
              </w:rPr>
            </w:pPr>
            <w:r>
              <w:rPr>
                <w:rFonts w:ascii="Arial" w:cs="Arial" w:eastAsia="Arial" w:hAnsi="Arial"/>
                <w:sz w:val="17"/>
                <w:szCs w:val="17"/>
                <w:color w:val="auto"/>
              </w:rPr>
              <w:t>(h)</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Subtotal</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Unamortized Debt Discount</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(1,684)</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Total Senior Notes and Debentures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613,316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60" w:type="dxa"/>
            <w:vAlign w:val="bottom"/>
            <w:gridSpan w:val="6"/>
          </w:tcPr>
          <w:p>
            <w:pPr>
              <w:spacing w:after="0" w:line="182" w:lineRule="exact"/>
              <w:rPr>
                <w:sz w:val="20"/>
                <w:szCs w:val="20"/>
                <w:color w:val="auto"/>
              </w:rPr>
            </w:pPr>
            <w:r>
              <w:rPr>
                <w:rFonts w:ascii="Arial" w:cs="Arial" w:eastAsia="Arial" w:hAnsi="Arial"/>
                <w:sz w:val="17"/>
                <w:szCs w:val="17"/>
                <w:b w:val="1"/>
                <w:bCs w:val="1"/>
                <w:color w:val="auto"/>
              </w:rPr>
              <w:t>Capital Lease Obligations</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Various through 2077 (i)</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148,516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b w:val="1"/>
                <w:bCs w:val="1"/>
                <w:color w:val="auto"/>
              </w:rPr>
              <w:t>Total Debt and Capital Lease Obligations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1,391,993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4"/>
              </w:rPr>
              <w:t>Effective Rate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2006 (j)</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Total fixed rate debt and capital lease obligations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1,183,593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tcPr>
          <w:p>
            <w:pPr>
              <w:ind w:left="420"/>
              <w:spacing w:after="0"/>
              <w:rPr>
                <w:sz w:val="20"/>
                <w:szCs w:val="20"/>
                <w:color w:val="auto"/>
              </w:rPr>
            </w:pPr>
            <w:r>
              <w:rPr>
                <w:rFonts w:ascii="Arial" w:cs="Arial" w:eastAsia="Arial" w:hAnsi="Arial"/>
                <w:sz w:val="17"/>
                <w:szCs w:val="17"/>
                <w:color w:val="auto"/>
              </w:rPr>
              <w:t>Total variable rate debt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208,400</w:t>
            </w:r>
          </w:p>
        </w:tc>
        <w:tc>
          <w:tcPr>
            <w:tcW w:w="4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7"/>
                <w:szCs w:val="17"/>
                <w:color w:val="auto"/>
              </w:rPr>
              <w:t>15%</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color w:val="auto"/>
              </w:rPr>
              <w:t>Total Debt and Capital Leases Obligations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1,391,993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1"/>
              </w:rPr>
              <w:t>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Three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2006</w:t>
            </w:r>
          </w:p>
        </w:tc>
        <w:tc>
          <w:tcPr>
            <w:tcW w:w="760" w:type="dxa"/>
            <w:vAlign w:val="bottom"/>
            <w:tcBorders>
              <w:top w:val="single" w:sz="8" w:color="auto"/>
            </w:tcBorders>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920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Operational Statistics</w:t>
            </w: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0" w:type="dxa"/>
            <w:vAlign w:val="bottom"/>
          </w:tcPr>
          <w:p>
            <w:pPr>
              <w:spacing w:after="0"/>
              <w:rPr>
                <w:sz w:val="18"/>
                <w:szCs w:val="18"/>
                <w:color w:val="auto"/>
              </w:rPr>
            </w:pPr>
          </w:p>
        </w:tc>
        <w:tc>
          <w:tcPr>
            <w:tcW w:w="9200" w:type="dxa"/>
            <w:vAlign w:val="bottom"/>
            <w:gridSpan w:val="3"/>
          </w:tcPr>
          <w:p>
            <w:pPr>
              <w:ind w:left="440"/>
              <w:spacing w:after="0"/>
              <w:rPr>
                <w:sz w:val="20"/>
                <w:szCs w:val="20"/>
                <w:color w:val="auto"/>
              </w:rPr>
            </w:pPr>
            <w:r>
              <w:rPr>
                <w:rFonts w:ascii="Arial" w:cs="Arial" w:eastAsia="Arial" w:hAnsi="Arial"/>
                <w:sz w:val="17"/>
                <w:szCs w:val="17"/>
                <w:color w:val="auto"/>
              </w:rPr>
              <w:t>Ratio of EBITDA to combined fixed charges and preferred share dividends (k)</w:t>
            </w:r>
          </w:p>
        </w:tc>
        <w:tc>
          <w:tcPr>
            <w:tcW w:w="540" w:type="dxa"/>
            <w:vAlign w:val="bottom"/>
          </w:tcPr>
          <w:p>
            <w:pPr>
              <w:ind w:left="140"/>
              <w:spacing w:after="0"/>
              <w:rPr>
                <w:sz w:val="20"/>
                <w:szCs w:val="20"/>
                <w:color w:val="auto"/>
              </w:rPr>
            </w:pPr>
            <w:r>
              <w:rPr>
                <w:rFonts w:ascii="Arial" w:cs="Arial" w:eastAsia="Arial" w:hAnsi="Arial"/>
                <w:sz w:val="17"/>
                <w:szCs w:val="17"/>
                <w:color w:val="auto"/>
                <w:w w:val="91"/>
              </w:rPr>
              <w:t>2.79x</w:t>
            </w:r>
          </w:p>
        </w:tc>
        <w:tc>
          <w:tcPr>
            <w:tcW w:w="2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auto"/>
                <w:w w:val="91"/>
              </w:rPr>
              <w:t>2.60x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92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Ratio of Adjusted EBITDA to combined fixed charges and preferred share dividends (k)</w:t>
            </w:r>
          </w:p>
        </w:tc>
        <w:tc>
          <w:tcPr>
            <w:tcW w:w="5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2.48x</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2.43x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($14.2 million) of the $47.2 million debt of the partnership with Clarion Lion Properties Fund.</w:t>
      </w:r>
    </w:p>
    <w:p>
      <w:pPr>
        <w:spacing w:after="0" w:line="19"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The lender has the option to call the loan on April 15, 2013 or anytime thereafter.</w:t>
      </w:r>
    </w:p>
    <w:p>
      <w:pPr>
        <w:ind w:left="460" w:right="220" w:hanging="452"/>
        <w:spacing w:after="0" w:line="264"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 The weighted average effective rate was 5.00% for the three months ended March 31, 2006.</w:t>
      </w:r>
    </w:p>
    <w:p>
      <w:pPr>
        <w:ind w:left="460" w:right="80" w:hanging="452"/>
        <w:spacing w:after="0" w:line="264"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January 2004, the Trust purchased an interest rate swap on this note thereby locking in the LIBOR portion of the interest rate at 2.401% through October 2006.</w:t>
      </w: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19" w:lineRule="exact"/>
        <w:rPr>
          <w:rFonts w:ascii="Arial" w:cs="Arial" w:eastAsia="Arial" w:hAnsi="Arial"/>
          <w:sz w:val="17"/>
          <w:szCs w:val="17"/>
          <w:color w:val="auto"/>
        </w:rPr>
      </w:pPr>
    </w:p>
    <w:p>
      <w:pPr>
        <w:ind w:left="460" w:right="480" w:hanging="452"/>
        <w:spacing w:after="0" w:line="264"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Beginning on August 15, 2008, the debentures are redeemable by the holders thereof at the original purchase price of $1,000 per debenture.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Beginning on August 1, 2007, the notes are redeemable by the holders thereof at the original purchase price of $1,000 per note.</w:t>
      </w:r>
    </w:p>
    <w:p>
      <w:pPr>
        <w:sectPr>
          <w:pgSz w:w="11900" w:h="16838" w:orient="portrait"/>
          <w:cols w:equalWidth="0" w:num="1">
            <w:col w:w="11420"/>
          </w:cols>
          <w:pgMar w:left="240" w:top="273" w:right="239" w:bottom="0" w:gutter="0" w:footer="0" w:header="0"/>
        </w:sectPr>
      </w:pPr>
    </w:p>
    <w:bookmarkStart w:id="16" w:name="page17"/>
    <w:bookmarkEnd w:id="16"/>
    <w:p>
      <w:pPr>
        <w:ind w:left="452" w:right="740" w:hanging="452"/>
        <w:spacing w:after="0" w:line="268" w:lineRule="auto"/>
        <w:tabs>
          <w:tab w:leader="none" w:pos="4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March 31, 2006 is 9.09% on a basis of minimum rent and 12.97% including performance-based participation.</w:t>
      </w:r>
    </w:p>
    <w:p>
      <w:pPr>
        <w:ind w:left="452" w:hanging="452"/>
        <w:spacing w:after="0" w:line="264" w:lineRule="auto"/>
        <w:tabs>
          <w:tab w:leader="none" w:pos="4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and discounts, if applicable, and excludes performance-based rent on capital lease obligations.</w:t>
      </w:r>
    </w:p>
    <w:p>
      <w:pPr>
        <w:ind w:left="452" w:right="160" w:hanging="452"/>
        <w:spacing w:after="0" w:line="276" w:lineRule="auto"/>
        <w:tabs>
          <w:tab w:leader="none" w:pos="4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B preferred shares. Adjusted EBITDA is reconciled to net income in the Glossary of Terms.</w:t>
      </w:r>
    </w:p>
    <w:p>
      <w:pPr>
        <w:sectPr>
          <w:pgSz w:w="11900" w:h="16838" w:orient="portrait"/>
          <w:cols w:equalWidth="0" w:num="1">
            <w:col w:w="11392"/>
          </w:cols>
          <w:pgMar w:left="248" w:top="131"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88"/>
              </w:rPr>
              <w:t>Scheduled</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40" w:type="dxa"/>
            <w:vAlign w:val="bottom"/>
            <w:gridSpan w:val="2"/>
          </w:tcPr>
          <w:p>
            <w:pPr>
              <w:jc w:val="right"/>
              <w:ind w:right="1500"/>
              <w:spacing w:after="0" w:line="148" w:lineRule="exact"/>
              <w:rPr>
                <w:sz w:val="20"/>
                <w:szCs w:val="20"/>
                <w:color w:val="auto"/>
              </w:rPr>
            </w:pPr>
            <w:r>
              <w:rPr>
                <w:rFonts w:ascii="Arial" w:cs="Arial" w:eastAsia="Arial" w:hAnsi="Arial"/>
                <w:sz w:val="13"/>
                <w:szCs w:val="13"/>
                <w:b w:val="1"/>
                <w:bCs w:val="1"/>
                <w:color w:val="auto"/>
              </w:rPr>
              <w:t>Percent of</w:t>
            </w: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1"/>
        </w:trPr>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2"/>
          </w:tcPr>
          <w:p>
            <w:pPr>
              <w:jc w:val="right"/>
              <w:ind w:right="1300"/>
              <w:spacing w:after="0"/>
              <w:rPr>
                <w:sz w:val="20"/>
                <w:szCs w:val="20"/>
                <w:color w:val="auto"/>
              </w:rPr>
            </w:pPr>
            <w:r>
              <w:rPr>
                <w:rFonts w:ascii="Arial" w:cs="Arial" w:eastAsia="Arial" w:hAnsi="Arial"/>
                <w:sz w:val="13"/>
                <w:szCs w:val="13"/>
                <w:b w:val="1"/>
                <w:bCs w:val="1"/>
                <w:color w:val="auto"/>
                <w:w w:val="97"/>
              </w:rPr>
              <w:t>Maturities</w:t>
            </w:r>
          </w:p>
        </w:tc>
        <w:tc>
          <w:tcPr>
            <w:tcW w:w="100" w:type="dxa"/>
            <w:vAlign w:val="bottom"/>
          </w:tcPr>
          <w:p>
            <w:pPr>
              <w:spacing w:after="0"/>
              <w:rPr>
                <w:sz w:val="13"/>
                <w:szCs w:val="13"/>
                <w:color w:val="auto"/>
              </w:rPr>
            </w:pPr>
          </w:p>
        </w:tc>
        <w:tc>
          <w:tcPr>
            <w:tcW w:w="2120" w:type="dxa"/>
            <w:vAlign w:val="bottom"/>
            <w:gridSpan w:val="2"/>
          </w:tcPr>
          <w:p>
            <w:pPr>
              <w:jc w:val="right"/>
              <w:ind w:right="1680"/>
              <w:spacing w:after="0"/>
              <w:rPr>
                <w:sz w:val="20"/>
                <w:szCs w:val="20"/>
                <w:color w:val="auto"/>
              </w:rPr>
            </w:pPr>
            <w:r>
              <w:rPr>
                <w:rFonts w:ascii="Arial" w:cs="Arial" w:eastAsia="Arial" w:hAnsi="Arial"/>
                <w:sz w:val="13"/>
                <w:szCs w:val="13"/>
                <w:b w:val="1"/>
                <w:bCs w:val="1"/>
                <w:color w:val="auto"/>
              </w:rPr>
              <w:t>Total</w:t>
            </w:r>
          </w:p>
        </w:tc>
        <w:tc>
          <w:tcPr>
            <w:tcW w:w="224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w w:val="98"/>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2006</w:t>
            </w:r>
          </w:p>
        </w:tc>
        <w:tc>
          <w:tcPr>
            <w:tcW w:w="1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7"/>
                <w:szCs w:val="17"/>
                <w:color w:val="auto"/>
              </w:rPr>
              <w:t>199,000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202,773(1)</w:t>
            </w: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14.5%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5,747</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155,747</w:t>
            </w:r>
          </w:p>
        </w:tc>
        <w:tc>
          <w:tcPr>
            <w:tcW w:w="1420" w:type="dxa"/>
            <w:vAlign w:val="bottom"/>
          </w:tcPr>
          <w:p>
            <w:pPr>
              <w:spacing w:after="0"/>
              <w:rPr>
                <w:sz w:val="18"/>
                <w:szCs w:val="18"/>
                <w:color w:val="auto"/>
              </w:rPr>
            </w:pP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11.2%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0"/>
              <w:spacing w:after="0"/>
              <w:rPr>
                <w:sz w:val="20"/>
                <w:szCs w:val="20"/>
                <w:color w:val="auto"/>
              </w:rPr>
            </w:pPr>
            <w:r>
              <w:rPr>
                <w:rFonts w:ascii="Arial" w:cs="Arial" w:eastAsia="Arial" w:hAnsi="Arial"/>
                <w:sz w:val="17"/>
                <w:szCs w:val="17"/>
                <w:color w:val="auto"/>
              </w:rPr>
              <w:t>159,542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165,692</w:t>
            </w:r>
          </w:p>
        </w:tc>
        <w:tc>
          <w:tcPr>
            <w:tcW w:w="14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11.9%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2009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6,505</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rPr>
              <w:t>179,394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185,899</w:t>
            </w:r>
          </w:p>
        </w:tc>
        <w:tc>
          <w:tcPr>
            <w:tcW w:w="1420" w:type="dxa"/>
            <w:vAlign w:val="bottom"/>
          </w:tcPr>
          <w:p>
            <w:pPr>
              <w:spacing w:after="0"/>
              <w:rPr>
                <w:sz w:val="18"/>
                <w:szCs w:val="18"/>
                <w:color w:val="auto"/>
              </w:rPr>
            </w:pP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13.3%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6,996</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6,996</w:t>
            </w:r>
          </w:p>
        </w:tc>
        <w:tc>
          <w:tcPr>
            <w:tcW w:w="14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7,083</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rPr>
              <w:t>112,252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119,335</w:t>
            </w:r>
          </w:p>
        </w:tc>
        <w:tc>
          <w:tcPr>
            <w:tcW w:w="1420" w:type="dxa"/>
            <w:vAlign w:val="bottom"/>
          </w:tcPr>
          <w:p>
            <w:pPr>
              <w:spacing w:after="0"/>
              <w:rPr>
                <w:sz w:val="18"/>
                <w:szCs w:val="18"/>
                <w:color w:val="auto"/>
              </w:rPr>
            </w:pP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8.6%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7,195</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7,195</w:t>
            </w:r>
          </w:p>
        </w:tc>
        <w:tc>
          <w:tcPr>
            <w:tcW w:w="14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2013</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7,260</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rPr>
              <w:t>19,156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26,416</w:t>
            </w:r>
          </w:p>
        </w:tc>
        <w:tc>
          <w:tcPr>
            <w:tcW w:w="1420" w:type="dxa"/>
            <w:vAlign w:val="bottom"/>
          </w:tcPr>
          <w:p>
            <w:pPr>
              <w:spacing w:after="0"/>
              <w:rPr>
                <w:sz w:val="18"/>
                <w:szCs w:val="18"/>
                <w:color w:val="auto"/>
              </w:rPr>
            </w:pP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1.9%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7,454</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7,454</w:t>
            </w:r>
          </w:p>
        </w:tc>
        <w:tc>
          <w:tcPr>
            <w:tcW w:w="14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2015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7,201</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rPr>
              <w:t>145,807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153,008</w:t>
            </w:r>
          </w:p>
        </w:tc>
        <w:tc>
          <w:tcPr>
            <w:tcW w:w="1420" w:type="dxa"/>
            <w:vAlign w:val="bottom"/>
          </w:tcPr>
          <w:p>
            <w:pPr>
              <w:spacing w:after="0"/>
              <w:rPr>
                <w:sz w:val="18"/>
                <w:szCs w:val="18"/>
                <w:color w:val="auto"/>
              </w:rPr>
            </w:pP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11.0%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w w:val="89"/>
              </w:rPr>
              <w:t>Thereafter</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138,762</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224,400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363,162</w:t>
            </w:r>
          </w:p>
        </w:tc>
        <w:tc>
          <w:tcPr>
            <w:tcW w:w="14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26.1%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74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0" w:type="dxa"/>
            <w:vAlign w:val="bottom"/>
            <w:gridSpan w:val="2"/>
            <w:vMerge w:val="continue"/>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204,126</w:t>
            </w:r>
          </w:p>
        </w:tc>
        <w:tc>
          <w:tcPr>
            <w:tcW w:w="1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920" w:type="dxa"/>
            <w:vAlign w:val="bottom"/>
            <w:gridSpan w:val="2"/>
          </w:tcPr>
          <w:p>
            <w:pPr>
              <w:jc w:val="right"/>
              <w:ind w:right="1200"/>
              <w:spacing w:after="0"/>
              <w:rPr>
                <w:sz w:val="20"/>
                <w:szCs w:val="20"/>
                <w:color w:val="auto"/>
              </w:rPr>
            </w:pPr>
            <w:r>
              <w:rPr>
                <w:rFonts w:ascii="Arial" w:cs="Arial" w:eastAsia="Arial" w:hAnsi="Arial"/>
                <w:sz w:val="17"/>
                <w:szCs w:val="17"/>
                <w:color w:val="auto"/>
                <w:w w:val="92"/>
              </w:rPr>
              <w:t>1,189,551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2120" w:type="dxa"/>
            <w:vAlign w:val="bottom"/>
            <w:gridSpan w:val="2"/>
          </w:tcPr>
          <w:p>
            <w:pPr>
              <w:jc w:val="right"/>
              <w:ind w:right="1220"/>
              <w:spacing w:after="0"/>
              <w:rPr>
                <w:sz w:val="20"/>
                <w:szCs w:val="20"/>
                <w:color w:val="auto"/>
              </w:rPr>
            </w:pPr>
            <w:r>
              <w:rPr>
                <w:rFonts w:ascii="Arial" w:cs="Arial" w:eastAsia="Arial" w:hAnsi="Arial"/>
                <w:sz w:val="17"/>
                <w:szCs w:val="17"/>
                <w:color w:val="auto"/>
                <w:w w:val="91"/>
              </w:rPr>
              <w:t>1,393,677(2)</w:t>
            </w:r>
          </w:p>
        </w:tc>
        <w:tc>
          <w:tcPr>
            <w:tcW w:w="2240" w:type="dxa"/>
            <w:vAlign w:val="bottom"/>
            <w:gridSpan w:val="2"/>
          </w:tcPr>
          <w:p>
            <w:pPr>
              <w:jc w:val="right"/>
              <w:ind w:right="1220"/>
              <w:spacing w:after="0"/>
              <w:rPr>
                <w:sz w:val="20"/>
                <w:szCs w:val="20"/>
                <w:color w:val="auto"/>
              </w:rPr>
            </w:pPr>
            <w:r>
              <w:rPr>
                <w:rFonts w:ascii="Arial" w:cs="Arial" w:eastAsia="Arial" w:hAnsi="Arial"/>
                <w:sz w:val="17"/>
                <w:szCs w:val="17"/>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Maturities in 2006 include a $100 million term loan and $99 million drawn under the Trust’s $300 million three-year revolving credit facility.</w:t>
      </w:r>
    </w:p>
    <w:p>
      <w:pPr>
        <w:spacing w:after="0" w:line="19" w:lineRule="exact"/>
        <w:rPr>
          <w:rFonts w:ascii="Arial" w:cs="Arial" w:eastAsia="Arial" w:hAnsi="Arial"/>
          <w:sz w:val="17"/>
          <w:szCs w:val="17"/>
          <w:color w:val="auto"/>
        </w:rPr>
      </w:pPr>
    </w:p>
    <w:p>
      <w:pPr>
        <w:ind w:left="460" w:right="540" w:hanging="452"/>
        <w:spacing w:after="0" w:line="28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discount on certain senior notes and debentures.</w:t>
      </w:r>
    </w:p>
    <w:p>
      <w:pPr>
        <w:sectPr>
          <w:pgSz w:w="11900" w:h="16838" w:orient="portrait"/>
          <w:cols w:equalWidth="0" w:num="1">
            <w:col w:w="11420"/>
          </w:cols>
          <w:pgMar w:left="240" w:top="273"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Property</w:t>
            </w:r>
          </w:p>
        </w:tc>
        <w:tc>
          <w:tcPr>
            <w:tcW w:w="300" w:type="dxa"/>
            <w:vAlign w:val="bottom"/>
          </w:tcPr>
          <w:p>
            <w:pPr>
              <w:spacing w:after="0"/>
              <w:rPr>
                <w:sz w:val="13"/>
                <w:szCs w:val="13"/>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Location</w:t>
            </w:r>
          </w:p>
        </w:tc>
        <w:tc>
          <w:tcPr>
            <w:tcW w:w="280" w:type="dxa"/>
            <w:vAlign w:val="bottom"/>
          </w:tcPr>
          <w:p>
            <w:pPr>
              <w:spacing w:after="0"/>
              <w:rPr>
                <w:sz w:val="13"/>
                <w:szCs w:val="13"/>
                <w:color w:val="auto"/>
              </w:rPr>
            </w:pPr>
          </w:p>
        </w:tc>
        <w:tc>
          <w:tcPr>
            <w:tcW w:w="4320" w:type="dxa"/>
            <w:vAlign w:val="bottom"/>
            <w:vMerge w:val="restart"/>
          </w:tcPr>
          <w:p>
            <w:pPr>
              <w:ind w:left="1800"/>
              <w:spacing w:after="0"/>
              <w:rPr>
                <w:sz w:val="20"/>
                <w:szCs w:val="20"/>
                <w:color w:val="auto"/>
              </w:rPr>
            </w:pPr>
            <w:r>
              <w:rPr>
                <w:rFonts w:ascii="Arial" w:cs="Arial" w:eastAsia="Arial" w:hAnsi="Arial"/>
                <w:sz w:val="13"/>
                <w:szCs w:val="13"/>
                <w:b w:val="1"/>
                <w:bCs w:val="1"/>
                <w:color w:val="auto"/>
              </w:rPr>
              <w:t>Opportunity</w:t>
            </w:r>
          </w:p>
        </w:tc>
        <w:tc>
          <w:tcPr>
            <w:tcW w:w="3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1"/>
              </w:rPr>
              <w:t>Projected</w:t>
            </w:r>
          </w:p>
        </w:tc>
        <w:tc>
          <w:tcPr>
            <w:tcW w:w="4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1"/>
              </w:rPr>
              <w:t>Projected</w:t>
            </w:r>
          </w:p>
        </w:tc>
        <w:tc>
          <w:tcPr>
            <w:tcW w:w="30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3"/>
              </w:rPr>
              <w:t>Cost to</w:t>
            </w:r>
          </w:p>
        </w:tc>
        <w:tc>
          <w:tcPr>
            <w:tcW w:w="0" w:type="dxa"/>
            <w:vAlign w:val="bottom"/>
          </w:tcPr>
          <w:p>
            <w:pPr>
              <w:spacing w:after="0"/>
              <w:rPr>
                <w:sz w:val="1"/>
                <w:szCs w:val="1"/>
                <w:color w:val="auto"/>
              </w:rPr>
            </w:pPr>
          </w:p>
        </w:tc>
      </w:tr>
      <w:tr>
        <w:trPr>
          <w:trHeight w:val="154"/>
        </w:trPr>
        <w:tc>
          <w:tcPr>
            <w:tcW w:w="23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43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ROI (2)</w:t>
            </w:r>
          </w:p>
        </w:tc>
        <w:tc>
          <w:tcPr>
            <w:tcW w:w="48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4"/>
              </w:rPr>
              <w:t>Cost (1)</w:t>
            </w:r>
          </w:p>
        </w:tc>
        <w:tc>
          <w:tcPr>
            <w:tcW w:w="300" w:type="dxa"/>
            <w:vAlign w:val="bottom"/>
          </w:tcPr>
          <w:p>
            <w:pPr>
              <w:spacing w:after="0"/>
              <w:rPr>
                <w:sz w:val="13"/>
                <w:szCs w:val="13"/>
                <w:color w:val="auto"/>
              </w:rPr>
            </w:pPr>
          </w:p>
        </w:tc>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7255"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Projects Anticipated to Stabilize in 2006 (3)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gridSpan w:val="2"/>
          </w:tcPr>
          <w:p>
            <w:pPr>
              <w:spacing w:after="0"/>
              <w:rPr>
                <w:sz w:val="20"/>
                <w:szCs w:val="20"/>
                <w:color w:val="auto"/>
              </w:rPr>
            </w:pPr>
            <w:r>
              <w:rPr>
                <w:rFonts w:ascii="Arial" w:cs="Arial" w:eastAsia="Arial" w:hAnsi="Arial"/>
                <w:sz w:val="17"/>
                <w:szCs w:val="17"/>
                <w:color w:val="auto"/>
              </w:rPr>
              <w:t>Santana Phase IV</w:t>
            </w:r>
          </w:p>
        </w:tc>
        <w:tc>
          <w:tcPr>
            <w:tcW w:w="1820" w:type="dxa"/>
            <w:vAlign w:val="bottom"/>
          </w:tcPr>
          <w:p>
            <w:pPr>
              <w:ind w:left="220"/>
              <w:spacing w:after="0"/>
              <w:rPr>
                <w:sz w:val="20"/>
                <w:szCs w:val="20"/>
                <w:color w:val="auto"/>
              </w:rPr>
            </w:pPr>
            <w:r>
              <w:rPr>
                <w:rFonts w:ascii="Arial" w:cs="Arial" w:eastAsia="Arial" w:hAnsi="Arial"/>
                <w:sz w:val="17"/>
                <w:szCs w:val="17"/>
                <w:color w:val="auto"/>
              </w:rPr>
              <w:t>San Jose, CA</w:t>
            </w:r>
          </w:p>
        </w:tc>
        <w:tc>
          <w:tcPr>
            <w:tcW w:w="4860" w:type="dxa"/>
            <w:vAlign w:val="bottom"/>
          </w:tcPr>
          <w:p>
            <w:pPr>
              <w:ind w:left="240"/>
              <w:spacing w:after="0"/>
              <w:rPr>
                <w:sz w:val="20"/>
                <w:szCs w:val="20"/>
                <w:color w:val="auto"/>
              </w:rPr>
            </w:pPr>
            <w:r>
              <w:rPr>
                <w:rFonts w:ascii="Arial" w:cs="Arial" w:eastAsia="Arial" w:hAnsi="Arial"/>
                <w:sz w:val="17"/>
                <w:szCs w:val="17"/>
                <w:color w:val="auto"/>
              </w:rPr>
              <w:t>Building 7 residential re-build</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Mount Vernon / South Valley</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Alexandria, VA</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Grocer expansion, small shop re-tenanting, site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improvements, addition of five pad site buildings and three</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anchors.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Leesburg Plaza</w:t>
            </w:r>
          </w:p>
        </w:tc>
        <w:tc>
          <w:tcPr>
            <w:tcW w:w="1820" w:type="dxa"/>
            <w:vAlign w:val="bottom"/>
          </w:tcPr>
          <w:p>
            <w:pPr>
              <w:ind w:left="220"/>
              <w:spacing w:after="0"/>
              <w:rPr>
                <w:sz w:val="20"/>
                <w:szCs w:val="20"/>
                <w:color w:val="auto"/>
              </w:rPr>
            </w:pPr>
            <w:r>
              <w:rPr>
                <w:rFonts w:ascii="Arial" w:cs="Arial" w:eastAsia="Arial" w:hAnsi="Arial"/>
                <w:sz w:val="17"/>
                <w:szCs w:val="17"/>
                <w:color w:val="auto"/>
              </w:rPr>
              <w:t>Leesburg, VA</w:t>
            </w:r>
          </w:p>
        </w:tc>
        <w:tc>
          <w:tcPr>
            <w:tcW w:w="4860" w:type="dxa"/>
            <w:vAlign w:val="bottom"/>
          </w:tcPr>
          <w:p>
            <w:pPr>
              <w:ind w:left="240"/>
              <w:spacing w:after="0"/>
              <w:rPr>
                <w:sz w:val="20"/>
                <w:szCs w:val="20"/>
                <w:color w:val="auto"/>
              </w:rPr>
            </w:pPr>
            <w:r>
              <w:rPr>
                <w:rFonts w:ascii="Arial" w:cs="Arial" w:eastAsia="Arial" w:hAnsi="Arial"/>
                <w:sz w:val="17"/>
                <w:szCs w:val="17"/>
                <w:color w:val="auto"/>
              </w:rPr>
              <w:t>Demolish, redevelop and re-tenant the former Kmart &amp;</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14</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7"/>
                <w:szCs w:val="17"/>
                <w:color w:val="auto"/>
              </w:rPr>
              <w:t>Peebles.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Village of Shirlington - Phase II</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Arlington, VA</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Ground floor retail and parking garage as part of urban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mixed-use development (by others)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Brick Plaza</w:t>
            </w:r>
          </w:p>
        </w:tc>
        <w:tc>
          <w:tcPr>
            <w:tcW w:w="1820" w:type="dxa"/>
            <w:vAlign w:val="bottom"/>
          </w:tcPr>
          <w:p>
            <w:pPr>
              <w:ind w:left="220"/>
              <w:spacing w:after="0"/>
              <w:rPr>
                <w:sz w:val="20"/>
                <w:szCs w:val="20"/>
                <w:color w:val="auto"/>
              </w:rPr>
            </w:pPr>
            <w:r>
              <w:rPr>
                <w:rFonts w:ascii="Arial" w:cs="Arial" w:eastAsia="Arial" w:hAnsi="Arial"/>
                <w:sz w:val="17"/>
                <w:szCs w:val="17"/>
                <w:color w:val="auto"/>
              </w:rPr>
              <w:t>Brick, NJ</w:t>
            </w:r>
          </w:p>
        </w:tc>
        <w:tc>
          <w:tcPr>
            <w:tcW w:w="4860" w:type="dxa"/>
            <w:vAlign w:val="bottom"/>
          </w:tcPr>
          <w:p>
            <w:pPr>
              <w:ind w:left="240"/>
              <w:spacing w:after="0"/>
              <w:rPr>
                <w:sz w:val="20"/>
                <w:szCs w:val="20"/>
                <w:color w:val="auto"/>
              </w:rPr>
            </w:pPr>
            <w:r>
              <w:rPr>
                <w:rFonts w:ascii="Arial" w:cs="Arial" w:eastAsia="Arial" w:hAnsi="Arial"/>
                <w:sz w:val="17"/>
                <w:szCs w:val="17"/>
                <w:color w:val="auto"/>
              </w:rPr>
              <w:t>Re-tenanting (electronics)</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Hauppauge Shopping Center</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Hauppauge, NY</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Panera Café pad site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w w:val="98"/>
              </w:rPr>
              <w:t>Barracks Road Shopping Center</w:t>
            </w:r>
          </w:p>
        </w:tc>
        <w:tc>
          <w:tcPr>
            <w:tcW w:w="1820" w:type="dxa"/>
            <w:vAlign w:val="bottom"/>
          </w:tcPr>
          <w:p>
            <w:pPr>
              <w:ind w:left="220"/>
              <w:spacing w:after="0"/>
              <w:rPr>
                <w:sz w:val="20"/>
                <w:szCs w:val="20"/>
                <w:color w:val="auto"/>
              </w:rPr>
            </w:pPr>
            <w:r>
              <w:rPr>
                <w:rFonts w:ascii="Arial" w:cs="Arial" w:eastAsia="Arial" w:hAnsi="Arial"/>
                <w:sz w:val="17"/>
                <w:szCs w:val="17"/>
                <w:color w:val="auto"/>
              </w:rPr>
              <w:t>Charlottesville, VA</w:t>
            </w:r>
          </w:p>
        </w:tc>
        <w:tc>
          <w:tcPr>
            <w:tcW w:w="4860" w:type="dxa"/>
            <w:vAlign w:val="bottom"/>
          </w:tcPr>
          <w:p>
            <w:pPr>
              <w:ind w:left="240"/>
              <w:spacing w:after="0"/>
              <w:rPr>
                <w:sz w:val="20"/>
                <w:szCs w:val="20"/>
                <w:color w:val="auto"/>
              </w:rPr>
            </w:pPr>
            <w:r>
              <w:rPr>
                <w:rFonts w:ascii="Arial" w:cs="Arial" w:eastAsia="Arial" w:hAnsi="Arial"/>
                <w:sz w:val="17"/>
                <w:szCs w:val="17"/>
                <w:color w:val="auto"/>
              </w:rPr>
              <w:t>Chipotle pad site</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2006 (3) (4)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11%</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Projects Anticipated to Stabilize in 2007 (3)</w:t>
            </w:r>
          </w:p>
        </w:tc>
        <w:tc>
          <w:tcPr>
            <w:tcW w:w="4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gridSpan w:val="3"/>
            <w:vMerge w:val="continue"/>
          </w:tcPr>
          <w:p>
            <w:pPr>
              <w:spacing w:after="0"/>
              <w:rPr>
                <w:sz w:val="18"/>
                <w:szCs w:val="18"/>
                <w:color w:val="auto"/>
              </w:rPr>
            </w:pPr>
          </w:p>
        </w:tc>
        <w:tc>
          <w:tcPr>
            <w:tcW w:w="4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Rockville Town Square</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Rockville, MD</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Ground floor retail as part of urban mixed-use development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(by others)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Mercer Mall</w:t>
            </w:r>
          </w:p>
        </w:tc>
        <w:tc>
          <w:tcPr>
            <w:tcW w:w="1820" w:type="dxa"/>
            <w:vAlign w:val="bottom"/>
          </w:tcPr>
          <w:p>
            <w:pPr>
              <w:ind w:left="220"/>
              <w:spacing w:after="0"/>
              <w:rPr>
                <w:sz w:val="20"/>
                <w:szCs w:val="20"/>
                <w:color w:val="auto"/>
              </w:rPr>
            </w:pPr>
            <w:r>
              <w:rPr>
                <w:rFonts w:ascii="Arial" w:cs="Arial" w:eastAsia="Arial" w:hAnsi="Arial"/>
                <w:sz w:val="17"/>
                <w:szCs w:val="17"/>
                <w:color w:val="auto"/>
              </w:rPr>
              <w:t>Lawrenceville, NJ</w:t>
            </w:r>
          </w:p>
        </w:tc>
        <w:tc>
          <w:tcPr>
            <w:tcW w:w="4860" w:type="dxa"/>
            <w:vAlign w:val="bottom"/>
          </w:tcPr>
          <w:p>
            <w:pPr>
              <w:ind w:left="240"/>
              <w:spacing w:after="0"/>
              <w:rPr>
                <w:sz w:val="20"/>
                <w:szCs w:val="20"/>
                <w:color w:val="auto"/>
              </w:rPr>
            </w:pPr>
            <w:r>
              <w:rPr>
                <w:rFonts w:ascii="Arial" w:cs="Arial" w:eastAsia="Arial" w:hAnsi="Arial"/>
                <w:sz w:val="17"/>
                <w:szCs w:val="17"/>
                <w:color w:val="auto"/>
              </w:rPr>
              <w:t>Demolish, redevelop and re-tenant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Willow Lawn</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Richmond, VA</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Anchor re-tenanting, small shop demolition, façade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renovation, and site improvements</w:t>
            </w: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Loehmann’s Plaza</w:t>
            </w:r>
          </w:p>
        </w:tc>
        <w:tc>
          <w:tcPr>
            <w:tcW w:w="1820" w:type="dxa"/>
            <w:vAlign w:val="bottom"/>
          </w:tcPr>
          <w:p>
            <w:pPr>
              <w:ind w:left="220"/>
              <w:spacing w:after="0"/>
              <w:rPr>
                <w:sz w:val="20"/>
                <w:szCs w:val="20"/>
                <w:color w:val="auto"/>
              </w:rPr>
            </w:pPr>
            <w:r>
              <w:rPr>
                <w:rFonts w:ascii="Arial" w:cs="Arial" w:eastAsia="Arial" w:hAnsi="Arial"/>
                <w:sz w:val="17"/>
                <w:szCs w:val="17"/>
                <w:color w:val="auto"/>
              </w:rPr>
              <w:t>Falls Church, VA</w:t>
            </w:r>
          </w:p>
        </w:tc>
        <w:tc>
          <w:tcPr>
            <w:tcW w:w="4860" w:type="dxa"/>
            <w:vAlign w:val="bottom"/>
          </w:tcPr>
          <w:p>
            <w:pPr>
              <w:ind w:left="240"/>
              <w:spacing w:after="0"/>
              <w:rPr>
                <w:sz w:val="20"/>
                <w:szCs w:val="20"/>
                <w:color w:val="auto"/>
              </w:rPr>
            </w:pPr>
            <w:r>
              <w:rPr>
                <w:rFonts w:ascii="Arial" w:cs="Arial" w:eastAsia="Arial" w:hAnsi="Arial"/>
                <w:sz w:val="17"/>
                <w:szCs w:val="17"/>
                <w:color w:val="auto"/>
              </w:rPr>
              <w:t>Grocer expansion, anchor relocation, façade renovation and</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34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7"/>
                <w:szCs w:val="17"/>
                <w:color w:val="auto"/>
              </w:rPr>
              <w:t>site improvements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Leesburg Plaza - Pads</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Leesburg, VA</w:t>
            </w:r>
          </w:p>
        </w:tc>
        <w:tc>
          <w:tcPr>
            <w:tcW w:w="48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Two new retail buildings and a bank pad site will be added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gridSpan w:val="3"/>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2007 (3) (4)</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gridSpan w:val="3"/>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12%</w:t>
            </w:r>
          </w:p>
        </w:tc>
        <w:tc>
          <w:tcPr>
            <w:tcW w:w="160" w:type="dxa"/>
            <w:vAlign w:val="bottom"/>
            <w:vMerge w:val="continue"/>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96</w:t>
            </w:r>
          </w:p>
        </w:tc>
        <w:tc>
          <w:tcPr>
            <w:tcW w:w="3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Projects Anticipated to Stabilize in 2006 and 2007 (3) (4)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11%</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spacing w:after="0" w:line="280" w:lineRule="auto"/>
        <w:rPr>
          <w:sz w:val="20"/>
          <w:szCs w:val="20"/>
          <w:color w:val="auto"/>
        </w:rPr>
      </w:pPr>
      <w:r>
        <w:rPr>
          <w:rFonts w:ascii="Arial" w:cs="Arial" w:eastAsia="Arial" w:hAnsi="Arial"/>
          <w:sz w:val="17"/>
          <w:szCs w:val="17"/>
          <w:color w:val="auto"/>
        </w:rPr>
        <w:t>Redevelopments anticipated to stabilize in 2008 and 2009 include the next phase of Bethesda Row, the next phase of the Village at Shirlington, Galaxy Building and Flourtown representing approximately $100 million of redevelopment capital. The Trust has a pipeline of potential, future redevelopment projects including Pike 7 and Westgate Mall and future phases of Santana Row, Assembly Square and Bala Cynwyd. (3) (5)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w:t>
      </w:r>
    </w:p>
    <w:p>
      <w:pPr>
        <w:spacing w:after="0" w:line="32" w:lineRule="exact"/>
        <w:rPr>
          <w:sz w:val="20"/>
          <w:szCs w:val="20"/>
          <w:color w:val="auto"/>
        </w:rPr>
      </w:pPr>
    </w:p>
    <w:p>
      <w:pPr>
        <w:jc w:val="both"/>
        <w:ind w:left="460" w:right="240" w:hanging="452"/>
        <w:spacing w:after="0" w:line="280"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accomodate the redevelopment. Projected ROI does NOT include peripheral impacts, such as the impact on future lease rollovers at the property or the impact on the long-term value of the property. ROI for Mount Vernon/South Valley and Mercer Mall (properties acquired on the basis of redevelopment potential) are calculated as the increase in POI between acquisition and stabilization divided by the increase in cost basis between acquisition and stabilization.</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Anticipated Stabilization is the year in which 95% occupancy of the redeveloped space is anticipated to be achieved.</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9" w:lineRule="exact"/>
        <w:rPr>
          <w:rFonts w:ascii="Arial" w:cs="Arial" w:eastAsia="Arial" w:hAnsi="Arial"/>
          <w:sz w:val="17"/>
          <w:szCs w:val="17"/>
          <w:color w:val="auto"/>
        </w:rPr>
      </w:pPr>
    </w:p>
    <w:p>
      <w:pPr>
        <w:ind w:left="460" w:right="160" w:hanging="452"/>
        <w:spacing w:after="0" w:line="28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3"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w:t>
            </w:r>
          </w:p>
        </w:tc>
        <w:tc>
          <w:tcPr>
            <w:tcW w:w="19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Comments</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line="194" w:lineRule="exact"/>
              <w:rPr>
                <w:sz w:val="20"/>
                <w:szCs w:val="20"/>
                <w:color w:val="auto"/>
              </w:rPr>
            </w:pPr>
            <w:r>
              <w:rPr>
                <w:rFonts w:ascii="Arial" w:cs="Arial" w:eastAsia="Arial" w:hAnsi="Arial"/>
                <w:sz w:val="17"/>
                <w:szCs w:val="17"/>
                <w:b w:val="1"/>
                <w:bCs w:val="1"/>
                <w:color w:val="auto"/>
              </w:rPr>
              <w:t>Operational - Phases I, II and III (2) (5)</w:t>
            </w:r>
          </w:p>
        </w:tc>
        <w:tc>
          <w:tcPr>
            <w:tcW w:w="1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440"/>
              <w:spacing w:after="0"/>
              <w:rPr>
                <w:sz w:val="20"/>
                <w:szCs w:val="20"/>
                <w:color w:val="auto"/>
              </w:rPr>
            </w:pPr>
            <w:r>
              <w:rPr>
                <w:rFonts w:ascii="Arial" w:cs="Arial" w:eastAsia="Arial" w:hAnsi="Arial"/>
                <w:sz w:val="17"/>
                <w:szCs w:val="17"/>
                <w:color w:val="auto"/>
              </w:rPr>
              <w:t>Retail</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563,000 sf</w:t>
            </w:r>
          </w:p>
        </w:tc>
        <w:tc>
          <w:tcPr>
            <w:tcW w:w="5020" w:type="dxa"/>
            <w:vAlign w:val="bottom"/>
            <w:gridSpan w:val="7"/>
          </w:tcPr>
          <w:p>
            <w:pPr>
              <w:ind w:left="60"/>
              <w:spacing w:after="0"/>
              <w:rPr>
                <w:sz w:val="20"/>
                <w:szCs w:val="20"/>
                <w:color w:val="auto"/>
              </w:rPr>
            </w:pPr>
            <w:r>
              <w:rPr>
                <w:rFonts w:ascii="Arial" w:cs="Arial" w:eastAsia="Arial" w:hAnsi="Arial"/>
                <w:sz w:val="17"/>
                <w:szCs w:val="17"/>
                <w:color w:val="auto"/>
              </w:rPr>
              <w:t>Retail was 94% leased as of March 31, 2006.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100" w:type="dxa"/>
            <w:vAlign w:val="bottom"/>
          </w:tcPr>
          <w:p>
            <w:pPr>
              <w:ind w:left="440"/>
              <w:spacing w:after="0"/>
              <w:rPr>
                <w:sz w:val="20"/>
                <w:szCs w:val="20"/>
                <w:color w:val="auto"/>
              </w:rPr>
            </w:pPr>
            <w:r>
              <w:rPr>
                <w:rFonts w:ascii="Arial" w:cs="Arial" w:eastAsia="Arial" w:hAnsi="Arial"/>
                <w:sz w:val="17"/>
                <w:szCs w:val="17"/>
                <w:color w:val="auto"/>
              </w:rPr>
              <w:t>Residential</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36 units</w:t>
            </w:r>
          </w:p>
        </w:tc>
        <w:tc>
          <w:tcPr>
            <w:tcW w:w="5980" w:type="dxa"/>
            <w:vAlign w:val="bottom"/>
            <w:gridSpan w:val="8"/>
          </w:tcPr>
          <w:p>
            <w:pPr>
              <w:ind w:left="60"/>
              <w:spacing w:after="0"/>
              <w:rPr>
                <w:sz w:val="20"/>
                <w:szCs w:val="20"/>
                <w:color w:val="auto"/>
              </w:rPr>
            </w:pPr>
            <w:r>
              <w:rPr>
                <w:rFonts w:ascii="Arial" w:cs="Arial" w:eastAsia="Arial" w:hAnsi="Arial"/>
                <w:sz w:val="17"/>
                <w:szCs w:val="17"/>
                <w:color w:val="auto"/>
                <w:w w:val="93"/>
              </w:rPr>
              <w:t>36 townhouse rental units in Building Eight were 83% leased on March 31, 2006, as</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color w:val="auto"/>
              </w:rPr>
              <w:t>we are allowing vacancy to occur to accommodate construction schedules of</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gridSpan w:val="7"/>
          </w:tcPr>
          <w:p>
            <w:pPr>
              <w:ind w:left="60"/>
              <w:spacing w:after="0"/>
              <w:rPr>
                <w:sz w:val="20"/>
                <w:szCs w:val="20"/>
                <w:color w:val="auto"/>
              </w:rPr>
            </w:pPr>
            <w:r>
              <w:rPr>
                <w:rFonts w:ascii="Arial" w:cs="Arial" w:eastAsia="Arial" w:hAnsi="Arial"/>
                <w:sz w:val="17"/>
                <w:szCs w:val="17"/>
                <w:color w:val="auto"/>
              </w:rPr>
              <w:t>prospective buyers of residential entitlements.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100" w:type="dxa"/>
            <w:vAlign w:val="bottom"/>
          </w:tcPr>
          <w:p>
            <w:pPr>
              <w:spacing w:after="0"/>
              <w:rPr>
                <w:sz w:val="20"/>
                <w:szCs w:val="20"/>
                <w:color w:val="auto"/>
              </w:rPr>
            </w:pPr>
            <w:r>
              <w:rPr>
                <w:rFonts w:ascii="Arial" w:cs="Arial" w:eastAsia="Arial" w:hAnsi="Arial"/>
                <w:sz w:val="17"/>
                <w:szCs w:val="17"/>
                <w:b w:val="1"/>
                <w:bCs w:val="1"/>
                <w:color w:val="auto"/>
              </w:rPr>
              <w:t>In Progress (3) (5)</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440"/>
              <w:spacing w:after="0"/>
              <w:rPr>
                <w:sz w:val="20"/>
                <w:szCs w:val="20"/>
                <w:color w:val="auto"/>
              </w:rPr>
            </w:pPr>
            <w:r>
              <w:rPr>
                <w:rFonts w:ascii="Arial" w:cs="Arial" w:eastAsia="Arial" w:hAnsi="Arial"/>
                <w:sz w:val="17"/>
                <w:szCs w:val="17"/>
                <w:color w:val="auto"/>
              </w:rPr>
              <w:t>Residential - for rent Phase IV</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259 units</w:t>
            </w:r>
          </w:p>
        </w:tc>
        <w:tc>
          <w:tcPr>
            <w:tcW w:w="5980" w:type="dxa"/>
            <w:vAlign w:val="bottom"/>
            <w:gridSpan w:val="8"/>
          </w:tcPr>
          <w:p>
            <w:pPr>
              <w:ind w:left="60"/>
              <w:spacing w:after="0"/>
              <w:rPr>
                <w:sz w:val="20"/>
                <w:szCs w:val="20"/>
                <w:color w:val="auto"/>
              </w:rPr>
            </w:pPr>
            <w:r>
              <w:rPr>
                <w:rFonts w:ascii="Arial" w:cs="Arial" w:eastAsia="Arial" w:hAnsi="Arial"/>
                <w:sz w:val="17"/>
                <w:szCs w:val="17"/>
                <w:color w:val="auto"/>
              </w:rPr>
              <w:t>259 rental units being built on the Building Seven podium. Initial occupancy</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color w:val="auto"/>
                <w:w w:val="96"/>
              </w:rPr>
              <w:t>commenced in April 2005 with lease-up expected to continue through 2006. As of</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color w:val="auto"/>
                <w:w w:val="97"/>
              </w:rPr>
              <w:t>March 31, 2006, 174 units (59 townhomes and 115 flats) have been leased at an</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color w:val="auto"/>
              </w:rPr>
              <w:t>average rental rate of $2.59 per square foot per month (prior to concessions).</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color w:val="auto"/>
                <w:w w:val="98"/>
              </w:rPr>
              <w:t>Projected cost of $71 million is expected to yield 10% upon stabilization in 2006.</w:t>
            </w:r>
          </w:p>
        </w:tc>
        <w:tc>
          <w:tcPr>
            <w:tcW w:w="0" w:type="dxa"/>
            <w:vAlign w:val="bottom"/>
          </w:tcPr>
          <w:p>
            <w:pPr>
              <w:spacing w:after="0"/>
              <w:rPr>
                <w:sz w:val="1"/>
                <w:szCs w:val="1"/>
                <w:color w:val="auto"/>
              </w:rPr>
            </w:pPr>
          </w:p>
        </w:tc>
      </w:tr>
      <w:tr>
        <w:trPr>
          <w:trHeight w:val="316"/>
        </w:trPr>
        <w:tc>
          <w:tcPr>
            <w:tcW w:w="3100" w:type="dxa"/>
            <w:vAlign w:val="bottom"/>
          </w:tcPr>
          <w:p>
            <w:pPr>
              <w:ind w:left="440"/>
              <w:spacing w:after="0"/>
              <w:rPr>
                <w:sz w:val="20"/>
                <w:szCs w:val="20"/>
                <w:color w:val="auto"/>
              </w:rPr>
            </w:pPr>
            <w:r>
              <w:rPr>
                <w:rFonts w:ascii="Arial" w:cs="Arial" w:eastAsia="Arial" w:hAnsi="Arial"/>
                <w:sz w:val="17"/>
                <w:szCs w:val="17"/>
                <w:color w:val="auto"/>
              </w:rPr>
              <w:t>Residential - for sale</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219 units</w:t>
            </w:r>
          </w:p>
        </w:tc>
        <w:tc>
          <w:tcPr>
            <w:tcW w:w="5980" w:type="dxa"/>
            <w:vAlign w:val="bottom"/>
            <w:gridSpan w:val="8"/>
          </w:tcPr>
          <w:p>
            <w:pPr>
              <w:ind w:left="60"/>
              <w:spacing w:after="0"/>
              <w:rPr>
                <w:sz w:val="20"/>
                <w:szCs w:val="20"/>
                <w:color w:val="auto"/>
              </w:rPr>
            </w:pPr>
            <w:r>
              <w:rPr>
                <w:rFonts w:ascii="Arial" w:cs="Arial" w:eastAsia="Arial" w:hAnsi="Arial"/>
                <w:sz w:val="17"/>
                <w:szCs w:val="17"/>
                <w:color w:val="auto"/>
                <w:w w:val="97"/>
              </w:rPr>
              <w:t>Closings on the sale of loft and villa units commenced in August 2005. Projected</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gridSpan w:val="7"/>
          </w:tcPr>
          <w:p>
            <w:pPr>
              <w:ind w:left="60"/>
              <w:spacing w:after="0"/>
              <w:rPr>
                <w:sz w:val="20"/>
                <w:szCs w:val="20"/>
                <w:color w:val="auto"/>
              </w:rPr>
            </w:pPr>
            <w:r>
              <w:rPr>
                <w:rFonts w:ascii="Arial" w:cs="Arial" w:eastAsia="Arial" w:hAnsi="Arial"/>
                <w:sz w:val="17"/>
                <w:szCs w:val="17"/>
                <w:color w:val="auto"/>
              </w:rPr>
              <w:t>gross sales proceeds remain approximately $150 million. (4)</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4"/>
                <w:szCs w:val="24"/>
                <w:color w:val="auto"/>
              </w:rPr>
            </w:pPr>
          </w:p>
        </w:tc>
        <w:tc>
          <w:tcPr>
            <w:tcW w:w="23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8"/>
              </w:rPr>
              <w:t>Commitments/Closings:</w:t>
            </w:r>
          </w:p>
        </w:tc>
        <w:tc>
          <w:tcPr>
            <w:tcW w:w="5980" w:type="dxa"/>
            <w:vAlign w:val="bottom"/>
            <w:gridSpan w:val="8"/>
          </w:tcPr>
          <w:p>
            <w:pPr>
              <w:ind w:left="60"/>
              <w:spacing w:after="0"/>
              <w:rPr>
                <w:sz w:val="20"/>
                <w:szCs w:val="20"/>
                <w:color w:val="auto"/>
              </w:rPr>
            </w:pPr>
            <w:r>
              <w:rPr>
                <w:rFonts w:ascii="Arial" w:cs="Arial" w:eastAsia="Arial" w:hAnsi="Arial"/>
                <w:sz w:val="17"/>
                <w:szCs w:val="17"/>
                <w:b w:val="1"/>
                <w:bCs w:val="1"/>
                <w:color w:val="auto"/>
                <w:w w:val="96"/>
              </w:rPr>
              <w:t>189 units have been closed, with associated gross sales proceeds of $131.3</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2340" w:type="dxa"/>
            <w:vAlign w:val="bottom"/>
            <w:gridSpan w:val="2"/>
          </w:tcPr>
          <w:p>
            <w:pPr>
              <w:jc w:val="right"/>
              <w:ind w:right="400"/>
              <w:spacing w:after="0"/>
              <w:rPr>
                <w:sz w:val="20"/>
                <w:szCs w:val="20"/>
                <w:color w:val="auto"/>
              </w:rPr>
            </w:pPr>
            <w:r>
              <w:rPr>
                <w:rFonts w:ascii="Arial" w:cs="Arial" w:eastAsia="Arial" w:hAnsi="Arial"/>
                <w:sz w:val="17"/>
                <w:szCs w:val="17"/>
                <w:i w:val="1"/>
                <w:iCs w:val="1"/>
                <w:color w:val="auto"/>
              </w:rPr>
              <w:t>(as of May 1, 2006)</w:t>
            </w:r>
          </w:p>
        </w:tc>
        <w:tc>
          <w:tcPr>
            <w:tcW w:w="2520" w:type="dxa"/>
            <w:vAlign w:val="bottom"/>
            <w:gridSpan w:val="4"/>
          </w:tcPr>
          <w:p>
            <w:pPr>
              <w:ind w:left="60"/>
              <w:spacing w:after="0"/>
              <w:rPr>
                <w:sz w:val="20"/>
                <w:szCs w:val="20"/>
                <w:color w:val="auto"/>
              </w:rPr>
            </w:pPr>
            <w:r>
              <w:rPr>
                <w:rFonts w:ascii="Arial" w:cs="Arial" w:eastAsia="Arial" w:hAnsi="Arial"/>
                <w:sz w:val="17"/>
                <w:szCs w:val="17"/>
                <w:b w:val="1"/>
                <w:bCs w:val="1"/>
                <w:color w:val="auto"/>
              </w:rPr>
              <w:t>million.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80" w:type="dxa"/>
            <w:vAlign w:val="bottom"/>
            <w:gridSpan w:val="8"/>
          </w:tcPr>
          <w:p>
            <w:pPr>
              <w:ind w:left="60"/>
              <w:spacing w:after="0"/>
              <w:rPr>
                <w:sz w:val="20"/>
                <w:szCs w:val="20"/>
                <w:color w:val="auto"/>
              </w:rPr>
            </w:pPr>
            <w:r>
              <w:rPr>
                <w:rFonts w:ascii="Arial" w:cs="Arial" w:eastAsia="Arial" w:hAnsi="Arial"/>
                <w:sz w:val="17"/>
                <w:szCs w:val="17"/>
                <w:b w:val="1"/>
                <w:bCs w:val="1"/>
                <w:color w:val="auto"/>
                <w:w w:val="93"/>
              </w:rPr>
              <w:t>19 units are under binding contracts, with associated gross sales proceeds of</w:t>
            </w: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20" w:type="dxa"/>
            <w:vAlign w:val="bottom"/>
            <w:gridSpan w:val="4"/>
          </w:tcPr>
          <w:p>
            <w:pPr>
              <w:ind w:left="60"/>
              <w:spacing w:after="0"/>
              <w:rPr>
                <w:sz w:val="20"/>
                <w:szCs w:val="20"/>
                <w:color w:val="auto"/>
              </w:rPr>
            </w:pPr>
            <w:r>
              <w:rPr>
                <w:rFonts w:ascii="Arial" w:cs="Arial" w:eastAsia="Arial" w:hAnsi="Arial"/>
                <w:sz w:val="17"/>
                <w:szCs w:val="17"/>
                <w:b w:val="1"/>
                <w:bCs w:val="1"/>
                <w:color w:val="auto"/>
              </w:rPr>
              <w:t>$12.5 million.</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100" w:type="dxa"/>
            <w:vAlign w:val="bottom"/>
          </w:tcPr>
          <w:p>
            <w:pPr>
              <w:spacing w:after="0"/>
              <w:rPr>
                <w:sz w:val="24"/>
                <w:szCs w:val="24"/>
                <w:color w:val="auto"/>
              </w:rPr>
            </w:pPr>
          </w:p>
        </w:tc>
        <w:tc>
          <w:tcPr>
            <w:tcW w:w="23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Building Three (98 lofts)</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Units Closed</w:t>
            </w:r>
          </w:p>
        </w:tc>
        <w:tc>
          <w:tcPr>
            <w:tcW w:w="20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Units Under Contract</w:t>
            </w:r>
          </w:p>
        </w:tc>
        <w:tc>
          <w:tcPr>
            <w:tcW w:w="960" w:type="dxa"/>
            <w:vAlign w:val="bottom"/>
          </w:tcPr>
          <w:p>
            <w:pPr>
              <w:spacing w:after="0"/>
              <w:rPr>
                <w:sz w:val="20"/>
                <w:szCs w:val="20"/>
                <w:color w:val="auto"/>
              </w:rPr>
            </w:pPr>
            <w:r>
              <w:rPr>
                <w:rFonts w:ascii="Arial" w:cs="Arial" w:eastAsia="Arial" w:hAnsi="Arial"/>
                <w:sz w:val="13"/>
                <w:szCs w:val="13"/>
                <w:b w:val="1"/>
                <w:bCs w:val="1"/>
                <w:color w:val="auto"/>
                <w:w w:val="91"/>
              </w:rPr>
              <w:t>Units Remaining</w:t>
            </w: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960" w:type="dxa"/>
            <w:vAlign w:val="bottom"/>
            <w:gridSpan w:val="2"/>
          </w:tcPr>
          <w:p>
            <w:pPr>
              <w:spacing w:after="0"/>
              <w:rPr>
                <w:sz w:val="16"/>
                <w:szCs w:val="16"/>
                <w:color w:val="auto"/>
              </w:rPr>
            </w:pPr>
          </w:p>
        </w:tc>
        <w:tc>
          <w:tcPr>
            <w:tcW w:w="7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4"/>
              </w:rPr>
              <w:t>76</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4"/>
              </w:rPr>
              <w:t>13</w:t>
            </w:r>
          </w:p>
        </w:tc>
        <w:tc>
          <w:tcPr>
            <w:tcW w:w="1040" w:type="dxa"/>
            <w:vAlign w:val="bottom"/>
          </w:tcPr>
          <w:p>
            <w:pPr>
              <w:spacing w:after="0"/>
              <w:rPr>
                <w:sz w:val="16"/>
                <w:szCs w:val="16"/>
                <w:color w:val="auto"/>
              </w:rPr>
            </w:pPr>
          </w:p>
        </w:tc>
        <w:tc>
          <w:tcPr>
            <w:tcW w:w="9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84"/>
              </w:rPr>
              <w:t>9</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Arial" w:cs="Arial" w:eastAsia="Arial" w:hAnsi="Arial"/>
                <w:sz w:val="17"/>
                <w:szCs w:val="17"/>
                <w:color w:val="auto"/>
              </w:rPr>
              <w:t>Building Four (100 lofts)</w:t>
            </w:r>
          </w:p>
        </w:tc>
        <w:tc>
          <w:tcPr>
            <w:tcW w:w="1700" w:type="dxa"/>
            <w:vAlign w:val="bottom"/>
            <w:gridSpan w:val="3"/>
          </w:tcPr>
          <w:p>
            <w:pPr>
              <w:jc w:val="center"/>
              <w:ind w:left="873"/>
              <w:spacing w:after="0"/>
              <w:rPr>
                <w:sz w:val="20"/>
                <w:szCs w:val="20"/>
                <w:color w:val="auto"/>
              </w:rPr>
            </w:pPr>
            <w:r>
              <w:rPr>
                <w:rFonts w:ascii="Arial" w:cs="Arial" w:eastAsia="Arial" w:hAnsi="Arial"/>
                <w:sz w:val="17"/>
                <w:szCs w:val="17"/>
                <w:b w:val="1"/>
                <w:bCs w:val="1"/>
                <w:color w:val="auto"/>
                <w:w w:val="94"/>
              </w:rPr>
              <w:t>93</w:t>
            </w:r>
          </w:p>
        </w:tc>
        <w:tc>
          <w:tcPr>
            <w:tcW w:w="820" w:type="dxa"/>
            <w:vAlign w:val="bottom"/>
          </w:tcPr>
          <w:p>
            <w:pPr>
              <w:spacing w:after="0"/>
              <w:rPr>
                <w:sz w:val="18"/>
                <w:szCs w:val="18"/>
                <w:color w:val="auto"/>
              </w:rPr>
            </w:pPr>
          </w:p>
        </w:tc>
        <w:tc>
          <w:tcPr>
            <w:tcW w:w="1460" w:type="dxa"/>
            <w:vAlign w:val="bottom"/>
            <w:gridSpan w:val="2"/>
          </w:tcPr>
          <w:p>
            <w:pPr>
              <w:jc w:val="center"/>
              <w:ind w:left="139"/>
              <w:spacing w:after="0"/>
              <w:rPr>
                <w:sz w:val="20"/>
                <w:szCs w:val="20"/>
                <w:color w:val="auto"/>
              </w:rPr>
            </w:pPr>
            <w:r>
              <w:rPr>
                <w:rFonts w:ascii="Arial" w:cs="Arial" w:eastAsia="Arial" w:hAnsi="Arial"/>
                <w:sz w:val="17"/>
                <w:szCs w:val="17"/>
                <w:b w:val="1"/>
                <w:bCs w:val="1"/>
                <w:color w:val="auto"/>
                <w:w w:val="84"/>
              </w:rPr>
              <w:t>6</w:t>
            </w:r>
          </w:p>
        </w:tc>
        <w:tc>
          <w:tcPr>
            <w:tcW w:w="10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84"/>
              </w:rPr>
              <w:t>1</w:t>
            </w: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2340" w:type="dxa"/>
            <w:vAlign w:val="bottom"/>
            <w:gridSpan w:val="2"/>
          </w:tcPr>
          <w:p>
            <w:pPr>
              <w:jc w:val="right"/>
              <w:ind w:right="60"/>
              <w:spacing w:after="0"/>
              <w:rPr>
                <w:sz w:val="20"/>
                <w:szCs w:val="20"/>
                <w:color w:val="auto"/>
              </w:rPr>
            </w:pPr>
            <w:r>
              <w:rPr>
                <w:rFonts w:ascii="Arial" w:cs="Arial" w:eastAsia="Arial" w:hAnsi="Arial"/>
                <w:sz w:val="17"/>
                <w:szCs w:val="17"/>
                <w:color w:val="auto"/>
              </w:rPr>
              <w:t>Building Six (21 villas)</w:t>
            </w:r>
          </w:p>
        </w:tc>
        <w:tc>
          <w:tcPr>
            <w:tcW w:w="1700" w:type="dxa"/>
            <w:vAlign w:val="bottom"/>
            <w:gridSpan w:val="3"/>
          </w:tcPr>
          <w:p>
            <w:pPr>
              <w:jc w:val="center"/>
              <w:ind w:left="873"/>
              <w:spacing w:after="0"/>
              <w:rPr>
                <w:sz w:val="20"/>
                <w:szCs w:val="20"/>
                <w:color w:val="auto"/>
              </w:rPr>
            </w:pPr>
            <w:r>
              <w:rPr>
                <w:rFonts w:ascii="Arial" w:cs="Arial" w:eastAsia="Arial" w:hAnsi="Arial"/>
                <w:sz w:val="17"/>
                <w:szCs w:val="17"/>
                <w:b w:val="1"/>
                <w:bCs w:val="1"/>
                <w:color w:val="auto"/>
                <w:w w:val="94"/>
              </w:rPr>
              <w:t>20</w:t>
            </w:r>
          </w:p>
        </w:tc>
        <w:tc>
          <w:tcPr>
            <w:tcW w:w="820" w:type="dxa"/>
            <w:vAlign w:val="bottom"/>
          </w:tcPr>
          <w:p>
            <w:pPr>
              <w:spacing w:after="0"/>
              <w:rPr>
                <w:sz w:val="19"/>
                <w:szCs w:val="19"/>
                <w:color w:val="auto"/>
              </w:rPr>
            </w:pPr>
          </w:p>
        </w:tc>
        <w:tc>
          <w:tcPr>
            <w:tcW w:w="1460" w:type="dxa"/>
            <w:vAlign w:val="bottom"/>
            <w:gridSpan w:val="2"/>
          </w:tcPr>
          <w:p>
            <w:pPr>
              <w:jc w:val="center"/>
              <w:ind w:left="139"/>
              <w:spacing w:after="0"/>
              <w:rPr>
                <w:sz w:val="20"/>
                <w:szCs w:val="20"/>
                <w:color w:val="auto"/>
              </w:rPr>
            </w:pPr>
            <w:r>
              <w:rPr>
                <w:rFonts w:ascii="Arial" w:cs="Arial" w:eastAsia="Arial" w:hAnsi="Arial"/>
                <w:sz w:val="17"/>
                <w:szCs w:val="17"/>
                <w:b w:val="1"/>
                <w:bCs w:val="1"/>
                <w:color w:val="auto"/>
                <w:w w:val="84"/>
              </w:rPr>
              <w:t>0</w:t>
            </w:r>
          </w:p>
        </w:tc>
        <w:tc>
          <w:tcPr>
            <w:tcW w:w="10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84"/>
              </w:rPr>
              <w:t>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340" w:type="dxa"/>
            <w:vAlign w:val="bottom"/>
            <w:gridSpan w:val="2"/>
          </w:tcPr>
          <w:p>
            <w:pPr>
              <w:jc w:val="right"/>
              <w:ind w:right="60"/>
              <w:spacing w:after="0"/>
              <w:rPr>
                <w:sz w:val="20"/>
                <w:szCs w:val="20"/>
                <w:color w:val="auto"/>
              </w:rPr>
            </w:pPr>
            <w:r>
              <w:rPr>
                <w:rFonts w:ascii="Arial" w:cs="Arial" w:eastAsia="Arial" w:hAnsi="Arial"/>
                <w:sz w:val="17"/>
                <w:szCs w:val="17"/>
                <w:color w:val="auto"/>
              </w:rPr>
              <w:t>Total</w:t>
            </w:r>
          </w:p>
        </w:tc>
        <w:tc>
          <w:tcPr>
            <w:tcW w:w="960" w:type="dxa"/>
            <w:vAlign w:val="bottom"/>
            <w:gridSpan w:val="2"/>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189</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19</w:t>
            </w:r>
          </w:p>
        </w:tc>
        <w:tc>
          <w:tcPr>
            <w:tcW w:w="104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11</w:t>
            </w:r>
          </w:p>
        </w:tc>
        <w:tc>
          <w:tcPr>
            <w:tcW w:w="0" w:type="dxa"/>
            <w:vAlign w:val="bottom"/>
          </w:tcPr>
          <w:p>
            <w:pPr>
              <w:spacing w:after="0"/>
              <w:rPr>
                <w:sz w:val="1"/>
                <w:szCs w:val="1"/>
                <w:color w:val="auto"/>
              </w:rPr>
            </w:pPr>
          </w:p>
        </w:tc>
      </w:tr>
      <w:tr>
        <w:trPr>
          <w:trHeight w:val="410"/>
        </w:trPr>
        <w:tc>
          <w:tcPr>
            <w:tcW w:w="3100" w:type="dxa"/>
            <w:vAlign w:val="bottom"/>
          </w:tcPr>
          <w:p>
            <w:pPr>
              <w:spacing w:after="0"/>
              <w:rPr>
                <w:sz w:val="20"/>
                <w:szCs w:val="20"/>
                <w:color w:val="auto"/>
              </w:rPr>
            </w:pPr>
            <w:r>
              <w:rPr>
                <w:rFonts w:ascii="Arial" w:cs="Arial" w:eastAsia="Arial" w:hAnsi="Arial"/>
                <w:sz w:val="17"/>
                <w:szCs w:val="17"/>
                <w:b w:val="1"/>
                <w:bCs w:val="1"/>
                <w:color w:val="auto"/>
              </w:rPr>
              <w:t>Future (6)</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440"/>
              <w:spacing w:after="0"/>
              <w:rPr>
                <w:sz w:val="20"/>
                <w:szCs w:val="20"/>
                <w:color w:val="auto"/>
              </w:rPr>
            </w:pPr>
            <w:r>
              <w:rPr>
                <w:rFonts w:ascii="Arial" w:cs="Arial" w:eastAsia="Arial" w:hAnsi="Arial"/>
                <w:sz w:val="17"/>
                <w:szCs w:val="17"/>
                <w:color w:val="auto"/>
              </w:rPr>
              <w:t>Retail</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125,000 sf</w:t>
            </w:r>
          </w:p>
        </w:tc>
        <w:tc>
          <w:tcPr>
            <w:tcW w:w="2520" w:type="dxa"/>
            <w:vAlign w:val="bottom"/>
            <w:gridSpan w:val="4"/>
          </w:tcPr>
          <w:p>
            <w:pPr>
              <w:ind w:left="60"/>
              <w:spacing w:after="0"/>
              <w:rPr>
                <w:sz w:val="20"/>
                <w:szCs w:val="20"/>
                <w:color w:val="auto"/>
              </w:rPr>
            </w:pPr>
            <w:r>
              <w:rPr>
                <w:rFonts w:ascii="Arial" w:cs="Arial" w:eastAsia="Arial" w:hAnsi="Arial"/>
                <w:sz w:val="17"/>
                <w:szCs w:val="17"/>
                <w:color w:val="auto"/>
              </w:rPr>
              <w:t>Currently being master planned.</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100" w:type="dxa"/>
            <w:vAlign w:val="bottom"/>
          </w:tcPr>
          <w:p>
            <w:pPr>
              <w:ind w:left="440"/>
              <w:spacing w:after="0"/>
              <w:rPr>
                <w:sz w:val="20"/>
                <w:szCs w:val="20"/>
                <w:color w:val="auto"/>
              </w:rPr>
            </w:pPr>
            <w:r>
              <w:rPr>
                <w:rFonts w:ascii="Arial" w:cs="Arial" w:eastAsia="Arial" w:hAnsi="Arial"/>
                <w:sz w:val="17"/>
                <w:szCs w:val="17"/>
                <w:color w:val="auto"/>
              </w:rPr>
              <w:t>Residential</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687 units</w:t>
            </w:r>
          </w:p>
        </w:tc>
        <w:tc>
          <w:tcPr>
            <w:tcW w:w="2520" w:type="dxa"/>
            <w:vAlign w:val="bottom"/>
            <w:gridSpan w:val="4"/>
          </w:tcPr>
          <w:p>
            <w:pPr>
              <w:ind w:left="60"/>
              <w:spacing w:after="0"/>
              <w:rPr>
                <w:sz w:val="20"/>
                <w:szCs w:val="20"/>
                <w:color w:val="auto"/>
              </w:rPr>
            </w:pPr>
            <w:r>
              <w:rPr>
                <w:rFonts w:ascii="Arial" w:cs="Arial" w:eastAsia="Arial" w:hAnsi="Arial"/>
                <w:sz w:val="17"/>
                <w:szCs w:val="17"/>
                <w:color w:val="auto"/>
              </w:rPr>
              <w:t>Currently being master planned.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100" w:type="dxa"/>
            <w:vAlign w:val="bottom"/>
          </w:tcPr>
          <w:p>
            <w:pPr>
              <w:ind w:left="440"/>
              <w:spacing w:after="0"/>
              <w:rPr>
                <w:sz w:val="20"/>
                <w:szCs w:val="20"/>
                <w:color w:val="auto"/>
              </w:rPr>
            </w:pPr>
            <w:r>
              <w:rPr>
                <w:rFonts w:ascii="Arial" w:cs="Arial" w:eastAsia="Arial" w:hAnsi="Arial"/>
                <w:sz w:val="17"/>
                <w:szCs w:val="17"/>
                <w:color w:val="auto"/>
              </w:rPr>
              <w:t>Hotel</w:t>
            </w:r>
          </w:p>
        </w:tc>
        <w:tc>
          <w:tcPr>
            <w:tcW w:w="2340" w:type="dxa"/>
            <w:vAlign w:val="bottom"/>
            <w:gridSpan w:val="2"/>
          </w:tcPr>
          <w:p>
            <w:pPr>
              <w:jc w:val="right"/>
              <w:ind w:right="400"/>
              <w:spacing w:after="0"/>
              <w:rPr>
                <w:sz w:val="20"/>
                <w:szCs w:val="20"/>
                <w:color w:val="auto"/>
              </w:rPr>
            </w:pPr>
            <w:r>
              <w:rPr>
                <w:rFonts w:ascii="Arial" w:cs="Arial" w:eastAsia="Arial" w:hAnsi="Arial"/>
                <w:sz w:val="17"/>
                <w:szCs w:val="17"/>
                <w:color w:val="auto"/>
              </w:rPr>
              <w:t>191 rooms</w:t>
            </w:r>
          </w:p>
        </w:tc>
        <w:tc>
          <w:tcPr>
            <w:tcW w:w="2520" w:type="dxa"/>
            <w:vAlign w:val="bottom"/>
            <w:gridSpan w:val="4"/>
          </w:tcPr>
          <w:p>
            <w:pPr>
              <w:ind w:left="60"/>
              <w:spacing w:after="0"/>
              <w:rPr>
                <w:sz w:val="20"/>
                <w:szCs w:val="20"/>
                <w:color w:val="auto"/>
              </w:rPr>
            </w:pPr>
            <w:r>
              <w:rPr>
                <w:rFonts w:ascii="Arial" w:cs="Arial" w:eastAsia="Arial" w:hAnsi="Arial"/>
                <w:sz w:val="17"/>
                <w:szCs w:val="17"/>
                <w:color w:val="auto"/>
              </w:rPr>
              <w:t>Currently being master planned.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5981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w:t>
      </w:r>
    </w:p>
    <w:p>
      <w:pPr>
        <w:spacing w:after="0" w:line="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All costs are projected final costs. Yield represents stabilized projected Property Operating Income divided by projected final costs.</w:t>
      </w:r>
    </w:p>
    <w:p>
      <w:pPr>
        <w:spacing w:after="0" w:line="19" w:lineRule="exact"/>
        <w:rPr>
          <w:rFonts w:ascii="Arial" w:cs="Arial" w:eastAsia="Arial" w:hAnsi="Arial"/>
          <w:sz w:val="17"/>
          <w:szCs w:val="17"/>
          <w:b w:val="1"/>
          <w:bCs w:val="1"/>
          <w:color w:val="auto"/>
        </w:rPr>
      </w:pPr>
    </w:p>
    <w:p>
      <w:pPr>
        <w:ind w:left="460" w:right="260" w:hanging="452"/>
        <w:spacing w:after="0" w:line="264" w:lineRule="auto"/>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 portions of the property currently open and operating which include luxury and lifestyle retail components, townhome residential units, and the 213-room Hotel Valencia Santana Row.</w:t>
      </w:r>
    </w:p>
    <w:p>
      <w:pPr>
        <w:ind w:left="460" w:hanging="452"/>
        <w:spacing w:after="0"/>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Developments and other significant activities being actively pursued at Santana Row.</w:t>
      </w:r>
    </w:p>
    <w:p>
      <w:pPr>
        <w:spacing w:after="0" w:line="19" w:lineRule="exact"/>
        <w:rPr>
          <w:rFonts w:ascii="Arial" w:cs="Arial" w:eastAsia="Arial" w:hAnsi="Arial"/>
          <w:sz w:val="17"/>
          <w:szCs w:val="17"/>
          <w:b w:val="1"/>
          <w:bCs w:val="1"/>
          <w:color w:val="auto"/>
        </w:rPr>
      </w:pPr>
    </w:p>
    <w:p>
      <w:pPr>
        <w:ind w:left="460" w:hanging="452"/>
        <w:spacing w:after="0" w:line="264" w:lineRule="auto"/>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Projected gross sales proceeds represent management’s current estimate of total sales prices for the 219 units expected to be sold without taking into account any costs of sale, including, without limitation, any income taxes that may be paid.</w:t>
      </w:r>
    </w:p>
    <w:p>
      <w:pPr>
        <w:ind w:left="460" w:right="40" w:hanging="452"/>
        <w:spacing w:after="0" w:line="264" w:lineRule="auto"/>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$432 million of projected costs at Santana Row is expected to yield 7% upon both of the following having occurred: (1) stabilization of Phases I - IV (net of insurance proceeds), and (2) completion of the sale of 219 condominiums expected in 2006. The projected cost includes $11 million invested in joint ventures at Santana Row.</w:t>
      </w:r>
    </w:p>
    <w:p>
      <w:pPr>
        <w:ind w:left="460" w:hanging="452"/>
        <w:spacing w:after="0"/>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Remaining entitlements for development or sale.</w:t>
      </w:r>
    </w:p>
    <w:p>
      <w:pPr>
        <w:sectPr>
          <w:pgSz w:w="11900" w:h="16838" w:orient="portrait"/>
          <w:cols w:equalWidth="0" w:num="1">
            <w:col w:w="11420"/>
          </w:cols>
          <w:pgMar w:left="240" w:top="273"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Significant Acquisitions and Dispositions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Federal Realty Investment Trust Acquisitions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40" w:type="dxa"/>
            <w:vAlign w:val="bottom"/>
          </w:tcPr>
          <w:p>
            <w:pPr>
              <w:spacing w:after="0"/>
              <w:rPr>
                <w:sz w:val="14"/>
                <w:szCs w:val="14"/>
                <w:color w:val="auto"/>
              </w:rPr>
            </w:pPr>
          </w:p>
        </w:tc>
        <w:tc>
          <w:tcPr>
            <w:tcW w:w="2840" w:type="dxa"/>
            <w:vAlign w:val="bottom"/>
          </w:tcPr>
          <w:p>
            <w:pPr>
              <w:ind w:left="116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w w:val="87"/>
              </w:rPr>
              <w:t>Purchase price</w:t>
            </w:r>
          </w:p>
        </w:tc>
        <w:tc>
          <w:tcPr>
            <w:tcW w:w="220" w:type="dxa"/>
            <w:vAlign w:val="bottom"/>
          </w:tcPr>
          <w:p>
            <w:pPr>
              <w:spacing w:after="0"/>
              <w:rPr>
                <w:sz w:val="14"/>
                <w:szCs w:val="14"/>
                <w:color w:val="auto"/>
              </w:rPr>
            </w:pPr>
          </w:p>
        </w:tc>
        <w:tc>
          <w:tcPr>
            <w:tcW w:w="1740" w:type="dxa"/>
            <w:vAlign w:val="bottom"/>
          </w:tcPr>
          <w:p>
            <w:pPr>
              <w:ind w:left="42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148"/>
        </w:trPr>
        <w:tc>
          <w:tcPr>
            <w:tcW w:w="9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(in millions)</w:t>
            </w:r>
          </w:p>
        </w:tc>
        <w:tc>
          <w:tcPr>
            <w:tcW w:w="2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20, 2006</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4900 Hampden Lane (1)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35,000</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w w:val="93"/>
              </w:rPr>
              <w:t>Washington Sports Club</w:t>
            </w:r>
          </w:p>
        </w:tc>
        <w:tc>
          <w:tcPr>
            <w:tcW w:w="0" w:type="dxa"/>
            <w:vAlign w:val="bottom"/>
          </w:tcPr>
          <w:p>
            <w:pPr>
              <w:spacing w:after="0"/>
              <w:rPr>
                <w:sz w:val="1"/>
                <w:szCs w:val="1"/>
                <w:color w:val="auto"/>
              </w:rPr>
            </w:pPr>
          </w:p>
        </w:tc>
      </w:tr>
      <w:tr>
        <w:trPr>
          <w:trHeight w:val="222"/>
        </w:trPr>
        <w:tc>
          <w:tcPr>
            <w:tcW w:w="3380" w:type="dxa"/>
            <w:vAlign w:val="bottom"/>
            <w:gridSpan w:val="3"/>
          </w:tcPr>
          <w:p>
            <w:pPr>
              <w:spacing w:after="0"/>
              <w:rPr>
                <w:sz w:val="20"/>
                <w:szCs w:val="20"/>
                <w:color w:val="auto"/>
              </w:rPr>
            </w:pPr>
            <w:r>
              <w:rPr>
                <w:rFonts w:ascii="Arial" w:cs="Arial" w:eastAsia="Arial" w:hAnsi="Arial"/>
                <w:sz w:val="17"/>
                <w:szCs w:val="17"/>
                <w:color w:val="auto"/>
              </w:rPr>
              <w:t>January 27, 2006</w:t>
            </w:r>
          </w:p>
        </w:tc>
        <w:tc>
          <w:tcPr>
            <w:tcW w:w="2880" w:type="dxa"/>
            <w:vAlign w:val="bottom"/>
            <w:gridSpan w:val="2"/>
          </w:tcPr>
          <w:p>
            <w:pPr>
              <w:ind w:left="40"/>
              <w:spacing w:after="0"/>
              <w:rPr>
                <w:sz w:val="20"/>
                <w:szCs w:val="20"/>
                <w:color w:val="auto"/>
              </w:rPr>
            </w:pPr>
            <w:r>
              <w:rPr>
                <w:rFonts w:ascii="Arial" w:cs="Arial" w:eastAsia="Arial" w:hAnsi="Arial"/>
                <w:sz w:val="17"/>
                <w:szCs w:val="17"/>
                <w:color w:val="auto"/>
              </w:rPr>
              <w:t>7770 Richmond Highway</w:t>
            </w:r>
          </w:p>
        </w:tc>
        <w:tc>
          <w:tcPr>
            <w:tcW w:w="2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7"/>
                <w:szCs w:val="17"/>
                <w:color w:val="auto"/>
                <w:w w:val="97"/>
              </w:rPr>
              <w:t>Alexandria, VA</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2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Gold’s Gym</w:t>
            </w:r>
          </w:p>
        </w:tc>
        <w:tc>
          <w:tcPr>
            <w:tcW w:w="0" w:type="dxa"/>
            <w:vAlign w:val="bottom"/>
          </w:tcPr>
          <w:p>
            <w:pPr>
              <w:spacing w:after="0"/>
              <w:rPr>
                <w:sz w:val="1"/>
                <w:szCs w:val="1"/>
                <w:color w:val="auto"/>
              </w:rPr>
            </w:pPr>
          </w:p>
        </w:tc>
      </w:tr>
      <w:tr>
        <w:trPr>
          <w:trHeight w:val="215"/>
        </w:trPr>
        <w:tc>
          <w:tcPr>
            <w:tcW w:w="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95,000</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2"/>
              </w:rPr>
              <w:t>Federal Realty Investment Trust Dispositions</w:t>
            </w: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380" w:type="dxa"/>
            <w:vAlign w:val="bottom"/>
            <w:tcBorders>
              <w:bottom w:val="single" w:sz="8" w:color="auto"/>
            </w:tcBorders>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40" w:type="dxa"/>
            <w:vAlign w:val="bottom"/>
          </w:tcPr>
          <w:p>
            <w:pPr>
              <w:spacing w:after="0"/>
              <w:rPr>
                <w:sz w:val="24"/>
                <w:szCs w:val="24"/>
                <w:color w:val="auto"/>
              </w:rPr>
            </w:pPr>
          </w:p>
        </w:tc>
        <w:tc>
          <w:tcPr>
            <w:tcW w:w="2840" w:type="dxa"/>
            <w:vAlign w:val="bottom"/>
          </w:tcPr>
          <w:p>
            <w:pPr>
              <w:ind w:left="116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3"/>
                <w:szCs w:val="13"/>
                <w:b w:val="1"/>
                <w:bCs w:val="1"/>
                <w:color w:val="auto"/>
              </w:rPr>
              <w:t>City / State</w:t>
            </w:r>
          </w:p>
        </w:tc>
        <w:tc>
          <w:tcPr>
            <w:tcW w:w="22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ind w:right="16"/>
              <w:spacing w:after="0"/>
              <w:rPr>
                <w:sz w:val="20"/>
                <w:szCs w:val="20"/>
                <w:color w:val="auto"/>
              </w:rPr>
            </w:pPr>
            <w:r>
              <w:rPr>
                <w:rFonts w:ascii="Arial" w:cs="Arial" w:eastAsia="Arial" w:hAnsi="Arial"/>
                <w:sz w:val="13"/>
                <w:szCs w:val="13"/>
                <w:b w:val="1"/>
                <w:bCs w:val="1"/>
                <w:color w:val="auto"/>
                <w:w w:val="90"/>
              </w:rPr>
              <w:t>Sales price</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(in millions)</w:t>
            </w: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 March 2006</w:t>
            </w:r>
          </w:p>
        </w:tc>
        <w:tc>
          <w:tcPr>
            <w:tcW w:w="2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Santana Row condominiums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San Jose, CA</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0"/>
              </w:rPr>
              <w:t>49 units</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2"/>
            <w:vMerge w:val="restart"/>
          </w:tcPr>
          <w:p>
            <w:pPr>
              <w:ind w:left="4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4900 Hampden Lane is a fully-leased retail parcel adjacent to Betheseda Row and is included in Bethesda Row on the Real Estate Status Report.</w:t>
      </w:r>
    </w:p>
    <w:p>
      <w:pPr>
        <w:sectPr>
          <w:pgSz w:w="11900" w:h="16838" w:orient="portrait"/>
          <w:cols w:equalWidth="0" w:num="1">
            <w:col w:w="11420"/>
          </w:cols>
          <w:pgMar w:left="240" w:top="273" w:right="239" w:bottom="1440" w:gutter="0" w:footer="0" w:header="0"/>
        </w:sectPr>
      </w:pPr>
    </w:p>
    <w:bookmarkStart w:id="21" w:name="page22"/>
    <w:bookmarkEnd w:id="2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79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10"/>
            <w:vMerge w:val="restart"/>
          </w:tcPr>
          <w:p>
            <w:pPr>
              <w:spacing w:after="0"/>
              <w:rPr>
                <w:sz w:val="20"/>
                <w:szCs w:val="20"/>
                <w:color w:val="auto"/>
              </w:rPr>
            </w:pPr>
            <w:r>
              <w:rPr>
                <w:rFonts w:ascii="Arial" w:cs="Arial" w:eastAsia="Arial" w:hAnsi="Arial"/>
                <w:sz w:val="13"/>
                <w:szCs w:val="13"/>
                <w:b w:val="1"/>
                <w:bCs w:val="1"/>
                <w:color w:val="auto"/>
              </w:rPr>
              <w:t>Property</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Mortgage or</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Grocery</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Year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1"/>
                <w:szCs w:val="11"/>
                <w:color w:val="auto"/>
              </w:rPr>
            </w:pPr>
          </w:p>
        </w:tc>
        <w:tc>
          <w:tcPr>
            <w:tcW w:w="8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Capital Lease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Average</w:t>
            </w: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6"/>
              </w:rPr>
              <w:t>Anchor</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00" w:type="dxa"/>
            <w:vAlign w:val="bottom"/>
            <w:gridSpan w:val="10"/>
          </w:tcPr>
          <w:p>
            <w:pPr>
              <w:spacing w:after="0"/>
              <w:rPr>
                <w:sz w:val="20"/>
                <w:szCs w:val="20"/>
                <w:color w:val="auto"/>
              </w:rPr>
            </w:pPr>
            <w:r>
              <w:rPr>
                <w:rFonts w:ascii="Arial" w:cs="Arial" w:eastAsia="Arial" w:hAnsi="Arial"/>
                <w:sz w:val="13"/>
                <w:szCs w:val="13"/>
                <w:b w:val="1"/>
                <w:bCs w:val="1"/>
                <w:color w:val="auto"/>
              </w:rPr>
              <w:t>Name</w:t>
            </w: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5"/>
              </w:rPr>
              <w:t>Acquired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Obligation</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 (1)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 Leased</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 Occupied (2)</w:t>
            </w:r>
          </w:p>
        </w:tc>
        <w:tc>
          <w:tcPr>
            <w:tcW w:w="4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0"/>
              </w:rPr>
              <w:t>Rent PSF (3)</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GLA (4)</w:t>
            </w:r>
          </w:p>
        </w:tc>
        <w:tc>
          <w:tcPr>
            <w:tcW w:w="8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3"/>
                <w:szCs w:val="13"/>
                <w:b w:val="1"/>
                <w:bCs w:val="1"/>
                <w:color w:val="auto"/>
                <w:w w:val="95"/>
              </w:rPr>
              <w:t>Grocery Anchor (4) Other Principal Tenants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tcBorders>
              <w:bottom w:val="single" w:sz="8" w:color="auto"/>
            </w:tcBorders>
            <w:gridSpan w:val="5"/>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0"/>
              </w:rPr>
              <w:t>East Region</w:t>
            </w:r>
          </w:p>
        </w:tc>
        <w:tc>
          <w:tcPr>
            <w:tcW w:w="480" w:type="dxa"/>
            <w:vAlign w:val="bottom"/>
            <w:tcBorders>
              <w:bottom w:val="single" w:sz="8" w:color="CCEEFF"/>
            </w:tcBorders>
            <w:gridSpan w:val="4"/>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Borders>
              <w:bottom w:val="single" w:sz="8" w:color="auto"/>
            </w:tcBorders>
            <w:gridSpan w:val="4"/>
          </w:tcPr>
          <w:p>
            <w:pPr>
              <w:spacing w:after="0" w:line="128" w:lineRule="exact"/>
              <w:rPr>
                <w:sz w:val="20"/>
                <w:szCs w:val="20"/>
                <w:color w:val="auto"/>
              </w:rPr>
            </w:pPr>
            <w:r>
              <w:rPr>
                <w:rFonts w:ascii="Arial" w:cs="Arial" w:eastAsia="Arial" w:hAnsi="Arial"/>
                <w:sz w:val="13"/>
                <w:szCs w:val="13"/>
                <w:b w:val="1"/>
                <w:bCs w:val="1"/>
                <w:color w:val="auto"/>
                <w:w w:val="88"/>
              </w:rPr>
              <w:t>Washington</w:t>
            </w:r>
          </w:p>
        </w:tc>
        <w:tc>
          <w:tcPr>
            <w:tcW w:w="500" w:type="dxa"/>
            <w:vAlign w:val="bottom"/>
            <w:gridSpan w:val="5"/>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8"/>
          </w:tcPr>
          <w:p>
            <w:pPr>
              <w:spacing w:after="0" w:line="128" w:lineRule="exact"/>
              <w:rPr>
                <w:sz w:val="20"/>
                <w:szCs w:val="20"/>
                <w:color w:val="auto"/>
              </w:rPr>
            </w:pPr>
            <w:r>
              <w:rPr>
                <w:rFonts w:ascii="Arial" w:cs="Arial" w:eastAsia="Arial" w:hAnsi="Arial"/>
                <w:sz w:val="13"/>
                <w:szCs w:val="13"/>
                <w:b w:val="1"/>
                <w:bCs w:val="1"/>
                <w:color w:val="auto"/>
              </w:rPr>
              <w:t>Metropolitan</w:t>
            </w: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gridSpan w:val="7"/>
          </w:tcPr>
          <w:p>
            <w:pPr>
              <w:spacing w:after="0" w:line="128" w:lineRule="exact"/>
              <w:rPr>
                <w:sz w:val="20"/>
                <w:szCs w:val="20"/>
                <w:color w:val="auto"/>
              </w:rPr>
            </w:pPr>
            <w:r>
              <w:rPr>
                <w:rFonts w:ascii="Arial" w:cs="Arial" w:eastAsia="Arial" w:hAnsi="Arial"/>
                <w:sz w:val="13"/>
                <w:szCs w:val="13"/>
                <w:b w:val="1"/>
                <w:bCs w:val="1"/>
                <w:color w:val="auto"/>
              </w:rPr>
              <w:t>Area</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180" w:type="dxa"/>
            <w:vAlign w:val="bottom"/>
            <w:gridSpan w:val="9"/>
            <w:shd w:val="clear" w:color="auto" w:fill="CCEEFF"/>
          </w:tcPr>
          <w:p>
            <w:pPr>
              <w:spacing w:after="0" w:line="131" w:lineRule="exact"/>
              <w:rPr>
                <w:sz w:val="20"/>
                <w:szCs w:val="20"/>
                <w:color w:val="auto"/>
              </w:rPr>
            </w:pPr>
            <w:r>
              <w:rPr>
                <w:rFonts w:ascii="Arial" w:cs="Arial" w:eastAsia="Arial" w:hAnsi="Arial"/>
                <w:sz w:val="13"/>
                <w:szCs w:val="13"/>
                <w:color w:val="auto"/>
              </w:rPr>
              <w:t>Bethesda Row (5)</w:t>
            </w:r>
          </w:p>
        </w:tc>
        <w:tc>
          <w:tcPr>
            <w:tcW w:w="144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1993-2006</w:t>
            </w:r>
          </w:p>
        </w:tc>
        <w:tc>
          <w:tcPr>
            <w:tcW w:w="1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96,147</w:t>
            </w:r>
          </w:p>
        </w:tc>
        <w:tc>
          <w:tcPr>
            <w:tcW w:w="1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12,576</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476,000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98%</w:t>
            </w:r>
          </w:p>
        </w:tc>
        <w:tc>
          <w:tcPr>
            <w:tcW w:w="10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98%</w:t>
            </w:r>
          </w:p>
        </w:tc>
        <w:tc>
          <w:tcPr>
            <w:tcW w:w="1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35.11</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40,000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Landmark Theater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w w:val="98"/>
              </w:rPr>
              <w:t>Washington Sports Club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w w:val="97"/>
              </w:rPr>
              <w:t>Congressional Plaza</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1965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68,483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338,000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27.57</w:t>
            </w:r>
          </w:p>
        </w:tc>
        <w:tc>
          <w:tcPr>
            <w:tcW w:w="6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28,000</w:t>
            </w:r>
          </w:p>
        </w:tc>
        <w:tc>
          <w:tcPr>
            <w:tcW w:w="8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color w:val="auto"/>
              </w:rPr>
              <w:t>Whole Foods</w:t>
            </w: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Buy Buy Baby /</w:t>
            </w:r>
          </w:p>
        </w:tc>
        <w:tc>
          <w:tcPr>
            <w:tcW w:w="0" w:type="dxa"/>
            <w:vAlign w:val="bottom"/>
          </w:tcPr>
          <w:p>
            <w:pPr>
              <w:spacing w:after="0"/>
              <w:rPr>
                <w:sz w:val="1"/>
                <w:szCs w:val="1"/>
                <w:color w:val="auto"/>
              </w:rPr>
            </w:pPr>
          </w:p>
        </w:tc>
      </w:tr>
      <w:tr>
        <w:trPr>
          <w:trHeight w:val="148"/>
        </w:trPr>
        <w:tc>
          <w:tcPr>
            <w:tcW w:w="50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w w:val="99"/>
              </w:rPr>
              <w:t>Container Store / Tower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Records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Courthouse Center</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4,596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15.65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Falls Plaza</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8,165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73,000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23.64</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51,000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Giant Food</w:t>
            </w: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Falls Plaza-East</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24.19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Federal Plaza</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62,231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34,550</w:t>
            </w: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247,000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26.32</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TJ Maxx / CompUSA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Friendship Center</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2001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33,309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119,000</w:t>
            </w: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23.38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Borders / Linens ‘n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Things / Maggiano’s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w w:val="96"/>
              </w:rPr>
              <w:t>Gaithersburg Square</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23,799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196,000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98%</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20.06</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Borders / 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Idylwood Plaza</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15,088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73,000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34.58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Whole Foods</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Laurel</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46,060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387,000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98%</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16.26</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Giant Food</w:t>
            </w: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Leesburg Plaza (7)</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29,997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9,849</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236,000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92%</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17.55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Champion Billiards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Petsmart / Pier One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Loehmann’s Plaza</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24,266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250,000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19.34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Bally’s / Loehmann’s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Mid-Pike Plaza (8)</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17,786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10,041</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21.41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Linens ’n Things / Toys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 Us / Bally’s / AC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Moore / Filene’s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Basement</w:t>
            </w:r>
          </w:p>
        </w:tc>
        <w:tc>
          <w:tcPr>
            <w:tcW w:w="0" w:type="dxa"/>
            <w:vAlign w:val="bottom"/>
          </w:tcPr>
          <w:p>
            <w:pPr>
              <w:spacing w:after="0"/>
              <w:rPr>
                <w:sz w:val="1"/>
                <w:szCs w:val="1"/>
                <w:color w:val="auto"/>
              </w:rPr>
            </w:pPr>
          </w:p>
        </w:tc>
      </w:tr>
      <w:tr>
        <w:trPr>
          <w:trHeight w:val="245"/>
        </w:trPr>
        <w:tc>
          <w:tcPr>
            <w:tcW w:w="1200" w:type="dxa"/>
            <w:vAlign w:val="bottom"/>
            <w:gridSpan w:val="10"/>
          </w:tcPr>
          <w:p>
            <w:pPr>
              <w:spacing w:after="0"/>
              <w:rPr>
                <w:sz w:val="20"/>
                <w:szCs w:val="20"/>
                <w:color w:val="auto"/>
              </w:rPr>
            </w:pPr>
            <w:r>
              <w:rPr>
                <w:rFonts w:ascii="Arial" w:cs="Arial" w:eastAsia="Arial" w:hAnsi="Arial"/>
                <w:sz w:val="13"/>
                <w:szCs w:val="13"/>
                <w:color w:val="auto"/>
              </w:rPr>
              <w:t>Mount Vernon (7)</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2003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42,707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12,485</w:t>
            </w: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279,000</w:t>
            </w:r>
          </w:p>
        </w:tc>
        <w:tc>
          <w:tcPr>
            <w:tcW w:w="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17.82</w:t>
            </w:r>
          </w:p>
        </w:tc>
        <w:tc>
          <w:tcPr>
            <w:tcW w:w="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54,000</w:t>
            </w:r>
          </w:p>
        </w:tc>
        <w:tc>
          <w:tcPr>
            <w:tcW w:w="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Shoppers Food</w:t>
            </w:r>
          </w:p>
        </w:tc>
        <w:tc>
          <w:tcPr>
            <w:tcW w:w="6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Warehouse</w:t>
            </w: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Old Keene Mill</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24.13</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24,000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Whole Foods</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Pan Am</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27,138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227,000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15.60</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63,000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Safeway</w:t>
            </w: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Pentagon Row</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87,387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296,000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31.01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Harris Teeter</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Bally’s / Bed, Bath &amp;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Beyond / DSW / Cost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Plus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Pike 7</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33,712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164,000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27.56</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Staples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Tower Records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Quince Orchard</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252,000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24,000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Magruders</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Rockville Town</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N/A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4,954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N/A</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N/</w:t>
            </w:r>
          </w:p>
        </w:tc>
        <w:tc>
          <w:tcPr>
            <w:tcW w:w="104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N/A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8"/>
          </w:tcPr>
          <w:p>
            <w:pPr>
              <w:spacing w:after="0"/>
              <w:rPr>
                <w:sz w:val="20"/>
                <w:szCs w:val="20"/>
                <w:color w:val="auto"/>
              </w:rPr>
            </w:pPr>
            <w:r>
              <w:rPr>
                <w:rFonts w:ascii="Arial" w:cs="Arial" w:eastAsia="Arial" w:hAnsi="Arial"/>
                <w:sz w:val="13"/>
                <w:szCs w:val="13"/>
                <w:color w:val="auto"/>
              </w:rPr>
              <w:t>Square (9)</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A</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Rollingwood</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1971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N/A</w:t>
            </w: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93%</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8"/>
            <w:shd w:val="clear" w:color="auto" w:fill="CCEEFF"/>
          </w:tcPr>
          <w:p>
            <w:pPr>
              <w:spacing w:after="0"/>
              <w:rPr>
                <w:sz w:val="20"/>
                <w:szCs w:val="20"/>
                <w:color w:val="auto"/>
              </w:rPr>
            </w:pPr>
            <w:r>
              <w:rPr>
                <w:rFonts w:ascii="Arial" w:cs="Arial" w:eastAsia="Arial" w:hAnsi="Arial"/>
                <w:sz w:val="13"/>
                <w:szCs w:val="13"/>
                <w:color w:val="auto"/>
              </w:rPr>
              <w:t>Apartments</w:t>
            </w: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Sam’s Park &amp; Shop</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12,170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49,000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34.15</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South Valley (7)</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21,678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221,000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95%</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8.53</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Home Depot / TJ Maxx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Tower</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18,988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109,000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20.41</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Virginia Fine Wine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Tyson’s Station</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6,471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97%</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33.42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w w:val="97"/>
              </w:rPr>
              <w:t>Village at Shirlington</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34,665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201,000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24.88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w w:val="95"/>
              </w:rPr>
              <w:t>Cineplex Odeon / Carlyle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Grand Café</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Wildwood</w:t>
            </w:r>
          </w:p>
        </w:tc>
        <w:tc>
          <w:tcPr>
            <w:tcW w:w="14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26,823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62.99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20,000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Balducci’s</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w w:val="96"/>
              </w:rPr>
              <w:t>7770 Richmond Hwy</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Washington, DC-MD-VA</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2006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10,020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61,000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11.29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Gold’s Gym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b w:val="1"/>
                <w:bCs w:val="1"/>
                <w:color w:val="auto"/>
              </w:rPr>
              <w:t>Total Washington</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779,720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4,899,000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98%</w:t>
            </w:r>
          </w:p>
        </w:tc>
        <w:tc>
          <w:tcPr>
            <w:tcW w:w="10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23.68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Metropolitan Area</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00" w:type="dxa"/>
            <w:vAlign w:val="bottom"/>
            <w:gridSpan w:val="10"/>
          </w:tcPr>
          <w:p>
            <w:pPr>
              <w:spacing w:after="0"/>
              <w:rPr>
                <w:sz w:val="20"/>
                <w:szCs w:val="20"/>
                <w:color w:val="auto"/>
              </w:rPr>
            </w:pPr>
            <w:r>
              <w:rPr>
                <w:rFonts w:ascii="Arial" w:cs="Arial" w:eastAsia="Arial" w:hAnsi="Arial"/>
                <w:sz w:val="13"/>
                <w:szCs w:val="13"/>
                <w:b w:val="1"/>
                <w:bCs w:val="1"/>
                <w:color w:val="auto"/>
              </w:rPr>
              <w:t>New York / New</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6"/>
          </w:tcPr>
          <w:p>
            <w:pPr>
              <w:spacing w:after="0" w:line="128" w:lineRule="exact"/>
              <w:rPr>
                <w:sz w:val="20"/>
                <w:szCs w:val="20"/>
                <w:color w:val="auto"/>
              </w:rPr>
            </w:pPr>
            <w:r>
              <w:rPr>
                <w:rFonts w:ascii="Arial" w:cs="Arial" w:eastAsia="Arial" w:hAnsi="Arial"/>
                <w:sz w:val="13"/>
                <w:szCs w:val="13"/>
                <w:b w:val="1"/>
                <w:bCs w:val="1"/>
                <w:color w:val="auto"/>
              </w:rPr>
              <w:t>Jersey</w:t>
            </w:r>
          </w:p>
        </w:tc>
        <w:tc>
          <w:tcPr>
            <w:tcW w:w="2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1180" w:type="dxa"/>
            <w:vAlign w:val="bottom"/>
            <w:gridSpan w:val="9"/>
            <w:shd w:val="clear" w:color="auto" w:fill="CCEEFF"/>
          </w:tcPr>
          <w:p>
            <w:pPr>
              <w:spacing w:after="0" w:line="142" w:lineRule="exact"/>
              <w:rPr>
                <w:sz w:val="20"/>
                <w:szCs w:val="20"/>
                <w:color w:val="auto"/>
              </w:rPr>
            </w:pPr>
            <w:r>
              <w:rPr>
                <w:rFonts w:ascii="Arial" w:cs="Arial" w:eastAsia="Arial" w:hAnsi="Arial"/>
                <w:sz w:val="13"/>
                <w:szCs w:val="13"/>
                <w:color w:val="auto"/>
              </w:rPr>
              <w:t>Allwood (8)</w:t>
            </w:r>
          </w:p>
        </w:tc>
        <w:tc>
          <w:tcPr>
            <w:tcW w:w="14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3"/>
                <w:szCs w:val="13"/>
                <w:color w:val="auto"/>
              </w:rPr>
              <w:t>Bergen-Passaic, NJ</w:t>
            </w: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3,058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22.00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Stop &amp; Shop</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Blue Star (8)</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Middlesex-Somerset-</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36,675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23,341</w:t>
            </w: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410,000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11.28</w:t>
            </w: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43,000</w:t>
            </w:r>
          </w:p>
        </w:tc>
        <w:tc>
          <w:tcPr>
            <w:tcW w:w="8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Kohl’s / Michaels / Toys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Hunterdon, NJ</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R Us / Marshalls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Brick Plaza</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Monmouth-Ocean, NJ</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55,779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31,985</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14.10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66,000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A&amp;P</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9"/>
              </w:rPr>
              <w:t>Loews Theatre / Barnes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&amp; Noble / Sports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Authority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Brunswick (8)</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Middlesex-Somerset-</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22,381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9,717</w:t>
            </w: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303,000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96%</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11.52</w:t>
            </w: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55,000</w:t>
            </w:r>
          </w:p>
        </w:tc>
        <w:tc>
          <w:tcPr>
            <w:tcW w:w="8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color w:val="auto"/>
              </w:rPr>
              <w:t>A&amp;P</w:t>
            </w: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w w:val="96"/>
              </w:rPr>
              <w:t>A.J. Wright / L.A. Fitness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Hunterdon, NJ</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Clifton (8)</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Bergen-Passaic, NJ</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2,844</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15.20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Drug Fair / Dollar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Express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Forest Hills</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New York, NY</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24,036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85,000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32.38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w w:val="97"/>
              </w:rPr>
              <w:t>Midway Theatre / Duane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Reade / Gap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Fresh Meadows</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New York, NY</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66,094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403,000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95%</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22.54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Filene’s Basement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w w:val="98"/>
              </w:rPr>
              <w:t>Kohl’s / Cineplex Odeon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Greenlawn Plaza</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2000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11,981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102,000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14.69</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46,000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Waldbaum’s</w:t>
            </w: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Hamilton (8)</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Trenton, NJ</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7,733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4,216</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190,000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94%</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8.72</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Shop Rite</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AC Moore / Stevens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Hauppauge</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26,774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16,230</w:t>
            </w:r>
          </w:p>
        </w:tc>
        <w:tc>
          <w:tcPr>
            <w:tcW w:w="6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131,000</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21.15</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Huntington (8)</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Nassau-Suffolk, NY</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21,072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12,478</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17.85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Buy Buy Baby / Toys 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5"/>
              </w:rPr>
              <w:t>Us / Bed, Bath &amp; Beyond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 Barnes &amp; Noble</w:t>
            </w:r>
          </w:p>
        </w:tc>
        <w:tc>
          <w:tcPr>
            <w:tcW w:w="0" w:type="dxa"/>
            <w:vAlign w:val="bottom"/>
          </w:tcPr>
          <w:p>
            <w:pPr>
              <w:spacing w:after="0"/>
              <w:rPr>
                <w:sz w:val="1"/>
                <w:szCs w:val="1"/>
                <w:color w:val="auto"/>
              </w:rPr>
            </w:pPr>
          </w:p>
        </w:tc>
      </w:tr>
      <w:tr>
        <w:trPr>
          <w:trHeight w:val="245"/>
        </w:trPr>
        <w:tc>
          <w:tcPr>
            <w:tcW w:w="1200" w:type="dxa"/>
            <w:vAlign w:val="bottom"/>
            <w:gridSpan w:val="10"/>
          </w:tcPr>
          <w:p>
            <w:pPr>
              <w:spacing w:after="0"/>
              <w:rPr>
                <w:sz w:val="20"/>
                <w:szCs w:val="20"/>
                <w:color w:val="auto"/>
              </w:rPr>
            </w:pPr>
            <w:r>
              <w:rPr>
                <w:rFonts w:ascii="Arial" w:cs="Arial" w:eastAsia="Arial" w:hAnsi="Arial"/>
                <w:sz w:val="13"/>
                <w:szCs w:val="13"/>
                <w:color w:val="auto"/>
              </w:rPr>
              <w:t>Mercer Mall (8)</w:t>
            </w:r>
          </w:p>
        </w:tc>
        <w:tc>
          <w:tcPr>
            <w:tcW w:w="1440" w:type="dxa"/>
            <w:vAlign w:val="bottom"/>
            <w:gridSpan w:val="2"/>
          </w:tcPr>
          <w:p>
            <w:pPr>
              <w:ind w:left="60"/>
              <w:spacing w:after="0"/>
              <w:rPr>
                <w:sz w:val="20"/>
                <w:szCs w:val="20"/>
                <w:color w:val="auto"/>
              </w:rPr>
            </w:pPr>
            <w:r>
              <w:rPr>
                <w:rFonts w:ascii="Arial" w:cs="Arial" w:eastAsia="Arial" w:hAnsi="Arial"/>
                <w:sz w:val="13"/>
                <w:szCs w:val="13"/>
                <w:color w:val="auto"/>
              </w:rPr>
              <w:t>Trenton, NJ</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2003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98,038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58,644</w:t>
            </w:r>
          </w:p>
        </w:tc>
        <w:tc>
          <w:tcPr>
            <w:tcW w:w="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499,000</w:t>
            </w:r>
          </w:p>
        </w:tc>
        <w:tc>
          <w:tcPr>
            <w:tcW w:w="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91%</w:t>
            </w:r>
          </w:p>
        </w:tc>
        <w:tc>
          <w:tcPr>
            <w:tcW w:w="1040" w:type="dxa"/>
            <w:vAlign w:val="bottom"/>
            <w:gridSpan w:val="2"/>
          </w:tcPr>
          <w:p>
            <w:pPr>
              <w:jc w:val="right"/>
              <w:ind w:right="20"/>
              <w:spacing w:after="0"/>
              <w:rPr>
                <w:sz w:val="20"/>
                <w:szCs w:val="20"/>
                <w:color w:val="auto"/>
              </w:rPr>
            </w:pPr>
            <w:r>
              <w:rPr>
                <w:rFonts w:ascii="Arial" w:cs="Arial" w:eastAsia="Arial" w:hAnsi="Arial"/>
                <w:sz w:val="13"/>
                <w:szCs w:val="13"/>
                <w:color w:val="auto"/>
              </w:rPr>
              <w:t>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18.23</w:t>
            </w:r>
          </w:p>
        </w:tc>
        <w:tc>
          <w:tcPr>
            <w:tcW w:w="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75,000</w:t>
            </w:r>
          </w:p>
        </w:tc>
        <w:tc>
          <w:tcPr>
            <w:tcW w:w="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Shop Rite</w:t>
            </w:r>
          </w:p>
        </w:tc>
        <w:tc>
          <w:tcPr>
            <w:tcW w:w="6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DSW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Raymour &amp; Flanigan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Rutgers (8)</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Middlesex-Somerset-</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11,256</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267,000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Stop &amp; Shop</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Hunterdon, NJ</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Troy</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Newark, NJ</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20,143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202,000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93%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16.52</w:t>
            </w:r>
          </w:p>
        </w:tc>
        <w:tc>
          <w:tcPr>
            <w:tcW w:w="6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64,000</w:t>
            </w:r>
          </w:p>
        </w:tc>
        <w:tc>
          <w:tcPr>
            <w:tcW w:w="8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color w:val="auto"/>
              </w:rPr>
              <w:t>Pathmark</w:t>
            </w: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w w:val="97"/>
              </w:rPr>
              <w:t>AC Moore / Comp USA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b w:val="1"/>
                <w:bCs w:val="1"/>
                <w:color w:val="auto"/>
              </w:rPr>
              <w:t>Total New York / New</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414,732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3,410,000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97%</w:t>
            </w:r>
          </w:p>
        </w:tc>
        <w:tc>
          <w:tcPr>
            <w:tcW w:w="10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15.72</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Jersey</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00" w:type="dxa"/>
            <w:vAlign w:val="bottom"/>
            <w:gridSpan w:val="10"/>
          </w:tcPr>
          <w:p>
            <w:pPr>
              <w:spacing w:after="0"/>
              <w:rPr>
                <w:sz w:val="20"/>
                <w:szCs w:val="20"/>
                <w:color w:val="auto"/>
              </w:rPr>
            </w:pPr>
            <w:r>
              <w:rPr>
                <w:rFonts w:ascii="Arial" w:cs="Arial" w:eastAsia="Arial" w:hAnsi="Arial"/>
                <w:sz w:val="13"/>
                <w:szCs w:val="13"/>
                <w:b w:val="1"/>
                <w:bCs w:val="1"/>
                <w:color w:val="auto"/>
              </w:rPr>
              <w:t>Philadelphia</w:t>
            </w:r>
          </w:p>
        </w:tc>
        <w:tc>
          <w:tcPr>
            <w:tcW w:w="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gridSpan w:val="5"/>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8"/>
          </w:tcPr>
          <w:p>
            <w:pPr>
              <w:spacing w:after="0" w:line="128" w:lineRule="exact"/>
              <w:rPr>
                <w:sz w:val="20"/>
                <w:szCs w:val="20"/>
                <w:color w:val="auto"/>
              </w:rPr>
            </w:pPr>
            <w:r>
              <w:rPr>
                <w:rFonts w:ascii="Arial" w:cs="Arial" w:eastAsia="Arial" w:hAnsi="Arial"/>
                <w:sz w:val="13"/>
                <w:szCs w:val="13"/>
                <w:b w:val="1"/>
                <w:bCs w:val="1"/>
                <w:color w:val="auto"/>
              </w:rPr>
              <w:t>Metropolitan</w:t>
            </w: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gridSpan w:val="7"/>
          </w:tcPr>
          <w:p>
            <w:pPr>
              <w:spacing w:after="0" w:line="128" w:lineRule="exact"/>
              <w:rPr>
                <w:sz w:val="20"/>
                <w:szCs w:val="20"/>
                <w:color w:val="auto"/>
              </w:rPr>
            </w:pPr>
            <w:r>
              <w:rPr>
                <w:rFonts w:ascii="Arial" w:cs="Arial" w:eastAsia="Arial" w:hAnsi="Arial"/>
                <w:sz w:val="13"/>
                <w:szCs w:val="13"/>
                <w:b w:val="1"/>
                <w:bCs w:val="1"/>
                <w:color w:val="auto"/>
              </w:rPr>
              <w:t>Area</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180" w:type="dxa"/>
            <w:vAlign w:val="bottom"/>
            <w:gridSpan w:val="9"/>
            <w:shd w:val="clear" w:color="auto" w:fill="CCEEFF"/>
          </w:tcPr>
          <w:p>
            <w:pPr>
              <w:spacing w:after="0" w:line="131" w:lineRule="exact"/>
              <w:rPr>
                <w:sz w:val="20"/>
                <w:szCs w:val="20"/>
                <w:color w:val="auto"/>
              </w:rPr>
            </w:pPr>
            <w:r>
              <w:rPr>
                <w:rFonts w:ascii="Arial" w:cs="Arial" w:eastAsia="Arial" w:hAnsi="Arial"/>
                <w:sz w:val="13"/>
                <w:szCs w:val="13"/>
                <w:color w:val="auto"/>
              </w:rPr>
              <w:t>Andorra</w:t>
            </w:r>
          </w:p>
        </w:tc>
        <w:tc>
          <w:tcPr>
            <w:tcW w:w="1440" w:type="dxa"/>
            <w:vAlign w:val="bottom"/>
            <w:gridSpan w:val="2"/>
            <w:shd w:val="clear" w:color="auto" w:fill="CCEEFF"/>
          </w:tcPr>
          <w:p>
            <w:pPr>
              <w:ind w:left="60"/>
              <w:spacing w:after="0" w:line="131" w:lineRule="exact"/>
              <w:rPr>
                <w:sz w:val="20"/>
                <w:szCs w:val="20"/>
                <w:color w:val="auto"/>
              </w:rPr>
            </w:pPr>
            <w:r>
              <w:rPr>
                <w:rFonts w:ascii="Arial" w:cs="Arial" w:eastAsia="Arial" w:hAnsi="Arial"/>
                <w:sz w:val="13"/>
                <w:szCs w:val="13"/>
                <w:color w:val="auto"/>
              </w:rPr>
              <w:t>Philadelphia, PA-NJ</w:t>
            </w:r>
          </w:p>
        </w:tc>
        <w:tc>
          <w:tcPr>
            <w:tcW w:w="700" w:type="dxa"/>
            <w:vAlign w:val="bottom"/>
            <w:gridSpan w:val="3"/>
            <w:shd w:val="clear" w:color="auto" w:fill="CCEEFF"/>
          </w:tcPr>
          <w:p>
            <w:pPr>
              <w:jc w:val="right"/>
              <w:ind w:right="40"/>
              <w:spacing w:after="0" w:line="131"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23,002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267,000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99%</w:t>
            </w:r>
          </w:p>
        </w:tc>
        <w:tc>
          <w:tcPr>
            <w:tcW w:w="104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12.66</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24,000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Acme Markets</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Kohl’s / Staples / L.A.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tcPr>
          <w:p>
            <w:pPr>
              <w:spacing w:after="0" w:line="138" w:lineRule="exact"/>
              <w:rPr>
                <w:sz w:val="20"/>
                <w:szCs w:val="20"/>
                <w:color w:val="auto"/>
              </w:rPr>
            </w:pPr>
            <w:r>
              <w:rPr>
                <w:rFonts w:ascii="Arial" w:cs="Arial" w:eastAsia="Arial" w:hAnsi="Arial"/>
                <w:sz w:val="13"/>
                <w:szCs w:val="13"/>
                <w:color w:val="auto"/>
              </w:rPr>
              <w:t>Bala Cynwyd</w:t>
            </w:r>
          </w:p>
        </w:tc>
        <w:tc>
          <w:tcPr>
            <w:tcW w:w="14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Philadelphia, PA-NJ</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26,058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280,000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13.20</w:t>
            </w:r>
          </w:p>
        </w:tc>
        <w:tc>
          <w:tcPr>
            <w:tcW w:w="6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45,000</w:t>
            </w:r>
          </w:p>
        </w:tc>
        <w:tc>
          <w:tcPr>
            <w:tcW w:w="8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color w:val="auto"/>
              </w:rPr>
              <w:t>Acme Markets</w:t>
            </w:r>
          </w:p>
        </w:tc>
        <w:tc>
          <w:tcPr>
            <w:tcW w:w="6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3"/>
                <w:szCs w:val="13"/>
                <w:color w:val="auto"/>
              </w:rPr>
              <w:t>Lord &amp; Taylor / L.A.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80" w:type="dxa"/>
            <w:vAlign w:val="bottom"/>
            <w:gridSpan w:val="9"/>
            <w:shd w:val="clear" w:color="auto" w:fill="CCEEFF"/>
          </w:tcPr>
          <w:p>
            <w:pPr>
              <w:spacing w:after="0" w:line="138" w:lineRule="exact"/>
              <w:rPr>
                <w:sz w:val="20"/>
                <w:szCs w:val="20"/>
                <w:color w:val="auto"/>
              </w:rPr>
            </w:pPr>
            <w:r>
              <w:rPr>
                <w:rFonts w:ascii="Arial" w:cs="Arial" w:eastAsia="Arial" w:hAnsi="Arial"/>
                <w:sz w:val="13"/>
                <w:szCs w:val="13"/>
                <w:color w:val="auto"/>
              </w:rPr>
              <w:t>Ellisburg Circle</w:t>
            </w:r>
          </w:p>
        </w:tc>
        <w:tc>
          <w:tcPr>
            <w:tcW w:w="14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Philadelphia, PA-NJ</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1992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29,077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267,000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13.55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47,000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Genuardi’s</w:t>
            </w: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9"/>
          </w:tcPr>
          <w:p>
            <w:pPr>
              <w:spacing w:after="0" w:line="148" w:lineRule="exact"/>
              <w:rPr>
                <w:sz w:val="20"/>
                <w:szCs w:val="20"/>
                <w:color w:val="auto"/>
              </w:rPr>
            </w:pPr>
            <w:r>
              <w:rPr>
                <w:rFonts w:ascii="Arial" w:cs="Arial" w:eastAsia="Arial" w:hAnsi="Arial"/>
                <w:sz w:val="13"/>
                <w:szCs w:val="13"/>
                <w:color w:val="auto"/>
              </w:rPr>
              <w:t>Feasterville</w:t>
            </w:r>
          </w:p>
        </w:tc>
        <w:tc>
          <w:tcPr>
            <w:tcW w:w="144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70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11,634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111,000</w:t>
            </w:r>
          </w:p>
        </w:tc>
        <w:tc>
          <w:tcPr>
            <w:tcW w:w="7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97%</w:t>
            </w: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12.80</w:t>
            </w:r>
          </w:p>
        </w:tc>
        <w:tc>
          <w:tcPr>
            <w:tcW w:w="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53,000</w:t>
            </w:r>
          </w:p>
        </w:tc>
        <w:tc>
          <w:tcPr>
            <w:tcW w:w="80" w:type="dxa"/>
            <w:vAlign w:val="bottom"/>
          </w:tcPr>
          <w:p>
            <w:pPr>
              <w:spacing w:after="0"/>
              <w:rPr>
                <w:sz w:val="12"/>
                <w:szCs w:val="12"/>
                <w:color w:val="auto"/>
              </w:rPr>
            </w:pPr>
          </w:p>
        </w:tc>
        <w:tc>
          <w:tcPr>
            <w:tcW w:w="1120" w:type="dxa"/>
            <w:vAlign w:val="bottom"/>
          </w:tcPr>
          <w:p>
            <w:pPr>
              <w:spacing w:after="0" w:line="148" w:lineRule="exact"/>
              <w:rPr>
                <w:sz w:val="20"/>
                <w:szCs w:val="20"/>
                <w:color w:val="auto"/>
              </w:rPr>
            </w:pPr>
            <w:r>
              <w:rPr>
                <w:rFonts w:ascii="Arial" w:cs="Arial" w:eastAsia="Arial" w:hAnsi="Arial"/>
                <w:sz w:val="13"/>
                <w:szCs w:val="13"/>
                <w:color w:val="auto"/>
              </w:rPr>
              <w:t>Genuardi’s</w:t>
            </w:r>
          </w:p>
        </w:tc>
        <w:tc>
          <w:tcPr>
            <w:tcW w:w="60" w:type="dxa"/>
            <w:vAlign w:val="bottom"/>
          </w:tcPr>
          <w:p>
            <w:pPr>
              <w:spacing w:after="0"/>
              <w:rPr>
                <w:sz w:val="12"/>
                <w:szCs w:val="12"/>
                <w:color w:val="auto"/>
              </w:rPr>
            </w:pPr>
          </w:p>
        </w:tc>
        <w:tc>
          <w:tcPr>
            <w:tcW w:w="1400" w:type="dxa"/>
            <w:vAlign w:val="bottom"/>
          </w:tcPr>
          <w:p>
            <w:pPr>
              <w:spacing w:after="0" w:line="148"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273" w:right="1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Flourtown</w:t>
            </w: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Philadelphia, PA-NJ</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1980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9,238</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w:t>
            </w:r>
          </w:p>
        </w:tc>
        <w:tc>
          <w:tcPr>
            <w:tcW w:w="1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Genuardi’s</w:t>
            </w: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tcPr>
          <w:p>
            <w:pPr>
              <w:spacing w:after="0" w:line="138" w:lineRule="exact"/>
              <w:rPr>
                <w:sz w:val="20"/>
                <w:szCs w:val="20"/>
                <w:color w:val="auto"/>
              </w:rPr>
            </w:pPr>
            <w:r>
              <w:rPr>
                <w:rFonts w:ascii="Arial" w:cs="Arial" w:eastAsia="Arial" w:hAnsi="Arial"/>
                <w:sz w:val="13"/>
                <w:szCs w:val="13"/>
                <w:color w:val="auto"/>
              </w:rPr>
              <w:t>Langhorne Square</w:t>
            </w:r>
          </w:p>
        </w:tc>
        <w:tc>
          <w:tcPr>
            <w:tcW w:w="1320" w:type="dxa"/>
            <w:vAlign w:val="bottom"/>
          </w:tcPr>
          <w:p>
            <w:pPr>
              <w:ind w:left="40"/>
              <w:spacing w:after="0" w:line="138" w:lineRule="exact"/>
              <w:rPr>
                <w:sz w:val="20"/>
                <w:szCs w:val="20"/>
                <w:color w:val="auto"/>
              </w:rPr>
            </w:pPr>
            <w:r>
              <w:rPr>
                <w:rFonts w:ascii="Arial" w:cs="Arial" w:eastAsia="Arial" w:hAnsi="Arial"/>
                <w:sz w:val="13"/>
                <w:szCs w:val="13"/>
                <w:color w:val="auto"/>
              </w:rPr>
              <w:t>Philadelphia, PA-NJ</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1985</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17,891</w:t>
            </w:r>
          </w:p>
        </w:tc>
        <w:tc>
          <w:tcPr>
            <w:tcW w:w="9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216,000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89%</w:t>
            </w:r>
          </w:p>
        </w:tc>
        <w:tc>
          <w:tcPr>
            <w:tcW w:w="10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89%</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13.77</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55,000</w:t>
            </w:r>
          </w:p>
        </w:tc>
        <w:tc>
          <w:tcPr>
            <w:tcW w:w="1200" w:type="dxa"/>
            <w:vAlign w:val="bottom"/>
          </w:tcPr>
          <w:p>
            <w:pPr>
              <w:ind w:left="40"/>
              <w:spacing w:after="0" w:line="138" w:lineRule="exact"/>
              <w:rPr>
                <w:sz w:val="20"/>
                <w:szCs w:val="20"/>
                <w:color w:val="auto"/>
              </w:rPr>
            </w:pPr>
            <w:r>
              <w:rPr>
                <w:rFonts w:ascii="Arial" w:cs="Arial" w:eastAsia="Arial" w:hAnsi="Arial"/>
                <w:sz w:val="13"/>
                <w:szCs w:val="13"/>
                <w:color w:val="auto"/>
                <w:w w:val="93"/>
              </w:rPr>
              <w:t>Redner’s Warehouse</w:t>
            </w:r>
          </w:p>
        </w:tc>
        <w:tc>
          <w:tcPr>
            <w:tcW w:w="1420" w:type="dxa"/>
            <w:vAlign w:val="bottom"/>
          </w:tcPr>
          <w:p>
            <w:pPr>
              <w:ind w:left="20"/>
              <w:spacing w:after="0" w:line="138"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Mkts.</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Lawrence Park</w:t>
            </w:r>
          </w:p>
        </w:tc>
        <w:tc>
          <w:tcPr>
            <w:tcW w:w="1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Philadelphia, PA-NJ</w:t>
            </w:r>
          </w:p>
        </w:tc>
        <w:tc>
          <w:tcPr>
            <w:tcW w:w="8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rPr>
              <w:t>1980</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28,406</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30,516</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354,000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10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16.24</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53,000</w:t>
            </w:r>
          </w:p>
        </w:tc>
        <w:tc>
          <w:tcPr>
            <w:tcW w:w="12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Acme Markets</w:t>
            </w:r>
          </w:p>
        </w:tc>
        <w:tc>
          <w:tcPr>
            <w:tcW w:w="1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CHI / TJ Maxx / CVS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tcPr>
          <w:p>
            <w:pPr>
              <w:spacing w:after="0" w:line="138" w:lineRule="exact"/>
              <w:rPr>
                <w:sz w:val="20"/>
                <w:szCs w:val="20"/>
                <w:color w:val="auto"/>
              </w:rPr>
            </w:pPr>
            <w:r>
              <w:rPr>
                <w:rFonts w:ascii="Arial" w:cs="Arial" w:eastAsia="Arial" w:hAnsi="Arial"/>
                <w:sz w:val="13"/>
                <w:szCs w:val="13"/>
                <w:color w:val="auto"/>
              </w:rPr>
              <w:t>Northeast</w:t>
            </w:r>
          </w:p>
        </w:tc>
        <w:tc>
          <w:tcPr>
            <w:tcW w:w="1320" w:type="dxa"/>
            <w:vAlign w:val="bottom"/>
          </w:tcPr>
          <w:p>
            <w:pPr>
              <w:ind w:left="40"/>
              <w:spacing w:after="0" w:line="138" w:lineRule="exact"/>
              <w:rPr>
                <w:sz w:val="20"/>
                <w:szCs w:val="20"/>
                <w:color w:val="auto"/>
              </w:rPr>
            </w:pPr>
            <w:r>
              <w:rPr>
                <w:rFonts w:ascii="Arial" w:cs="Arial" w:eastAsia="Arial" w:hAnsi="Arial"/>
                <w:sz w:val="13"/>
                <w:szCs w:val="13"/>
                <w:color w:val="auto"/>
              </w:rPr>
              <w:t>Philadelphia, PA-NJ</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1983</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22,116</w:t>
            </w:r>
          </w:p>
        </w:tc>
        <w:tc>
          <w:tcPr>
            <w:tcW w:w="9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287,000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92%</w:t>
            </w:r>
          </w:p>
        </w:tc>
        <w:tc>
          <w:tcPr>
            <w:tcW w:w="10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92%</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10.49</w:t>
            </w: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20" w:type="dxa"/>
            <w:vAlign w:val="bottom"/>
          </w:tcPr>
          <w:p>
            <w:pPr>
              <w:ind w:left="20"/>
              <w:spacing w:after="0" w:line="138" w:lineRule="exact"/>
              <w:rPr>
                <w:sz w:val="20"/>
                <w:szCs w:val="20"/>
                <w:color w:val="auto"/>
              </w:rPr>
            </w:pPr>
            <w:r>
              <w:rPr>
                <w:rFonts w:ascii="Arial" w:cs="Arial" w:eastAsia="Arial" w:hAnsi="Arial"/>
                <w:sz w:val="13"/>
                <w:szCs w:val="13"/>
                <w:color w:val="auto"/>
              </w:rPr>
              <w:t>Burlington Coat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ind w:left="20"/>
              <w:spacing w:after="0" w:line="148" w:lineRule="exact"/>
              <w:rPr>
                <w:sz w:val="20"/>
                <w:szCs w:val="20"/>
                <w:color w:val="auto"/>
              </w:rPr>
            </w:pPr>
            <w:r>
              <w:rPr>
                <w:rFonts w:ascii="Arial" w:cs="Arial" w:eastAsia="Arial" w:hAnsi="Arial"/>
                <w:sz w:val="13"/>
                <w:szCs w:val="13"/>
                <w:color w:val="auto"/>
              </w:rPr>
              <w:t>Marshalls / Tower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Records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Willow Grove</w:t>
            </w:r>
          </w:p>
        </w:tc>
        <w:tc>
          <w:tcPr>
            <w:tcW w:w="132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Philadelphia, PA-NJ</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1984</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26,547</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215,000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17.12</w:t>
            </w:r>
          </w:p>
        </w:tc>
        <w:tc>
          <w:tcPr>
            <w:tcW w:w="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tcPr>
          <w:p>
            <w:pPr>
              <w:spacing w:after="0" w:line="138" w:lineRule="exact"/>
              <w:rPr>
                <w:sz w:val="20"/>
                <w:szCs w:val="20"/>
                <w:color w:val="auto"/>
              </w:rPr>
            </w:pPr>
            <w:r>
              <w:rPr>
                <w:rFonts w:ascii="Arial" w:cs="Arial" w:eastAsia="Arial" w:hAnsi="Arial"/>
                <w:sz w:val="13"/>
                <w:szCs w:val="13"/>
                <w:color w:val="auto"/>
              </w:rPr>
              <w:t>Wynnewood</w:t>
            </w:r>
          </w:p>
        </w:tc>
        <w:tc>
          <w:tcPr>
            <w:tcW w:w="1320" w:type="dxa"/>
            <w:vAlign w:val="bottom"/>
          </w:tcPr>
          <w:p>
            <w:pPr>
              <w:ind w:left="40"/>
              <w:spacing w:after="0" w:line="138" w:lineRule="exact"/>
              <w:rPr>
                <w:sz w:val="20"/>
                <w:szCs w:val="20"/>
                <w:color w:val="auto"/>
              </w:rPr>
            </w:pPr>
            <w:r>
              <w:rPr>
                <w:rFonts w:ascii="Arial" w:cs="Arial" w:eastAsia="Arial" w:hAnsi="Arial"/>
                <w:sz w:val="13"/>
                <w:szCs w:val="13"/>
                <w:color w:val="auto"/>
              </w:rPr>
              <w:t>Philadelphia, PA-NJ</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1996</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35,616</w:t>
            </w:r>
          </w:p>
        </w:tc>
        <w:tc>
          <w:tcPr>
            <w:tcW w:w="940" w:type="dxa"/>
            <w:vAlign w:val="bottom"/>
          </w:tcPr>
          <w:p>
            <w:pPr>
              <w:jc w:val="right"/>
              <w:spacing w:after="0" w:line="138" w:lineRule="exact"/>
              <w:rPr>
                <w:sz w:val="20"/>
                <w:szCs w:val="20"/>
                <w:color w:val="auto"/>
              </w:rPr>
            </w:pPr>
            <w:r>
              <w:rPr>
                <w:rFonts w:ascii="Arial" w:cs="Arial" w:eastAsia="Arial" w:hAnsi="Arial"/>
                <w:sz w:val="13"/>
                <w:szCs w:val="13"/>
                <w:color w:val="auto"/>
              </w:rPr>
              <w:t>31,099</w:t>
            </w: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255,000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98%</w:t>
            </w:r>
          </w:p>
        </w:tc>
        <w:tc>
          <w:tcPr>
            <w:tcW w:w="10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98%</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22.14</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98,000</w:t>
            </w:r>
          </w:p>
        </w:tc>
        <w:tc>
          <w:tcPr>
            <w:tcW w:w="1200" w:type="dxa"/>
            <w:vAlign w:val="bottom"/>
          </w:tcPr>
          <w:p>
            <w:pPr>
              <w:ind w:left="40"/>
              <w:spacing w:after="0" w:line="138" w:lineRule="exact"/>
              <w:rPr>
                <w:sz w:val="20"/>
                <w:szCs w:val="20"/>
                <w:color w:val="auto"/>
              </w:rPr>
            </w:pPr>
            <w:r>
              <w:rPr>
                <w:rFonts w:ascii="Arial" w:cs="Arial" w:eastAsia="Arial" w:hAnsi="Arial"/>
                <w:sz w:val="13"/>
                <w:szCs w:val="13"/>
                <w:color w:val="auto"/>
              </w:rPr>
              <w:t>Genuardi’s</w:t>
            </w:r>
          </w:p>
        </w:tc>
        <w:tc>
          <w:tcPr>
            <w:tcW w:w="1420" w:type="dxa"/>
            <w:vAlign w:val="bottom"/>
          </w:tcPr>
          <w:p>
            <w:pPr>
              <w:ind w:left="20"/>
              <w:spacing w:after="0" w:line="138"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Arial" w:cs="Arial" w:eastAsia="Arial" w:hAnsi="Arial"/>
                <w:sz w:val="13"/>
                <w:szCs w:val="13"/>
                <w:color w:val="auto"/>
              </w:rPr>
              <w:t>Borders / Old Navy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b w:val="1"/>
                <w:bCs w:val="1"/>
                <w:color w:val="auto"/>
              </w:rPr>
              <w:t>Total Philadelphia</w:t>
            </w:r>
          </w:p>
        </w:tc>
        <w:tc>
          <w:tcPr>
            <w:tcW w:w="8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229,585</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2,439,000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94%</w:t>
            </w:r>
          </w:p>
        </w:tc>
        <w:tc>
          <w:tcPr>
            <w:tcW w:w="10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94%</w:t>
            </w: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14.90</w:t>
            </w:r>
          </w:p>
        </w:tc>
        <w:tc>
          <w:tcPr>
            <w:tcW w:w="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Metropolitan Area</w:t>
            </w: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Boston</w:t>
            </w: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20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Assembly</w:t>
            </w:r>
          </w:p>
        </w:tc>
        <w:tc>
          <w:tcPr>
            <w:tcW w:w="132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Boston-Worcester-</w:t>
            </w:r>
          </w:p>
        </w:tc>
        <w:tc>
          <w:tcPr>
            <w:tcW w:w="840" w:type="dxa"/>
            <w:vAlign w:val="bottom"/>
            <w:shd w:val="clear" w:color="auto" w:fill="CCEEFF"/>
          </w:tcPr>
          <w:p>
            <w:pPr>
              <w:jc w:val="right"/>
              <w:ind w:right="13"/>
              <w:spacing w:after="0" w:line="131" w:lineRule="exact"/>
              <w:rPr>
                <w:sz w:val="20"/>
                <w:szCs w:val="20"/>
                <w:color w:val="auto"/>
              </w:rPr>
            </w:pPr>
            <w:r>
              <w:rPr>
                <w:rFonts w:ascii="Arial" w:cs="Arial" w:eastAsia="Arial" w:hAnsi="Arial"/>
                <w:sz w:val="13"/>
                <w:szCs w:val="13"/>
                <w:color w:val="auto"/>
              </w:rPr>
              <w:t>2005-2006</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106,806</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552,000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100%</w:t>
            </w:r>
          </w:p>
        </w:tc>
        <w:tc>
          <w:tcPr>
            <w:tcW w:w="108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100%</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13.29</w:t>
            </w:r>
          </w:p>
        </w:tc>
        <w:tc>
          <w:tcPr>
            <w:tcW w:w="5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w w:val="99"/>
              </w:rPr>
              <w:t>AC Moore / Bed, Bath &amp;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w w:val="93"/>
              </w:rPr>
              <w:t>Square/Sturtevant</w:t>
            </w:r>
          </w:p>
        </w:tc>
        <w:tc>
          <w:tcPr>
            <w:tcW w:w="1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Lawrence-Lowell-</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5"/>
              </w:rPr>
              <w:t>Beyond / Christmas Tree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Street</w:t>
            </w:r>
          </w:p>
        </w:tc>
        <w:tc>
          <w:tcPr>
            <w:tcW w:w="1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Brockton, MA</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5"/>
              </w:rPr>
              <w:t>Shops / Kmart / Staples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Sports Authority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Maxx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tcPr>
          <w:p>
            <w:pPr>
              <w:spacing w:after="0" w:line="138" w:lineRule="exact"/>
              <w:rPr>
                <w:sz w:val="20"/>
                <w:szCs w:val="20"/>
                <w:color w:val="auto"/>
              </w:rPr>
            </w:pPr>
            <w:r>
              <w:rPr>
                <w:rFonts w:ascii="Arial" w:cs="Arial" w:eastAsia="Arial" w:hAnsi="Arial"/>
                <w:sz w:val="13"/>
                <w:szCs w:val="13"/>
                <w:color w:val="auto"/>
              </w:rPr>
              <w:t>Dedham Plaza</w:t>
            </w:r>
          </w:p>
        </w:tc>
        <w:tc>
          <w:tcPr>
            <w:tcW w:w="1320" w:type="dxa"/>
            <w:vAlign w:val="bottom"/>
          </w:tcPr>
          <w:p>
            <w:pPr>
              <w:ind w:left="40"/>
              <w:spacing w:after="0" w:line="138" w:lineRule="exact"/>
              <w:rPr>
                <w:sz w:val="20"/>
                <w:szCs w:val="20"/>
                <w:color w:val="auto"/>
              </w:rPr>
            </w:pPr>
            <w:r>
              <w:rPr>
                <w:rFonts w:ascii="Arial" w:cs="Arial" w:eastAsia="Arial" w:hAnsi="Arial"/>
                <w:sz w:val="13"/>
                <w:szCs w:val="13"/>
                <w:color w:val="auto"/>
              </w:rPr>
              <w:t>Boston-Worcester-</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1993</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29,887</w:t>
            </w:r>
          </w:p>
        </w:tc>
        <w:tc>
          <w:tcPr>
            <w:tcW w:w="9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241,000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95%</w:t>
            </w:r>
          </w:p>
        </w:tc>
        <w:tc>
          <w:tcPr>
            <w:tcW w:w="10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93%</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14.94</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80,000</w:t>
            </w:r>
          </w:p>
        </w:tc>
        <w:tc>
          <w:tcPr>
            <w:tcW w:w="1200" w:type="dxa"/>
            <w:vAlign w:val="bottom"/>
          </w:tcPr>
          <w:p>
            <w:pPr>
              <w:ind w:left="40"/>
              <w:spacing w:after="0" w:line="138" w:lineRule="exact"/>
              <w:rPr>
                <w:sz w:val="20"/>
                <w:szCs w:val="20"/>
                <w:color w:val="auto"/>
              </w:rPr>
            </w:pPr>
            <w:r>
              <w:rPr>
                <w:rFonts w:ascii="Arial" w:cs="Arial" w:eastAsia="Arial" w:hAnsi="Arial"/>
                <w:sz w:val="13"/>
                <w:szCs w:val="13"/>
                <w:color w:val="auto"/>
              </w:rPr>
              <w:t>Star Market</w:t>
            </w:r>
          </w:p>
        </w:tc>
        <w:tc>
          <w:tcPr>
            <w:tcW w:w="1420" w:type="dxa"/>
            <w:vAlign w:val="bottom"/>
          </w:tcPr>
          <w:p>
            <w:pPr>
              <w:ind w:left="20"/>
              <w:spacing w:after="0" w:line="138" w:lineRule="exact"/>
              <w:rPr>
                <w:sz w:val="20"/>
                <w:szCs w:val="20"/>
                <w:color w:val="auto"/>
              </w:rPr>
            </w:pPr>
            <w:r>
              <w:rPr>
                <w:rFonts w:ascii="Arial" w:cs="Arial" w:eastAsia="Arial" w:hAnsi="Arial"/>
                <w:sz w:val="13"/>
                <w:szCs w:val="13"/>
                <w:color w:val="auto"/>
              </w:rPr>
              <w:t>Pier One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ind w:left="40"/>
              <w:spacing w:after="0" w:line="148" w:lineRule="exact"/>
              <w:rPr>
                <w:sz w:val="20"/>
                <w:szCs w:val="20"/>
                <w:color w:val="auto"/>
              </w:rPr>
            </w:pPr>
            <w:r>
              <w:rPr>
                <w:rFonts w:ascii="Arial" w:cs="Arial" w:eastAsia="Arial" w:hAnsi="Arial"/>
                <w:sz w:val="13"/>
                <w:szCs w:val="13"/>
                <w:color w:val="auto"/>
              </w:rPr>
              <w:t>Lawrence-Lowell-</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Brockton, MA</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Queen Anne Plaza</w:t>
            </w:r>
          </w:p>
        </w:tc>
        <w:tc>
          <w:tcPr>
            <w:tcW w:w="132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rPr>
              <w:t>Boston-Worcester-</w:t>
            </w:r>
          </w:p>
        </w:tc>
        <w:tc>
          <w:tcPr>
            <w:tcW w:w="84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1994</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15,000</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149,000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14.47</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50,000</w:t>
            </w:r>
          </w:p>
        </w:tc>
        <w:tc>
          <w:tcPr>
            <w:tcW w:w="120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96"/>
              </w:rPr>
              <w:t>Victory Supermarket</w:t>
            </w:r>
          </w:p>
        </w:tc>
        <w:tc>
          <w:tcPr>
            <w:tcW w:w="14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Lawrence-Lowell-</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Brockton, MA</w:t>
            </w:r>
          </w:p>
        </w:tc>
        <w:tc>
          <w:tcPr>
            <w:tcW w:w="8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00" w:type="dxa"/>
            <w:vAlign w:val="bottom"/>
            <w:gridSpan w:val="2"/>
          </w:tcPr>
          <w:p>
            <w:pPr>
              <w:spacing w:after="0" w:line="138" w:lineRule="exact"/>
              <w:rPr>
                <w:sz w:val="20"/>
                <w:szCs w:val="20"/>
                <w:color w:val="auto"/>
              </w:rPr>
            </w:pPr>
            <w:r>
              <w:rPr>
                <w:rFonts w:ascii="Arial" w:cs="Arial" w:eastAsia="Arial" w:hAnsi="Arial"/>
                <w:sz w:val="13"/>
                <w:szCs w:val="13"/>
                <w:color w:val="auto"/>
              </w:rPr>
              <w:t>Saugus Plaza</w:t>
            </w:r>
          </w:p>
        </w:tc>
        <w:tc>
          <w:tcPr>
            <w:tcW w:w="1320" w:type="dxa"/>
            <w:vAlign w:val="bottom"/>
          </w:tcPr>
          <w:p>
            <w:pPr>
              <w:ind w:left="40"/>
              <w:spacing w:after="0" w:line="138" w:lineRule="exact"/>
              <w:rPr>
                <w:sz w:val="20"/>
                <w:szCs w:val="20"/>
                <w:color w:val="auto"/>
              </w:rPr>
            </w:pPr>
            <w:r>
              <w:rPr>
                <w:rFonts w:ascii="Arial" w:cs="Arial" w:eastAsia="Arial" w:hAnsi="Arial"/>
                <w:sz w:val="13"/>
                <w:szCs w:val="13"/>
                <w:color w:val="auto"/>
              </w:rPr>
              <w:t>Boston-Worcester-</w:t>
            </w:r>
          </w:p>
        </w:tc>
        <w:tc>
          <w:tcPr>
            <w:tcW w:w="84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1996</w:t>
            </w:r>
          </w:p>
        </w:tc>
        <w:tc>
          <w:tcPr>
            <w:tcW w:w="820" w:type="dxa"/>
            <w:vAlign w:val="bottom"/>
          </w:tcPr>
          <w:p>
            <w:pPr>
              <w:jc w:val="right"/>
              <w:spacing w:after="0" w:line="138" w:lineRule="exact"/>
              <w:rPr>
                <w:sz w:val="20"/>
                <w:szCs w:val="20"/>
                <w:color w:val="auto"/>
              </w:rPr>
            </w:pPr>
            <w:r>
              <w:rPr>
                <w:rFonts w:ascii="Arial" w:cs="Arial" w:eastAsia="Arial" w:hAnsi="Arial"/>
                <w:sz w:val="13"/>
                <w:szCs w:val="13"/>
                <w:color w:val="auto"/>
              </w:rPr>
              <w:t>13,534</w:t>
            </w:r>
          </w:p>
        </w:tc>
        <w:tc>
          <w:tcPr>
            <w:tcW w:w="94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171,000</w:t>
            </w: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10.38</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55,000</w:t>
            </w:r>
          </w:p>
        </w:tc>
        <w:tc>
          <w:tcPr>
            <w:tcW w:w="1200" w:type="dxa"/>
            <w:vAlign w:val="bottom"/>
          </w:tcPr>
          <w:p>
            <w:pPr>
              <w:ind w:left="40"/>
              <w:spacing w:after="0" w:line="138" w:lineRule="exact"/>
              <w:rPr>
                <w:sz w:val="20"/>
                <w:szCs w:val="20"/>
                <w:color w:val="auto"/>
              </w:rPr>
            </w:pPr>
            <w:r>
              <w:rPr>
                <w:rFonts w:ascii="Arial" w:cs="Arial" w:eastAsia="Arial" w:hAnsi="Arial"/>
                <w:sz w:val="13"/>
                <w:szCs w:val="13"/>
                <w:color w:val="auto"/>
              </w:rPr>
              <w:t>Super Stop &amp; Shop</w:t>
            </w:r>
          </w:p>
        </w:tc>
        <w:tc>
          <w:tcPr>
            <w:tcW w:w="1420" w:type="dxa"/>
            <w:vAlign w:val="bottom"/>
          </w:tcPr>
          <w:p>
            <w:pPr>
              <w:ind w:left="20"/>
              <w:spacing w:after="0" w:line="138"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ind w:left="40"/>
              <w:spacing w:after="0" w:line="148" w:lineRule="exact"/>
              <w:rPr>
                <w:sz w:val="20"/>
                <w:szCs w:val="20"/>
                <w:color w:val="auto"/>
              </w:rPr>
            </w:pPr>
            <w:r>
              <w:rPr>
                <w:rFonts w:ascii="Arial" w:cs="Arial" w:eastAsia="Arial" w:hAnsi="Arial"/>
                <w:sz w:val="13"/>
                <w:szCs w:val="13"/>
                <w:color w:val="auto"/>
              </w:rPr>
              <w:t>Lawrence-Lowell-</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Brockton, MA</w:t>
            </w:r>
          </w:p>
        </w:tc>
        <w:tc>
          <w:tcPr>
            <w:tcW w:w="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b w:val="1"/>
                <w:bCs w:val="1"/>
                <w:color w:val="auto"/>
              </w:rPr>
              <w:t>Total Boston</w:t>
            </w: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165,227</w:t>
            </w:r>
          </w:p>
        </w:tc>
        <w:tc>
          <w:tcPr>
            <w:tcW w:w="9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9"/>
              </w:rPr>
              <w:t>1,113,000</w:t>
            </w: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10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99%</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13.34</w:t>
            </w:r>
          </w:p>
        </w:tc>
        <w:tc>
          <w:tcPr>
            <w:tcW w:w="5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38"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gridSpan w:val="11"/>
            <w:vMerge w:val="restart"/>
          </w:tcPr>
          <w:p>
            <w:pPr>
              <w:spacing w:after="0"/>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Mortgage or</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60" w:type="dxa"/>
            <w:vAlign w:val="bottom"/>
            <w:gridSpan w:val="11"/>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13"/>
              <w:spacing w:after="0" w:line="135" w:lineRule="exact"/>
              <w:rPr>
                <w:sz w:val="20"/>
                <w:szCs w:val="20"/>
                <w:color w:val="auto"/>
              </w:rPr>
            </w:pPr>
            <w:r>
              <w:rPr>
                <w:rFonts w:ascii="Arial" w:cs="Arial" w:eastAsia="Arial" w:hAnsi="Arial"/>
                <w:sz w:val="13"/>
                <w:szCs w:val="13"/>
                <w:b w:val="1"/>
                <w:bCs w:val="1"/>
                <w:color w:val="auto"/>
                <w:w w:val="92"/>
              </w:rPr>
              <w:t>Year</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Capital Lease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Rent</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96"/>
              </w:rPr>
              <w:t>Anchor</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60" w:type="dxa"/>
            <w:vAlign w:val="bottom"/>
            <w:gridSpan w:val="11"/>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4"/>
                <w:szCs w:val="14"/>
                <w:color w:val="auto"/>
              </w:rPr>
            </w:pPr>
          </w:p>
        </w:tc>
        <w:tc>
          <w:tcPr>
            <w:tcW w:w="720" w:type="dxa"/>
            <w:vAlign w:val="bottom"/>
            <w:gridSpan w:val="3"/>
          </w:tcPr>
          <w:p>
            <w:pPr>
              <w:jc w:val="center"/>
              <w:ind w:right="113"/>
              <w:spacing w:after="0"/>
              <w:rPr>
                <w:sz w:val="20"/>
                <w:szCs w:val="20"/>
                <w:color w:val="auto"/>
              </w:rPr>
            </w:pPr>
            <w:r>
              <w:rPr>
                <w:rFonts w:ascii="Arial" w:cs="Arial" w:eastAsia="Arial" w:hAnsi="Arial"/>
                <w:sz w:val="13"/>
                <w:szCs w:val="13"/>
                <w:b w:val="1"/>
                <w:bCs w:val="1"/>
                <w:color w:val="auto"/>
                <w:w w:val="95"/>
              </w:rPr>
              <w:t>Acquired</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Obligation</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GLA (1)</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 Leased</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 Occupied (2)</w:t>
            </w:r>
          </w:p>
        </w:tc>
        <w:tc>
          <w:tcPr>
            <w:tcW w:w="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PSF (3)</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GLA (4)</w:t>
            </w:r>
          </w:p>
        </w:tc>
        <w:tc>
          <w:tcPr>
            <w:tcW w:w="6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b w:val="1"/>
                <w:bCs w:val="1"/>
                <w:color w:val="auto"/>
                <w:w w:val="96"/>
              </w:rPr>
              <w:t>Grocery Anchor (4)</w:t>
            </w:r>
          </w:p>
        </w:tc>
        <w:tc>
          <w:tcPr>
            <w:tcW w:w="1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w w:val="94"/>
              </w:rPr>
              <w:t>Other Principal Tenants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5"/>
              </w:rPr>
              <w:t>Chicago</w:t>
            </w:r>
          </w:p>
        </w:tc>
        <w:tc>
          <w:tcPr>
            <w:tcW w:w="480" w:type="dxa"/>
            <w:vAlign w:val="bottom"/>
            <w:tcBorders>
              <w:bottom w:val="single" w:sz="8" w:color="CCEEFF"/>
            </w:tcBorders>
            <w:gridSpan w:val="7"/>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gridSpan w:val="10"/>
          </w:tcPr>
          <w:p>
            <w:pPr>
              <w:spacing w:after="0" w:line="131" w:lineRule="exact"/>
              <w:rPr>
                <w:sz w:val="20"/>
                <w:szCs w:val="20"/>
                <w:color w:val="auto"/>
              </w:rPr>
            </w:pPr>
            <w:r>
              <w:rPr>
                <w:rFonts w:ascii="Arial" w:cs="Arial" w:eastAsia="Arial" w:hAnsi="Arial"/>
                <w:sz w:val="13"/>
                <w:szCs w:val="13"/>
                <w:color w:val="auto"/>
              </w:rPr>
              <w:t>Crossroads</w:t>
            </w:r>
          </w:p>
        </w:tc>
        <w:tc>
          <w:tcPr>
            <w:tcW w:w="12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Chicago, IL</w:t>
            </w:r>
          </w:p>
        </w:tc>
        <w:tc>
          <w:tcPr>
            <w:tcW w:w="6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1993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22,495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173,000</w:t>
            </w:r>
          </w:p>
        </w:tc>
        <w:tc>
          <w:tcPr>
            <w:tcW w:w="80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96%</w:t>
            </w:r>
          </w:p>
        </w:tc>
        <w:tc>
          <w:tcPr>
            <w:tcW w:w="11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96%</w:t>
            </w:r>
          </w:p>
        </w:tc>
        <w:tc>
          <w:tcPr>
            <w:tcW w:w="64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18.01</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gridSpan w:val="2"/>
          </w:tcPr>
          <w:p>
            <w:pPr>
              <w:ind w:left="120"/>
              <w:spacing w:after="0" w:line="131" w:lineRule="exact"/>
              <w:rPr>
                <w:sz w:val="20"/>
                <w:szCs w:val="20"/>
                <w:color w:val="auto"/>
              </w:rPr>
            </w:pPr>
            <w:r>
              <w:rPr>
                <w:rFonts w:ascii="Arial" w:cs="Arial" w:eastAsia="Arial" w:hAnsi="Arial"/>
                <w:sz w:val="13"/>
                <w:szCs w:val="13"/>
                <w:color w:val="auto"/>
                <w:w w:val="99"/>
              </w:rPr>
              <w:t>Comp USA / Golfsmith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Guitar Center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Finley Square</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Chicago, IL</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28,936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315,000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98%</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98%</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9.03</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10"/>
          </w:tcPr>
          <w:p>
            <w:pPr>
              <w:spacing w:after="0" w:line="148" w:lineRule="exact"/>
              <w:rPr>
                <w:sz w:val="20"/>
                <w:szCs w:val="20"/>
                <w:color w:val="auto"/>
              </w:rPr>
            </w:pPr>
            <w:r>
              <w:rPr>
                <w:rFonts w:ascii="Arial" w:cs="Arial" w:eastAsia="Arial" w:hAnsi="Arial"/>
                <w:sz w:val="13"/>
                <w:szCs w:val="13"/>
                <w:color w:val="auto"/>
              </w:rPr>
              <w:t>Garden Market</w:t>
            </w:r>
          </w:p>
        </w:tc>
        <w:tc>
          <w:tcPr>
            <w:tcW w:w="1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Chicago, IL</w:t>
            </w:r>
          </w:p>
        </w:tc>
        <w:tc>
          <w:tcPr>
            <w:tcW w:w="6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11,179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140,000</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96%</w:t>
            </w:r>
          </w:p>
        </w:tc>
        <w:tc>
          <w:tcPr>
            <w:tcW w:w="11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96%</w:t>
            </w:r>
          </w:p>
        </w:tc>
        <w:tc>
          <w:tcPr>
            <w:tcW w:w="64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11.89</w:t>
            </w:r>
          </w:p>
        </w:tc>
        <w:tc>
          <w:tcPr>
            <w:tcW w:w="5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63,000</w:t>
            </w:r>
          </w:p>
        </w:tc>
        <w:tc>
          <w:tcPr>
            <w:tcW w:w="128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Dominick’s</w:t>
            </w: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North Lake</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Chicago, IL</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13,085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129,000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96%</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96%</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13.57</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77,000</w:t>
            </w:r>
          </w:p>
        </w:tc>
        <w:tc>
          <w:tcPr>
            <w:tcW w:w="128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Dominick’s</w:t>
            </w: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9"/>
            <w:shd w:val="clear" w:color="auto" w:fill="CCEEFF"/>
          </w:tcPr>
          <w:p>
            <w:pPr>
              <w:spacing w:after="0"/>
              <w:rPr>
                <w:sz w:val="20"/>
                <w:szCs w:val="20"/>
                <w:color w:val="auto"/>
              </w:rPr>
            </w:pPr>
            <w:r>
              <w:rPr>
                <w:rFonts w:ascii="Arial" w:cs="Arial" w:eastAsia="Arial" w:hAnsi="Arial"/>
                <w:sz w:val="13"/>
                <w:szCs w:val="13"/>
                <w:color w:val="auto"/>
              </w:rPr>
              <w:t>Commons</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Chicago</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75,695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757,000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97%</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12.39</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40" w:type="dxa"/>
            <w:vAlign w:val="bottom"/>
            <w:gridSpan w:val="10"/>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East Region -</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2"/>
              </w:rPr>
              <w:t>Other</w:t>
            </w:r>
          </w:p>
        </w:tc>
        <w:tc>
          <w:tcPr>
            <w:tcW w:w="420" w:type="dxa"/>
            <w:vAlign w:val="bottom"/>
            <w:tcBorders>
              <w:top w:val="single" w:sz="8" w:color="auto"/>
              <w:bottom w:val="single" w:sz="8" w:color="CCEEFF"/>
            </w:tcBorders>
            <w:gridSpan w:val="4"/>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gridSpan w:val="10"/>
          </w:tcPr>
          <w:p>
            <w:pPr>
              <w:spacing w:after="0" w:line="131" w:lineRule="exact"/>
              <w:rPr>
                <w:sz w:val="20"/>
                <w:szCs w:val="20"/>
                <w:color w:val="auto"/>
              </w:rPr>
            </w:pPr>
            <w:r>
              <w:rPr>
                <w:rFonts w:ascii="Arial" w:cs="Arial" w:eastAsia="Arial" w:hAnsi="Arial"/>
                <w:sz w:val="13"/>
                <w:szCs w:val="13"/>
                <w:color w:val="auto"/>
              </w:rPr>
              <w:t>Barracks Road</w:t>
            </w:r>
          </w:p>
        </w:tc>
        <w:tc>
          <w:tcPr>
            <w:tcW w:w="12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Charlottesville, VA</w:t>
            </w:r>
          </w:p>
        </w:tc>
        <w:tc>
          <w:tcPr>
            <w:tcW w:w="6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1985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41,422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43,051</w:t>
            </w:r>
          </w:p>
        </w:tc>
        <w:tc>
          <w:tcPr>
            <w:tcW w:w="78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483,000</w:t>
            </w:r>
          </w:p>
        </w:tc>
        <w:tc>
          <w:tcPr>
            <w:tcW w:w="80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99%</w:t>
            </w:r>
          </w:p>
        </w:tc>
        <w:tc>
          <w:tcPr>
            <w:tcW w:w="11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99%</w:t>
            </w:r>
          </w:p>
        </w:tc>
        <w:tc>
          <w:tcPr>
            <w:tcW w:w="64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16.97</w:t>
            </w:r>
          </w:p>
        </w:tc>
        <w:tc>
          <w:tcPr>
            <w:tcW w:w="1820" w:type="dxa"/>
            <w:vAlign w:val="bottom"/>
            <w:gridSpan w:val="4"/>
          </w:tcPr>
          <w:p>
            <w:pPr>
              <w:ind w:left="120"/>
              <w:spacing w:after="0" w:line="131" w:lineRule="exact"/>
              <w:rPr>
                <w:sz w:val="20"/>
                <w:szCs w:val="20"/>
                <w:color w:val="auto"/>
              </w:rPr>
            </w:pPr>
            <w:r>
              <w:rPr>
                <w:rFonts w:ascii="Arial" w:cs="Arial" w:eastAsia="Arial" w:hAnsi="Arial"/>
                <w:sz w:val="13"/>
                <w:szCs w:val="13"/>
                <w:color w:val="auto"/>
                <w:w w:val="97"/>
              </w:rPr>
              <w:t>91,000  Harris Teeter / Kroger</w:t>
            </w:r>
          </w:p>
        </w:tc>
        <w:tc>
          <w:tcPr>
            <w:tcW w:w="15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Barnes &amp; Noble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Navy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10"/>
            <w:shd w:val="clear" w:color="auto" w:fill="CCEEFF"/>
          </w:tcPr>
          <w:p>
            <w:pPr>
              <w:spacing w:after="0" w:line="148" w:lineRule="exact"/>
              <w:rPr>
                <w:sz w:val="20"/>
                <w:szCs w:val="20"/>
                <w:color w:val="auto"/>
              </w:rPr>
            </w:pPr>
            <w:r>
              <w:rPr>
                <w:rFonts w:ascii="Arial" w:cs="Arial" w:eastAsia="Arial" w:hAnsi="Arial"/>
                <w:sz w:val="13"/>
                <w:szCs w:val="13"/>
                <w:color w:val="auto"/>
              </w:rPr>
              <w:t>Bristol Plaza</w:t>
            </w: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Hartford, CT</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277,000</w:t>
            </w: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96%</w:t>
            </w:r>
          </w:p>
        </w:tc>
        <w:tc>
          <w:tcPr>
            <w:tcW w:w="11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95%</w:t>
            </w:r>
          </w:p>
        </w:tc>
        <w:tc>
          <w:tcPr>
            <w:tcW w:w="64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10.46</w:t>
            </w:r>
          </w:p>
        </w:tc>
        <w:tc>
          <w:tcPr>
            <w:tcW w:w="5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74,000</w:t>
            </w:r>
          </w:p>
        </w:tc>
        <w:tc>
          <w:tcPr>
            <w:tcW w:w="12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Stop &amp; Shop</w:t>
            </w:r>
          </w:p>
        </w:tc>
        <w:tc>
          <w:tcPr>
            <w:tcW w:w="15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Eastgate</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Raleigh-Durham-</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17,129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157,000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87%</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15.19</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23,000</w:t>
            </w:r>
          </w:p>
        </w:tc>
        <w:tc>
          <w:tcPr>
            <w:tcW w:w="128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Earth Fare</w:t>
            </w: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Chapel Hill, NC</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Governor Plaza</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Baltimore, MD</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18,466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268,000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86%</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78%</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13.67</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Bally’s / Comp USA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Gratiot Plaza</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Detroit, MI</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18,061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217,000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11.11</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69,000</w:t>
            </w:r>
          </w:p>
        </w:tc>
        <w:tc>
          <w:tcPr>
            <w:tcW w:w="128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Farmer Jacks</w:t>
            </w: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Best Buy / DSW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Greenwich</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New Haven-</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15,993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42,000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50.87</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Avenue</w:t>
            </w: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Bridgeport-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Stamford-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Waterbury</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10"/>
          </w:tcPr>
          <w:p>
            <w:pPr>
              <w:spacing w:after="0" w:line="148" w:lineRule="exact"/>
              <w:rPr>
                <w:sz w:val="20"/>
                <w:szCs w:val="20"/>
                <w:color w:val="auto"/>
              </w:rPr>
            </w:pPr>
            <w:r>
              <w:rPr>
                <w:rFonts w:ascii="Arial" w:cs="Arial" w:eastAsia="Arial" w:hAnsi="Arial"/>
                <w:sz w:val="13"/>
                <w:szCs w:val="13"/>
                <w:color w:val="auto"/>
              </w:rPr>
              <w:t>Lancaster (8)</w:t>
            </w:r>
          </w:p>
        </w:tc>
        <w:tc>
          <w:tcPr>
            <w:tcW w:w="12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Lancaster, PA</w:t>
            </w:r>
          </w:p>
        </w:tc>
        <w:tc>
          <w:tcPr>
            <w:tcW w:w="6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10,819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4,907</w:t>
            </w:r>
          </w:p>
        </w:tc>
        <w:tc>
          <w:tcPr>
            <w:tcW w:w="7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107,000</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100%</w:t>
            </w:r>
          </w:p>
        </w:tc>
        <w:tc>
          <w:tcPr>
            <w:tcW w:w="11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100%</w:t>
            </w:r>
          </w:p>
        </w:tc>
        <w:tc>
          <w:tcPr>
            <w:tcW w:w="64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13.01</w:t>
            </w:r>
          </w:p>
        </w:tc>
        <w:tc>
          <w:tcPr>
            <w:tcW w:w="5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39,000</w:t>
            </w:r>
          </w:p>
        </w:tc>
        <w:tc>
          <w:tcPr>
            <w:tcW w:w="128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Giant Food</w:t>
            </w: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Perring Plaza</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Baltimore, MD</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26,323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402,000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11.88</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58,000</w:t>
            </w:r>
          </w:p>
        </w:tc>
        <w:tc>
          <w:tcPr>
            <w:tcW w:w="128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Shoppers Food</w:t>
            </w: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w w:val="96"/>
              </w:rPr>
              <w:t>Home Depot / Burlington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Warehouse</w:t>
            </w:r>
          </w:p>
        </w:tc>
        <w:tc>
          <w:tcPr>
            <w:tcW w:w="15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Coat Factory / Jo-Ann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Stores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w w:val="99"/>
              </w:rPr>
              <w:t>Shops at Willow</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Richmond-</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1983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67,540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467,000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77%</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15.25</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60,000</w:t>
            </w:r>
          </w:p>
        </w:tc>
        <w:tc>
          <w:tcPr>
            <w:tcW w:w="128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Kroger</w:t>
            </w: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Old Navy / Tower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9"/>
          </w:tcPr>
          <w:p>
            <w:pPr>
              <w:spacing w:after="0"/>
              <w:rPr>
                <w:sz w:val="20"/>
                <w:szCs w:val="20"/>
                <w:color w:val="auto"/>
              </w:rPr>
            </w:pPr>
            <w:r>
              <w:rPr>
                <w:rFonts w:ascii="Arial" w:cs="Arial" w:eastAsia="Arial" w:hAnsi="Arial"/>
                <w:sz w:val="13"/>
                <w:szCs w:val="13"/>
                <w:color w:val="auto"/>
              </w:rPr>
              <w:t>Lawn</w:t>
            </w: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Petersburg, VA</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Records / Staples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3"/>
                <w:szCs w:val="13"/>
                <w:b w:val="1"/>
                <w:bCs w:val="1"/>
                <w:color w:val="auto"/>
                <w:w w:val="91"/>
              </w:rPr>
              <w:t>Total East Region -</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239,417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2,420,000</w:t>
            </w: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95%</w:t>
            </w:r>
          </w:p>
        </w:tc>
        <w:tc>
          <w:tcPr>
            <w:tcW w:w="11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91%</w:t>
            </w:r>
          </w:p>
        </w:tc>
        <w:tc>
          <w:tcPr>
            <w:tcW w:w="64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14.46</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Other</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w w:val="98"/>
              </w:rPr>
              <w:t>Total East Region</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1,904,376</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w w:val="98"/>
              </w:rPr>
              <w:t>15,038,000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95%</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17.68</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40" w:type="dxa"/>
            <w:vAlign w:val="bottom"/>
            <w:gridSpan w:val="10"/>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West Region</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gridSpan w:val="4"/>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79"/>
              </w:rPr>
              <w:t>California</w:t>
            </w:r>
          </w:p>
        </w:tc>
        <w:tc>
          <w:tcPr>
            <w:tcW w:w="80" w:type="dxa"/>
            <w:vAlign w:val="bottom"/>
            <w:tcBorders>
              <w:top w:val="single" w:sz="8" w:color="CCEEFF"/>
              <w:bottom w:val="single" w:sz="8" w:color="auto"/>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gridSpan w:val="10"/>
          </w:tcPr>
          <w:p>
            <w:pPr>
              <w:spacing w:after="0" w:line="131" w:lineRule="exact"/>
              <w:rPr>
                <w:sz w:val="20"/>
                <w:szCs w:val="20"/>
                <w:color w:val="auto"/>
              </w:rPr>
            </w:pPr>
            <w:r>
              <w:rPr>
                <w:rFonts w:ascii="Arial" w:cs="Arial" w:eastAsia="Arial" w:hAnsi="Arial"/>
                <w:sz w:val="13"/>
                <w:szCs w:val="13"/>
                <w:color w:val="auto"/>
              </w:rPr>
              <w:t>Colorado Blvd</w:t>
            </w:r>
          </w:p>
        </w:tc>
        <w:tc>
          <w:tcPr>
            <w:tcW w:w="12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Los Angeles-Long</w:t>
            </w:r>
          </w:p>
        </w:tc>
        <w:tc>
          <w:tcPr>
            <w:tcW w:w="6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1996-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16,695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69,000</w:t>
            </w:r>
          </w:p>
        </w:tc>
        <w:tc>
          <w:tcPr>
            <w:tcW w:w="80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98%</w:t>
            </w:r>
          </w:p>
        </w:tc>
        <w:tc>
          <w:tcPr>
            <w:tcW w:w="110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98%</w:t>
            </w:r>
          </w:p>
        </w:tc>
        <w:tc>
          <w:tcPr>
            <w:tcW w:w="640" w:type="dxa"/>
            <w:vAlign w:val="bottom"/>
            <w:gridSpan w:val="3"/>
          </w:tcPr>
          <w:p>
            <w:pPr>
              <w:jc w:val="right"/>
              <w:ind w:right="120"/>
              <w:spacing w:after="0" w:line="131" w:lineRule="exact"/>
              <w:rPr>
                <w:sz w:val="20"/>
                <w:szCs w:val="20"/>
                <w:color w:val="auto"/>
              </w:rPr>
            </w:pPr>
            <w:r>
              <w:rPr>
                <w:rFonts w:ascii="Arial" w:cs="Arial" w:eastAsia="Arial" w:hAnsi="Arial"/>
                <w:sz w:val="13"/>
                <w:szCs w:val="13"/>
                <w:color w:val="auto"/>
              </w:rPr>
              <w:t>32.51</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gridSpan w:val="2"/>
          </w:tcPr>
          <w:p>
            <w:pPr>
              <w:ind w:left="120"/>
              <w:spacing w:after="0" w:line="131" w:lineRule="exact"/>
              <w:rPr>
                <w:sz w:val="20"/>
                <w:szCs w:val="20"/>
                <w:color w:val="auto"/>
              </w:rPr>
            </w:pPr>
            <w:r>
              <w:rPr>
                <w:rFonts w:ascii="Arial" w:cs="Arial" w:eastAsia="Arial" w:hAnsi="Arial"/>
                <w:sz w:val="13"/>
                <w:szCs w:val="13"/>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Beach, CA</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Crow Canyon</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San Ramon, CA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50,865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22,197</w:t>
            </w: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225,000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97%</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16.99</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58,000</w:t>
            </w:r>
          </w:p>
        </w:tc>
        <w:tc>
          <w:tcPr>
            <w:tcW w:w="128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Albertson’s</w:t>
            </w: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Escondido (11)</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San Diego, CA</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25,945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222,000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20.40</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Cost Plus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Fifth Ave (12)</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San Diego, CA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12,690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51,000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24.92</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Hermosa Ave</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Los Angeles-Long</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4,721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23,000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30.58</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80" w:type="dxa"/>
            <w:vAlign w:val="bottom"/>
            <w:gridSpan w:val="4"/>
          </w:tcPr>
          <w:p>
            <w:pPr>
              <w:ind w:left="22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Beach, CA</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Hollywood Blvd</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Los Angeles-Long</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30,159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149,000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78%</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41%</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8.26</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Hollywood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Beach, CA</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Entertainment Museum</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Kings Court (7)</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11,506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79,000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24.14</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25,000</w:t>
            </w:r>
          </w:p>
        </w:tc>
        <w:tc>
          <w:tcPr>
            <w:tcW w:w="128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Lunardi’s Super</w:t>
            </w: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Market</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w w:val="93"/>
              </w:rPr>
              <w:t>Old Town Center</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San Jose, CA</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33,360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95,000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99%</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27.26</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Borders / Gap Kids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Banana Republic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Santana Row</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466,784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563,000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94%</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94%</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42.66</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Crate &amp; Barrel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9"/>
          </w:tcPr>
          <w:p>
            <w:pPr>
              <w:spacing w:after="0" w:line="148" w:lineRule="exact"/>
              <w:rPr>
                <w:sz w:val="20"/>
                <w:szCs w:val="20"/>
                <w:color w:val="auto"/>
              </w:rPr>
            </w:pPr>
            <w:r>
              <w:rPr>
                <w:rFonts w:ascii="Arial" w:cs="Arial" w:eastAsia="Arial" w:hAnsi="Arial"/>
                <w:sz w:val="13"/>
                <w:szCs w:val="13"/>
                <w:color w:val="auto"/>
                <w:w w:val="95"/>
              </w:rPr>
              <w:t>(Phase I, II &amp;</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Container Store / Best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9"/>
          </w:tcPr>
          <w:p>
            <w:pPr>
              <w:spacing w:after="0" w:line="148" w:lineRule="exact"/>
              <w:rPr>
                <w:sz w:val="20"/>
                <w:szCs w:val="20"/>
                <w:color w:val="auto"/>
              </w:rPr>
            </w:pPr>
            <w:r>
              <w:rPr>
                <w:rFonts w:ascii="Arial" w:cs="Arial" w:eastAsia="Arial" w:hAnsi="Arial"/>
                <w:sz w:val="13"/>
                <w:szCs w:val="13"/>
                <w:color w:val="auto"/>
              </w:rPr>
              <w:t>III)</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98"/>
              </w:rPr>
              <w:t>Buy / Borders / CineArts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Theatre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shd w:val="clear" w:color="auto" w:fill="CCEEFF"/>
          </w:tcPr>
          <w:p>
            <w:pPr>
              <w:spacing w:after="0" w:line="138" w:lineRule="exact"/>
              <w:rPr>
                <w:sz w:val="20"/>
                <w:szCs w:val="20"/>
                <w:color w:val="auto"/>
              </w:rPr>
            </w:pPr>
            <w:r>
              <w:rPr>
                <w:rFonts w:ascii="Arial" w:cs="Arial" w:eastAsia="Arial" w:hAnsi="Arial"/>
                <w:sz w:val="13"/>
                <w:szCs w:val="13"/>
                <w:color w:val="auto"/>
              </w:rPr>
              <w:t>Third St</w:t>
            </w:r>
          </w:p>
        </w:tc>
        <w:tc>
          <w:tcPr>
            <w:tcW w:w="12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Los Angeles-Long</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75,429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211,000</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w:t>
            </w:r>
          </w:p>
        </w:tc>
        <w:tc>
          <w:tcPr>
            <w:tcW w:w="11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100%</w:t>
            </w:r>
          </w:p>
        </w:tc>
        <w:tc>
          <w:tcPr>
            <w:tcW w:w="6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51.25</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J. Crew / Banana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9"/>
            <w:shd w:val="clear" w:color="auto" w:fill="CCEEFF"/>
          </w:tcPr>
          <w:p>
            <w:pPr>
              <w:spacing w:after="0" w:line="148" w:lineRule="exact"/>
              <w:rPr>
                <w:sz w:val="20"/>
                <w:szCs w:val="20"/>
                <w:color w:val="auto"/>
              </w:rPr>
            </w:pPr>
            <w:r>
              <w:rPr>
                <w:rFonts w:ascii="Arial" w:cs="Arial" w:eastAsia="Arial" w:hAnsi="Arial"/>
                <w:sz w:val="13"/>
                <w:szCs w:val="13"/>
                <w:color w:val="auto"/>
              </w:rPr>
              <w:t>Promenade</w:t>
            </w: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Beach, CA</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Republic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Abercrombie &amp; Fitch</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10"/>
          </w:tcPr>
          <w:p>
            <w:pPr>
              <w:spacing w:after="0" w:line="138" w:lineRule="exact"/>
              <w:rPr>
                <w:sz w:val="20"/>
                <w:szCs w:val="20"/>
                <w:color w:val="auto"/>
              </w:rPr>
            </w:pPr>
            <w:r>
              <w:rPr>
                <w:rFonts w:ascii="Arial" w:cs="Arial" w:eastAsia="Arial" w:hAnsi="Arial"/>
                <w:sz w:val="13"/>
                <w:szCs w:val="13"/>
                <w:color w:val="auto"/>
              </w:rPr>
              <w:t>Westgate</w:t>
            </w:r>
          </w:p>
        </w:tc>
        <w:tc>
          <w:tcPr>
            <w:tcW w:w="122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San Jose, CA</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114,992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646,000</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97%</w:t>
            </w:r>
          </w:p>
        </w:tc>
        <w:tc>
          <w:tcPr>
            <w:tcW w:w="11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64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11.82</w:t>
            </w:r>
          </w:p>
        </w:tc>
        <w:tc>
          <w:tcPr>
            <w:tcW w:w="5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38,000</w:t>
            </w:r>
          </w:p>
        </w:tc>
        <w:tc>
          <w:tcPr>
            <w:tcW w:w="128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Safeway</w:t>
            </w:r>
          </w:p>
        </w:tc>
        <w:tc>
          <w:tcPr>
            <w:tcW w:w="1520" w:type="dxa"/>
            <w:vAlign w:val="bottom"/>
            <w:gridSpan w:val="2"/>
          </w:tcPr>
          <w:p>
            <w:pPr>
              <w:ind w:left="120"/>
              <w:spacing w:after="0" w:line="138" w:lineRule="exact"/>
              <w:rPr>
                <w:sz w:val="20"/>
                <w:szCs w:val="20"/>
                <w:color w:val="auto"/>
              </w:rPr>
            </w:pPr>
            <w:r>
              <w:rPr>
                <w:rFonts w:ascii="Arial" w:cs="Arial" w:eastAsia="Arial" w:hAnsi="Arial"/>
                <w:sz w:val="13"/>
                <w:szCs w:val="13"/>
                <w:color w:val="auto"/>
                <w:w w:val="99"/>
              </w:rPr>
              <w:t>Target / Burlington Coat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94"/>
              </w:rPr>
              <w:t>Factory / Barnes &amp; Noble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 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10"/>
            <w:shd w:val="clear" w:color="auto" w:fill="CCEEFF"/>
          </w:tcPr>
          <w:p>
            <w:pPr>
              <w:spacing w:after="0" w:line="148" w:lineRule="exact"/>
              <w:rPr>
                <w:sz w:val="20"/>
                <w:szCs w:val="20"/>
                <w:color w:val="auto"/>
              </w:rPr>
            </w:pPr>
            <w:r>
              <w:rPr>
                <w:rFonts w:ascii="Arial" w:cs="Arial" w:eastAsia="Arial" w:hAnsi="Arial"/>
                <w:sz w:val="13"/>
                <w:szCs w:val="13"/>
                <w:color w:val="auto"/>
              </w:rPr>
              <w:t>150 Post Street</w:t>
            </w: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w w:val="99"/>
              </w:rPr>
              <w:t>San Francisco, CA</w:t>
            </w:r>
          </w:p>
        </w:tc>
        <w:tc>
          <w:tcPr>
            <w:tcW w:w="6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36,504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88%</w:t>
            </w:r>
          </w:p>
        </w:tc>
        <w:tc>
          <w:tcPr>
            <w:tcW w:w="11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88%</w:t>
            </w:r>
          </w:p>
        </w:tc>
        <w:tc>
          <w:tcPr>
            <w:tcW w:w="64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47.21</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rPr>
              <w:t>Brooks Brothers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California</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879,650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2,434,000</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96%</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93%</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27.27</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40" w:type="dxa"/>
            <w:vAlign w:val="bottom"/>
            <w:gridSpan w:val="10"/>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West Region -</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gridSpan w:val="6"/>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Other</w:t>
            </w:r>
          </w:p>
        </w:tc>
        <w:tc>
          <w:tcPr>
            <w:tcW w:w="160" w:type="dxa"/>
            <w:vAlign w:val="bottom"/>
            <w:tcBorders>
              <w:top w:val="single" w:sz="8" w:color="CCEEFF"/>
            </w:tcBorders>
            <w:gridSpan w:val="3"/>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940" w:type="dxa"/>
            <w:vAlign w:val="bottom"/>
            <w:gridSpan w:val="10"/>
          </w:tcPr>
          <w:p>
            <w:pPr>
              <w:spacing w:after="0"/>
              <w:rPr>
                <w:sz w:val="20"/>
                <w:szCs w:val="20"/>
                <w:color w:val="auto"/>
              </w:rPr>
            </w:pPr>
            <w:r>
              <w:rPr>
                <w:rFonts w:ascii="Arial" w:cs="Arial" w:eastAsia="Arial" w:hAnsi="Arial"/>
                <w:sz w:val="13"/>
                <w:szCs w:val="13"/>
                <w:color w:val="auto"/>
              </w:rPr>
              <w:t>Houston St</w:t>
            </w:r>
          </w:p>
        </w:tc>
        <w:tc>
          <w:tcPr>
            <w:tcW w:w="1220" w:type="dxa"/>
            <w:vAlign w:val="bottom"/>
            <w:gridSpan w:val="2"/>
          </w:tcPr>
          <w:p>
            <w:pPr>
              <w:ind w:left="120"/>
              <w:spacing w:after="0"/>
              <w:rPr>
                <w:sz w:val="20"/>
                <w:szCs w:val="20"/>
                <w:color w:val="auto"/>
              </w:rPr>
            </w:pPr>
            <w:r>
              <w:rPr>
                <w:rFonts w:ascii="Arial" w:cs="Arial" w:eastAsia="Arial" w:hAnsi="Arial"/>
                <w:sz w:val="13"/>
                <w:szCs w:val="13"/>
                <w:color w:val="auto"/>
              </w:rPr>
              <w:t>San Antonio, TX</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61,410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133</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171,000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67%</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67%</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17.41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Hotel Valencia</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b w:val="1"/>
                <w:bCs w:val="1"/>
                <w:color w:val="auto"/>
                <w:w w:val="95"/>
              </w:rPr>
              <w:t>Total West Region</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941,060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2,605,000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94%</w:t>
            </w:r>
          </w:p>
        </w:tc>
        <w:tc>
          <w:tcPr>
            <w:tcW w:w="11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92%</w:t>
            </w:r>
          </w:p>
        </w:tc>
        <w:tc>
          <w:tcPr>
            <w:tcW w:w="64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26.79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gridSpan w:val="11"/>
            <w:vMerge w:val="restart"/>
          </w:tcPr>
          <w:p>
            <w:pPr>
              <w:spacing w:after="0"/>
              <w:rPr>
                <w:sz w:val="20"/>
                <w:szCs w:val="20"/>
                <w:color w:val="auto"/>
              </w:rPr>
            </w:pPr>
            <w:r>
              <w:rPr>
                <w:rFonts w:ascii="Arial" w:cs="Arial" w:eastAsia="Arial" w:hAnsi="Arial"/>
                <w:sz w:val="13"/>
                <w:szCs w:val="13"/>
                <w:b w:val="1"/>
                <w:bCs w:val="1"/>
                <w:color w:val="auto"/>
              </w:rPr>
              <w:t>Grand Total</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gridSpan w:val="11"/>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3"/>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2,845,436</w:t>
            </w:r>
          </w:p>
        </w:tc>
        <w:tc>
          <w:tcPr>
            <w:tcW w:w="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418,467</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8"/>
              </w:rPr>
              <w:t>17,643,000</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96%</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95%</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  18.97</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purposes of this schedule, “occupied” refers to spaces where the lease term and obligation to pay rent have commenced.</w:t>
      </w:r>
    </w:p>
    <w:p>
      <w:pPr>
        <w:spacing w:after="0" w:line="19" w:lineRule="exact"/>
        <w:rPr>
          <w:rFonts w:ascii="Arial" w:cs="Arial" w:eastAsia="Arial" w:hAnsi="Arial"/>
          <w:sz w:val="17"/>
          <w:szCs w:val="17"/>
          <w:color w:val="auto"/>
        </w:rPr>
      </w:pPr>
    </w:p>
    <w:p>
      <w:pPr>
        <w:ind w:left="460" w:right="640" w:hanging="452"/>
        <w:spacing w:after="0" w:line="264"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Calculated as the aggregate, annualized in-place contractual (cash basis) minimum rent for all occupied spaces divided by the aggregate GLA of all occupied spaces.</w:t>
      </w: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 investment includes dollars associated with the 146 units of The Crest at Congressional. The Trust has a 64.1% ownership interest in the property.</w:t>
      </w:r>
    </w:p>
    <w:p>
      <w:pPr>
        <w:spacing w:after="0" w:line="31" w:lineRule="exact"/>
        <w:rPr>
          <w:rFonts w:ascii="Arial" w:cs="Arial" w:eastAsia="Arial" w:hAnsi="Arial"/>
          <w:sz w:val="16"/>
          <w:szCs w:val="16"/>
          <w:color w:val="auto"/>
        </w:rPr>
      </w:pPr>
    </w:p>
    <w:p>
      <w:pPr>
        <w:ind w:left="460" w:right="220" w:hanging="452"/>
        <w:spacing w:after="0" w:line="264"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Currently under contract to acquire the retail square footage upon completion of development.</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Property is currently parked with a Section 1031 exchange agent for a potential “reverse” exchange.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four properties, three owned 100% by the Trust and one in which the Trust has a 90% ownership interest.</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nine properties, eight owned 100% by the Trust and one in which the Trust has a 90% ownership interest.</w:t>
      </w:r>
    </w:p>
    <w:p>
      <w:pPr>
        <w:sectPr>
          <w:pgSz w:w="11900" w:h="16838" w:orient="portrait"/>
          <w:cols w:equalWidth="0" w:num="1">
            <w:col w:w="11420"/>
          </w:cols>
          <w:pgMar w:left="240" w:top="273" w:right="239" w:bottom="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Tenant</w:t>
            </w: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6"/>
              </w:rPr>
              <w:t>Contractual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88"/>
              </w:rPr>
              <w:t>Cash Basis</w:t>
            </w:r>
          </w:p>
        </w:tc>
        <w:tc>
          <w:tcPr>
            <w:tcW w:w="116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2"/>
              </w:rPr>
              <w:t>Improvements</w:t>
            </w: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60"/>
              <w:spacing w:after="0" w:line="148" w:lineRule="exact"/>
              <w:rPr>
                <w:sz w:val="20"/>
                <w:szCs w:val="20"/>
                <w:color w:val="auto"/>
              </w:rPr>
            </w:pPr>
            <w:r>
              <w:rPr>
                <w:rFonts w:ascii="Arial" w:cs="Arial" w:eastAsia="Arial" w:hAnsi="Arial"/>
                <w:sz w:val="13"/>
                <w:szCs w:val="13"/>
                <w:b w:val="1"/>
                <w:bCs w:val="1"/>
                <w:color w:val="auto"/>
                <w:w w:val="95"/>
              </w:rPr>
              <w:t>Number of</w:t>
            </w:r>
          </w:p>
        </w:tc>
        <w:tc>
          <w:tcPr>
            <w:tcW w:w="12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96"/>
              </w:rPr>
              <w:t>% of Comparable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6"/>
          </w:tcPr>
          <w:p>
            <w:pPr>
              <w:jc w:val="right"/>
              <w:ind w:right="40"/>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7"/>
              </w:rPr>
              <w:t>% Increase</w:t>
            </w: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12"/>
                <w:szCs w:val="12"/>
                <w:color w:val="auto"/>
              </w:rPr>
            </w:pPr>
          </w:p>
        </w:tc>
        <w:tc>
          <w:tcPr>
            <w:tcW w:w="98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&amp; Incentives</w:t>
            </w:r>
          </w:p>
        </w:tc>
      </w:tr>
      <w:tr>
        <w:trPr>
          <w:trHeight w:val="168"/>
        </w:trPr>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Leases Signed</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8"/>
              </w:rPr>
              <w:t>Leases Signed</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4"/>
              </w:rPr>
              <w:t>GLA Signed</w:t>
            </w: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Per Sq. Ft.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Per Sq. Ft.</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w w:val="99"/>
              </w:rPr>
              <w:t>Increase in Rent</w:t>
            </w: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Over Prior Rent</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Over Prior Rent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Lease Term (5)</w:t>
            </w:r>
          </w:p>
        </w:tc>
        <w:tc>
          <w:tcPr>
            <w:tcW w:w="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9"/>
              </w:rPr>
              <w:t>&amp; Incentives (6)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Per Sq. Ft.</w:t>
            </w:r>
          </w:p>
        </w:tc>
      </w:tr>
      <w:tr>
        <w:trPr>
          <w:trHeight w:val="137"/>
        </w:trPr>
        <w:tc>
          <w:tcPr>
            <w:tcW w:w="20" w:type="dxa"/>
            <w:vAlign w:val="bottom"/>
          </w:tcPr>
          <w:p>
            <w:pPr>
              <w:spacing w:after="0"/>
              <w:rPr>
                <w:sz w:val="11"/>
                <w:szCs w:val="11"/>
                <w:color w:val="auto"/>
              </w:rPr>
            </w:pPr>
          </w:p>
        </w:tc>
        <w:tc>
          <w:tcPr>
            <w:tcW w:w="6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w:t>
            </w:r>
          </w:p>
        </w:tc>
        <w:tc>
          <w:tcPr>
            <w:tcW w:w="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208,579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24.28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533,573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462,906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1"/>
              </w:rPr>
              <w:t>4th Quarter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55</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720" w:type="dxa"/>
            <w:vAlign w:val="bottom"/>
          </w:tcPr>
          <w:p>
            <w:pPr>
              <w:jc w:val="right"/>
              <w:spacing w:after="0"/>
              <w:rPr>
                <w:sz w:val="20"/>
                <w:szCs w:val="20"/>
                <w:color w:val="auto"/>
              </w:rPr>
            </w:pPr>
            <w:r>
              <w:rPr>
                <w:rFonts w:ascii="Arial" w:cs="Arial" w:eastAsia="Arial" w:hAnsi="Arial"/>
                <w:sz w:val="13"/>
                <w:szCs w:val="13"/>
                <w:color w:val="auto"/>
              </w:rPr>
              <w:t>266,018</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19.78</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18.31</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389,590</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8%</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2,522,399</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9.48</w:t>
            </w: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0"/>
              </w:rPr>
              <w:t>3rd Quarter</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197,246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24.64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23.10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303,787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469,514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rPr>
              <w:t>2nd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20" w:type="dxa"/>
            <w:vAlign w:val="bottom"/>
          </w:tcPr>
          <w:p>
            <w:pPr>
              <w:ind w:left="200"/>
              <w:spacing w:after="0" w:line="148" w:lineRule="exact"/>
              <w:rPr>
                <w:sz w:val="20"/>
                <w:szCs w:val="20"/>
                <w:color w:val="auto"/>
              </w:rPr>
            </w:pPr>
            <w:r>
              <w:rPr>
                <w:rFonts w:ascii="Arial" w:cs="Arial" w:eastAsia="Arial" w:hAnsi="Arial"/>
                <w:sz w:val="13"/>
                <w:szCs w:val="13"/>
                <w:color w:val="auto"/>
                <w:w w:val="90"/>
              </w:rPr>
              <w:t>Quarter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6"/>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47</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720" w:type="dxa"/>
            <w:vAlign w:val="bottom"/>
          </w:tcPr>
          <w:p>
            <w:pPr>
              <w:jc w:val="right"/>
              <w:spacing w:after="0"/>
              <w:rPr>
                <w:sz w:val="20"/>
                <w:szCs w:val="20"/>
                <w:color w:val="auto"/>
              </w:rPr>
            </w:pPr>
            <w:r>
              <w:rPr>
                <w:rFonts w:ascii="Arial" w:cs="Arial" w:eastAsia="Arial" w:hAnsi="Arial"/>
                <w:sz w:val="13"/>
                <w:szCs w:val="13"/>
                <w:color w:val="auto"/>
              </w:rPr>
              <w:t>121,201</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28.51</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26.12</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289,432</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9%</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267,390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3"/>
              </w:rPr>
              <w:t>months</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793,044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23.50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1,516,382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3,722,209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 - Comparable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6"/>
              </w:rPr>
              <w:t>Contractual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1"/>
              </w:rPr>
              <w:t>Cash Basis %</w:t>
            </w:r>
          </w:p>
        </w:tc>
        <w:tc>
          <w:tcPr>
            <w:tcW w:w="116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8"/>
        </w:trPr>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88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Number of</w:t>
            </w:r>
          </w:p>
        </w:tc>
        <w:tc>
          <w:tcPr>
            <w:tcW w:w="12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96"/>
              </w:rPr>
              <w:t>% of Comparable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4"/>
              </w:rPr>
              <w:t>Rent (3)</w:t>
            </w:r>
          </w:p>
        </w:tc>
        <w:tc>
          <w:tcPr>
            <w:tcW w:w="40" w:type="dxa"/>
            <w:vAlign w:val="bottom"/>
          </w:tcPr>
          <w:p>
            <w:pPr>
              <w:spacing w:after="0"/>
              <w:rPr>
                <w:sz w:val="12"/>
                <w:szCs w:val="12"/>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9"/>
              </w:rPr>
              <w:t>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5"/>
              </w:rPr>
              <w:t>Increase Over</w:t>
            </w: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40" w:type="dxa"/>
            <w:vAlign w:val="bottom"/>
          </w:tcPr>
          <w:p>
            <w:pPr>
              <w:spacing w:after="0"/>
              <w:rPr>
                <w:sz w:val="12"/>
                <w:szCs w:val="12"/>
                <w:color w:val="auto"/>
              </w:rPr>
            </w:pPr>
          </w:p>
        </w:tc>
        <w:tc>
          <w:tcPr>
            <w:tcW w:w="98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4"/>
        </w:trPr>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w w:val="87"/>
              </w:rPr>
              <w:t>Leases Signed</w:t>
            </w:r>
          </w:p>
        </w:tc>
        <w:tc>
          <w:tcPr>
            <w:tcW w:w="120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w w:val="98"/>
              </w:rPr>
              <w:t>Leases Signed</w:t>
            </w:r>
          </w:p>
        </w:tc>
        <w:tc>
          <w:tcPr>
            <w:tcW w:w="7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4"/>
              </w:rPr>
              <w:t>GLA Signed</w:t>
            </w:r>
          </w:p>
        </w:tc>
        <w:tc>
          <w:tcPr>
            <w:tcW w:w="80" w:type="dxa"/>
            <w:vAlign w:val="bottom"/>
          </w:tcPr>
          <w:p>
            <w:pPr>
              <w:spacing w:after="0"/>
              <w:rPr>
                <w:sz w:val="13"/>
                <w:szCs w:val="13"/>
                <w:color w:val="auto"/>
              </w:rPr>
            </w:pPr>
          </w:p>
        </w:tc>
        <w:tc>
          <w:tcPr>
            <w:tcW w:w="72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6"/>
              </w:rPr>
              <w:t>Per Sq. Ft.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6"/>
              </w:rPr>
              <w:t>Per Sq. Ft.</w:t>
            </w:r>
          </w:p>
        </w:tc>
        <w:tc>
          <w:tcPr>
            <w:tcW w:w="40" w:type="dxa"/>
            <w:vAlign w:val="bottom"/>
          </w:tcPr>
          <w:p>
            <w:pPr>
              <w:spacing w:after="0"/>
              <w:rPr>
                <w:sz w:val="13"/>
                <w:szCs w:val="13"/>
                <w:color w:val="auto"/>
              </w:rPr>
            </w:pPr>
          </w:p>
        </w:tc>
        <w:tc>
          <w:tcPr>
            <w:tcW w:w="10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9"/>
              </w:rPr>
              <w:t>Increase in Rent</w:t>
            </w: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8"/>
              </w:rPr>
              <w:t>Prior Rent</w:t>
            </w: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7"/>
              </w:rPr>
              <w:t>Over Prior Rent</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7"/>
              </w:rPr>
              <w:t>Term (5)</w:t>
            </w:r>
          </w:p>
        </w:tc>
        <w:tc>
          <w:tcPr>
            <w:tcW w:w="40" w:type="dxa"/>
            <w:vAlign w:val="bottom"/>
          </w:tcPr>
          <w:p>
            <w:pPr>
              <w:spacing w:after="0"/>
              <w:rPr>
                <w:sz w:val="13"/>
                <w:szCs w:val="13"/>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9"/>
              </w:rPr>
              <w:t>&amp; Incentives (6)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3"/>
              <w:spacing w:after="0" w:line="148" w:lineRule="exact"/>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w:t>
            </w:r>
          </w:p>
        </w:tc>
        <w:tc>
          <w:tcPr>
            <w:tcW w:w="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77,625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19.76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380,698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1,084,565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1"/>
              </w:rPr>
              <w:t>4th Quarter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28</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720" w:type="dxa"/>
            <w:vAlign w:val="bottom"/>
          </w:tcPr>
          <w:p>
            <w:pPr>
              <w:jc w:val="right"/>
              <w:spacing w:after="0"/>
              <w:rPr>
                <w:sz w:val="20"/>
                <w:szCs w:val="20"/>
                <w:color w:val="auto"/>
              </w:rPr>
            </w:pPr>
            <w:r>
              <w:rPr>
                <w:rFonts w:ascii="Arial" w:cs="Arial" w:eastAsia="Arial" w:hAnsi="Arial"/>
                <w:sz w:val="13"/>
                <w:szCs w:val="13"/>
                <w:color w:val="auto"/>
              </w:rPr>
              <w:t>187,935</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24.40</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17.98</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1,206,955</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36%</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50%</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12.7</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3,764,025</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0"/>
              </w:rPr>
              <w:t>3rd Quarter</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197,380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23.86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1,300,320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5,405,665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rPr>
              <w:t>2nd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ind w:left="200"/>
              <w:spacing w:after="0" w:line="148" w:lineRule="exact"/>
              <w:rPr>
                <w:sz w:val="20"/>
                <w:szCs w:val="20"/>
                <w:color w:val="auto"/>
              </w:rPr>
            </w:pPr>
            <w:r>
              <w:rPr>
                <w:rFonts w:ascii="Arial" w:cs="Arial" w:eastAsia="Arial" w:hAnsi="Arial"/>
                <w:sz w:val="13"/>
                <w:szCs w:val="13"/>
                <w:color w:val="auto"/>
                <w:w w:val="90"/>
              </w:rPr>
              <w:t>Quarter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24</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720" w:type="dxa"/>
            <w:vAlign w:val="bottom"/>
          </w:tcPr>
          <w:p>
            <w:pPr>
              <w:jc w:val="right"/>
              <w:spacing w:after="0"/>
              <w:rPr>
                <w:sz w:val="20"/>
                <w:szCs w:val="20"/>
                <w:color w:val="auto"/>
              </w:rPr>
            </w:pPr>
            <w:r>
              <w:rPr>
                <w:rFonts w:ascii="Arial" w:cs="Arial" w:eastAsia="Arial" w:hAnsi="Arial"/>
                <w:sz w:val="13"/>
                <w:szCs w:val="13"/>
                <w:color w:val="auto"/>
              </w:rPr>
              <w:t>120,207</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32.37</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19.10</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1,594,789</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69%</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95%</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12.8</w:t>
            </w:r>
          </w:p>
        </w:tc>
        <w:tc>
          <w:tcPr>
            <w:tcW w:w="2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1,775,952</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3"/>
              </w:rPr>
              <w:t>months</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583,147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4,482,762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12,030,207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6"/>
              </w:rPr>
              <w:t>Contractual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280"/>
              <w:spacing w:after="0" w:line="148" w:lineRule="exact"/>
              <w:rPr>
                <w:sz w:val="20"/>
                <w:szCs w:val="20"/>
                <w:color w:val="auto"/>
              </w:rPr>
            </w:pPr>
            <w:r>
              <w:rPr>
                <w:rFonts w:ascii="Arial" w:cs="Arial" w:eastAsia="Arial" w:hAnsi="Arial"/>
                <w:sz w:val="13"/>
                <w:szCs w:val="13"/>
                <w:b w:val="1"/>
                <w:bCs w:val="1"/>
                <w:color w:val="auto"/>
                <w:w w:val="91"/>
              </w:rPr>
              <w:t>Cash Basis %</w:t>
            </w:r>
          </w:p>
        </w:tc>
        <w:tc>
          <w:tcPr>
            <w:tcW w:w="60" w:type="dxa"/>
            <w:vAlign w:val="bottom"/>
          </w:tcPr>
          <w:p>
            <w:pPr>
              <w:spacing w:after="0"/>
              <w:rPr>
                <w:sz w:val="12"/>
                <w:szCs w:val="12"/>
                <w:color w:val="auto"/>
              </w:rPr>
            </w:pPr>
          </w:p>
        </w:tc>
        <w:tc>
          <w:tcPr>
            <w:tcW w:w="1040" w:type="dxa"/>
            <w:vAlign w:val="bottom"/>
            <w:gridSpan w:val="4"/>
          </w:tcPr>
          <w:p>
            <w:pPr>
              <w:jc w:val="center"/>
              <w:ind w:right="200"/>
              <w:spacing w:after="0" w:line="148" w:lineRule="exact"/>
              <w:rPr>
                <w:sz w:val="20"/>
                <w:szCs w:val="20"/>
                <w:color w:val="auto"/>
              </w:rPr>
            </w:pPr>
            <w:r>
              <w:rPr>
                <w:rFonts w:ascii="Arial" w:cs="Arial" w:eastAsia="Arial" w:hAnsi="Arial"/>
                <w:sz w:val="13"/>
                <w:szCs w:val="13"/>
                <w:b w:val="1"/>
                <w:bCs w:val="1"/>
                <w:color w:val="auto"/>
                <w:w w:val="95"/>
              </w:rPr>
              <w:t>Straight-lined</w:t>
            </w:r>
          </w:p>
        </w:tc>
        <w:tc>
          <w:tcPr>
            <w:tcW w:w="60" w:type="dxa"/>
            <w:vAlign w:val="bottom"/>
          </w:tcPr>
          <w:p>
            <w:pPr>
              <w:spacing w:after="0"/>
              <w:rPr>
                <w:sz w:val="12"/>
                <w:szCs w:val="12"/>
                <w:color w:val="auto"/>
              </w:rPr>
            </w:pPr>
          </w:p>
        </w:tc>
        <w:tc>
          <w:tcPr>
            <w:tcW w:w="940" w:type="dxa"/>
            <w:vAlign w:val="bottom"/>
            <w:gridSpan w:val="4"/>
          </w:tcPr>
          <w:p>
            <w:pPr>
              <w:jc w:val="center"/>
              <w:ind w:right="13"/>
              <w:spacing w:after="0" w:line="148"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4"/>
              </w:rPr>
              <w:t>Improvements</w:t>
            </w:r>
          </w:p>
        </w:tc>
        <w:tc>
          <w:tcPr>
            <w:tcW w:w="0" w:type="dxa"/>
            <w:vAlign w:val="bottom"/>
          </w:tcPr>
          <w:p>
            <w:pPr>
              <w:spacing w:after="0"/>
              <w:rPr>
                <w:sz w:val="1"/>
                <w:szCs w:val="1"/>
                <w:color w:val="auto"/>
              </w:rPr>
            </w:pPr>
          </w:p>
        </w:tc>
      </w:tr>
      <w:tr>
        <w:trPr>
          <w:trHeight w:val="148"/>
        </w:trPr>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Number of</w:t>
            </w:r>
          </w:p>
        </w:tc>
        <w:tc>
          <w:tcPr>
            <w:tcW w:w="12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auto"/>
                <w:w w:val="96"/>
              </w:rPr>
              <w:t>% of Comparable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7"/>
          </w:tcPr>
          <w:p>
            <w:pPr>
              <w:jc w:val="right"/>
              <w:ind w:right="40"/>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93"/>
              <w:spacing w:after="0" w:line="148" w:lineRule="exact"/>
              <w:rPr>
                <w:sz w:val="20"/>
                <w:szCs w:val="20"/>
                <w:color w:val="auto"/>
              </w:rPr>
            </w:pPr>
            <w:r>
              <w:rPr>
                <w:rFonts w:ascii="Arial" w:cs="Arial" w:eastAsia="Arial" w:hAnsi="Arial"/>
                <w:sz w:val="13"/>
                <w:szCs w:val="13"/>
                <w:b w:val="1"/>
                <w:bCs w:val="1"/>
                <w:color w:val="auto"/>
                <w:w w:val="99"/>
              </w:rPr>
              <w:t>Annual</w:t>
            </w:r>
          </w:p>
        </w:tc>
        <w:tc>
          <w:tcPr>
            <w:tcW w:w="80" w:type="dxa"/>
            <w:vAlign w:val="bottom"/>
          </w:tcPr>
          <w:p>
            <w:pPr>
              <w:spacing w:after="0"/>
              <w:rPr>
                <w:sz w:val="12"/>
                <w:szCs w:val="12"/>
                <w:color w:val="auto"/>
              </w:rPr>
            </w:pPr>
          </w:p>
        </w:tc>
        <w:tc>
          <w:tcPr>
            <w:tcW w:w="1220" w:type="dxa"/>
            <w:vAlign w:val="bottom"/>
            <w:gridSpan w:val="5"/>
          </w:tcPr>
          <w:p>
            <w:pPr>
              <w:jc w:val="center"/>
              <w:ind w:right="280"/>
              <w:spacing w:after="0" w:line="148" w:lineRule="exact"/>
              <w:rPr>
                <w:sz w:val="20"/>
                <w:szCs w:val="20"/>
                <w:color w:val="auto"/>
              </w:rPr>
            </w:pPr>
            <w:r>
              <w:rPr>
                <w:rFonts w:ascii="Arial" w:cs="Arial" w:eastAsia="Arial" w:hAnsi="Arial"/>
                <w:sz w:val="13"/>
                <w:szCs w:val="13"/>
                <w:b w:val="1"/>
                <w:bCs w:val="1"/>
                <w:color w:val="auto"/>
                <w:w w:val="95"/>
              </w:rPr>
              <w:t>Increase Over</w:t>
            </w:r>
          </w:p>
        </w:tc>
        <w:tc>
          <w:tcPr>
            <w:tcW w:w="1100" w:type="dxa"/>
            <w:vAlign w:val="bottom"/>
            <w:gridSpan w:val="5"/>
          </w:tcPr>
          <w:p>
            <w:pPr>
              <w:jc w:val="center"/>
              <w:ind w:right="12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60" w:type="dxa"/>
            <w:vAlign w:val="bottom"/>
          </w:tcPr>
          <w:p>
            <w:pPr>
              <w:spacing w:after="0"/>
              <w:rPr>
                <w:sz w:val="12"/>
                <w:szCs w:val="12"/>
                <w:color w:val="auto"/>
              </w:rPr>
            </w:pPr>
          </w:p>
        </w:tc>
        <w:tc>
          <w:tcPr>
            <w:tcW w:w="940" w:type="dxa"/>
            <w:vAlign w:val="bottom"/>
            <w:gridSpan w:val="4"/>
          </w:tcPr>
          <w:p>
            <w:pPr>
              <w:jc w:val="center"/>
              <w:ind w:right="13"/>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980" w:type="dxa"/>
            <w:vAlign w:val="bottom"/>
            <w:gridSpan w:val="4"/>
          </w:tcPr>
          <w:p>
            <w:pPr>
              <w:jc w:val="center"/>
              <w:ind w:right="40"/>
              <w:spacing w:after="0" w:line="148" w:lineRule="exact"/>
              <w:rPr>
                <w:sz w:val="20"/>
                <w:szCs w:val="20"/>
                <w:color w:val="auto"/>
              </w:rPr>
            </w:pPr>
            <w:r>
              <w:rPr>
                <w:rFonts w:ascii="Arial" w:cs="Arial" w:eastAsia="Arial" w:hAnsi="Arial"/>
                <w:sz w:val="13"/>
                <w:szCs w:val="13"/>
                <w:b w:val="1"/>
                <w:bCs w:val="1"/>
                <w:color w:val="auto"/>
                <w:w w:val="92"/>
              </w:rPr>
              <w:t>Improvements</w:t>
            </w: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4"/>
        </w:trPr>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w w:val="90"/>
              </w:rPr>
              <w:t>Leases Signed</w:t>
            </w:r>
          </w:p>
        </w:tc>
        <w:tc>
          <w:tcPr>
            <w:tcW w:w="120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w w:val="98"/>
              </w:rPr>
              <w:t>Leases Signed</w:t>
            </w:r>
          </w:p>
        </w:tc>
        <w:tc>
          <w:tcPr>
            <w:tcW w:w="7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4"/>
              </w:rPr>
              <w:t>GLA Signed</w:t>
            </w:r>
          </w:p>
        </w:tc>
        <w:tc>
          <w:tcPr>
            <w:tcW w:w="80" w:type="dxa"/>
            <w:vAlign w:val="bottom"/>
          </w:tcPr>
          <w:p>
            <w:pPr>
              <w:spacing w:after="0"/>
              <w:rPr>
                <w:sz w:val="13"/>
                <w:szCs w:val="13"/>
                <w:color w:val="auto"/>
              </w:rPr>
            </w:pPr>
          </w:p>
        </w:tc>
        <w:tc>
          <w:tcPr>
            <w:tcW w:w="72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Per Sq. Ft.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20"/>
              <w:spacing w:after="0" w:line="148" w:lineRule="exact"/>
              <w:rPr>
                <w:sz w:val="20"/>
                <w:szCs w:val="20"/>
                <w:color w:val="auto"/>
              </w:rPr>
            </w:pPr>
            <w:r>
              <w:rPr>
                <w:rFonts w:ascii="Arial" w:cs="Arial" w:eastAsia="Arial" w:hAnsi="Arial"/>
                <w:sz w:val="13"/>
                <w:szCs w:val="13"/>
                <w:b w:val="1"/>
                <w:bCs w:val="1"/>
                <w:color w:val="auto"/>
                <w:w w:val="96"/>
              </w:rPr>
              <w:t>Per Sq. Ft.</w:t>
            </w:r>
          </w:p>
        </w:tc>
        <w:tc>
          <w:tcPr>
            <w:tcW w:w="40" w:type="dxa"/>
            <w:vAlign w:val="bottom"/>
          </w:tcPr>
          <w:p>
            <w:pPr>
              <w:spacing w:after="0"/>
              <w:rPr>
                <w:sz w:val="13"/>
                <w:szCs w:val="13"/>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1"/>
              </w:rPr>
              <w:t>Increase in Rent</w:t>
            </w:r>
          </w:p>
        </w:tc>
        <w:tc>
          <w:tcPr>
            <w:tcW w:w="80" w:type="dxa"/>
            <w:vAlign w:val="bottom"/>
          </w:tcPr>
          <w:p>
            <w:pPr>
              <w:spacing w:after="0"/>
              <w:rPr>
                <w:sz w:val="13"/>
                <w:szCs w:val="13"/>
                <w:color w:val="auto"/>
              </w:rPr>
            </w:pPr>
          </w:p>
        </w:tc>
        <w:tc>
          <w:tcPr>
            <w:tcW w:w="1220" w:type="dxa"/>
            <w:vAlign w:val="bottom"/>
            <w:gridSpan w:val="5"/>
          </w:tcPr>
          <w:p>
            <w:pPr>
              <w:jc w:val="center"/>
              <w:ind w:right="280"/>
              <w:spacing w:after="0" w:line="148" w:lineRule="exact"/>
              <w:rPr>
                <w:sz w:val="20"/>
                <w:szCs w:val="20"/>
                <w:color w:val="auto"/>
              </w:rPr>
            </w:pPr>
            <w:r>
              <w:rPr>
                <w:rFonts w:ascii="Arial" w:cs="Arial" w:eastAsia="Arial" w:hAnsi="Arial"/>
                <w:sz w:val="13"/>
                <w:szCs w:val="13"/>
                <w:b w:val="1"/>
                <w:bCs w:val="1"/>
                <w:color w:val="auto"/>
                <w:w w:val="98"/>
              </w:rPr>
              <w:t>Prior Rent</w:t>
            </w:r>
          </w:p>
        </w:tc>
        <w:tc>
          <w:tcPr>
            <w:tcW w:w="1100" w:type="dxa"/>
            <w:vAlign w:val="bottom"/>
            <w:gridSpan w:val="5"/>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Over Prior Rent</w:t>
            </w:r>
          </w:p>
        </w:tc>
        <w:tc>
          <w:tcPr>
            <w:tcW w:w="60" w:type="dxa"/>
            <w:vAlign w:val="bottom"/>
          </w:tcPr>
          <w:p>
            <w:pPr>
              <w:spacing w:after="0"/>
              <w:rPr>
                <w:sz w:val="13"/>
                <w:szCs w:val="13"/>
                <w:color w:val="auto"/>
              </w:rPr>
            </w:pPr>
          </w:p>
        </w:tc>
        <w:tc>
          <w:tcPr>
            <w:tcW w:w="680" w:type="dxa"/>
            <w:vAlign w:val="bottom"/>
            <w:gridSpan w:val="2"/>
          </w:tcPr>
          <w:p>
            <w:pPr>
              <w:jc w:val="center"/>
              <w:ind w:left="113"/>
              <w:spacing w:after="0" w:line="148" w:lineRule="exact"/>
              <w:rPr>
                <w:sz w:val="20"/>
                <w:szCs w:val="20"/>
                <w:color w:val="auto"/>
              </w:rPr>
            </w:pPr>
            <w:r>
              <w:rPr>
                <w:rFonts w:ascii="Arial" w:cs="Arial" w:eastAsia="Arial" w:hAnsi="Arial"/>
                <w:sz w:val="13"/>
                <w:szCs w:val="13"/>
                <w:b w:val="1"/>
                <w:bCs w:val="1"/>
                <w:color w:val="auto"/>
                <w:w w:val="97"/>
              </w:rPr>
              <w:t>Term (5)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spacing w:after="0" w:line="148" w:lineRule="exact"/>
              <w:rPr>
                <w:sz w:val="20"/>
                <w:szCs w:val="20"/>
                <w:color w:val="auto"/>
              </w:rPr>
            </w:pPr>
            <w:r>
              <w:rPr>
                <w:rFonts w:ascii="Arial" w:cs="Arial" w:eastAsia="Arial" w:hAnsi="Arial"/>
                <w:sz w:val="13"/>
                <w:szCs w:val="13"/>
                <w:b w:val="1"/>
                <w:bCs w:val="1"/>
                <w:color w:val="auto"/>
                <w:w w:val="99"/>
              </w:rPr>
              <w:t>&amp; Incentives (6)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w w:val="92"/>
              </w:rPr>
              <w:t>1st Quarter</w:t>
            </w:r>
          </w:p>
        </w:tc>
        <w:tc>
          <w:tcPr>
            <w:tcW w:w="6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2006</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64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286,204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23.05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19.85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914,271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8"/>
              </w:rPr>
              <w:t>5.8</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1,547,471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1"/>
              </w:rPr>
              <w:t>4th Quarter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4"/>
          </w:tcPr>
          <w:p>
            <w:pPr>
              <w:jc w:val="right"/>
              <w:ind w:right="60"/>
              <w:spacing w:after="0"/>
              <w:rPr>
                <w:sz w:val="20"/>
                <w:szCs w:val="20"/>
                <w:color w:val="auto"/>
              </w:rPr>
            </w:pPr>
            <w:r>
              <w:rPr>
                <w:rFonts w:ascii="Arial" w:cs="Arial" w:eastAsia="Arial" w:hAnsi="Arial"/>
                <w:sz w:val="13"/>
                <w:szCs w:val="13"/>
                <w:color w:val="auto"/>
              </w:rPr>
              <w:t>83</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720" w:type="dxa"/>
            <w:vAlign w:val="bottom"/>
          </w:tcPr>
          <w:p>
            <w:pPr>
              <w:jc w:val="right"/>
              <w:spacing w:after="0"/>
              <w:rPr>
                <w:sz w:val="20"/>
                <w:szCs w:val="20"/>
                <w:color w:val="auto"/>
              </w:rPr>
            </w:pPr>
            <w:r>
              <w:rPr>
                <w:rFonts w:ascii="Arial" w:cs="Arial" w:eastAsia="Arial" w:hAnsi="Arial"/>
                <w:sz w:val="13"/>
                <w:szCs w:val="13"/>
                <w:color w:val="auto"/>
              </w:rPr>
              <w:t>453,953</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21.69</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18.17</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1,596,545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31%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13"/>
              <w:spacing w:after="0"/>
              <w:rPr>
                <w:sz w:val="20"/>
                <w:szCs w:val="20"/>
                <w:color w:val="auto"/>
              </w:rPr>
            </w:pPr>
            <w:r>
              <w:rPr>
                <w:rFonts w:ascii="Arial" w:cs="Arial" w:eastAsia="Arial" w:hAnsi="Arial"/>
                <w:sz w:val="13"/>
                <w:szCs w:val="13"/>
                <w:color w:val="auto"/>
                <w:w w:val="88"/>
              </w:rPr>
              <w:t>8.7</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6,286,424</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13.85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0"/>
              </w:rPr>
              <w:t>3rd Quarter</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2005</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80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394,626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24.25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20.19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1,604,107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8"/>
              </w:rPr>
              <w:t>9.7</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5,875,179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tcPr>
          <w:p>
            <w:pPr>
              <w:spacing w:after="0" w:line="138" w:lineRule="exact"/>
              <w:rPr>
                <w:sz w:val="20"/>
                <w:szCs w:val="20"/>
                <w:color w:val="auto"/>
              </w:rPr>
            </w:pPr>
            <w:r>
              <w:rPr>
                <w:rFonts w:ascii="Arial" w:cs="Arial" w:eastAsia="Arial" w:hAnsi="Arial"/>
                <w:sz w:val="13"/>
                <w:szCs w:val="13"/>
                <w:color w:val="auto"/>
              </w:rPr>
              <w:t>2nd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ind w:left="200"/>
              <w:spacing w:after="0" w:line="148" w:lineRule="exact"/>
              <w:rPr>
                <w:sz w:val="20"/>
                <w:szCs w:val="20"/>
                <w:color w:val="auto"/>
              </w:rPr>
            </w:pPr>
            <w:r>
              <w:rPr>
                <w:rFonts w:ascii="Arial" w:cs="Arial" w:eastAsia="Arial" w:hAnsi="Arial"/>
                <w:sz w:val="13"/>
                <w:szCs w:val="13"/>
                <w:color w:val="auto"/>
                <w:w w:val="90"/>
              </w:rPr>
              <w:t>Quarter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0" w:type="dxa"/>
            <w:vAlign w:val="bottom"/>
            <w:gridSpan w:val="2"/>
          </w:tcPr>
          <w:p>
            <w:pPr>
              <w:ind w:left="220"/>
              <w:spacing w:after="0"/>
              <w:rPr>
                <w:sz w:val="20"/>
                <w:szCs w:val="20"/>
                <w:color w:val="auto"/>
              </w:rPr>
            </w:pPr>
            <w:r>
              <w:rPr>
                <w:rFonts w:ascii="Arial" w:cs="Arial" w:eastAsia="Arial" w:hAnsi="Arial"/>
                <w:sz w:val="13"/>
                <w:szCs w:val="13"/>
                <w:color w:val="auto"/>
              </w:rPr>
              <w:t>2005</w:t>
            </w:r>
          </w:p>
        </w:tc>
        <w:tc>
          <w:tcPr>
            <w:tcW w:w="940" w:type="dxa"/>
            <w:vAlign w:val="bottom"/>
            <w:gridSpan w:val="4"/>
          </w:tcPr>
          <w:p>
            <w:pPr>
              <w:jc w:val="right"/>
              <w:ind w:right="60"/>
              <w:spacing w:after="0"/>
              <w:rPr>
                <w:sz w:val="20"/>
                <w:szCs w:val="20"/>
                <w:color w:val="auto"/>
              </w:rPr>
            </w:pPr>
            <w:r>
              <w:rPr>
                <w:rFonts w:ascii="Arial" w:cs="Arial" w:eastAsia="Arial" w:hAnsi="Arial"/>
                <w:sz w:val="13"/>
                <w:szCs w:val="13"/>
                <w:color w:val="auto"/>
              </w:rPr>
              <w:t>71</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720" w:type="dxa"/>
            <w:vAlign w:val="bottom"/>
          </w:tcPr>
          <w:p>
            <w:pPr>
              <w:jc w:val="right"/>
              <w:spacing w:after="0"/>
              <w:rPr>
                <w:sz w:val="20"/>
                <w:szCs w:val="20"/>
                <w:color w:val="auto"/>
              </w:rPr>
            </w:pPr>
            <w:r>
              <w:rPr>
                <w:rFonts w:ascii="Arial" w:cs="Arial" w:eastAsia="Arial" w:hAnsi="Arial"/>
                <w:sz w:val="13"/>
                <w:szCs w:val="13"/>
                <w:color w:val="auto"/>
              </w:rPr>
              <w:t>241,408</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30.43</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22.63</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1,884,221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51%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2"/>
          </w:tcPr>
          <w:p>
            <w:pPr>
              <w:jc w:val="right"/>
              <w:ind w:right="13"/>
              <w:spacing w:after="0"/>
              <w:rPr>
                <w:sz w:val="20"/>
                <w:szCs w:val="20"/>
                <w:color w:val="auto"/>
              </w:rPr>
            </w:pPr>
            <w:r>
              <w:rPr>
                <w:rFonts w:ascii="Arial" w:cs="Arial" w:eastAsia="Arial" w:hAnsi="Arial"/>
                <w:sz w:val="13"/>
                <w:szCs w:val="13"/>
                <w:color w:val="auto"/>
                <w:w w:val="88"/>
              </w:rPr>
              <w:t>9.0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2,043,342</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8.46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Total - 12</w:t>
            </w:r>
          </w:p>
        </w:tc>
        <w:tc>
          <w:tcPr>
            <w:tcW w:w="6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3"/>
              </w:rPr>
              <w:t>months</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1,376,191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19.88</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5,999,144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w w:val="88"/>
              </w:rPr>
              <w:t>8.5</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15,752,416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80" w:type="dxa"/>
            <w:vAlign w:val="bottom"/>
            <w:gridSpan w:val="18"/>
          </w:tcPr>
          <w:p>
            <w:pPr>
              <w:spacing w:after="0"/>
              <w:rPr>
                <w:sz w:val="20"/>
                <w:szCs w:val="20"/>
                <w:color w:val="auto"/>
              </w:rPr>
            </w:pPr>
            <w:r>
              <w:rPr>
                <w:rFonts w:ascii="Arial" w:cs="Arial" w:eastAsia="Arial" w:hAnsi="Arial"/>
                <w:sz w:val="17"/>
                <w:szCs w:val="17"/>
                <w:b w:val="1"/>
                <w:bCs w:val="1"/>
                <w:color w:val="auto"/>
              </w:rPr>
              <w:t>Total Lease Summary - Comparable and Non-comparable (2)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spacing w:after="0" w:line="148" w:lineRule="exact"/>
              <w:rPr>
                <w:sz w:val="20"/>
                <w:szCs w:val="20"/>
                <w:color w:val="auto"/>
              </w:rPr>
            </w:pPr>
            <w:r>
              <w:rPr>
                <w:rFonts w:ascii="Arial" w:cs="Arial" w:eastAsia="Arial" w:hAnsi="Arial"/>
                <w:sz w:val="13"/>
                <w:szCs w:val="13"/>
                <w:b w:val="1"/>
                <w:bCs w:val="1"/>
                <w:color w:val="auto"/>
              </w:rPr>
              <w:t>Contractual</w:t>
            </w:r>
          </w:p>
        </w:tc>
        <w:tc>
          <w:tcPr>
            <w:tcW w:w="740" w:type="dxa"/>
            <w:vAlign w:val="bottom"/>
            <w:gridSpan w:val="3"/>
          </w:tcPr>
          <w:p>
            <w:pPr>
              <w:jc w:val="right"/>
              <w:ind w:right="200"/>
              <w:spacing w:after="0" w:line="148" w:lineRule="exact"/>
              <w:rPr>
                <w:sz w:val="20"/>
                <w:szCs w:val="20"/>
                <w:color w:val="auto"/>
              </w:rPr>
            </w:pPr>
            <w:r>
              <w:rPr>
                <w:rFonts w:ascii="Arial" w:cs="Arial" w:eastAsia="Arial" w:hAnsi="Arial"/>
                <w:sz w:val="13"/>
                <w:szCs w:val="13"/>
                <w:b w:val="1"/>
                <w:bCs w:val="1"/>
                <w:color w:val="auto"/>
                <w:w w:val="88"/>
              </w:rPr>
              <w:t>Weighted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60"/>
              <w:spacing w:after="0" w:line="148" w:lineRule="exact"/>
              <w:rPr>
                <w:sz w:val="20"/>
                <w:szCs w:val="20"/>
                <w:color w:val="auto"/>
              </w:rPr>
            </w:pPr>
            <w:r>
              <w:rPr>
                <w:rFonts w:ascii="Arial" w:cs="Arial" w:eastAsia="Arial" w:hAnsi="Arial"/>
                <w:sz w:val="13"/>
                <w:szCs w:val="13"/>
                <w:b w:val="1"/>
                <w:bCs w:val="1"/>
                <w:color w:val="auto"/>
                <w:w w:val="93"/>
              </w:rPr>
              <w:t>Tenant</w:t>
            </w: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4"/>
              </w:rPr>
              <w:t>Improvements</w:t>
            </w:r>
          </w:p>
        </w:tc>
        <w:tc>
          <w:tcPr>
            <w:tcW w:w="0" w:type="dxa"/>
            <w:vAlign w:val="bottom"/>
          </w:tcPr>
          <w:p>
            <w:pPr>
              <w:spacing w:after="0"/>
              <w:rPr>
                <w:sz w:val="1"/>
                <w:szCs w:val="1"/>
                <w:color w:val="auto"/>
              </w:rPr>
            </w:pPr>
          </w:p>
        </w:tc>
      </w:tr>
      <w:tr>
        <w:trPr>
          <w:trHeight w:val="148"/>
        </w:trPr>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Quarter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ind w:right="13"/>
              <w:spacing w:after="0" w:line="148"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460"/>
              <w:spacing w:after="0" w:line="148" w:lineRule="exact"/>
              <w:rPr>
                <w:sz w:val="20"/>
                <w:szCs w:val="20"/>
                <w:color w:val="auto"/>
              </w:rPr>
            </w:pPr>
            <w:r>
              <w:rPr>
                <w:rFonts w:ascii="Arial" w:cs="Arial" w:eastAsia="Arial" w:hAnsi="Arial"/>
                <w:sz w:val="13"/>
                <w:szCs w:val="13"/>
                <w:b w:val="1"/>
                <w:bCs w:val="1"/>
                <w:color w:val="auto"/>
                <w:w w:val="94"/>
              </w:rPr>
              <w:t>Rent (3)</w:t>
            </w:r>
          </w:p>
        </w:tc>
        <w:tc>
          <w:tcPr>
            <w:tcW w:w="740" w:type="dxa"/>
            <w:vAlign w:val="bottom"/>
            <w:gridSpan w:val="3"/>
          </w:tcPr>
          <w:p>
            <w:pPr>
              <w:jc w:val="right"/>
              <w:ind w:right="220"/>
              <w:spacing w:after="0" w:line="148"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2"/>
                <w:szCs w:val="12"/>
                <w:color w:val="auto"/>
              </w:rPr>
            </w:pPr>
          </w:p>
        </w:tc>
        <w:tc>
          <w:tcPr>
            <w:tcW w:w="1060" w:type="dxa"/>
            <w:vAlign w:val="bottom"/>
            <w:gridSpan w:val="5"/>
          </w:tcPr>
          <w:p>
            <w:pPr>
              <w:jc w:val="center"/>
              <w:ind w:right="180"/>
              <w:spacing w:after="0" w:line="148" w:lineRule="exact"/>
              <w:rPr>
                <w:sz w:val="20"/>
                <w:szCs w:val="20"/>
                <w:color w:val="auto"/>
              </w:rPr>
            </w:pPr>
            <w:r>
              <w:rPr>
                <w:rFonts w:ascii="Arial" w:cs="Arial" w:eastAsia="Arial" w:hAnsi="Arial"/>
                <w:sz w:val="13"/>
                <w:szCs w:val="13"/>
                <w:b w:val="1"/>
                <w:bCs w:val="1"/>
                <w:color w:val="auto"/>
                <w:w w:val="94"/>
              </w:rPr>
              <w:t>Improvements</w:t>
            </w:r>
          </w:p>
        </w:tc>
        <w:tc>
          <w:tcPr>
            <w:tcW w:w="40" w:type="dxa"/>
            <w:vAlign w:val="bottom"/>
          </w:tcPr>
          <w:p>
            <w:pPr>
              <w:spacing w:after="0"/>
              <w:rPr>
                <w:sz w:val="12"/>
                <w:szCs w:val="12"/>
                <w:color w:val="auto"/>
              </w:rPr>
            </w:pPr>
          </w:p>
        </w:tc>
        <w:tc>
          <w:tcPr>
            <w:tcW w:w="8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47"/>
        </w:trPr>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right"/>
              <w:spacing w:after="0" w:line="148" w:lineRule="exact"/>
              <w:rPr>
                <w:sz w:val="20"/>
                <w:szCs w:val="20"/>
                <w:color w:val="auto"/>
              </w:rPr>
            </w:pPr>
            <w:r>
              <w:rPr>
                <w:rFonts w:ascii="Arial" w:cs="Arial" w:eastAsia="Arial" w:hAnsi="Arial"/>
                <w:sz w:val="13"/>
                <w:szCs w:val="13"/>
                <w:b w:val="1"/>
                <w:bCs w:val="1"/>
                <w:color w:val="auto"/>
                <w:w w:val="85"/>
              </w:rPr>
              <w:t>Leases Signed</w:t>
            </w:r>
          </w:p>
        </w:tc>
        <w:tc>
          <w:tcPr>
            <w:tcW w:w="200" w:type="dxa"/>
            <w:vAlign w:val="bottom"/>
          </w:tcPr>
          <w:p>
            <w:pPr>
              <w:spacing w:after="0"/>
              <w:rPr>
                <w:sz w:val="12"/>
                <w:szCs w:val="12"/>
                <w:color w:val="auto"/>
              </w:rPr>
            </w:pPr>
          </w:p>
        </w:tc>
        <w:tc>
          <w:tcPr>
            <w:tcW w:w="840" w:type="dxa"/>
            <w:vAlign w:val="bottom"/>
            <w:gridSpan w:val="3"/>
          </w:tcPr>
          <w:p>
            <w:pPr>
              <w:jc w:val="right"/>
              <w:ind w:right="140"/>
              <w:spacing w:after="0" w:line="148" w:lineRule="exact"/>
              <w:rPr>
                <w:sz w:val="20"/>
                <w:szCs w:val="20"/>
                <w:color w:val="auto"/>
              </w:rPr>
            </w:pPr>
            <w:r>
              <w:rPr>
                <w:rFonts w:ascii="Arial" w:cs="Arial" w:eastAsia="Arial" w:hAnsi="Arial"/>
                <w:sz w:val="13"/>
                <w:szCs w:val="13"/>
                <w:b w:val="1"/>
                <w:bCs w:val="1"/>
                <w:color w:val="auto"/>
                <w:w w:val="91"/>
              </w:rPr>
              <w:t>GLA Signed</w:t>
            </w:r>
          </w:p>
        </w:tc>
        <w:tc>
          <w:tcPr>
            <w:tcW w:w="60" w:type="dxa"/>
            <w:vAlign w:val="bottom"/>
          </w:tcPr>
          <w:p>
            <w:pPr>
              <w:spacing w:after="0"/>
              <w:rPr>
                <w:sz w:val="12"/>
                <w:szCs w:val="12"/>
                <w:color w:val="auto"/>
              </w:rPr>
            </w:pPr>
          </w:p>
        </w:tc>
        <w:tc>
          <w:tcPr>
            <w:tcW w:w="1780" w:type="dxa"/>
            <w:vAlign w:val="bottom"/>
            <w:gridSpan w:val="7"/>
          </w:tcPr>
          <w:p>
            <w:pPr>
              <w:jc w:val="right"/>
              <w:ind w:right="40"/>
              <w:spacing w:after="0" w:line="148" w:lineRule="exact"/>
              <w:rPr>
                <w:sz w:val="20"/>
                <w:szCs w:val="20"/>
                <w:color w:val="auto"/>
              </w:rPr>
            </w:pPr>
            <w:r>
              <w:rPr>
                <w:rFonts w:ascii="Arial" w:cs="Arial" w:eastAsia="Arial" w:hAnsi="Arial"/>
                <w:sz w:val="13"/>
                <w:szCs w:val="13"/>
                <w:b w:val="1"/>
                <w:bCs w:val="1"/>
                <w:color w:val="auto"/>
              </w:rPr>
              <w:t>Per Sq. Ft.   Lease Term (5)</w:t>
            </w:r>
          </w:p>
        </w:tc>
        <w:tc>
          <w:tcPr>
            <w:tcW w:w="180" w:type="dxa"/>
            <w:vAlign w:val="bottom"/>
          </w:tcPr>
          <w:p>
            <w:pPr>
              <w:spacing w:after="0"/>
              <w:rPr>
                <w:sz w:val="12"/>
                <w:szCs w:val="12"/>
                <w:color w:val="auto"/>
              </w:rPr>
            </w:pPr>
          </w:p>
        </w:tc>
        <w:tc>
          <w:tcPr>
            <w:tcW w:w="1060" w:type="dxa"/>
            <w:vAlign w:val="bottom"/>
            <w:gridSpan w:val="5"/>
          </w:tcPr>
          <w:p>
            <w:pPr>
              <w:spacing w:after="0" w:line="148" w:lineRule="exact"/>
              <w:rPr>
                <w:sz w:val="20"/>
                <w:szCs w:val="20"/>
                <w:color w:val="auto"/>
              </w:rPr>
            </w:pPr>
            <w:r>
              <w:rPr>
                <w:rFonts w:ascii="Arial" w:cs="Arial" w:eastAsia="Arial" w:hAnsi="Arial"/>
                <w:sz w:val="13"/>
                <w:szCs w:val="13"/>
                <w:b w:val="1"/>
                <w:bCs w:val="1"/>
                <w:color w:val="auto"/>
              </w:rPr>
              <w:t>&amp; Incentives (6)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1st Quarter 2006</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349,369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5,204,611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7"/>
                <w:szCs w:val="17"/>
                <w:color w:val="auto"/>
              </w:rPr>
              <w:t>4th Quarter 2005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w w:val="84"/>
              </w:rPr>
              <w:t>107</w:t>
            </w: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532,500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9.4</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8,738,711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3rd Quarter 2005</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441,018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7,049,748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7"/>
                <w:szCs w:val="17"/>
                <w:color w:val="auto"/>
              </w:rPr>
              <w:t>2nd Quarter 2005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268,926</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9.1</w:t>
            </w:r>
          </w:p>
        </w:tc>
        <w:tc>
          <w:tcPr>
            <w:tcW w:w="260" w:type="dxa"/>
            <w:vAlign w:val="bottom"/>
            <w:gridSpan w:val="2"/>
          </w:tcPr>
          <w:p>
            <w:pPr>
              <w:ind w:left="160"/>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2,965,405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5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366</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9"/>
              </w:rPr>
              <w:t>1,591,813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8.9</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$ 23,958,475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9" w:lineRule="exact"/>
        <w:rPr>
          <w:rFonts w:ascii="Arial" w:cs="Arial" w:eastAsia="Arial" w:hAnsi="Arial"/>
          <w:sz w:val="17"/>
          <w:szCs w:val="17"/>
          <w:color w:val="auto"/>
        </w:rPr>
      </w:pPr>
    </w:p>
    <w:p>
      <w:pPr>
        <w:ind w:left="460" w:right="320" w:hanging="452"/>
        <w:spacing w:after="0" w:line="28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 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420"/>
          </w:cols>
          <w:pgMar w:left="240" w:top="273"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7"/>
              </w:rPr>
              <w:t>Anchor Tenants (1)</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Small Shop Tenants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 of Anchor</w:t>
            </w:r>
          </w:p>
        </w:tc>
        <w:tc>
          <w:tcPr>
            <w:tcW w:w="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8"/>
              </w:rPr>
              <w:t>Minimum Rent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3"/>
                <w:szCs w:val="13"/>
                <w:b w:val="1"/>
                <w:bCs w:val="1"/>
                <w:color w:val="auto"/>
                <w:w w:val="97"/>
              </w:rPr>
              <w:t>% of Small</w:t>
            </w:r>
          </w:p>
        </w:tc>
        <w:tc>
          <w:tcPr>
            <w:tcW w:w="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5"/>
              </w:rPr>
              <w:t>Minimum Rent</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6"/>
              </w:rPr>
              <w:t>% of Total</w:t>
            </w:r>
          </w:p>
        </w:tc>
        <w:tc>
          <w:tcPr>
            <w:tcW w:w="2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5"/>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96"/>
              </w:rPr>
              <w:t>Expiring SF</w:t>
            </w:r>
          </w:p>
        </w:tc>
        <w:tc>
          <w:tcPr>
            <w:tcW w:w="340" w:type="dxa"/>
            <w:vAlign w:val="bottom"/>
          </w:tcPr>
          <w:p>
            <w:pPr>
              <w:spacing w:after="0"/>
              <w:rPr>
                <w:sz w:val="13"/>
                <w:szCs w:val="13"/>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SF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60" w:type="dxa"/>
            <w:vAlign w:val="bottom"/>
          </w:tcPr>
          <w:p>
            <w:pPr>
              <w:spacing w:after="0"/>
              <w:rPr>
                <w:sz w:val="13"/>
                <w:szCs w:val="13"/>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Shop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PSF (2)</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Expiring SF</w:t>
            </w: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SF</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484,000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23.25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635,000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852,000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9%</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8.43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955,000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14%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24.99</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1,808,000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878,000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966,000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23.19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1,844,000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1,153,000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12%</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11.70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1,004,000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15%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26.25</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2,157,000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677,000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25.56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1,568,000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620,000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15.79</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827,000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12%</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28.79</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1,447,000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758,000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463,000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31.45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1,220,000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563,000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14.93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284,000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32.83</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847,000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651,000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35.41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927,000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542,000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6%</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14.13</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291,000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29.69</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833,000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2,910,000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467,000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27.83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3,376,000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gridSpan w:val="4"/>
          </w:tcPr>
          <w:p>
            <w:pPr>
              <w:spacing w:after="0"/>
              <w:rPr>
                <w:sz w:val="20"/>
                <w:szCs w:val="20"/>
                <w:color w:val="auto"/>
              </w:rPr>
            </w:pPr>
            <w:r>
              <w:rPr>
                <w:rFonts w:ascii="Arial" w:cs="Arial" w:eastAsia="Arial" w:hAnsi="Arial"/>
                <w:sz w:val="17"/>
                <w:szCs w:val="17"/>
                <w:b w:val="1"/>
                <w:bCs w:val="1"/>
                <w:color w:val="auto"/>
              </w:rPr>
              <w:t>Total</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9,755,000</w:t>
            </w:r>
          </w:p>
        </w:tc>
        <w:tc>
          <w:tcPr>
            <w:tcW w:w="3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100%</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13.37</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6,907,000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26.89</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w w:val="89"/>
              </w:rPr>
              <w:t>16,662,000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20" w:type="dxa"/>
            <w:vAlign w:val="bottom"/>
            <w:gridSpan w:val="9"/>
          </w:tcPr>
          <w:p>
            <w:pPr>
              <w:spacing w:after="0"/>
              <w:rPr>
                <w:sz w:val="20"/>
                <w:szCs w:val="20"/>
                <w:color w:val="auto"/>
              </w:rPr>
            </w:pPr>
            <w:r>
              <w:rPr>
                <w:rFonts w:ascii="Arial" w:cs="Arial" w:eastAsia="Arial" w:hAnsi="Arial"/>
                <w:sz w:val="17"/>
                <w:szCs w:val="17"/>
                <w:b w:val="1"/>
                <w:bCs w:val="1"/>
                <w:color w:val="auto"/>
              </w:rPr>
              <w:t>Assumes lease options are exercised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7"/>
              </w:rPr>
              <w:t>Anchor Tenants (1)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Small Shop Tenants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 of Anchor</w:t>
            </w:r>
          </w:p>
        </w:tc>
        <w:tc>
          <w:tcPr>
            <w:tcW w:w="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8"/>
              </w:rPr>
              <w:t>Minimum Rent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3"/>
                <w:szCs w:val="13"/>
                <w:b w:val="1"/>
                <w:bCs w:val="1"/>
                <w:color w:val="auto"/>
                <w:w w:val="97"/>
              </w:rPr>
              <w:t>% of Small</w:t>
            </w:r>
          </w:p>
        </w:tc>
        <w:tc>
          <w:tcPr>
            <w:tcW w:w="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5"/>
              </w:rPr>
              <w:t>Minimum Rent</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6"/>
              </w:rPr>
              <w:t>% of Total</w:t>
            </w:r>
          </w:p>
        </w:tc>
        <w:tc>
          <w:tcPr>
            <w:tcW w:w="2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5"/>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96"/>
              </w:rPr>
              <w:t>Expiring SF</w:t>
            </w:r>
          </w:p>
        </w:tc>
        <w:tc>
          <w:tcPr>
            <w:tcW w:w="340" w:type="dxa"/>
            <w:vAlign w:val="bottom"/>
          </w:tcPr>
          <w:p>
            <w:pPr>
              <w:spacing w:after="0"/>
              <w:rPr>
                <w:sz w:val="13"/>
                <w:szCs w:val="13"/>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SF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60" w:type="dxa"/>
            <w:vAlign w:val="bottom"/>
          </w:tcPr>
          <w:p>
            <w:pPr>
              <w:spacing w:after="0"/>
              <w:rPr>
                <w:sz w:val="13"/>
                <w:szCs w:val="13"/>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Shop SF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PSF (2)</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Expiring SF</w:t>
            </w: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SF</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24.83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375,000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229,000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9.05</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532,000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25.35</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760,000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23.66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849,000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231,000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11.53</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578,000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27.74</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809,000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26.76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618,000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61,000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1%</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14.86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586,000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8%</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26.07</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646,000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235,000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477,000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27.64</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712,000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155,000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13.08</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319,000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27.24</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474,000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304,000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417,000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29.94</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721,000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216,000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15.31</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450,000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25.60</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666,000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9"/>
              </w:rPr>
              <w:t>7,924,000</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2,106,000</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28.02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89"/>
              </w:rPr>
              <w:t>10,032,000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80" w:type="dxa"/>
            <w:vAlign w:val="bottom"/>
            <w:gridSpan w:val="4"/>
          </w:tcPr>
          <w:p>
            <w:pPr>
              <w:spacing w:after="0"/>
              <w:rPr>
                <w:sz w:val="20"/>
                <w:szCs w:val="20"/>
                <w:color w:val="auto"/>
              </w:rPr>
            </w:pPr>
            <w:r>
              <w:rPr>
                <w:rFonts w:ascii="Arial" w:cs="Arial" w:eastAsia="Arial" w:hAnsi="Arial"/>
                <w:sz w:val="17"/>
                <w:szCs w:val="17"/>
                <w:b w:val="1"/>
                <w:bCs w:val="1"/>
                <w:color w:val="auto"/>
              </w:rPr>
              <w:t>Total</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9,755,000</w:t>
            </w:r>
          </w:p>
        </w:tc>
        <w:tc>
          <w:tcPr>
            <w:tcW w:w="1520" w:type="dxa"/>
            <w:vAlign w:val="bottom"/>
            <w:gridSpan w:val="3"/>
          </w:tcPr>
          <w:p>
            <w:pPr>
              <w:jc w:val="right"/>
              <w:ind w:right="280"/>
              <w:spacing w:after="0"/>
              <w:rPr>
                <w:sz w:val="20"/>
                <w:szCs w:val="20"/>
                <w:color w:val="auto"/>
              </w:rPr>
            </w:pPr>
            <w:r>
              <w:rPr>
                <w:rFonts w:ascii="Arial" w:cs="Arial" w:eastAsia="Arial" w:hAnsi="Arial"/>
                <w:sz w:val="17"/>
                <w:szCs w:val="17"/>
                <w:color w:val="auto"/>
              </w:rPr>
              <w:t>100%</w:t>
            </w: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13.37</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6,908,000</w:t>
            </w:r>
          </w:p>
        </w:tc>
        <w:tc>
          <w:tcPr>
            <w:tcW w:w="1480" w:type="dxa"/>
            <w:vAlign w:val="bottom"/>
            <w:gridSpan w:val="3"/>
          </w:tcPr>
          <w:p>
            <w:pPr>
              <w:jc w:val="right"/>
              <w:ind w:right="320"/>
              <w:spacing w:after="0"/>
              <w:rPr>
                <w:sz w:val="20"/>
                <w:szCs w:val="20"/>
                <w:color w:val="auto"/>
              </w:rPr>
            </w:pPr>
            <w:r>
              <w:rPr>
                <w:rFonts w:ascii="Arial" w:cs="Arial" w:eastAsia="Arial" w:hAnsi="Arial"/>
                <w:sz w:val="17"/>
                <w:szCs w:val="17"/>
                <w:color w:val="auto"/>
              </w:rPr>
              <w:t>100%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26.89</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w w:val="89"/>
              </w:rPr>
              <w:t>16,662,000</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March 31, 2006.</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occupied square footage as of March 31, 2006.</w:t>
      </w:r>
    </w:p>
    <w:p>
      <w:pPr>
        <w:sectPr>
          <w:pgSz w:w="11900" w:h="16838" w:orient="portrait"/>
          <w:cols w:equalWidth="0" w:num="1">
            <w:col w:w="11420"/>
          </w:cols>
          <w:pgMar w:left="240" w:top="273"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At March 31, 2006</w:t>
            </w:r>
          </w:p>
        </w:tc>
        <w:tc>
          <w:tcPr>
            <w:tcW w:w="5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b w:val="1"/>
                <w:bCs w:val="1"/>
                <w:color w:val="auto"/>
              </w:rPr>
              <w:t>At March 31, 2005</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80" w:type="dxa"/>
            <w:vAlign w:val="bottom"/>
            <w:gridSpan w:val="4"/>
            <w:vMerge w:val="continue"/>
          </w:tcPr>
          <w:p>
            <w:pPr>
              <w:spacing w:after="0"/>
              <w:rPr>
                <w:sz w:val="12"/>
                <w:szCs w:val="12"/>
                <w:color w:val="auto"/>
              </w:rPr>
            </w:pPr>
          </w:p>
        </w:tc>
        <w:tc>
          <w:tcPr>
            <w:tcW w:w="780" w:type="dxa"/>
            <w:vAlign w:val="bottom"/>
          </w:tcPr>
          <w:p>
            <w:pPr>
              <w:jc w:val="right"/>
              <w:ind w:right="203"/>
              <w:spacing w:after="0" w:line="142" w:lineRule="exact"/>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Leased</w:t>
            </w: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w w:val="93"/>
              </w:rPr>
              <w:t>Leased %</w:t>
            </w: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3"/>
                <w:szCs w:val="13"/>
                <w:b w:val="1"/>
                <w:bCs w:val="1"/>
                <w:color w:val="auto"/>
              </w:rPr>
              <w:t>Size</w:t>
            </w:r>
          </w:p>
        </w:tc>
        <w:tc>
          <w:tcPr>
            <w:tcW w:w="1000" w:type="dxa"/>
            <w:vAlign w:val="bottom"/>
            <w:gridSpan w:val="2"/>
          </w:tcPr>
          <w:p>
            <w:pPr>
              <w:ind w:left="200"/>
              <w:spacing w:after="0" w:line="142" w:lineRule="exact"/>
              <w:rPr>
                <w:sz w:val="20"/>
                <w:szCs w:val="20"/>
                <w:color w:val="auto"/>
              </w:rPr>
            </w:pPr>
            <w:r>
              <w:rPr>
                <w:rFonts w:ascii="Arial" w:cs="Arial" w:eastAsia="Arial" w:hAnsi="Arial"/>
                <w:sz w:val="13"/>
                <w:szCs w:val="13"/>
                <w:b w:val="1"/>
                <w:bCs w:val="1"/>
                <w:color w:val="auto"/>
              </w:rPr>
              <w:t>Leased</w:t>
            </w:r>
          </w:p>
        </w:tc>
        <w:tc>
          <w:tcPr>
            <w:tcW w:w="80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17,643,000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16,975,000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17,418,000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16,558,000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464</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427</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92.0%</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683</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641</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384"/>
        </w:trPr>
        <w:tc>
          <w:tcPr>
            <w:tcW w:w="568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rPr>
              <w:t>At March 31, 2006</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4"/>
            <w:vMerge w:val="restart"/>
          </w:tcPr>
          <w:p>
            <w:pPr>
              <w:ind w:left="780"/>
              <w:spacing w:after="0"/>
              <w:rPr>
                <w:sz w:val="20"/>
                <w:szCs w:val="20"/>
                <w:color w:val="auto"/>
              </w:rPr>
            </w:pPr>
            <w:r>
              <w:rPr>
                <w:rFonts w:ascii="Arial" w:cs="Arial" w:eastAsia="Arial" w:hAnsi="Arial"/>
                <w:sz w:val="13"/>
                <w:szCs w:val="13"/>
                <w:b w:val="1"/>
                <w:bCs w:val="1"/>
                <w:color w:val="auto"/>
              </w:rPr>
              <w:t>At March 31, 2005</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6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200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80" w:type="dxa"/>
            <w:vAlign w:val="bottom"/>
            <w:gridSpan w:val="4"/>
            <w:vMerge w:val="continue"/>
          </w:tcPr>
          <w:p>
            <w:pPr>
              <w:spacing w:after="0"/>
              <w:rPr>
                <w:sz w:val="12"/>
                <w:szCs w:val="12"/>
                <w:color w:val="auto"/>
              </w:rPr>
            </w:pPr>
          </w:p>
        </w:tc>
        <w:tc>
          <w:tcPr>
            <w:tcW w:w="780" w:type="dxa"/>
            <w:vAlign w:val="bottom"/>
          </w:tcPr>
          <w:p>
            <w:pPr>
              <w:jc w:val="right"/>
              <w:ind w:right="203"/>
              <w:spacing w:after="0" w:line="142" w:lineRule="exact"/>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Leased</w:t>
            </w: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w w:val="93"/>
              </w:rPr>
              <w:t>Leased %</w:t>
            </w: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3"/>
                <w:szCs w:val="13"/>
                <w:b w:val="1"/>
                <w:bCs w:val="1"/>
                <w:color w:val="auto"/>
              </w:rPr>
              <w:t>Size</w:t>
            </w:r>
          </w:p>
        </w:tc>
        <w:tc>
          <w:tcPr>
            <w:tcW w:w="1000" w:type="dxa"/>
            <w:vAlign w:val="bottom"/>
            <w:gridSpan w:val="2"/>
          </w:tcPr>
          <w:p>
            <w:pPr>
              <w:ind w:left="200"/>
              <w:spacing w:after="0" w:line="142" w:lineRule="exact"/>
              <w:rPr>
                <w:sz w:val="20"/>
                <w:szCs w:val="20"/>
                <w:color w:val="auto"/>
              </w:rPr>
            </w:pPr>
            <w:r>
              <w:rPr>
                <w:rFonts w:ascii="Arial" w:cs="Arial" w:eastAsia="Arial" w:hAnsi="Arial"/>
                <w:sz w:val="13"/>
                <w:szCs w:val="13"/>
                <w:b w:val="1"/>
                <w:bCs w:val="1"/>
                <w:color w:val="auto"/>
              </w:rPr>
              <w:t>Leased</w:t>
            </w:r>
          </w:p>
        </w:tc>
        <w:tc>
          <w:tcPr>
            <w:tcW w:w="80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93"/>
              </w:rPr>
              <w:t>Leased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3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13,342,000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12,977,000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13,365,000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12,906,000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428</w:t>
            </w: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397</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92.8%</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428</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406</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981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9"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Overall portfolio statistics at March 31, 2006 include Rollingwood, The Crest at Congressional and the residential units in Building Eight (36 units) at Santana Row. Residential units in Buildings Three, Four, Six and Seven at Santana Row are excluded from overall portfolio statistics as we have either commenced closing sales of the units (Buildings Three, Four and Six - 219 units) or the units are still under development and have not reached stabilization (Building Seven - 256 units). Overall portfolio statistics at March 31, 2005 included Rollingwood, The Crest at Congressional and the residential units in Buildings Three, Four, Six and Eight (255 units) at Santana Row. Same center statistics at March 31, 2006 and 2005 include only Rollingwood and The Crest at Congressional.</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273"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Percentage of</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Rank</w:t>
            </w:r>
          </w:p>
        </w:tc>
        <w:tc>
          <w:tcPr>
            <w:tcW w:w="484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rPr>
              <w:t>Tenant Name</w:t>
            </w:r>
          </w:p>
        </w:tc>
        <w:tc>
          <w:tcPr>
            <w:tcW w:w="280" w:type="dxa"/>
            <w:vAlign w:val="bottom"/>
          </w:tcPr>
          <w:p>
            <w:pPr>
              <w:spacing w:after="0"/>
              <w:rPr>
                <w:sz w:val="12"/>
                <w:szCs w:val="12"/>
                <w:color w:val="auto"/>
              </w:rPr>
            </w:pPr>
          </w:p>
        </w:tc>
        <w:tc>
          <w:tcPr>
            <w:tcW w:w="14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Annualized Base</w:t>
            </w:r>
          </w:p>
        </w:tc>
        <w:tc>
          <w:tcPr>
            <w:tcW w:w="140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94"/>
              </w:rPr>
              <w:t>Total Annualized</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w w:val="88"/>
              </w:rPr>
              <w:t>Percentage of</w:t>
            </w:r>
          </w:p>
        </w:tc>
        <w:tc>
          <w:tcPr>
            <w:tcW w:w="66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8"/>
              </w:rPr>
              <w:t>Stores</w:t>
            </w:r>
          </w:p>
        </w:tc>
        <w:tc>
          <w:tcPr>
            <w:tcW w:w="0" w:type="dxa"/>
            <w:vAlign w:val="bottom"/>
          </w:tcPr>
          <w:p>
            <w:pPr>
              <w:spacing w:after="0"/>
              <w:rPr>
                <w:sz w:val="1"/>
                <w:szCs w:val="1"/>
                <w:color w:val="auto"/>
              </w:rPr>
            </w:pPr>
          </w:p>
        </w:tc>
      </w:tr>
      <w:tr>
        <w:trPr>
          <w:trHeight w:val="147"/>
        </w:trPr>
        <w:tc>
          <w:tcPr>
            <w:tcW w:w="340" w:type="dxa"/>
            <w:vAlign w:val="bottom"/>
            <w:gridSpan w:val="2"/>
            <w:vMerge w:val="continue"/>
          </w:tcPr>
          <w:p>
            <w:pPr>
              <w:spacing w:after="0"/>
              <w:rPr>
                <w:sz w:val="12"/>
                <w:szCs w:val="12"/>
                <w:color w:val="auto"/>
              </w:rPr>
            </w:pPr>
          </w:p>
        </w:tc>
        <w:tc>
          <w:tcPr>
            <w:tcW w:w="48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840"/>
              <w:spacing w:after="0" w:line="148" w:lineRule="exact"/>
              <w:rPr>
                <w:sz w:val="20"/>
                <w:szCs w:val="20"/>
                <w:color w:val="auto"/>
              </w:rPr>
            </w:pPr>
            <w:r>
              <w:rPr>
                <w:rFonts w:ascii="Arial" w:cs="Arial" w:eastAsia="Arial" w:hAnsi="Arial"/>
                <w:sz w:val="13"/>
                <w:szCs w:val="13"/>
                <w:b w:val="1"/>
                <w:bCs w:val="1"/>
                <w:color w:val="auto"/>
              </w:rPr>
              <w:t>Rent</w:t>
            </w:r>
          </w:p>
        </w:tc>
        <w:tc>
          <w:tcPr>
            <w:tcW w:w="140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91"/>
              </w:rPr>
              <w:t>Base Rent</w:t>
            </w:r>
          </w:p>
        </w:tc>
        <w:tc>
          <w:tcPr>
            <w:tcW w:w="1260" w:type="dxa"/>
            <w:vAlign w:val="bottom"/>
            <w:gridSpan w:val="2"/>
          </w:tcPr>
          <w:p>
            <w:pPr>
              <w:jc w:val="right"/>
              <w:ind w:right="500"/>
              <w:spacing w:after="0" w:line="148" w:lineRule="exact"/>
              <w:rPr>
                <w:sz w:val="20"/>
                <w:szCs w:val="20"/>
                <w:color w:val="auto"/>
              </w:rPr>
            </w:pPr>
            <w:r>
              <w:rPr>
                <w:rFonts w:ascii="Arial" w:cs="Arial" w:eastAsia="Arial" w:hAnsi="Arial"/>
                <w:sz w:val="13"/>
                <w:szCs w:val="13"/>
                <w:b w:val="1"/>
                <w:bCs w:val="1"/>
                <w:color w:val="auto"/>
              </w:rPr>
              <w:t>Tenant GLA</w:t>
            </w:r>
          </w:p>
        </w:tc>
        <w:tc>
          <w:tcPr>
            <w:tcW w:w="1200" w:type="dxa"/>
            <w:vAlign w:val="bottom"/>
            <w:gridSpan w:val="2"/>
          </w:tcPr>
          <w:p>
            <w:pPr>
              <w:jc w:val="right"/>
              <w:ind w:right="480"/>
              <w:spacing w:after="0" w:line="148" w:lineRule="exact"/>
              <w:rPr>
                <w:sz w:val="20"/>
                <w:szCs w:val="20"/>
                <w:color w:val="auto"/>
              </w:rPr>
            </w:pPr>
            <w:r>
              <w:rPr>
                <w:rFonts w:ascii="Arial" w:cs="Arial" w:eastAsia="Arial" w:hAnsi="Arial"/>
                <w:sz w:val="13"/>
                <w:szCs w:val="13"/>
                <w:b w:val="1"/>
                <w:bCs w:val="1"/>
                <w:color w:val="auto"/>
              </w:rPr>
              <w:t>Total GLA</w:t>
            </w:r>
          </w:p>
        </w:tc>
        <w:tc>
          <w:tcPr>
            <w:tcW w:w="66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Bed, Bath &amp; Beyond,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7,997,000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2</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Ahold USA,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7,463,000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2.36%</w:t>
            </w:r>
          </w:p>
        </w:tc>
        <w:tc>
          <w:tcPr>
            <w:tcW w:w="780" w:type="dxa"/>
            <w:vAlign w:val="bottom"/>
          </w:tcPr>
          <w:p>
            <w:pPr>
              <w:jc w:val="right"/>
              <w:spacing w:after="0"/>
              <w:rPr>
                <w:sz w:val="20"/>
                <w:szCs w:val="20"/>
                <w:color w:val="auto"/>
              </w:rPr>
            </w:pPr>
            <w:r>
              <w:rPr>
                <w:rFonts w:ascii="Arial" w:cs="Arial" w:eastAsia="Arial" w:hAnsi="Arial"/>
                <w:sz w:val="17"/>
                <w:szCs w:val="17"/>
                <w:color w:val="auto"/>
              </w:rPr>
              <w:t>601,000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3.41%</w:t>
            </w: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Safeway,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6,609,000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4</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Gap,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6,321,000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2.00%</w:t>
            </w:r>
          </w:p>
        </w:tc>
        <w:tc>
          <w:tcPr>
            <w:tcW w:w="780" w:type="dxa"/>
            <w:vAlign w:val="bottom"/>
          </w:tcPr>
          <w:p>
            <w:pPr>
              <w:jc w:val="right"/>
              <w:spacing w:after="0"/>
              <w:rPr>
                <w:sz w:val="20"/>
                <w:szCs w:val="20"/>
                <w:color w:val="auto"/>
              </w:rPr>
            </w:pPr>
            <w:r>
              <w:rPr>
                <w:rFonts w:ascii="Arial" w:cs="Arial" w:eastAsia="Arial" w:hAnsi="Arial"/>
                <w:sz w:val="17"/>
                <w:szCs w:val="17"/>
                <w:color w:val="auto"/>
              </w:rPr>
              <w:t>224,000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1.27%</w:t>
            </w: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TJX Companies</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5,709,000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6</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CVS Corporation</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3,840,000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1.21%</w:t>
            </w:r>
          </w:p>
        </w:tc>
        <w:tc>
          <w:tcPr>
            <w:tcW w:w="780" w:type="dxa"/>
            <w:vAlign w:val="bottom"/>
          </w:tcPr>
          <w:p>
            <w:pPr>
              <w:jc w:val="right"/>
              <w:spacing w:after="0"/>
              <w:rPr>
                <w:sz w:val="20"/>
                <w:szCs w:val="20"/>
                <w:color w:val="auto"/>
              </w:rPr>
            </w:pPr>
            <w:r>
              <w:rPr>
                <w:rFonts w:ascii="Arial" w:cs="Arial" w:eastAsia="Arial" w:hAnsi="Arial"/>
                <w:sz w:val="17"/>
                <w:szCs w:val="17"/>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0.80%</w:t>
            </w:r>
          </w:p>
        </w:tc>
        <w:tc>
          <w:tcPr>
            <w:tcW w:w="64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Barnes &amp; Noble,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8</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Best Buy Stores, L.P.</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3,394,000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1.07%</w:t>
            </w:r>
          </w:p>
        </w:tc>
        <w:tc>
          <w:tcPr>
            <w:tcW w:w="780" w:type="dxa"/>
            <w:vAlign w:val="bottom"/>
          </w:tcPr>
          <w:p>
            <w:pPr>
              <w:jc w:val="right"/>
              <w:spacing w:after="0"/>
              <w:rPr>
                <w:sz w:val="20"/>
                <w:szCs w:val="20"/>
                <w:color w:val="auto"/>
              </w:rPr>
            </w:pPr>
            <w:r>
              <w:rPr>
                <w:rFonts w:ascii="Arial" w:cs="Arial" w:eastAsia="Arial" w:hAnsi="Arial"/>
                <w:sz w:val="17"/>
                <w:szCs w:val="17"/>
                <w:color w:val="auto"/>
              </w:rPr>
              <w:t>97,000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0.55%</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Wakefern Food Corporation</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10</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Retail Ventures (DSW/Filene’s Basement)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2,994,000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0.95%</w:t>
            </w:r>
          </w:p>
        </w:tc>
        <w:tc>
          <w:tcPr>
            <w:tcW w:w="780" w:type="dxa"/>
            <w:vAlign w:val="bottom"/>
          </w:tcPr>
          <w:p>
            <w:pPr>
              <w:jc w:val="right"/>
              <w:spacing w:after="0"/>
              <w:rPr>
                <w:sz w:val="20"/>
                <w:szCs w:val="20"/>
                <w:color w:val="auto"/>
              </w:rPr>
            </w:pPr>
            <w:r>
              <w:rPr>
                <w:rFonts w:ascii="Arial" w:cs="Arial" w:eastAsia="Arial" w:hAnsi="Arial"/>
                <w:sz w:val="17"/>
                <w:szCs w:val="17"/>
                <w:color w:val="auto"/>
              </w:rPr>
              <w:t>155,000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0.88%</w:t>
            </w: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Michaels Stores,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12</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Staples,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2,760,000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0.87%</w:t>
            </w:r>
          </w:p>
        </w:tc>
        <w:tc>
          <w:tcPr>
            <w:tcW w:w="780" w:type="dxa"/>
            <w:vAlign w:val="bottom"/>
          </w:tcPr>
          <w:p>
            <w:pPr>
              <w:jc w:val="right"/>
              <w:spacing w:after="0"/>
              <w:rPr>
                <w:sz w:val="20"/>
                <w:szCs w:val="20"/>
                <w:color w:val="auto"/>
              </w:rPr>
            </w:pPr>
            <w:r>
              <w:rPr>
                <w:rFonts w:ascii="Arial" w:cs="Arial" w:eastAsia="Arial" w:hAnsi="Arial"/>
                <w:sz w:val="17"/>
                <w:szCs w:val="17"/>
                <w:color w:val="auto"/>
              </w:rPr>
              <w:t>148,000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0.84%</w:t>
            </w:r>
          </w:p>
        </w:tc>
        <w:tc>
          <w:tcPr>
            <w:tcW w:w="64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Borders Group,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14</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OPNET Technologies,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2,637,000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0.83%</w:t>
            </w:r>
          </w:p>
        </w:tc>
        <w:tc>
          <w:tcPr>
            <w:tcW w:w="780" w:type="dxa"/>
            <w:vAlign w:val="bottom"/>
          </w:tcPr>
          <w:p>
            <w:pPr>
              <w:jc w:val="right"/>
              <w:spacing w:after="0"/>
              <w:rPr>
                <w:sz w:val="20"/>
                <w:szCs w:val="20"/>
                <w:color w:val="auto"/>
              </w:rPr>
            </w:pPr>
            <w:r>
              <w:rPr>
                <w:rFonts w:ascii="Arial" w:cs="Arial" w:eastAsia="Arial" w:hAnsi="Arial"/>
                <w:sz w:val="17"/>
                <w:szCs w:val="17"/>
                <w:color w:val="auto"/>
              </w:rPr>
              <w:t>61,000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0.35%</w:t>
            </w: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MTS, Inc. (Tower Records)</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0.52%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16</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Great Atlantic &amp; Pacific Tea Co.</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2,408,000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0.76%</w:t>
            </w:r>
          </w:p>
        </w:tc>
        <w:tc>
          <w:tcPr>
            <w:tcW w:w="780" w:type="dxa"/>
            <w:vAlign w:val="bottom"/>
          </w:tcPr>
          <w:p>
            <w:pPr>
              <w:jc w:val="right"/>
              <w:spacing w:after="0"/>
              <w:rPr>
                <w:sz w:val="20"/>
                <w:szCs w:val="20"/>
                <w:color w:val="auto"/>
              </w:rPr>
            </w:pPr>
            <w:r>
              <w:rPr>
                <w:rFonts w:ascii="Arial" w:cs="Arial" w:eastAsia="Arial" w:hAnsi="Arial"/>
                <w:sz w:val="17"/>
                <w:szCs w:val="17"/>
                <w:color w:val="auto"/>
              </w:rPr>
              <w:t>236,000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1.34%</w:t>
            </w: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CompUSA,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18</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The Container Store,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2,354,000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0.74%</w:t>
            </w:r>
          </w:p>
        </w:tc>
        <w:tc>
          <w:tcPr>
            <w:tcW w:w="780" w:type="dxa"/>
            <w:vAlign w:val="bottom"/>
          </w:tcPr>
          <w:p>
            <w:pPr>
              <w:jc w:val="right"/>
              <w:spacing w:after="0"/>
              <w:rPr>
                <w:sz w:val="20"/>
                <w:szCs w:val="20"/>
                <w:color w:val="auto"/>
              </w:rPr>
            </w:pPr>
            <w:r>
              <w:rPr>
                <w:rFonts w:ascii="Arial" w:cs="Arial" w:eastAsia="Arial" w:hAnsi="Arial"/>
                <w:sz w:val="17"/>
                <w:szCs w:val="17"/>
                <w:color w:val="auto"/>
              </w:rPr>
              <w:t>52,000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0.30%</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L.A. Fitness International LLC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20</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Dress Barn,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2,227,000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0.70%</w:t>
            </w:r>
          </w:p>
        </w:tc>
        <w:tc>
          <w:tcPr>
            <w:tcW w:w="780" w:type="dxa"/>
            <w:vAlign w:val="bottom"/>
          </w:tcPr>
          <w:p>
            <w:pPr>
              <w:jc w:val="right"/>
              <w:spacing w:after="0"/>
              <w:rPr>
                <w:sz w:val="20"/>
                <w:szCs w:val="20"/>
                <w:color w:val="auto"/>
              </w:rPr>
            </w:pPr>
            <w:r>
              <w:rPr>
                <w:rFonts w:ascii="Arial" w:cs="Arial" w:eastAsia="Arial" w:hAnsi="Arial"/>
                <w:sz w:val="17"/>
                <w:szCs w:val="17"/>
                <w:color w:val="auto"/>
              </w:rPr>
              <w:t>106,000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0.60%</w:t>
            </w:r>
          </w:p>
        </w:tc>
        <w:tc>
          <w:tcPr>
            <w:tcW w:w="64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Home Depot,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22</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Albertsons,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2,198,000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0.70%</w:t>
            </w:r>
          </w:p>
        </w:tc>
        <w:tc>
          <w:tcPr>
            <w:tcW w:w="780" w:type="dxa"/>
            <w:vAlign w:val="bottom"/>
          </w:tcPr>
          <w:p>
            <w:pPr>
              <w:jc w:val="right"/>
              <w:spacing w:after="0"/>
              <w:rPr>
                <w:sz w:val="20"/>
                <w:szCs w:val="20"/>
                <w:color w:val="auto"/>
              </w:rPr>
            </w:pPr>
            <w:r>
              <w:rPr>
                <w:rFonts w:ascii="Arial" w:cs="Arial" w:eastAsia="Arial" w:hAnsi="Arial"/>
                <w:sz w:val="17"/>
                <w:szCs w:val="17"/>
                <w:color w:val="auto"/>
              </w:rPr>
              <w:t>260,000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1.47%</w:t>
            </w: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Dollar Tree Stores, Inc.</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24</w:t>
            </w:r>
          </w:p>
        </w:tc>
        <w:tc>
          <w:tcPr>
            <w:tcW w:w="4840" w:type="dxa"/>
            <w:vAlign w:val="bottom"/>
            <w:gridSpan w:val="3"/>
          </w:tcPr>
          <w:p>
            <w:pPr>
              <w:ind w:left="260"/>
              <w:spacing w:after="0"/>
              <w:rPr>
                <w:sz w:val="20"/>
                <w:szCs w:val="20"/>
                <w:color w:val="auto"/>
              </w:rPr>
            </w:pPr>
            <w:r>
              <w:rPr>
                <w:rFonts w:ascii="Arial" w:cs="Arial" w:eastAsia="Arial" w:hAnsi="Arial"/>
                <w:sz w:val="17"/>
                <w:szCs w:val="17"/>
                <w:color w:val="auto"/>
              </w:rPr>
              <w:t>Office Depot, Inc.</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2,108,000</w:t>
            </w:r>
          </w:p>
        </w:tc>
        <w:tc>
          <w:tcPr>
            <w:tcW w:w="5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tcPr>
          <w:p>
            <w:pPr>
              <w:jc w:val="right"/>
              <w:spacing w:after="0"/>
              <w:rPr>
                <w:sz w:val="20"/>
                <w:szCs w:val="20"/>
                <w:color w:val="auto"/>
              </w:rPr>
            </w:pPr>
            <w:r>
              <w:rPr>
                <w:rFonts w:ascii="Arial" w:cs="Arial" w:eastAsia="Arial" w:hAnsi="Arial"/>
                <w:sz w:val="17"/>
                <w:szCs w:val="17"/>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0.80%</w:t>
            </w: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Bally’s Health &amp; Tennis</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40" w:type="dxa"/>
            <w:vAlign w:val="bottom"/>
            <w:gridSpan w:val="3"/>
            <w:vMerge w:val="restart"/>
          </w:tcPr>
          <w:p>
            <w:pPr>
              <w:ind w:left="260"/>
              <w:spacing w:after="0"/>
              <w:rPr>
                <w:sz w:val="20"/>
                <w:szCs w:val="20"/>
                <w:color w:val="auto"/>
              </w:rPr>
            </w:pPr>
            <w:r>
              <w:rPr>
                <w:rFonts w:ascii="Arial" w:cs="Arial" w:eastAsia="Arial" w:hAnsi="Arial"/>
                <w:sz w:val="17"/>
                <w:szCs w:val="17"/>
                <w:color w:val="auto"/>
              </w:rPr>
              <w:t>Totals - Top 25 Tenants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40" w:type="dxa"/>
            <w:vAlign w:val="bottom"/>
            <w:gridSpan w:val="3"/>
            <w:vMerge w:val="continue"/>
          </w:tcPr>
          <w:p>
            <w:pPr>
              <w:spacing w:after="0"/>
              <w:rPr>
                <w:sz w:val="19"/>
                <w:szCs w:val="19"/>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87,027,000</w:t>
            </w:r>
          </w:p>
        </w:tc>
        <w:tc>
          <w:tcPr>
            <w:tcW w:w="5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27.52%</w:t>
            </w:r>
          </w:p>
        </w:tc>
        <w:tc>
          <w:tcPr>
            <w:tcW w:w="780" w:type="dxa"/>
            <w:vAlign w:val="bottom"/>
          </w:tcPr>
          <w:p>
            <w:pPr>
              <w:jc w:val="right"/>
              <w:spacing w:after="0"/>
              <w:rPr>
                <w:sz w:val="20"/>
                <w:szCs w:val="20"/>
                <w:color w:val="auto"/>
              </w:rPr>
            </w:pPr>
            <w:r>
              <w:rPr>
                <w:rFonts w:ascii="Arial" w:cs="Arial" w:eastAsia="Arial" w:hAnsi="Arial"/>
                <w:sz w:val="17"/>
                <w:szCs w:val="17"/>
                <w:color w:val="auto"/>
              </w:rPr>
              <w:t>5,379,000</w:t>
            </w:r>
          </w:p>
        </w:tc>
        <w:tc>
          <w:tcPr>
            <w:tcW w:w="4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30.49%</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3"/>
              </w:rPr>
              <w:t>316,227,000(1)</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17,643,000(2)</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March 31, 2006.</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273"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7255" cy="136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Gain on sale of real estate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real estate &amp; partnership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3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Amortization of initial direct costs of leases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7255" cy="136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Income attributable to operating partnership units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Dividends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36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Funds from operations available for common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7255" cy="13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Funds from operations available for common shareholders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981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7"/>
        <w:spacing w:after="0"/>
        <w:rPr>
          <w:sz w:val="20"/>
          <w:szCs w:val="20"/>
          <w:color w:val="auto"/>
        </w:rPr>
      </w:pPr>
      <w:r>
        <w:rPr>
          <w:rFonts w:ascii="Arial" w:cs="Arial" w:eastAsia="Arial" w:hAnsi="Arial"/>
          <w:sz w:val="13"/>
          <w:szCs w:val="13"/>
          <w:b w:val="1"/>
          <w:bCs w:val="1"/>
          <w:color w:val="auto"/>
        </w:rPr>
        <w:t>2006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914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4" w:lineRule="exact"/>
        <w:rPr>
          <w:sz w:val="20"/>
          <w:szCs w:val="20"/>
          <w:color w:val="auto"/>
        </w:rPr>
      </w:pPr>
    </w:p>
    <w:p>
      <w:pPr>
        <w:ind w:left="227"/>
        <w:spacing w:after="0"/>
        <w:rPr>
          <w:sz w:val="20"/>
          <w:szCs w:val="20"/>
          <w:color w:val="auto"/>
        </w:rPr>
      </w:pPr>
      <w:r>
        <w:rPr>
          <w:rFonts w:ascii="Arial" w:cs="Arial" w:eastAsia="Arial" w:hAnsi="Arial"/>
          <w:sz w:val="13"/>
          <w:szCs w:val="13"/>
          <w:b w:val="1"/>
          <w:bCs w:val="1"/>
          <w:color w:val="auto"/>
        </w:rPr>
        <w:t>($ millions except</w:t>
      </w:r>
    </w:p>
    <w:p>
      <w:pPr>
        <w:ind w:left="67"/>
        <w:spacing w:after="0"/>
        <w:rPr>
          <w:sz w:val="20"/>
          <w:szCs w:val="20"/>
          <w:color w:val="auto"/>
        </w:rPr>
      </w:pPr>
      <w:r>
        <w:rPr>
          <w:rFonts w:ascii="Arial" w:cs="Arial" w:eastAsia="Arial" w:hAnsi="Arial"/>
          <w:sz w:val="13"/>
          <w:szCs w:val="13"/>
          <w:b w:val="1"/>
          <w:bCs w:val="1"/>
          <w:color w:val="auto"/>
        </w:rPr>
        <w:t>per share amounts) (1)</w:t>
      </w:r>
    </w:p>
    <w:p>
      <w:pPr>
        <w:spacing w:after="0" w:line="10" w:lineRule="exact"/>
        <w:rPr>
          <w:sz w:val="20"/>
          <w:szCs w:val="20"/>
          <w:color w:val="auto"/>
        </w:rPr>
      </w:pPr>
    </w:p>
    <w:p>
      <w:pPr>
        <w:ind w:left="207" w:hanging="207"/>
        <w:spacing w:after="0"/>
        <w:tabs>
          <w:tab w:leader="none" w:pos="2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102   to  $  105</w:t>
      </w:r>
    </w:p>
    <w:p>
      <w:pPr>
        <w:spacing w:after="0" w:line="18" w:lineRule="exact"/>
        <w:rPr>
          <w:rFonts w:ascii="Arial" w:cs="Arial" w:eastAsia="Arial" w:hAnsi="Arial"/>
          <w:sz w:val="17"/>
          <w:szCs w:val="17"/>
          <w:color w:val="auto"/>
        </w:rPr>
      </w:pPr>
    </w:p>
    <w:p>
      <w:pPr>
        <w:ind w:left="1287" w:hanging="962"/>
        <w:spacing w:after="0"/>
        <w:tabs>
          <w:tab w:leader="none" w:pos="1287" w:val="left"/>
        </w:tabs>
        <w:numPr>
          <w:ilvl w:val="1"/>
          <w:numId w:val="26"/>
        </w:numPr>
        <w:rPr>
          <w:rFonts w:ascii="Arial" w:cs="Arial" w:eastAsia="Arial" w:hAnsi="Arial"/>
          <w:sz w:val="17"/>
          <w:szCs w:val="17"/>
          <w:color w:val="auto"/>
        </w:rPr>
      </w:pPr>
      <w:r>
        <w:rPr>
          <w:rFonts w:ascii="Arial" w:cs="Arial" w:eastAsia="Arial" w:hAnsi="Arial"/>
          <w:sz w:val="17"/>
          <w:szCs w:val="17"/>
          <w:color w:val="auto"/>
        </w:rPr>
        <w:t>(9)</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209"/>
        </w:trPr>
        <w:tc>
          <w:tcPr>
            <w:tcW w:w="460" w:type="dxa"/>
            <w:vAlign w:val="bottom"/>
          </w:tcPr>
          <w:p>
            <w:pPr>
              <w:jc w:val="right"/>
              <w:spacing w:after="0"/>
              <w:rPr>
                <w:sz w:val="20"/>
                <w:szCs w:val="20"/>
                <w:color w:val="auto"/>
              </w:rPr>
            </w:pPr>
            <w:r>
              <w:rPr>
                <w:rFonts w:ascii="Arial" w:cs="Arial" w:eastAsia="Arial" w:hAnsi="Arial"/>
                <w:sz w:val="17"/>
                <w:szCs w:val="17"/>
                <w:color w:val="auto"/>
              </w:rPr>
              <w:t>88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88</w:t>
            </w:r>
          </w:p>
        </w:tc>
      </w:tr>
      <w:tr>
        <w:trPr>
          <w:trHeight w:val="223"/>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5"/>
        </w:trPr>
        <w:tc>
          <w:tcPr>
            <w:tcW w:w="460" w:type="dxa"/>
            <w:vAlign w:val="bottom"/>
          </w:tcPr>
          <w:p>
            <w:pPr>
              <w:jc w:val="right"/>
              <w:spacing w:after="0"/>
              <w:rPr>
                <w:sz w:val="20"/>
                <w:szCs w:val="20"/>
                <w:color w:val="auto"/>
              </w:rPr>
            </w:pPr>
            <w:r>
              <w:rPr>
                <w:rFonts w:ascii="Arial" w:cs="Arial" w:eastAsia="Arial" w:hAnsi="Arial"/>
                <w:sz w:val="17"/>
                <w:szCs w:val="17"/>
                <w:color w:val="auto"/>
              </w:rPr>
              <w:t>189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191</w:t>
            </w:r>
          </w:p>
        </w:tc>
      </w:tr>
      <w:tr>
        <w:trPr>
          <w:trHeight w:val="222"/>
        </w:trPr>
        <w:tc>
          <w:tcPr>
            <w:tcW w:w="460" w:type="dxa"/>
            <w:vAlign w:val="bottom"/>
          </w:tcPr>
          <w:p>
            <w:pPr>
              <w:jc w:val="right"/>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w:t>
            </w:r>
          </w:p>
        </w:tc>
      </w:tr>
    </w:tbl>
    <w:p>
      <w:pPr>
        <w:ind w:left="1207" w:hanging="963"/>
        <w:spacing w:after="0"/>
        <w:tabs>
          <w:tab w:leader="none" w:pos="1207" w:val="left"/>
        </w:tabs>
        <w:numPr>
          <w:ilvl w:val="0"/>
          <w:numId w:val="27"/>
        </w:numPr>
        <w:rPr>
          <w:rFonts w:ascii="Arial" w:cs="Arial" w:eastAsia="Arial" w:hAnsi="Arial"/>
          <w:sz w:val="16"/>
          <w:szCs w:val="16"/>
          <w:color w:val="auto"/>
        </w:rPr>
      </w:pPr>
      <w:r>
        <w:rPr>
          <w:rFonts w:ascii="Arial" w:cs="Arial" w:eastAsia="Arial" w:hAnsi="Arial"/>
          <w:sz w:val="16"/>
          <w:szCs w:val="16"/>
          <w:color w:val="auto"/>
        </w:rPr>
        <w:t>(11)</w:t>
      </w:r>
    </w:p>
    <w:p>
      <w:pPr>
        <w:spacing w:after="0" w:line="51" w:lineRule="exact"/>
        <w:rPr>
          <w:rFonts w:ascii="Arial" w:cs="Arial" w:eastAsia="Arial" w:hAnsi="Arial"/>
          <w:sz w:val="16"/>
          <w:szCs w:val="16"/>
          <w:color w:val="auto"/>
        </w:rPr>
      </w:pPr>
    </w:p>
    <w:p>
      <w:pPr>
        <w:ind w:left="207"/>
        <w:spacing w:after="0"/>
        <w:rPr>
          <w:rFonts w:ascii="Arial" w:cs="Arial" w:eastAsia="Arial" w:hAnsi="Arial"/>
          <w:sz w:val="16"/>
          <w:szCs w:val="16"/>
          <w:color w:val="auto"/>
        </w:rPr>
      </w:pPr>
      <w:r>
        <w:rPr>
          <w:rFonts w:ascii="Arial" w:cs="Arial" w:eastAsia="Arial" w:hAnsi="Arial"/>
          <w:sz w:val="17"/>
          <w:szCs w:val="17"/>
          <w:color w:val="auto"/>
        </w:rPr>
        <w:t>178   to</w:t>
      </w: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299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-135255</wp:posOffset>
            </wp:positionV>
            <wp:extent cx="324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4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wp:posOffset>
            </wp:positionV>
            <wp:extent cx="299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299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17780</wp:posOffset>
            </wp:positionV>
            <wp:extent cx="3244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48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34925</wp:posOffset>
            </wp:positionV>
            <wp:extent cx="3244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4485" cy="8255"/>
                    </a:xfrm>
                    <a:prstGeom prst="rect">
                      <a:avLst/>
                    </a:prstGeom>
                    <a:noFill/>
                  </pic:spPr>
                </pic:pic>
              </a:graphicData>
            </a:graphic>
          </wp:anchor>
        </w:drawing>
      </w:r>
    </w:p>
    <w:p>
      <w:pPr>
        <w:spacing w:after="0" w:line="54" w:lineRule="exact"/>
        <w:rPr>
          <w:sz w:val="20"/>
          <w:szCs w:val="20"/>
          <w:color w:val="auto"/>
        </w:rPr>
      </w:pPr>
    </w:p>
    <w:p>
      <w:pPr>
        <w:ind w:left="167"/>
        <w:spacing w:after="0"/>
        <w:rPr>
          <w:sz w:val="20"/>
          <w:szCs w:val="20"/>
          <w:color w:val="auto"/>
        </w:rPr>
      </w:pPr>
      <w:r>
        <w:rPr>
          <w:rFonts w:ascii="Arial" w:cs="Arial" w:eastAsia="Arial" w:hAnsi="Arial"/>
          <w:sz w:val="17"/>
          <w:szCs w:val="17"/>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990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27"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7"/>
          <w:szCs w:val="17"/>
          <w:u w:val="single" w:color="auto"/>
          <w:color w:val="auto"/>
        </w:rPr>
        <w:t>$ 3.30</w:t>
      </w:r>
      <w:r>
        <w:rPr>
          <w:sz w:val="20"/>
          <w:szCs w:val="20"/>
          <w:color w:val="auto"/>
        </w:rPr>
        <w:tab/>
      </w:r>
      <w:r>
        <w:rPr>
          <w:rFonts w:ascii="Arial" w:cs="Arial" w:eastAsia="Arial" w:hAnsi="Arial"/>
          <w:sz w:val="17"/>
          <w:szCs w:val="17"/>
          <w:color w:val="auto"/>
        </w:rPr>
        <w:t xml:space="preserve">to  </w:t>
      </w:r>
      <w:r>
        <w:rPr>
          <w:rFonts w:ascii="Arial" w:cs="Arial" w:eastAsia="Arial" w:hAnsi="Arial"/>
          <w:sz w:val="17"/>
          <w:szCs w:val="17"/>
          <w:u w:val="single" w:color="auto"/>
          <w:color w:val="auto"/>
        </w:rPr>
        <w:t>$  3.35</w:t>
      </w:r>
    </w:p>
    <w:p>
      <w:pPr>
        <w:sectPr>
          <w:pgSz w:w="11900" w:h="16838" w:orient="portrait"/>
          <w:cols w:equalWidth="0" w:num="2">
            <w:col w:w="9193" w:space="720"/>
            <w:col w:w="1507"/>
          </w:cols>
          <w:pgMar w:left="240" w:top="273"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Venture Disclosure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jc w:val="right"/>
        <w:ind w:right="3399"/>
        <w:spacing w:after="0"/>
        <w:rPr>
          <w:sz w:val="20"/>
          <w:szCs w:val="20"/>
          <w:color w:val="auto"/>
        </w:rPr>
      </w:pPr>
      <w:r>
        <w:rPr>
          <w:rFonts w:ascii="Arial" w:cs="Arial" w:eastAsia="Arial" w:hAnsi="Arial"/>
          <w:sz w:val="17"/>
          <w:szCs w:val="17"/>
          <w:b w:val="1"/>
          <w:bCs w:val="1"/>
          <w:color w:val="auto"/>
        </w:rPr>
        <w:t>Clarion Lion Properties Fund</w:t>
      </w:r>
    </w:p>
    <w:p>
      <w:pPr>
        <w:sectPr>
          <w:pgSz w:w="11900" w:h="16838" w:orient="portrait"/>
          <w:cols w:equalWidth="0" w:num="1">
            <w:col w:w="10219"/>
          </w:cols>
          <w:pgMar w:left="240" w:top="273" w:right="1440"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and Balance Sheets –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26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Three months ended</w:t>
            </w:r>
          </w:p>
        </w:tc>
      </w:t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7"/>
              </w:rPr>
              <w:t>March 31, 2006</w:t>
            </w:r>
          </w:p>
        </w:tc>
        <w:tc>
          <w:tcPr>
            <w:tcW w:w="1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March 31, 2005</w:t>
            </w:r>
          </w:p>
        </w:tc>
      </w:tr>
      <w:tr>
        <w:trPr>
          <w:trHeight w:val="189"/>
        </w:trPr>
        <w:tc>
          <w:tcPr>
            <w:tcW w:w="20" w:type="dxa"/>
            <w:vAlign w:val="bottom"/>
          </w:tcPr>
          <w:p>
            <w:pPr>
              <w:spacing w:after="0"/>
              <w:rPr>
                <w:sz w:val="16"/>
                <w:szCs w:val="16"/>
                <w:color w:val="auto"/>
              </w:rPr>
            </w:pPr>
          </w:p>
        </w:tc>
        <w:tc>
          <w:tcPr>
            <w:tcW w:w="6000" w:type="dxa"/>
            <w:vAlign w:val="bottom"/>
            <w:gridSpan w:val="3"/>
            <w:shd w:val="clear" w:color="auto" w:fill="CCEEFF"/>
          </w:tcPr>
          <w:p>
            <w:pPr>
              <w:spacing w:after="0" w:line="168" w:lineRule="exact"/>
              <w:rPr>
                <w:sz w:val="20"/>
                <w:szCs w:val="20"/>
                <w:color w:val="auto"/>
              </w:rPr>
            </w:pPr>
            <w:r>
              <w:rPr>
                <w:rFonts w:ascii="Arial" w:cs="Arial" w:eastAsia="Arial" w:hAnsi="Arial"/>
                <w:sz w:val="17"/>
                <w:szCs w:val="17"/>
                <w:color w:val="auto"/>
              </w:rPr>
              <w:t>CONSOLIDATED OPERATING RESULTS</w:t>
            </w:r>
          </w:p>
        </w:tc>
        <w:tc>
          <w:tcPr>
            <w:tcW w:w="20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1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Revenues</w:t>
            </w:r>
          </w:p>
        </w:tc>
        <w:tc>
          <w:tcPr>
            <w:tcW w:w="28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 income</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0" w:type="dxa"/>
            <w:vAlign w:val="bottom"/>
            <w:gridSpan w:val="3"/>
          </w:tcPr>
          <w:p>
            <w:pPr>
              <w:ind w:left="420"/>
              <w:spacing w:after="0"/>
              <w:rPr>
                <w:sz w:val="20"/>
                <w:szCs w:val="20"/>
                <w:color w:val="auto"/>
              </w:rPr>
            </w:pPr>
            <w:r>
              <w:rPr>
                <w:rFonts w:ascii="Arial" w:cs="Arial" w:eastAsia="Arial" w:hAnsi="Arial"/>
                <w:sz w:val="17"/>
                <w:szCs w:val="17"/>
                <w:color w:val="auto"/>
              </w:rPr>
              <w:t>Other property income</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c>
          <w:tcPr>
            <w:tcW w:w="60" w:type="dxa"/>
            <w:vAlign w:val="bottom"/>
            <w:shd w:val="clear" w:color="auto" w:fill="CCEEFF"/>
          </w:tcPr>
          <w:p>
            <w:pPr>
              <w:spacing w:after="0"/>
              <w:rPr>
                <w:sz w:val="18"/>
                <w:szCs w:val="18"/>
                <w:color w:val="auto"/>
              </w:rPr>
            </w:pPr>
          </w:p>
        </w:tc>
      </w:tr>
      <w:tr>
        <w:trPr>
          <w:trHeight w:val="322"/>
        </w:trPr>
        <w:tc>
          <w:tcPr>
            <w:tcW w:w="6020" w:type="dxa"/>
            <w:vAlign w:val="bottom"/>
            <w:gridSpan w:val="4"/>
          </w:tcPr>
          <w:p>
            <w:pPr>
              <w:spacing w:after="0"/>
              <w:rPr>
                <w:sz w:val="20"/>
                <w:szCs w:val="20"/>
                <w:color w:val="auto"/>
              </w:rPr>
            </w:pPr>
            <w:r>
              <w:rPr>
                <w:rFonts w:ascii="Arial" w:cs="Arial" w:eastAsia="Arial" w:hAnsi="Arial"/>
                <w:sz w:val="17"/>
                <w:szCs w:val="17"/>
                <w:b w:val="1"/>
                <w:bCs w:val="1"/>
                <w:color w:val="auto"/>
              </w:rPr>
              <w:t>Expenses</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Rental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tcPr>
          <w:p>
            <w:pPr>
              <w:ind w:left="420"/>
              <w:spacing w:after="0"/>
              <w:rPr>
                <w:sz w:val="20"/>
                <w:szCs w:val="20"/>
                <w:color w:val="auto"/>
              </w:rPr>
            </w:pPr>
            <w:r>
              <w:rPr>
                <w:rFonts w:ascii="Arial" w:cs="Arial" w:eastAsia="Arial" w:hAnsi="Arial"/>
                <w:sz w:val="17"/>
                <w:szCs w:val="17"/>
                <w:color w:val="auto"/>
              </w:rPr>
              <w:t>Real estate taxes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161</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2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60" w:type="dxa"/>
            <w:vAlign w:val="bottom"/>
            <w:shd w:val="clear" w:color="auto" w:fill="CCEEFF"/>
          </w:tcPr>
          <w:p>
            <w:pPr>
              <w:spacing w:after="0"/>
              <w:rPr>
                <w:sz w:val="18"/>
                <w:szCs w:val="18"/>
                <w:color w:val="auto"/>
              </w:rPr>
            </w:pPr>
          </w:p>
        </w:tc>
      </w:tr>
      <w:tr>
        <w:trPr>
          <w:trHeight w:val="330"/>
        </w:trPr>
        <w:tc>
          <w:tcPr>
            <w:tcW w:w="6020" w:type="dxa"/>
            <w:vAlign w:val="bottom"/>
            <w:gridSpan w:val="4"/>
          </w:tcPr>
          <w:p>
            <w:pPr>
              <w:spacing w:after="0"/>
              <w:rPr>
                <w:sz w:val="20"/>
                <w:szCs w:val="20"/>
                <w:color w:val="auto"/>
              </w:rPr>
            </w:pPr>
            <w:r>
              <w:rPr>
                <w:rFonts w:ascii="Arial" w:cs="Arial" w:eastAsia="Arial" w:hAnsi="Arial"/>
                <w:sz w:val="17"/>
                <w:szCs w:val="17"/>
                <w:color w:val="auto"/>
              </w:rPr>
              <w:t>Interest expense</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(620)</w:t>
            </w: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20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2"/>
              </w:rPr>
              <w:t>As of</w:t>
            </w:r>
          </w:p>
        </w:tc>
        <w:tc>
          <w:tcPr>
            <w:tcW w:w="12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7"/>
              </w:rPr>
              <w:t>March 31, 2006</w:t>
            </w:r>
          </w:p>
        </w:tc>
        <w:tc>
          <w:tcPr>
            <w:tcW w:w="12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December 31, 2005</w:t>
            </w: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w w:val="98"/>
              </w:rPr>
              <w:t>CONSOLIDATED BALANCE SHEETS</w:t>
            </w:r>
          </w:p>
        </w:tc>
        <w:tc>
          <w:tcPr>
            <w:tcW w:w="3120" w:type="dxa"/>
            <w:vAlign w:val="bottom"/>
            <w:tcBorders>
              <w:bottom w:val="single" w:sz="8" w:color="CCEEFF"/>
            </w:tcBorders>
            <w:gridSpan w:val="2"/>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7"/>
                <w:szCs w:val="17"/>
                <w:b w:val="1"/>
                <w:bCs w:val="1"/>
                <w:color w:val="auto"/>
              </w:rPr>
              <w:t>ASSETS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at cost</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81,650</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81,768</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0" w:type="dxa"/>
            <w:vAlign w:val="bottom"/>
            <w:gridSpan w:val="3"/>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7"/>
                <w:szCs w:val="17"/>
                <w:color w:val="auto"/>
              </w:rPr>
              <w:t>(3,263)</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(2,718)</w:t>
            </w: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2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78,387</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79,050</w:t>
            </w:r>
          </w:p>
        </w:tc>
        <w:tc>
          <w:tcPr>
            <w:tcW w:w="60" w:type="dxa"/>
            <w:vAlign w:val="bottom"/>
            <w:shd w:val="clear" w:color="auto" w:fill="CCEEFF"/>
          </w:tcPr>
          <w:p>
            <w:pPr>
              <w:spacing w:after="0"/>
              <w:rPr>
                <w:sz w:val="18"/>
                <w:szCs w:val="18"/>
                <w:color w:val="auto"/>
              </w:rPr>
            </w:pPr>
          </w:p>
        </w:tc>
      </w:tr>
      <w:tr>
        <w:trPr>
          <w:trHeight w:val="321"/>
        </w:trPr>
        <w:tc>
          <w:tcPr>
            <w:tcW w:w="602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1,894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1,452</w:t>
            </w: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receivable and other assets</w:t>
            </w:r>
          </w:p>
        </w:tc>
        <w:tc>
          <w:tcPr>
            <w:tcW w:w="2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2,877</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60" w:type="dxa"/>
            <w:vAlign w:val="bottom"/>
            <w:shd w:val="clear" w:color="auto" w:fill="CCEEFF"/>
          </w:tcPr>
          <w:p>
            <w:pPr>
              <w:spacing w:after="0"/>
              <w:rPr>
                <w:sz w:val="18"/>
                <w:szCs w:val="18"/>
                <w:color w:val="auto"/>
              </w:rPr>
            </w:pPr>
          </w:p>
        </w:tc>
      </w:tr>
      <w:tr>
        <w:trPr>
          <w:trHeight w:val="221"/>
        </w:trPr>
        <w:tc>
          <w:tcPr>
            <w:tcW w:w="6020" w:type="dxa"/>
            <w:vAlign w:val="bottom"/>
            <w:gridSpan w:val="4"/>
          </w:tcPr>
          <w:p>
            <w:pPr>
              <w:spacing w:after="0"/>
              <w:rPr>
                <w:sz w:val="20"/>
                <w:szCs w:val="20"/>
                <w:color w:val="auto"/>
              </w:rPr>
            </w:pPr>
            <w:r>
              <w:rPr>
                <w:rFonts w:ascii="Arial" w:cs="Arial" w:eastAsia="Arial" w:hAnsi="Arial"/>
                <w:sz w:val="17"/>
                <w:szCs w:val="17"/>
                <w:b w:val="1"/>
                <w:bCs w:val="1"/>
                <w:color w:val="auto"/>
              </w:rPr>
              <w:t>TOTAL ASSETS</w:t>
            </w:r>
          </w:p>
        </w:tc>
        <w:tc>
          <w:tcPr>
            <w:tcW w:w="2140" w:type="dxa"/>
            <w:vAlign w:val="bottom"/>
            <w:gridSpan w:val="2"/>
          </w:tcPr>
          <w:p>
            <w:pPr>
              <w:ind w:left="20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83,158</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84,101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2"/>
        </w:trPr>
        <w:tc>
          <w:tcPr>
            <w:tcW w:w="6020" w:type="dxa"/>
            <w:vAlign w:val="bottom"/>
            <w:gridSpan w:val="4"/>
          </w:tcPr>
          <w:p>
            <w:pPr>
              <w:spacing w:after="0"/>
              <w:rPr>
                <w:sz w:val="20"/>
                <w:szCs w:val="20"/>
                <w:color w:val="auto"/>
              </w:rPr>
            </w:pPr>
            <w:r>
              <w:rPr>
                <w:rFonts w:ascii="Arial" w:cs="Arial" w:eastAsia="Arial" w:hAnsi="Arial"/>
                <w:sz w:val="17"/>
                <w:szCs w:val="17"/>
                <w:color w:val="auto"/>
              </w:rPr>
              <w:t>Liabilities</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0" w:type="dxa"/>
            <w:vAlign w:val="bottom"/>
            <w:gridSpan w:val="3"/>
          </w:tcPr>
          <w:p>
            <w:pPr>
              <w:ind w:left="420"/>
              <w:spacing w:after="0"/>
              <w:rPr>
                <w:sz w:val="20"/>
                <w:szCs w:val="20"/>
                <w:color w:val="auto"/>
              </w:rPr>
            </w:pPr>
            <w:r>
              <w:rPr>
                <w:rFonts w:ascii="Arial" w:cs="Arial" w:eastAsia="Arial" w:hAnsi="Arial"/>
                <w:sz w:val="17"/>
                <w:szCs w:val="17"/>
                <w:color w:val="auto"/>
              </w:rPr>
              <w:t>Other liabilities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4,853</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5,506</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52,731</w:t>
            </w:r>
          </w:p>
        </w:tc>
        <w:tc>
          <w:tcPr>
            <w:tcW w:w="60" w:type="dxa"/>
            <w:vAlign w:val="bottom"/>
            <w:shd w:val="clear" w:color="auto" w:fill="CCEEFF"/>
          </w:tcPr>
          <w:p>
            <w:pPr>
              <w:spacing w:after="0"/>
              <w:rPr>
                <w:sz w:val="18"/>
                <w:szCs w:val="18"/>
                <w:color w:val="auto"/>
              </w:rPr>
            </w:pPr>
          </w:p>
        </w:tc>
      </w:tr>
      <w:tr>
        <w:trPr>
          <w:trHeight w:val="330"/>
        </w:trPr>
        <w:tc>
          <w:tcPr>
            <w:tcW w:w="6020" w:type="dxa"/>
            <w:vAlign w:val="bottom"/>
            <w:gridSpan w:val="4"/>
          </w:tcPr>
          <w:p>
            <w:pPr>
              <w:spacing w:after="0"/>
              <w:rPr>
                <w:sz w:val="20"/>
                <w:szCs w:val="20"/>
                <w:color w:val="auto"/>
              </w:rPr>
            </w:pPr>
            <w:r>
              <w:rPr>
                <w:rFonts w:ascii="Arial" w:cs="Arial" w:eastAsia="Arial" w:hAnsi="Arial"/>
                <w:sz w:val="17"/>
                <w:szCs w:val="17"/>
                <w:color w:val="auto"/>
              </w:rPr>
              <w:t>Partners’ Capital</w:t>
            </w: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31,080</w:t>
            </w: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31,370</w:t>
            </w:r>
          </w:p>
        </w:tc>
        <w:tc>
          <w:tcPr>
            <w:tcW w:w="6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LIABILITIES AND PARTNERS’ CAPITAL</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273"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DEBT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Arial" w:cs="Arial" w:eastAsia="Arial" w:hAnsi="Arial"/>
                <w:sz w:val="13"/>
                <w:szCs w:val="13"/>
                <w:b w:val="1"/>
                <w:bCs w:val="1"/>
                <w:color w:val="auto"/>
              </w:rPr>
              <w:t>Interest Rate as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520" w:type="dxa"/>
            <w:vAlign w:val="bottom"/>
          </w:tcPr>
          <w:p>
            <w:pPr>
              <w:spacing w:after="0"/>
              <w:rPr>
                <w:sz w:val="13"/>
                <w:szCs w:val="13"/>
                <w:color w:val="auto"/>
              </w:rPr>
            </w:pPr>
          </w:p>
        </w:tc>
        <w:tc>
          <w:tcPr>
            <w:tcW w:w="1820" w:type="dxa"/>
            <w:vAlign w:val="bottom"/>
            <w:gridSpan w:val="3"/>
          </w:tcPr>
          <w:p>
            <w:pPr>
              <w:ind w:left="80"/>
              <w:spacing w:after="0"/>
              <w:rPr>
                <w:sz w:val="20"/>
                <w:szCs w:val="20"/>
                <w:color w:val="auto"/>
              </w:rPr>
            </w:pPr>
            <w:r>
              <w:rPr>
                <w:rFonts w:ascii="Arial" w:cs="Arial" w:eastAsia="Arial" w:hAnsi="Arial"/>
                <w:sz w:val="13"/>
                <w:szCs w:val="13"/>
                <w:b w:val="1"/>
                <w:bCs w:val="1"/>
                <w:color w:val="auto"/>
              </w:rPr>
              <w:t>March 31, 2005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7"/>
                <w:szCs w:val="17"/>
                <w:b w:val="1"/>
                <w:bCs w:val="1"/>
                <w:color w:val="auto"/>
                <w:w w:val="91"/>
              </w:rPr>
              <w:t>Mortgage Loans</w:t>
            </w:r>
          </w:p>
        </w:tc>
        <w:tc>
          <w:tcPr>
            <w:tcW w:w="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ind w:left="60"/>
              <w:spacing w:after="0"/>
              <w:rPr>
                <w:sz w:val="20"/>
                <w:szCs w:val="20"/>
                <w:color w:val="auto"/>
              </w:rPr>
            </w:pPr>
            <w:r>
              <w:rPr>
                <w:rFonts w:ascii="Arial" w:cs="Arial" w:eastAsia="Arial" w:hAnsi="Arial"/>
                <w:sz w:val="17"/>
                <w:szCs w:val="17"/>
                <w:b w:val="1"/>
                <w:bCs w:val="1"/>
                <w:i w:val="1"/>
                <w:iCs w:val="1"/>
                <w:color w:val="auto"/>
              </w:rPr>
              <w:t>Secured Fixed Rate</w:t>
            </w: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Campus Plaza</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12/01/09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4.530% (a)</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ind w:left="60"/>
              <w:spacing w:after="0"/>
              <w:rPr>
                <w:sz w:val="20"/>
                <w:szCs w:val="20"/>
                <w:color w:val="auto"/>
              </w:rPr>
            </w:pPr>
            <w:r>
              <w:rPr>
                <w:rFonts w:ascii="Arial" w:cs="Arial" w:eastAsia="Arial" w:hAnsi="Arial"/>
                <w:sz w:val="17"/>
                <w:szCs w:val="17"/>
                <w:color w:val="auto"/>
              </w:rPr>
              <w:t>Pleasant Shops</w:t>
            </w: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12/01/09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7"/>
                <w:szCs w:val="17"/>
                <w:color w:val="auto"/>
              </w:rPr>
              <w:t>4.530% (a)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w w:val="93"/>
              </w:rPr>
              <w:t>Plaza del Mercado</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07/05/14</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5.770% (b)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7"/>
                <w:szCs w:val="17"/>
                <w:color w:val="auto"/>
              </w:rPr>
              <w:t>Atlantic Plaza</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3"/>
              </w:rPr>
              <w:t>12/01/14</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7"/>
                <w:szCs w:val="17"/>
                <w:color w:val="auto"/>
              </w:rPr>
              <w:t>5.120% (a)</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Total Fixed Rate Debt</w:t>
            </w: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DEBT MATURITIES</w:t>
            </w: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7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80" w:type="dxa"/>
            <w:vAlign w:val="bottom"/>
            <w:gridSpan w:val="5"/>
          </w:tcPr>
          <w:p>
            <w:pPr>
              <w:spacing w:after="0"/>
              <w:rPr>
                <w:sz w:val="20"/>
                <w:szCs w:val="20"/>
                <w:color w:val="auto"/>
              </w:rPr>
            </w:pPr>
            <w:r>
              <w:rPr>
                <w:rFonts w:ascii="Arial" w:cs="Arial" w:eastAsia="Arial" w:hAnsi="Arial"/>
                <w:sz w:val="17"/>
                <w:szCs w:val="17"/>
                <w:color w:val="auto"/>
              </w:rPr>
              <w:t>(in thousands)</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ind w:right="22"/>
              <w:spacing w:after="0" w:line="148" w:lineRule="exact"/>
              <w:rPr>
                <w:sz w:val="20"/>
                <w:szCs w:val="20"/>
                <w:color w:val="auto"/>
              </w:rPr>
            </w:pPr>
            <w:r>
              <w:rPr>
                <w:rFonts w:ascii="Arial" w:cs="Arial" w:eastAsia="Arial" w:hAnsi="Arial"/>
                <w:sz w:val="13"/>
                <w:szCs w:val="13"/>
                <w:b w:val="1"/>
                <w:bCs w:val="1"/>
                <w:color w:val="auto"/>
              </w:rPr>
              <w:t>Scheduled</w:t>
            </w: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gridSpan w:val="4"/>
          </w:tcPr>
          <w:p>
            <w:pPr>
              <w:jc w:val="center"/>
              <w:ind w:right="1660"/>
              <w:spacing w:after="0" w:line="148" w:lineRule="exact"/>
              <w:rPr>
                <w:sz w:val="20"/>
                <w:szCs w:val="20"/>
                <w:color w:val="auto"/>
              </w:rPr>
            </w:pPr>
            <w:r>
              <w:rPr>
                <w:rFonts w:ascii="Arial" w:cs="Arial" w:eastAsia="Arial" w:hAnsi="Arial"/>
                <w:sz w:val="13"/>
                <w:szCs w:val="13"/>
                <w:b w:val="1"/>
                <w:bCs w:val="1"/>
                <w:color w:val="auto"/>
                <w:w w:val="94"/>
              </w:rPr>
              <w:t>Percent of</w:t>
            </w:r>
          </w:p>
        </w:tc>
        <w:tc>
          <w:tcPr>
            <w:tcW w:w="1040" w:type="dxa"/>
            <w:vAlign w:val="bottom"/>
            <w:gridSpan w:val="5"/>
          </w:tcPr>
          <w:p>
            <w:pPr>
              <w:jc w:val="center"/>
              <w:ind w:right="180"/>
              <w:spacing w:after="0" w:line="148"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1"/>
        </w:trPr>
        <w:tc>
          <w:tcPr>
            <w:tcW w:w="178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3"/>
              </w:rPr>
              <w:t>Amortization</w:t>
            </w:r>
          </w:p>
        </w:tc>
        <w:tc>
          <w:tcPr>
            <w:tcW w:w="140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Maturities</w:t>
            </w:r>
          </w:p>
        </w:tc>
        <w:tc>
          <w:tcPr>
            <w:tcW w:w="14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680" w:type="dxa"/>
            <w:vAlign w:val="bottom"/>
          </w:tcPr>
          <w:p>
            <w:pPr>
              <w:spacing w:after="0"/>
              <w:rPr>
                <w:sz w:val="13"/>
                <w:szCs w:val="13"/>
                <w:color w:val="auto"/>
              </w:rPr>
            </w:pPr>
          </w:p>
        </w:tc>
        <w:tc>
          <w:tcPr>
            <w:tcW w:w="2340" w:type="dxa"/>
            <w:vAlign w:val="bottom"/>
            <w:gridSpan w:val="4"/>
          </w:tcPr>
          <w:p>
            <w:pPr>
              <w:jc w:val="center"/>
              <w:ind w:right="1560"/>
              <w:spacing w:after="0"/>
              <w:rPr>
                <w:sz w:val="20"/>
                <w:szCs w:val="20"/>
                <w:color w:val="auto"/>
              </w:rPr>
            </w:pPr>
            <w:r>
              <w:rPr>
                <w:rFonts w:ascii="Arial" w:cs="Arial" w:eastAsia="Arial" w:hAnsi="Arial"/>
                <w:sz w:val="13"/>
                <w:szCs w:val="13"/>
                <w:b w:val="1"/>
                <w:bCs w:val="1"/>
                <w:color w:val="auto"/>
                <w:w w:val="89"/>
              </w:rPr>
              <w:t>Debt Maturing</w:t>
            </w:r>
          </w:p>
        </w:tc>
        <w:tc>
          <w:tcPr>
            <w:tcW w:w="104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8"/>
              </w:rPr>
              <w:t>Debt Maturing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2006</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2007</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c>
          <w:tcPr>
            <w:tcW w:w="1400" w:type="dxa"/>
            <w:vAlign w:val="bottom"/>
          </w:tcPr>
          <w:p>
            <w:pPr>
              <w:spacing w:after="0"/>
              <w:rPr>
                <w:sz w:val="18"/>
                <w:szCs w:val="18"/>
                <w:color w:val="auto"/>
              </w:rPr>
            </w:pPr>
          </w:p>
        </w:tc>
        <w:tc>
          <w:tcPr>
            <w:tcW w:w="2000" w:type="dxa"/>
            <w:vAlign w:val="bottom"/>
            <w:gridSpan w:val="2"/>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70</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ind w:right="573"/>
              <w:spacing w:after="0"/>
              <w:rPr>
                <w:sz w:val="20"/>
                <w:szCs w:val="20"/>
                <w:color w:val="auto"/>
              </w:rPr>
            </w:pPr>
            <w:r>
              <w:rPr>
                <w:rFonts w:ascii="Arial" w:cs="Arial" w:eastAsia="Arial" w:hAnsi="Arial"/>
                <w:sz w:val="17"/>
                <w:szCs w:val="17"/>
                <w:color w:val="auto"/>
              </w:rPr>
              <w:t>0.2%</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2008</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573"/>
              <w:spacing w:after="0"/>
              <w:rPr>
                <w:sz w:val="20"/>
                <w:szCs w:val="20"/>
                <w:color w:val="auto"/>
              </w:rPr>
            </w:pPr>
            <w:r>
              <w:rPr>
                <w:rFonts w:ascii="Arial" w:cs="Arial" w:eastAsia="Arial" w:hAnsi="Arial"/>
                <w:sz w:val="17"/>
                <w:szCs w:val="17"/>
                <w:color w:val="auto"/>
              </w:rPr>
              <w:t>0.4%</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2009</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185</w:t>
            </w:r>
          </w:p>
        </w:tc>
        <w:tc>
          <w:tcPr>
            <w:tcW w:w="3400" w:type="dxa"/>
            <w:vAlign w:val="bottom"/>
            <w:gridSpan w:val="3"/>
          </w:tcPr>
          <w:p>
            <w:pPr>
              <w:jc w:val="right"/>
              <w:ind w:right="1400"/>
              <w:spacing w:after="0"/>
              <w:rPr>
                <w:sz w:val="20"/>
                <w:szCs w:val="20"/>
                <w:color w:val="auto"/>
              </w:rPr>
            </w:pPr>
            <w:r>
              <w:rPr>
                <w:rFonts w:ascii="Arial" w:cs="Arial" w:eastAsia="Arial" w:hAnsi="Arial"/>
                <w:sz w:val="17"/>
                <w:szCs w:val="17"/>
                <w:color w:val="auto"/>
              </w:rPr>
              <w:t>23,400</w:t>
            </w:r>
          </w:p>
        </w:tc>
        <w:tc>
          <w:tcPr>
            <w:tcW w:w="580" w:type="dxa"/>
            <w:vAlign w:val="bottom"/>
          </w:tcPr>
          <w:p>
            <w:pPr>
              <w:jc w:val="right"/>
              <w:spacing w:after="0"/>
              <w:rPr>
                <w:sz w:val="20"/>
                <w:szCs w:val="20"/>
                <w:color w:val="auto"/>
              </w:rPr>
            </w:pPr>
            <w:r>
              <w:rPr>
                <w:rFonts w:ascii="Arial" w:cs="Arial" w:eastAsia="Arial" w:hAnsi="Arial"/>
                <w:sz w:val="17"/>
                <w:szCs w:val="17"/>
                <w:color w:val="auto"/>
              </w:rPr>
              <w:t>23,585</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ind w:right="573"/>
              <w:spacing w:after="0"/>
              <w:rPr>
                <w:sz w:val="20"/>
                <w:szCs w:val="20"/>
                <w:color w:val="auto"/>
              </w:rPr>
            </w:pPr>
            <w:r>
              <w:rPr>
                <w:rFonts w:ascii="Arial" w:cs="Arial" w:eastAsia="Arial" w:hAnsi="Arial"/>
                <w:sz w:val="17"/>
                <w:szCs w:val="17"/>
                <w:color w:val="auto"/>
              </w:rPr>
              <w:t>49.9%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2010</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573"/>
              <w:spacing w:after="0"/>
              <w:rPr>
                <w:sz w:val="20"/>
                <w:szCs w:val="20"/>
                <w:color w:val="auto"/>
              </w:rPr>
            </w:pPr>
            <w:r>
              <w:rPr>
                <w:rFonts w:ascii="Arial" w:cs="Arial" w:eastAsia="Arial" w:hAnsi="Arial"/>
                <w:sz w:val="17"/>
                <w:szCs w:val="17"/>
                <w:color w:val="auto"/>
              </w:rPr>
              <w:t>0.4%</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2011</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208</w:t>
            </w:r>
          </w:p>
        </w:tc>
        <w:tc>
          <w:tcPr>
            <w:tcW w:w="1400" w:type="dxa"/>
            <w:vAlign w:val="bottom"/>
          </w:tcPr>
          <w:p>
            <w:pPr>
              <w:spacing w:after="0"/>
              <w:rPr>
                <w:sz w:val="18"/>
                <w:szCs w:val="18"/>
                <w:color w:val="auto"/>
              </w:rPr>
            </w:pPr>
          </w:p>
        </w:tc>
        <w:tc>
          <w:tcPr>
            <w:tcW w:w="2000" w:type="dxa"/>
            <w:vAlign w:val="bottom"/>
            <w:gridSpan w:val="2"/>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208</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ind w:right="573"/>
              <w:spacing w:after="0"/>
              <w:rPr>
                <w:sz w:val="20"/>
                <w:szCs w:val="20"/>
                <w:color w:val="auto"/>
              </w:rPr>
            </w:pPr>
            <w:r>
              <w:rPr>
                <w:rFonts w:ascii="Arial" w:cs="Arial" w:eastAsia="Arial" w:hAnsi="Arial"/>
                <w:sz w:val="17"/>
                <w:szCs w:val="17"/>
                <w:color w:val="auto"/>
              </w:rPr>
              <w:t>0.4%</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2012</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4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573"/>
              <w:spacing w:after="0"/>
              <w:rPr>
                <w:sz w:val="20"/>
                <w:szCs w:val="20"/>
                <w:color w:val="auto"/>
              </w:rPr>
            </w:pPr>
            <w:r>
              <w:rPr>
                <w:rFonts w:ascii="Arial" w:cs="Arial" w:eastAsia="Arial" w:hAnsi="Arial"/>
                <w:sz w:val="17"/>
                <w:szCs w:val="17"/>
                <w:color w:val="auto"/>
              </w:rPr>
              <w:t>0.5%</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2013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233</w:t>
            </w:r>
          </w:p>
        </w:tc>
        <w:tc>
          <w:tcPr>
            <w:tcW w:w="1400" w:type="dxa"/>
            <w:vAlign w:val="bottom"/>
          </w:tcPr>
          <w:p>
            <w:pPr>
              <w:spacing w:after="0"/>
              <w:rPr>
                <w:sz w:val="18"/>
                <w:szCs w:val="18"/>
                <w:color w:val="auto"/>
              </w:rPr>
            </w:pPr>
          </w:p>
        </w:tc>
        <w:tc>
          <w:tcPr>
            <w:tcW w:w="2000" w:type="dxa"/>
            <w:vAlign w:val="bottom"/>
            <w:gridSpan w:val="2"/>
          </w:tcPr>
          <w:p>
            <w:pPr>
              <w:jc w:val="right"/>
              <w:ind w:right="15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233</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3"/>
          </w:tcPr>
          <w:p>
            <w:pPr>
              <w:jc w:val="right"/>
              <w:ind w:right="573"/>
              <w:spacing w:after="0"/>
              <w:rPr>
                <w:sz w:val="20"/>
                <w:szCs w:val="20"/>
                <w:color w:val="auto"/>
              </w:rPr>
            </w:pPr>
            <w:r>
              <w:rPr>
                <w:rFonts w:ascii="Arial" w:cs="Arial" w:eastAsia="Arial" w:hAnsi="Arial"/>
                <w:sz w:val="17"/>
                <w:szCs w:val="17"/>
                <w:color w:val="auto"/>
              </w:rPr>
              <w:t>0.5%</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2014</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22,396</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22,538</w:t>
            </w:r>
          </w:p>
        </w:tc>
        <w:tc>
          <w:tcPr>
            <w:tcW w:w="8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580" w:type="dxa"/>
            <w:vAlign w:val="bottom"/>
            <w:gridSpan w:val="3"/>
            <w:shd w:val="clear" w:color="auto" w:fill="CCEEFF"/>
          </w:tcPr>
          <w:p>
            <w:pPr>
              <w:jc w:val="right"/>
              <w:ind w:right="573"/>
              <w:spacing w:after="0"/>
              <w:rPr>
                <w:sz w:val="20"/>
                <w:szCs w:val="20"/>
                <w:color w:val="auto"/>
              </w:rPr>
            </w:pPr>
            <w:r>
              <w:rPr>
                <w:rFonts w:ascii="Arial" w:cs="Arial" w:eastAsia="Arial" w:hAnsi="Arial"/>
                <w:sz w:val="17"/>
                <w:szCs w:val="17"/>
                <w:color w:val="auto"/>
              </w:rPr>
              <w:t>47.7%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gridSpan w:val="5"/>
            <w:vMerge w:val="restart"/>
          </w:tcPr>
          <w:p>
            <w:pPr>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gridSpan w:val="5"/>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3"/>
              </w:rPr>
              <w:t>$1,429</w:t>
            </w:r>
          </w:p>
        </w:tc>
        <w:tc>
          <w:tcPr>
            <w:tcW w:w="3400" w:type="dxa"/>
            <w:vAlign w:val="bottom"/>
            <w:gridSpan w:val="3"/>
          </w:tcPr>
          <w:p>
            <w:pPr>
              <w:jc w:val="right"/>
              <w:ind w:right="1400"/>
              <w:spacing w:after="0"/>
              <w:rPr>
                <w:sz w:val="20"/>
                <w:szCs w:val="20"/>
                <w:color w:val="auto"/>
              </w:rPr>
            </w:pPr>
            <w:r>
              <w:rPr>
                <w:rFonts w:ascii="Arial" w:cs="Arial" w:eastAsia="Arial" w:hAnsi="Arial"/>
                <w:sz w:val="17"/>
                <w:szCs w:val="17"/>
                <w:color w:val="auto"/>
              </w:rPr>
              <w:t>$ 45,796</w:t>
            </w:r>
          </w:p>
        </w:tc>
        <w:tc>
          <w:tcPr>
            <w:tcW w:w="580" w:type="dxa"/>
            <w:vAlign w:val="bottom"/>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47,225</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3"/>
          </w:tcPr>
          <w:p>
            <w:pPr>
              <w:jc w:val="right"/>
              <w:ind w:right="573"/>
              <w:spacing w:after="0"/>
              <w:rPr>
                <w:sz w:val="20"/>
                <w:szCs w:val="20"/>
                <w:color w:val="auto"/>
              </w:rPr>
            </w:pPr>
            <w:r>
              <w:rPr>
                <w:rFonts w:ascii="Arial" w:cs="Arial" w:eastAsia="Arial" w:hAnsi="Arial"/>
                <w:sz w:val="17"/>
                <w:szCs w:val="17"/>
                <w:color w:val="auto"/>
              </w:rPr>
              <w:t>100.0%</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9" w:lineRule="exact"/>
        <w:rPr>
          <w:rFonts w:ascii="Arial" w:cs="Arial" w:eastAsia="Arial" w:hAnsi="Arial"/>
          <w:sz w:val="17"/>
          <w:szCs w:val="17"/>
          <w:color w:val="auto"/>
        </w:rPr>
      </w:pP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Loan is interest only until July 5, 2007, after which principal and interest payments are due based on a 30-year amortization schedule.</w:t>
      </w:r>
    </w:p>
    <w:p>
      <w:pPr>
        <w:sectPr>
          <w:pgSz w:w="11900" w:h="16838" w:orient="portrait"/>
          <w:cols w:equalWidth="0" w:num="1">
            <w:col w:w="11420"/>
          </w:cols>
          <w:pgMar w:left="240" w:top="273"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210" cy="27940"/>
                    </a:xfrm>
                    <a:prstGeom prst="rect">
                      <a:avLst/>
                    </a:prstGeom>
                    <a:noFill/>
                  </pic:spPr>
                </pic:pic>
              </a:graphicData>
            </a:graphic>
          </wp:anchor>
        </w:drawing>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31,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Property</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Mortgage or</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Grocery</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1"/>
                <w:szCs w:val="11"/>
                <w:color w:val="auto"/>
              </w:rPr>
            </w:pPr>
          </w:p>
        </w:tc>
        <w:tc>
          <w:tcPr>
            <w:tcW w:w="74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Capital Lease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Average</w:t>
            </w:r>
          </w:p>
        </w:tc>
        <w:tc>
          <w:tcPr>
            <w:tcW w:w="6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Anchor</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4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MSA Description</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Acquired</w:t>
            </w:r>
          </w:p>
        </w:tc>
        <w:tc>
          <w:tcPr>
            <w:tcW w:w="8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w w:val="93"/>
              </w:rPr>
              <w:t>Investment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w w:val="96"/>
              </w:rPr>
              <w:t>Obligation</w:t>
            </w:r>
          </w:p>
        </w:tc>
        <w:tc>
          <w:tcPr>
            <w:tcW w:w="1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GLA</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 Leased</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 Occupied</w:t>
            </w:r>
          </w:p>
        </w:tc>
        <w:tc>
          <w:tcPr>
            <w:tcW w:w="6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Rent PSF</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GLA (1)</w:t>
            </w:r>
          </w:p>
        </w:tc>
        <w:tc>
          <w:tcPr>
            <w:tcW w:w="1240" w:type="dxa"/>
            <w:vAlign w:val="bottom"/>
          </w:tcPr>
          <w:p>
            <w:pPr>
              <w:spacing w:after="0"/>
              <w:rPr>
                <w:sz w:val="20"/>
                <w:szCs w:val="20"/>
                <w:color w:val="auto"/>
              </w:rPr>
            </w:pPr>
            <w:r>
              <w:rPr>
                <w:rFonts w:ascii="Arial" w:cs="Arial" w:eastAsia="Arial" w:hAnsi="Arial"/>
                <w:sz w:val="13"/>
                <w:szCs w:val="13"/>
                <w:b w:val="1"/>
                <w:bCs w:val="1"/>
                <w:color w:val="auto"/>
              </w:rPr>
              <w:t>Grocery Anchor (1)</w:t>
            </w: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w w:val="94"/>
              </w:rPr>
              <w:t>Other Principal Tenants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w w:val="89"/>
              </w:rPr>
              <w:t>(in thousands)</w:t>
            </w:r>
          </w:p>
        </w:tc>
        <w:tc>
          <w:tcPr>
            <w:tcW w:w="14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w w:val="89"/>
              </w:rPr>
              <w:t>(in thousands)</w:t>
            </w: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7"/>
              </w:rPr>
              <w:t>East Region</w:t>
            </w:r>
          </w:p>
        </w:tc>
        <w:tc>
          <w:tcPr>
            <w:tcW w:w="240" w:type="dxa"/>
            <w:vAlign w:val="bottom"/>
            <w:tcBorders>
              <w:bottom w:val="single" w:sz="8" w:color="CCEEFF"/>
            </w:tcBorders>
            <w:gridSpan w:val="2"/>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260" w:type="dxa"/>
            <w:vAlign w:val="bottom"/>
            <w:gridSpan w:val="7"/>
          </w:tcPr>
          <w:p>
            <w:pPr>
              <w:spacing w:after="0"/>
              <w:rPr>
                <w:sz w:val="20"/>
                <w:szCs w:val="20"/>
                <w:color w:val="auto"/>
              </w:rPr>
            </w:pPr>
            <w:r>
              <w:rPr>
                <w:rFonts w:ascii="Arial" w:cs="Arial" w:eastAsia="Arial" w:hAnsi="Arial"/>
                <w:sz w:val="13"/>
                <w:szCs w:val="13"/>
                <w:b w:val="1"/>
                <w:bCs w:val="1"/>
                <w:color w:val="auto"/>
              </w:rPr>
              <w:t>Washington Metropolitan Area</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920" w:type="dxa"/>
            <w:vAlign w:val="bottom"/>
            <w:gridSpan w:val="3"/>
            <w:shd w:val="clear" w:color="auto" w:fill="CCEEFF"/>
          </w:tcPr>
          <w:p>
            <w:pPr>
              <w:spacing w:after="0" w:line="131" w:lineRule="exact"/>
              <w:rPr>
                <w:sz w:val="20"/>
                <w:szCs w:val="20"/>
                <w:color w:val="auto"/>
              </w:rPr>
            </w:pPr>
            <w:r>
              <w:rPr>
                <w:rFonts w:ascii="Arial" w:cs="Arial" w:eastAsia="Arial" w:hAnsi="Arial"/>
                <w:sz w:val="13"/>
                <w:szCs w:val="13"/>
                <w:color w:val="auto"/>
              </w:rPr>
              <w:t>Plaza del</w:t>
            </w: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Washington, DC-</w:t>
            </w:r>
          </w:p>
        </w:tc>
        <w:tc>
          <w:tcPr>
            <w:tcW w:w="80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20,783</w:t>
            </w:r>
          </w:p>
        </w:tc>
        <w:tc>
          <w:tcPr>
            <w:tcW w:w="22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13,325</w:t>
            </w:r>
          </w:p>
        </w:tc>
        <w:tc>
          <w:tcPr>
            <w:tcW w:w="720" w:type="dxa"/>
            <w:vAlign w:val="bottom"/>
            <w:gridSpan w:val="3"/>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96,000</w:t>
            </w: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98%</w:t>
            </w:r>
          </w:p>
        </w:tc>
        <w:tc>
          <w:tcPr>
            <w:tcW w:w="220" w:type="dxa"/>
            <w:vAlign w:val="bottom"/>
            <w:gridSpan w:val="2"/>
            <w:shd w:val="clear" w:color="auto" w:fill="CCEEFF"/>
          </w:tcPr>
          <w:p>
            <w:pPr>
              <w:jc w:val="right"/>
              <w:ind w:right="33"/>
              <w:spacing w:after="0" w:line="131"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16.80</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25,000</w:t>
            </w:r>
          </w:p>
        </w:tc>
        <w:tc>
          <w:tcPr>
            <w:tcW w:w="12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Giant Food</w:t>
            </w:r>
          </w:p>
        </w:tc>
        <w:tc>
          <w:tcPr>
            <w:tcW w:w="1540" w:type="dxa"/>
            <w:vAlign w:val="bottom"/>
            <w:gridSpan w:val="2"/>
            <w:shd w:val="clear" w:color="auto" w:fill="CCEEFF"/>
          </w:tcPr>
          <w:p>
            <w:pPr>
              <w:ind w:left="140"/>
              <w:spacing w:after="0" w:line="131"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Mercado</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MD-VA</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Washington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20,783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gridSpan w:val="3"/>
          </w:tcPr>
          <w:p>
            <w:pPr>
              <w:jc w:val="right"/>
              <w:ind w:right="140"/>
              <w:spacing w:after="0" w:line="143" w:lineRule="exact"/>
              <w:rPr>
                <w:sz w:val="20"/>
                <w:szCs w:val="20"/>
                <w:color w:val="auto"/>
              </w:rPr>
            </w:pPr>
            <w:r>
              <w:rPr>
                <w:rFonts w:ascii="Arial" w:cs="Arial" w:eastAsia="Arial" w:hAnsi="Arial"/>
                <w:sz w:val="13"/>
                <w:szCs w:val="13"/>
                <w:color w:val="auto"/>
              </w:rPr>
              <w:t>96,000</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98%</w:t>
            </w:r>
          </w:p>
        </w:tc>
        <w:tc>
          <w:tcPr>
            <w:tcW w:w="9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98%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16.80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Metropolitan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Area</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New England</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w w:val="93"/>
              </w:rPr>
              <w:t>Atlantic Plaza</w:t>
            </w:r>
          </w:p>
        </w:tc>
        <w:tc>
          <w:tcPr>
            <w:tcW w:w="1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gridSpan w:val="2"/>
          </w:tcPr>
          <w:p>
            <w:pPr>
              <w:spacing w:after="0" w:line="131" w:lineRule="exact"/>
              <w:rPr>
                <w:sz w:val="20"/>
                <w:szCs w:val="20"/>
                <w:color w:val="auto"/>
              </w:rPr>
            </w:pPr>
            <w:r>
              <w:rPr>
                <w:rFonts w:ascii="Arial" w:cs="Arial" w:eastAsia="Arial" w:hAnsi="Arial"/>
                <w:sz w:val="13"/>
                <w:szCs w:val="13"/>
                <w:color w:val="auto"/>
              </w:rPr>
              <w:t>Boston-Worcester-</w:t>
            </w:r>
          </w:p>
        </w:tc>
        <w:tc>
          <w:tcPr>
            <w:tcW w:w="800" w:type="dxa"/>
            <w:vAlign w:val="bottom"/>
            <w:tcBorders>
              <w:top w:val="single" w:sz="8" w:color="CCEEFF"/>
            </w:tcBorders>
            <w:gridSpan w:val="3"/>
          </w:tcPr>
          <w:p>
            <w:pPr>
              <w:jc w:val="right"/>
              <w:ind w:right="140"/>
              <w:spacing w:after="0" w:line="131" w:lineRule="exact"/>
              <w:rPr>
                <w:sz w:val="20"/>
                <w:szCs w:val="20"/>
                <w:color w:val="auto"/>
              </w:rPr>
            </w:pPr>
            <w:r>
              <w:rPr>
                <w:rFonts w:ascii="Arial" w:cs="Arial" w:eastAsia="Arial" w:hAnsi="Arial"/>
                <w:sz w:val="13"/>
                <w:szCs w:val="13"/>
                <w:color w:val="auto"/>
              </w:rPr>
              <w:t>2004</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3"/>
                <w:szCs w:val="13"/>
                <w:color w:val="auto"/>
              </w:rPr>
              <w:t>16,317</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3"/>
                <w:szCs w:val="13"/>
                <w:color w:val="auto"/>
              </w:rPr>
              <w:t>10,500</w:t>
            </w:r>
          </w:p>
        </w:tc>
        <w:tc>
          <w:tcPr>
            <w:tcW w:w="720" w:type="dxa"/>
            <w:vAlign w:val="bottom"/>
            <w:tcBorders>
              <w:top w:val="single" w:sz="8" w:color="CCEEFF"/>
            </w:tcBorders>
            <w:gridSpan w:val="3"/>
          </w:tcPr>
          <w:p>
            <w:pPr>
              <w:jc w:val="right"/>
              <w:ind w:right="140"/>
              <w:spacing w:after="0" w:line="131" w:lineRule="exact"/>
              <w:rPr>
                <w:sz w:val="20"/>
                <w:szCs w:val="20"/>
                <w:color w:val="auto"/>
              </w:rPr>
            </w:pPr>
            <w:r>
              <w:rPr>
                <w:rFonts w:ascii="Arial" w:cs="Arial" w:eastAsia="Arial" w:hAnsi="Arial"/>
                <w:sz w:val="13"/>
                <w:szCs w:val="13"/>
                <w:color w:val="auto"/>
              </w:rPr>
              <w:t>123,000</w:t>
            </w:r>
          </w:p>
        </w:tc>
        <w:tc>
          <w:tcPr>
            <w:tcW w:w="820" w:type="dxa"/>
            <w:vAlign w:val="bottom"/>
            <w:tcBorders>
              <w:top w:val="single" w:sz="8" w:color="CCEEFF"/>
            </w:tcBorders>
            <w:gridSpan w:val="2"/>
          </w:tcPr>
          <w:p>
            <w:pPr>
              <w:jc w:val="right"/>
              <w:ind w:right="140"/>
              <w:spacing w:after="0" w:line="131" w:lineRule="exact"/>
              <w:rPr>
                <w:sz w:val="20"/>
                <w:szCs w:val="20"/>
                <w:color w:val="auto"/>
              </w:rPr>
            </w:pPr>
            <w:r>
              <w:rPr>
                <w:rFonts w:ascii="Arial" w:cs="Arial" w:eastAsia="Arial" w:hAnsi="Arial"/>
                <w:sz w:val="13"/>
                <w:szCs w:val="13"/>
                <w:color w:val="auto"/>
              </w:rPr>
              <w:t>97%</w:t>
            </w:r>
          </w:p>
        </w:tc>
        <w:tc>
          <w:tcPr>
            <w:tcW w:w="900" w:type="dxa"/>
            <w:vAlign w:val="bottom"/>
            <w:tcBorders>
              <w:top w:val="single" w:sz="8" w:color="CCEEFF"/>
            </w:tcBorders>
            <w:gridSpan w:val="2"/>
          </w:tcPr>
          <w:p>
            <w:pPr>
              <w:jc w:val="right"/>
              <w:ind w:right="60"/>
              <w:spacing w:after="0" w:line="131" w:lineRule="exact"/>
              <w:rPr>
                <w:sz w:val="20"/>
                <w:szCs w:val="20"/>
                <w:color w:val="auto"/>
              </w:rPr>
            </w:pPr>
            <w:r>
              <w:rPr>
                <w:rFonts w:ascii="Arial" w:cs="Arial" w:eastAsia="Arial" w:hAnsi="Arial"/>
                <w:sz w:val="13"/>
                <w:szCs w:val="13"/>
                <w:color w:val="auto"/>
              </w:rPr>
              <w:t>97%</w:t>
            </w: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jc w:val="right"/>
              <w:spacing w:after="0" w:line="131" w:lineRule="exact"/>
              <w:rPr>
                <w:sz w:val="20"/>
                <w:szCs w:val="20"/>
                <w:color w:val="auto"/>
              </w:rPr>
            </w:pPr>
            <w:r>
              <w:rPr>
                <w:rFonts w:ascii="Arial" w:cs="Arial" w:eastAsia="Arial" w:hAnsi="Arial"/>
                <w:sz w:val="13"/>
                <w:szCs w:val="13"/>
                <w:color w:val="auto"/>
              </w:rPr>
              <w:t>12.50</w:t>
            </w: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gridSpan w:val="2"/>
          </w:tcPr>
          <w:p>
            <w:pPr>
              <w:jc w:val="right"/>
              <w:ind w:right="120"/>
              <w:spacing w:after="0" w:line="131" w:lineRule="exact"/>
              <w:rPr>
                <w:sz w:val="20"/>
                <w:szCs w:val="20"/>
                <w:color w:val="auto"/>
              </w:rPr>
            </w:pPr>
            <w:r>
              <w:rPr>
                <w:rFonts w:ascii="Arial" w:cs="Arial" w:eastAsia="Arial" w:hAnsi="Arial"/>
                <w:sz w:val="13"/>
                <w:szCs w:val="13"/>
                <w:color w:val="auto"/>
              </w:rPr>
              <w:t>63,000</w:t>
            </w:r>
          </w:p>
        </w:tc>
        <w:tc>
          <w:tcPr>
            <w:tcW w:w="1240" w:type="dxa"/>
            <w:vAlign w:val="bottom"/>
            <w:tcBorders>
              <w:top w:val="single" w:sz="8" w:color="CCEEFF"/>
            </w:tcBorders>
          </w:tcPr>
          <w:p>
            <w:pPr>
              <w:spacing w:after="0" w:line="131" w:lineRule="exact"/>
              <w:rPr>
                <w:sz w:val="20"/>
                <w:szCs w:val="20"/>
                <w:color w:val="auto"/>
              </w:rPr>
            </w:pPr>
            <w:r>
              <w:rPr>
                <w:rFonts w:ascii="Arial" w:cs="Arial" w:eastAsia="Arial" w:hAnsi="Arial"/>
                <w:sz w:val="13"/>
                <w:szCs w:val="13"/>
                <w:color w:val="auto"/>
              </w:rPr>
              <w:t>Shaw’s Supermarket</w:t>
            </w:r>
          </w:p>
        </w:tc>
        <w:tc>
          <w:tcPr>
            <w:tcW w:w="1540" w:type="dxa"/>
            <w:vAlign w:val="bottom"/>
            <w:tcBorders>
              <w:top w:val="single" w:sz="8" w:color="CCEEFF"/>
            </w:tcBorders>
            <w:gridSpan w:val="2"/>
          </w:tcPr>
          <w:p>
            <w:pPr>
              <w:ind w:left="140"/>
              <w:spacing w:after="0" w:line="131" w:lineRule="exact"/>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spacing w:after="0" w:line="148" w:lineRule="exact"/>
              <w:rPr>
                <w:sz w:val="20"/>
                <w:szCs w:val="20"/>
                <w:color w:val="auto"/>
              </w:rPr>
            </w:pPr>
            <w:r>
              <w:rPr>
                <w:rFonts w:ascii="Arial" w:cs="Arial" w:eastAsia="Arial" w:hAnsi="Arial"/>
                <w:sz w:val="13"/>
                <w:szCs w:val="13"/>
                <w:color w:val="auto"/>
              </w:rPr>
              <w:t>Lawrence-Lowell-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Brockton, MA</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Campus Plaza</w:t>
            </w: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Boston-Worcester-</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2004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21,929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11,000</w:t>
            </w:r>
          </w:p>
        </w:tc>
        <w:tc>
          <w:tcPr>
            <w:tcW w:w="7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117,000</w:t>
            </w: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99%</w:t>
            </w:r>
          </w:p>
        </w:tc>
        <w:tc>
          <w:tcPr>
            <w:tcW w:w="9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11.37</w:t>
            </w:r>
          </w:p>
        </w:tc>
        <w:tc>
          <w:tcPr>
            <w:tcW w:w="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46,000</w:t>
            </w: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Roche Brothers</w:t>
            </w:r>
          </w:p>
        </w:tc>
        <w:tc>
          <w:tcPr>
            <w:tcW w:w="1540" w:type="dxa"/>
            <w:vAlign w:val="bottom"/>
            <w:gridSpan w:val="2"/>
            <w:shd w:val="clear" w:color="auto" w:fill="CCEEFF"/>
          </w:tcPr>
          <w:p>
            <w:pPr>
              <w:ind w:left="140"/>
              <w:spacing w:after="0" w:line="138" w:lineRule="exact"/>
              <w:rPr>
                <w:sz w:val="20"/>
                <w:szCs w:val="20"/>
                <w:color w:val="auto"/>
              </w:rPr>
            </w:pPr>
            <w:r>
              <w:rPr>
                <w:rFonts w:ascii="Arial" w:cs="Arial" w:eastAsia="Arial" w:hAnsi="Arial"/>
                <w:sz w:val="13"/>
                <w:szCs w:val="13"/>
                <w:color w:val="auto"/>
              </w:rPr>
              <w:t>Burlington Coat Factory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Lawrence-Lowell-</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Brockton, MA</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gridSpan w:val="3"/>
          </w:tcPr>
          <w:p>
            <w:pPr>
              <w:spacing w:after="0" w:line="138" w:lineRule="exact"/>
              <w:rPr>
                <w:sz w:val="20"/>
                <w:szCs w:val="20"/>
                <w:color w:val="auto"/>
              </w:rPr>
            </w:pPr>
            <w:r>
              <w:rPr>
                <w:rFonts w:ascii="Arial" w:cs="Arial" w:eastAsia="Arial" w:hAnsi="Arial"/>
                <w:sz w:val="13"/>
                <w:szCs w:val="13"/>
                <w:color w:val="auto"/>
                <w:w w:val="98"/>
              </w:rPr>
              <w:t>Pleasant Shops</w:t>
            </w:r>
          </w:p>
        </w:tc>
        <w:tc>
          <w:tcPr>
            <w:tcW w:w="140" w:type="dxa"/>
            <w:vAlign w:val="bottom"/>
          </w:tcPr>
          <w:p>
            <w:pPr>
              <w:spacing w:after="0"/>
              <w:rPr>
                <w:sz w:val="11"/>
                <w:szCs w:val="11"/>
                <w:color w:val="auto"/>
              </w:rPr>
            </w:pPr>
          </w:p>
        </w:tc>
        <w:tc>
          <w:tcPr>
            <w:tcW w:w="1180" w:type="dxa"/>
            <w:vAlign w:val="bottom"/>
            <w:gridSpan w:val="2"/>
          </w:tcPr>
          <w:p>
            <w:pPr>
              <w:spacing w:after="0" w:line="138" w:lineRule="exact"/>
              <w:rPr>
                <w:sz w:val="20"/>
                <w:szCs w:val="20"/>
                <w:color w:val="auto"/>
              </w:rPr>
            </w:pPr>
            <w:r>
              <w:rPr>
                <w:rFonts w:ascii="Arial" w:cs="Arial" w:eastAsia="Arial" w:hAnsi="Arial"/>
                <w:sz w:val="13"/>
                <w:szCs w:val="13"/>
                <w:color w:val="auto"/>
              </w:rPr>
              <w:t>Boston-Worcester-</w:t>
            </w:r>
          </w:p>
        </w:tc>
        <w:tc>
          <w:tcPr>
            <w:tcW w:w="80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2004</w:t>
            </w: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22,621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12,400</w:t>
            </w:r>
          </w:p>
        </w:tc>
        <w:tc>
          <w:tcPr>
            <w:tcW w:w="72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130,000</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97%</w:t>
            </w:r>
          </w:p>
        </w:tc>
        <w:tc>
          <w:tcPr>
            <w:tcW w:w="9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97%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11.40</w:t>
            </w:r>
          </w:p>
        </w:tc>
        <w:tc>
          <w:tcPr>
            <w:tcW w:w="6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38,000</w:t>
            </w:r>
          </w:p>
        </w:tc>
        <w:tc>
          <w:tcPr>
            <w:tcW w:w="1240" w:type="dxa"/>
            <w:vAlign w:val="bottom"/>
          </w:tcPr>
          <w:p>
            <w:pPr>
              <w:spacing w:after="0" w:line="138" w:lineRule="exact"/>
              <w:rPr>
                <w:sz w:val="20"/>
                <w:szCs w:val="20"/>
                <w:color w:val="auto"/>
              </w:rPr>
            </w:pPr>
            <w:r>
              <w:rPr>
                <w:rFonts w:ascii="Arial" w:cs="Arial" w:eastAsia="Arial" w:hAnsi="Arial"/>
                <w:sz w:val="13"/>
                <w:szCs w:val="13"/>
                <w:color w:val="auto"/>
              </w:rPr>
              <w:t>Foodmaster</w:t>
            </w:r>
          </w:p>
        </w:tc>
        <w:tc>
          <w:tcPr>
            <w:tcW w:w="1540" w:type="dxa"/>
            <w:vAlign w:val="bottom"/>
            <w:gridSpan w:val="2"/>
          </w:tcPr>
          <w:p>
            <w:pPr>
              <w:ind w:left="140"/>
              <w:spacing w:after="0" w:line="138"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spacing w:after="0" w:line="148" w:lineRule="exact"/>
              <w:rPr>
                <w:sz w:val="20"/>
                <w:szCs w:val="20"/>
                <w:color w:val="auto"/>
              </w:rPr>
            </w:pPr>
            <w:r>
              <w:rPr>
                <w:rFonts w:ascii="Arial" w:cs="Arial" w:eastAsia="Arial" w:hAnsi="Arial"/>
                <w:sz w:val="13"/>
                <w:szCs w:val="13"/>
                <w:color w:val="auto"/>
              </w:rPr>
              <w:t>Lawrence-Lowell-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Brockton, MA</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w w:val="99"/>
              </w:rPr>
              <w:t>Total New England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60,867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370,000</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11.75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Total East Region</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81,650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466,000</w:t>
            </w:r>
          </w:p>
        </w:tc>
        <w:tc>
          <w:tcPr>
            <w:tcW w:w="1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98%</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12.73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9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Grand Totals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81,650</w:t>
            </w: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47,225</w:t>
            </w:r>
          </w:p>
        </w:tc>
        <w:tc>
          <w:tcPr>
            <w:tcW w:w="7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466,000</w:t>
            </w:r>
          </w:p>
        </w:tc>
        <w:tc>
          <w:tcPr>
            <w:tcW w:w="8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98%</w:t>
            </w:r>
          </w:p>
        </w:tc>
        <w:tc>
          <w:tcPr>
            <w:tcW w:w="220" w:type="dxa"/>
            <w:vAlign w:val="bottom"/>
            <w:gridSpan w:val="2"/>
            <w:shd w:val="clear" w:color="auto" w:fill="CCEEFF"/>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12.73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420"/>
          </w:cols>
          <w:pgMar w:left="240" w:top="273"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210"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7940"/>
                    </a:xfrm>
                    <a:prstGeom prst="rect">
                      <a:avLst/>
                    </a:prstGeom>
                    <a:noFill/>
                  </pic:spPr>
                </pic:pic>
              </a:graphicData>
            </a:graphic>
          </wp:anchor>
        </w:drawing>
        <w:t>Glossary of Terms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 Adjusted EBITDA is a non-GAAP measure that means net income or loss plus interest expense, income taxes, depreciation and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adjusted for gain or loss on sale of assets, impairment provisions and non-recurring items.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months ended March 31, 2006 and 2005 is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6"/>
              </w:rPr>
              <w:t>For the Three Months</w:t>
            </w:r>
          </w:p>
        </w:tc>
      </w:t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6"/>
              </w:rPr>
              <w:t>Ended March 31,</w:t>
            </w:r>
          </w:p>
        </w:tc>
      </w:tr>
      <w:tr>
        <w:trPr>
          <w:trHeight w:val="129"/>
        </w:trPr>
        <w:tc>
          <w:tcPr>
            <w:tcW w:w="2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6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1"/>
              </w:rPr>
              <w:t>(in thousands)</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2006</w:t>
            </w:r>
          </w:p>
        </w:tc>
        <w:tc>
          <w:tcPr>
            <w:tcW w:w="440" w:type="dxa"/>
            <w:vAlign w:val="bottom"/>
          </w:tcPr>
          <w:p>
            <w:pPr>
              <w:spacing w:after="0"/>
              <w:rPr>
                <w:sz w:val="13"/>
                <w:szCs w:val="13"/>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$31,031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$23,997</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80" w:type="dxa"/>
            <w:vAlign w:val="bottom"/>
          </w:tcPr>
          <w:p>
            <w:pPr>
              <w:jc w:val="right"/>
              <w:spacing w:after="0"/>
              <w:rPr>
                <w:sz w:val="20"/>
                <w:szCs w:val="20"/>
                <w:color w:val="auto"/>
              </w:rPr>
            </w:pPr>
            <w:r>
              <w:rPr>
                <w:rFonts w:ascii="Arial" w:cs="Arial" w:eastAsia="Arial" w:hAnsi="Arial"/>
                <w:sz w:val="17"/>
                <w:szCs w:val="17"/>
                <w:color w:val="auto"/>
              </w:rPr>
              <w:t>24,037</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22,595</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Other interest income</w:t>
            </w: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(276)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(392)</w:t>
            </w: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79,072</w:t>
            </w: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68,263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020" w:type="dxa"/>
            <w:vAlign w:val="bottom"/>
            <w:gridSpan w:val="2"/>
          </w:tcPr>
          <w:p>
            <w:pPr>
              <w:jc w:val="right"/>
              <w:ind w:right="380"/>
              <w:spacing w:after="0"/>
              <w:rPr>
                <w:sz w:val="20"/>
                <w:szCs w:val="20"/>
                <w:color w:val="auto"/>
              </w:rPr>
            </w:pPr>
            <w:r>
              <w:rPr>
                <w:rFonts w:ascii="Arial" w:cs="Arial" w:eastAsia="Arial" w:hAnsi="Arial"/>
                <w:sz w:val="17"/>
                <w:szCs w:val="17"/>
                <w:color w:val="auto"/>
              </w:rPr>
              <w:t>(8,737)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(4,282)</w:t>
            </w: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70,335</w:t>
            </w: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63,981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520"/>
        <w:spacing w:after="0" w:line="304"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results from discontinued operations.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8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w:t>
      </w:r>
      <w:r>
        <w:rPr>
          <w:rFonts w:ascii="Arial" w:cs="Arial" w:eastAsia="Arial" w:hAnsi="Arial"/>
          <w:sz w:val="17"/>
          <w:szCs w:val="17"/>
          <w:b w:val="1"/>
          <w:bCs w:val="1"/>
          <w:color w:val="auto"/>
        </w:rPr>
        <w:t xml:space="preserve"> </w:t>
      </w:r>
      <w:r>
        <w:rPr>
          <w:rFonts w:ascii="Arial" w:cs="Arial" w:eastAsia="Arial" w:hAnsi="Arial"/>
          <w:sz w:val="17"/>
          <w:szCs w:val="17"/>
          <w:color w:val="auto"/>
        </w:rPr>
        <w:t>being compared, excludes properties that were redeveloped, expanded or under development and properties purchased or sold at any time during the periods being compared.</w:t>
      </w:r>
    </w:p>
    <w:p>
      <w:pPr>
        <w:spacing w:after="0" w:line="11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Tenant Improvements and Incentives</w:t>
      </w:r>
      <w:r>
        <w:rPr>
          <w:rFonts w:ascii="Arial" w:cs="Arial" w:eastAsia="Arial" w:hAnsi="Arial"/>
          <w:sz w:val="17"/>
          <w:szCs w:val="17"/>
          <w:color w:val="auto"/>
        </w:rPr>
        <w:t>: 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sectPr>
      <w:pgSz w:w="11900" w:h="16838" w:orient="portrait"/>
      <w:cols w:equalWidth="0" w:num="1">
        <w:col w:w="11420"/>
      </w:cols>
      <w:pgMar w:left="240" w:top="2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3"/>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13"/>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lvl w:ilvl="1">
      <w:lvlJc w:val="left"/>
      <w:lvlText w:val="\endash "/>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endash "/>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9"/>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lvl w:ilvl="1">
      <w:lvlJc w:val="left"/>
      <w:lvlText w:val="(%2)"/>
      <w:numFmt w:val="decimal"/>
      <w:start w:val="9"/>
    </w:lvl>
  </w:abstractNum>
  <w:abstractNum w:abstractNumId="26">
    <w:nsid w:val="2CA88611"/>
    <w:multiLevelType w:val="hybridMultilevel"/>
    <w:lvl w:ilvl="0">
      <w:lvlJc w:val="left"/>
      <w:lvlText w:val="(%1)"/>
      <w:numFmt w:val="decimal"/>
      <w:start w:val="1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2019-12-13T00:53:54Z</dcterms:created>
  <dcterms:modified xsi:type="dcterms:W3CDTF">2019-12-13T00:53:54Z</dcterms:modified>
</cp:coreProperties>
</file>