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2014</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10, 2015, Federal Realty Investment Trust issued supplemental data pertaining to its operations, as well as a press release, to report its financial results for the quarter ended December 31, 2014.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2014 (including press release dated February 10, 2015)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10, 2015</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2014</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Year End 2014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6">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Significant Acquisitions and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9"/>
              </w:rPr>
              <w:t>Brittany Schmelz</w:t>
            </w:r>
          </w:p>
        </w:tc>
        <w:tc>
          <w:tcPr>
            <w:tcW w:w="47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2320" w:type="dxa"/>
            <w:vAlign w:val="bottom"/>
            <w:gridSpan w:val="2"/>
          </w:tcPr>
          <w:p>
            <w:pPr>
              <w:spacing w:after="0"/>
              <w:rPr>
                <w:sz w:val="20"/>
                <w:szCs w:val="20"/>
                <w:color w:val="auto"/>
              </w:rPr>
            </w:pPr>
            <w:r>
              <w:rPr>
                <w:rFonts w:ascii="Arial" w:cs="Arial" w:eastAsia="Arial" w:hAnsi="Arial"/>
                <w:sz w:val="18"/>
                <w:szCs w:val="18"/>
                <w:color w:val="auto"/>
              </w:rPr>
              <w:t>Director, Marketing</w:t>
            </w:r>
          </w:p>
        </w:tc>
      </w:tr>
      <w:tr>
        <w:trPr>
          <w:trHeight w:val="257"/>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301/998-8265</w:t>
            </w:r>
          </w:p>
        </w:tc>
        <w:tc>
          <w:tcPr>
            <w:tcW w:w="476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bschmelz@federalrealty.com</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FOURTH QUARTER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YEAR-END 2014 OPERATING RESULTS</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ROCKVILLE, Md. (February 10, 2015) - Federal Realty Investment Trust (NYSE:FRT) today reported operating results for its fourth quarter and year-ended December 31,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generated funds from operations available for common shareholders (FFO) of $77.7 million, or $1.13 per diluted share for fourth quarter 2014, which was negatively impacted by a charge for early extinguishment of debt. Without the charges for early extinguishment of debt in 2014 and 2013, FFO would have been $88.2 million or $1.28 per diluted share; this compares to $78.2 million, or $1.18 per diluted share, in fourth quarter 2013. For the year ending December 31, 2014, Federal Realty reported FFO of $327.6 million, or $4.79 per diluted share, which includes the early extinguishment of debt. Excluding the early extinguishment of debt charges in both years, FFO would have been $338.1 million, or $4.94 per diluted share in 2014, compared to $303.2 million, or $4.61 per diluted share in 2013.</w:t>
      </w:r>
    </w:p>
    <w:p>
      <w:pPr>
        <w:spacing w:after="0" w:line="30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$35.0 million and earnings per diluted share was $0.51 for fourth quarter 2014 versus $28.3 million and $0.42, respectively, for fourth quarter 2013. For the year ending December 31, 2014, Federal Realty reported net income available for common shareholders of $164.0 million and earnings per diluted share of $2.41. This compares to net income available for shareholders of $162.1 million and earnings per diluted share of $2.46 for the year ending December 31, 2013.</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 in addition to Form 8-K that was filed.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Same-center property operating income in 2014 increased 4.1% including redevelopments and expansions, and 3.3% excluding redevelopments and expansions compared to 2013. On a quarterly-basis, same-center property operating income in fourth quarter 2014 increased 4.5% including redevelopment and expansion properties, and 3.0% excluding redevelopment and expansion properties, compared to fourth quarter 2013.</w:t>
      </w:r>
    </w:p>
    <w:p>
      <w:pPr>
        <w:spacing w:after="0" w:line="20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95.6% leased as of December 31, 2014, compared to 95.6% on September 30, 2014 and 95.8% on December 31, 2013. Federal Realty’s same-center portfolio was 95.8% leased on December 31, 2014, compared to 95.9% on September 30, 2014 and 95.8% on December 31, 2013.</w:t>
      </w:r>
    </w:p>
    <w:p>
      <w:pPr>
        <w:spacing w:after="0" w:line="18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fourth quarter 2014, the Trust signed 83 leases for 343,896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306,860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20%. The average contractual rent on this comparable space for the first year of the new lease is $33.27 per square foot compared to the average contractual rent of $27.76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32% for fourth quarter 2014.</w:t>
      </w:r>
    </w:p>
    <w:p>
      <w:pPr>
        <w:spacing w:after="0" w:line="205"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all of 2014, Federal Realty signed 340 leases representing 1.5 million square feet of comparable retail space at an average cash-basis contractual rent increase per square foot of 16%, and 29% on a GAAP-basis. The average cash-basis contractual rent on this comparable space for the first year of the new lease is $34.12 per square foot compared to the average cash-basis contractual rent of $29.34 per square foot for the last year of the prior lease. As of December 31, 2014, Federal Realty’s average contractual minimum rent for retail and commercial space in its portfolio is $25.59 per square foot, as compared to $24.54 per square foot on December 31, 2013.</w:t>
      </w:r>
    </w:p>
    <w:p>
      <w:pPr>
        <w:spacing w:after="0" w:line="298"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“Our bottom line results for the year represent yet another record for the Trust,” commented Donald C. Wood, President and Chief Executive Officer of Federal Realty Investment Trust. “Importantly, we achieved these results while continuing to execute our long term business plan through successfully delivering the initial phases of Pike &amp; Rose and Assembly Row, executing and expanding our redevelopment pipeline, acquiring strategic assets such as San Antonio Center, and capitalizing our balance sheet for the long term. We are pleased with the value creation we are delivering today and how our balanced business plan enhances our prospects for continued growth and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right="1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November 14, 2014 - Federal Realty issued $250 million aggregate principal amount of 4.50% senior unsecured notes due December 1, 2044.</w:t>
      </w:r>
    </w:p>
    <w:p>
      <w:pPr>
        <w:spacing w:after="0" w:line="14" w:lineRule="exact"/>
        <w:rPr>
          <w:rFonts w:ascii="Arial" w:cs="Arial" w:eastAsia="Arial" w:hAnsi="Arial"/>
          <w:sz w:val="18"/>
          <w:szCs w:val="18"/>
          <w:color w:val="auto"/>
        </w:rPr>
      </w:pPr>
    </w:p>
    <w:p>
      <w:pPr>
        <w:ind w:left="660" w:right="320" w:hanging="328"/>
        <w:spacing w:after="0" w:line="3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16, 2014 - In December 2014, Federal Realty redeemed its 5.65% senior unsecured notes due 2016 for an aggregate principal of $125 million and also repaid its $61 million mortgage loan on East Bay Bridge due 2016. The total prepayment premium incurred in the fourth quarter 2014 was $10.5 million.</w:t>
      </w:r>
    </w:p>
    <w:p>
      <w:pPr>
        <w:spacing w:after="0" w:line="15" w:lineRule="exact"/>
        <w:rPr>
          <w:rFonts w:ascii="Arial" w:cs="Arial" w:eastAsia="Arial" w:hAnsi="Arial"/>
          <w:sz w:val="18"/>
          <w:szCs w:val="18"/>
          <w:color w:val="auto"/>
        </w:rPr>
      </w:pPr>
    </w:p>
    <w:p>
      <w:pPr>
        <w:ind w:left="660" w:hanging="328"/>
        <w:spacing w:after="0" w:line="3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January 12, 2015 - Federal Realty announced the acquisition of a controlling interest in a 376,000-square-foot shopping center in Mountain View, California, based on a total value of $62.2 million. San Antonio Shopping Center is located immediately southeast of the intersection of El Camino Real and San Antonio Road - two major and important thoroughfares serving the Bay Area’s affluent, tech and academic driven communities of Mountain View, Palo Alto and Los Altos. The acquisition was made using a combination of approximately 58,000 downREIT units, $27 million of cash ($18 million in one closing and $9 million in a second) and the assumption of $18.7 million of fixed rate debt secured by the property. Federal incurred approximately $1.5 million of transaction related costs associated with the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$0.87 per share on its common shares, resulting in an indicated annual rate of $3.48 per share. The regular common dividend will be payable on April 15, 2015 to common shareholders of record on March 20,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maintained our 2015 guidance for FFO per diluted share of $5.26 to $5.34, and earnings per diluted share of $2.86 to $2.94.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year-end 2014 earnings conference call, which is scheduled for February 11, 2015, at 11 a.m. Eastern Standard Time. To participate, please call (877) 445-3230 five to ten minutes prior to the call start time and use the passcode 50846004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February 18, 2015, by dialing (855) 859-2056 and using the passcode 50846004.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89 properties include over 2,600 tenants, in approximately 20.2 million square feet of retail space, and 1,500 residential units.</w:t>
      </w:r>
    </w:p>
    <w:p>
      <w:pPr>
        <w:spacing w:after="0" w:line="29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47 consecutive years, the longest record in the REIT industry. Federal Realty shares are traded on the NYSE under the symbol FRT. For additional information about Federal Realty and its properties, visit www.FederalRealty.com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24"/>
                <w:szCs w:val="24"/>
                <w:color w:val="auto"/>
              </w:rPr>
            </w:pPr>
          </w:p>
        </w:tc>
      </w:tr>
      <w:tr>
        <w:trPr>
          <w:trHeight w:val="250"/>
        </w:trPr>
        <w:tc>
          <w:tcPr>
            <w:tcW w:w="5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171,634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159,953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666,322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620,089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5,155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637,413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118,695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18,268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76,506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71,759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41,213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160,828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383,252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63,470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271,037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254,161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(104,977)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23,861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167,888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162,614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37,279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29,603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172,289</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167,608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162,681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35,027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28,321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163,994</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162,140</w:t>
            </w:r>
          </w:p>
        </w:tc>
      </w:tr>
      <w:tr>
        <w:trPr>
          <w:trHeight w:val="271"/>
        </w:trPr>
        <w:tc>
          <w:tcPr>
            <w:tcW w:w="5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43"/>
        </w:trPr>
        <w:tc>
          <w:tcPr>
            <w:tcW w:w="5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67,997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65,965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67,322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65,331</w:t>
            </w:r>
          </w:p>
        </w:tc>
      </w:tr>
      <w:tr>
        <w:trPr>
          <w:trHeight w:val="217"/>
        </w:trPr>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43"/>
        </w:trPr>
        <w:tc>
          <w:tcPr>
            <w:tcW w:w="5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68,179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66,113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67,492</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65,483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71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719"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$282,303 and $265,138 of consolidated variable interest 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5,128,757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480,241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5,608,998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$26,618 and $19,086 of consolidated variable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(1,350,471)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4,141,948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93,291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37,457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159,118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4,546,870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$187,632 and $202,782 of consolidated variable interest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635,345</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660,127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1,483,813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325,584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2,735,261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1,594,404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1,438,163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1,604,401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88,155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1,692,556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4,546,870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data)</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37,279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29,603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172,289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167,608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(4,927)</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(28,855)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152,505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144,873</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12,391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10,694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1,504</w:t>
            </w:r>
          </w:p>
        </w:tc>
      </w:tr>
      <w:tr>
        <w:trPr>
          <w:trHeight w:val="237"/>
        </w:trPr>
        <w:tc>
          <w:tcPr>
            <w:tcW w:w="40" w:type="dxa"/>
            <w:vAlign w:val="bottom"/>
          </w:tcPr>
          <w:p>
            <w:pPr>
              <w:spacing w:after="0"/>
              <w:rPr>
                <w:sz w:val="20"/>
                <w:szCs w:val="20"/>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77,428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68,590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326,585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2"/>
              </w:rPr>
              <w:t>290,897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888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w:t>
            </w:r>
          </w:p>
        </w:tc>
      </w:tr>
      <w:tr>
        <w:trPr>
          <w:trHeight w:val="237"/>
        </w:trPr>
        <w:tc>
          <w:tcPr>
            <w:tcW w:w="40" w:type="dxa"/>
            <w:vAlign w:val="bottom"/>
          </w:tcPr>
          <w:p>
            <w:pPr>
              <w:spacing w:after="0"/>
              <w:rPr>
                <w:sz w:val="20"/>
                <w:szCs w:val="20"/>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77,745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68,373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327,597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2"/>
              </w:rPr>
              <w:t>289,938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13,244</w:t>
            </w:r>
          </w:p>
        </w:tc>
      </w:tr>
      <w:tr>
        <w:trPr>
          <w:trHeight w:val="297"/>
        </w:trPr>
        <w:tc>
          <w:tcPr>
            <w:tcW w:w="40" w:type="dxa"/>
            <w:vAlign w:val="bottom"/>
            <w:tcBorders>
              <w:bottom w:val="single" w:sz="8" w:color="CCEEFF"/>
            </w:tcBorders>
          </w:tcPr>
          <w:p>
            <w:pPr>
              <w:spacing w:after="0"/>
              <w:rPr>
                <w:sz w:val="24"/>
                <w:szCs w:val="24"/>
                <w:color w:val="auto"/>
              </w:rPr>
            </w:pPr>
          </w:p>
        </w:tc>
        <w:tc>
          <w:tcPr>
            <w:tcW w:w="624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88,244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78,234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338,095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303,182</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66,399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68,410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65,778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4.41</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283,862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281,228</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6,910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28,471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27,660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312,333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308,888</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9,869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18,414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21,372</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77,086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98,037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330,747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330,260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59,684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52,025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224,190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198,965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Dividend payout ratio as a percentage of FFO excluding early extinguishment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Common shares outstanding and operating partnership units (1)</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69,523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66,987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101.41</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9,278,540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6,793,152</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Series 1 preferred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9,288,540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6,803,152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(3)</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2,409,677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2,321,862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market capitalization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11,698,217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9,125,014</w:t>
            </w: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to market capitalization</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88"/>
              </w:rPr>
              <w:t>25%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Fixed rate debt ratio:</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Fixed rate debt and capital lease obligations (4)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43"/>
        </w:trPr>
        <w:tc>
          <w:tcPr>
            <w:tcW w:w="8580" w:type="dxa"/>
            <w:vAlign w:val="bottom"/>
          </w:tcPr>
          <w:p>
            <w:pPr>
              <w:ind w:left="620"/>
              <w:spacing w:after="0"/>
              <w:rPr>
                <w:sz w:val="20"/>
                <w:szCs w:val="20"/>
                <w:color w:val="auto"/>
              </w:rPr>
            </w:pPr>
            <w:r>
              <w:rPr>
                <w:rFonts w:ascii="Arial" w:cs="Arial" w:eastAsia="Arial" w:hAnsi="Arial"/>
                <w:sz w:val="18"/>
                <w:szCs w:val="18"/>
                <w:color w:val="auto"/>
              </w:rPr>
              <w:t>Variable rate debt</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2"/>
              </w:rPr>
              <w:t>&lt;1%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51"/>
              <w:spacing w:after="0"/>
              <w:rPr>
                <w:sz w:val="20"/>
                <w:szCs w:val="20"/>
                <w:color w:val="auto"/>
              </w:rPr>
            </w:pPr>
            <w:r>
              <w:rPr>
                <w:rFonts w:ascii="Arial" w:cs="Arial" w:eastAsia="Arial" w:hAnsi="Arial"/>
                <w:sz w:val="18"/>
                <w:szCs w:val="18"/>
                <w:color w:val="auto"/>
                <w:w w:val="92"/>
              </w:rPr>
              <w:t>&lt;1%</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include 917,255 and 285,722 operating partnership units outstanding at December 31, 2014 and 2013,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240" w:hanging="652"/>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$10.3 million and $17.1 million at December 31, 2014 and 2013, respectively, which is the Trust's 30% share of the total mortgages payable, of $34.4 million and $56.9 million at December 31, 2014 and 2013, respectively, of the partnership with a discretionary fund created and advised by ING Clarion Partners.</w:t>
      </w:r>
    </w:p>
    <w:p>
      <w:pPr>
        <w:spacing w:after="0" w:line="25"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121,285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113,430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472,602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448,058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36,099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33,133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32,728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135,592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122,578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11,192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171,634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159,953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666,322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620,089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2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$1.6 million and $1.7 million for the three months ended December 31, 2014 and 2013, respectively, and $5.1 million and $5.4 million for the year ended December 31, 2014 and 2013, respectively, to recognize minimum rents on a straight-line basis. In addition, minimum rents include $0.6 million and $0.8 million for the three months ended December 31, 2014 and 2013, respectively, and $2.4 million and $3.1 million for the year ended December 31, 2014 and 2013,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rPr>
              <w:t>As of December 31, 2014</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2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Balance</w:t>
            </w:r>
          </w:p>
        </w:tc>
        <w:tc>
          <w:tcPr>
            <w:tcW w:w="34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effective rate (5)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Barracks Road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35,985</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Hauppauge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13,566</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Lawrence Park</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25,507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Wildwood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22,420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Wynnewood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25,994</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Brick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26,415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Plaza El Segundo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Grove at Shrewsbury (East)</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10/1/2017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44,519</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Grove at Shrewsbury (West)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Rollingwood Apartments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22,130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600" w:type="dxa"/>
            <w:vAlign w:val="bottom"/>
            <w:gridSpan w:val="5"/>
            <w:shd w:val="clear" w:color="auto" w:fill="CCEEFF"/>
          </w:tcPr>
          <w:p>
            <w:pPr>
              <w:ind w:left="320"/>
              <w:spacing w:after="0"/>
              <w:rPr>
                <w:sz w:val="20"/>
                <w:szCs w:val="20"/>
                <w:color w:val="auto"/>
              </w:rPr>
            </w:pPr>
            <w:r>
              <w:rPr>
                <w:rFonts w:ascii="Arial" w:cs="Arial" w:eastAsia="Arial" w:hAnsi="Arial"/>
                <w:sz w:val="16"/>
                <w:szCs w:val="16"/>
                <w:color w:val="auto"/>
              </w:rPr>
              <w:t>29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Place</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4,941</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AVENUE at White Marsh</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1/1/2022</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52,705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Montrose Crossing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75,867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Brook 35</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7/1/2029</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Chelsea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7,074</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554,865</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8,833</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mortgages payable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563,698</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381"/>
              <w:spacing w:after="0"/>
              <w:rPr>
                <w:sz w:val="20"/>
                <w:szCs w:val="20"/>
                <w:color w:val="auto"/>
              </w:rPr>
            </w:pPr>
            <w:r>
              <w:rPr>
                <w:rFonts w:ascii="Arial" w:cs="Arial" w:eastAsia="Arial" w:hAnsi="Arial"/>
                <w:sz w:val="16"/>
                <w:szCs w:val="16"/>
                <w:color w:val="auto"/>
                <w:w w:val="92"/>
              </w:rPr>
              <w:t>5.47%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Notes payable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Term Loan (2)</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11/21/2018</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+ 0.90%</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6,119</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Escondido (Municipal bonds) (3)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Revolving Credit Facility (4)</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4/21/2017</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+ 0.90%</w:t>
            </w:r>
          </w:p>
        </w:tc>
        <w:tc>
          <w:tcPr>
            <w:tcW w:w="20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notes payable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290,519</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2.96%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Senior notes and debentures</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780" w:type="dxa"/>
            <w:vAlign w:val="bottom"/>
            <w:tcBorders>
              <w:top w:val="single" w:sz="8" w:color="CCEEFF"/>
            </w:tcBorders>
          </w:tcPr>
          <w:p>
            <w:pPr>
              <w:spacing w:after="0"/>
              <w:rPr>
                <w:sz w:val="20"/>
                <w:szCs w:val="20"/>
                <w:color w:val="auto"/>
              </w:rPr>
            </w:pPr>
          </w:p>
        </w:tc>
        <w:tc>
          <w:tcPr>
            <w:tcW w:w="1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5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6.20%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5.90%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3.00%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2.75%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3.95%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4.50%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12/1/2044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1,494,200</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Net unamortized discount</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(10,387)</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1,483,813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4.46%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580" w:type="dxa"/>
            <w:vAlign w:val="bottom"/>
            <w:tcBorders>
              <w:top w:val="single" w:sz="8" w:color="auto"/>
            </w:tcBorders>
            <w:gridSpan w:val="3"/>
          </w:tcPr>
          <w:p>
            <w:pPr>
              <w:ind w:left="320"/>
              <w:spacing w:after="0"/>
              <w:rPr>
                <w:sz w:val="20"/>
                <w:szCs w:val="20"/>
                <w:color w:val="auto"/>
              </w:rPr>
            </w:pPr>
            <w:r>
              <w:rPr>
                <w:rFonts w:ascii="Arial" w:cs="Arial" w:eastAsia="Arial" w:hAnsi="Arial"/>
                <w:sz w:val="16"/>
                <w:szCs w:val="16"/>
                <w:color w:val="auto"/>
              </w:rPr>
              <w:t>Various</w:t>
            </w:r>
          </w:p>
        </w:tc>
        <w:tc>
          <w:tcPr>
            <w:tcW w:w="2020" w:type="dxa"/>
            <w:vAlign w:val="bottom"/>
            <w:tcBorders>
              <w:top w:val="single" w:sz="8" w:color="CCEEFF"/>
            </w:tcBorders>
            <w:gridSpan w:val="2"/>
          </w:tcPr>
          <w:p>
            <w:pPr>
              <w:spacing w:after="0"/>
              <w:rPr>
                <w:sz w:val="20"/>
                <w:szCs w:val="20"/>
                <w:color w:val="auto"/>
              </w:rPr>
            </w:pPr>
          </w:p>
        </w:tc>
        <w:tc>
          <w:tcPr>
            <w:tcW w:w="194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71,647</w:t>
            </w:r>
          </w:p>
        </w:tc>
        <w:tc>
          <w:tcPr>
            <w:tcW w:w="34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jc w:val="center"/>
              <w:ind w:left="381"/>
              <w:spacing w:after="0"/>
              <w:rPr>
                <w:sz w:val="20"/>
                <w:szCs w:val="20"/>
                <w:color w:val="auto"/>
              </w:rPr>
            </w:pPr>
            <w:r>
              <w:rPr>
                <w:rFonts w:ascii="Arial" w:cs="Arial" w:eastAsia="Arial" w:hAnsi="Arial"/>
                <w:sz w:val="16"/>
                <w:szCs w:val="16"/>
                <w:color w:val="auto"/>
                <w:w w:val="92"/>
              </w:rPr>
              <w:t>8.04%</w:t>
            </w: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2,409,677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2,400,277</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4.63%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&lt;1%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1.28%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4"/>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2,409,677</w:t>
            </w:r>
          </w:p>
        </w:tc>
        <w:tc>
          <w:tcPr>
            <w:tcW w:w="34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4.62%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4" w:orient="portrait"/>
          <w:cols w:equalWidth="0" w:num="1">
            <w:col w:w="11420"/>
          </w:cols>
          <w:pgMar w:left="240" w:top="747"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64" w:orient="portrait"/>
          <w:cols w:equalWidth="0" w:num="1">
            <w:col w:w="11420"/>
          </w:cols>
          <w:pgMar w:left="240" w:top="747" w:right="2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640" w:type="dxa"/>
            <w:vAlign w:val="bottom"/>
            <w:gridSpan w:val="3"/>
          </w:tcPr>
          <w:p>
            <w:pPr>
              <w:ind w:lef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6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3"/>
                <w:szCs w:val="23"/>
                <w:color w:val="auto"/>
              </w:rPr>
            </w:pP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r>
      <w:tr>
        <w:trPr>
          <w:trHeight w:val="66"/>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624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169"/>
        </w:trPr>
        <w:tc>
          <w:tcPr>
            <w:tcW w:w="7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2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r>
      <w:tr>
        <w:trPr>
          <w:trHeight w:val="224"/>
        </w:trPr>
        <w:tc>
          <w:tcPr>
            <w:tcW w:w="40" w:type="dxa"/>
            <w:vAlign w:val="bottom"/>
          </w:tcPr>
          <w:p>
            <w:pPr>
              <w:spacing w:after="0"/>
              <w:rPr>
                <w:sz w:val="19"/>
                <w:szCs w:val="19"/>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debt: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(7)(8)</w:t>
            </w:r>
          </w:p>
        </w:tc>
        <w:tc>
          <w:tcPr>
            <w:tcW w:w="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3.91</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3.48</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3.85</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3.65</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224"/>
        </w:trPr>
        <w:tc>
          <w:tcPr>
            <w:tcW w:w="40" w:type="dxa"/>
            <w:vAlign w:val="bottom"/>
          </w:tcPr>
          <w:p>
            <w:pPr>
              <w:spacing w:after="0"/>
              <w:rPr>
                <w:sz w:val="19"/>
                <w:szCs w:val="19"/>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(7)(8)</w:t>
            </w:r>
          </w:p>
        </w:tc>
        <w:tc>
          <w:tcPr>
            <w:tcW w:w="680" w:type="dxa"/>
            <w:vAlign w:val="bottom"/>
          </w:tcPr>
          <w:p>
            <w:pPr>
              <w:ind w:left="300"/>
              <w:spacing w:after="0"/>
              <w:rPr>
                <w:sz w:val="20"/>
                <w:szCs w:val="20"/>
                <w:color w:val="auto"/>
              </w:rPr>
            </w:pPr>
            <w:r>
              <w:rPr>
                <w:rFonts w:ascii="Arial" w:cs="Arial" w:eastAsia="Arial" w:hAnsi="Arial"/>
                <w:sz w:val="16"/>
                <w:szCs w:val="16"/>
                <w:color w:val="auto"/>
              </w:rPr>
              <w:t>3.91</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3.48</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3.82</w:t>
            </w:r>
          </w:p>
        </w:tc>
        <w:tc>
          <w:tcPr>
            <w:tcW w:w="320" w:type="dxa"/>
            <w:vAlign w:val="bottom"/>
          </w:tcPr>
          <w:p>
            <w:pPr>
              <w:ind w:left="4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3.41</w:t>
            </w:r>
          </w:p>
        </w:tc>
        <w:tc>
          <w:tcPr>
            <w:tcW w:w="24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debt:</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w:t>
            </w:r>
          </w:p>
        </w:tc>
        <w:tc>
          <w:tcPr>
            <w:tcW w:w="680" w:type="dxa"/>
            <w:vAlign w:val="bottom"/>
          </w:tcPr>
          <w:p>
            <w:pPr>
              <w:ind w:left="300"/>
              <w:spacing w:after="0"/>
              <w:rPr>
                <w:sz w:val="20"/>
                <w:szCs w:val="20"/>
                <w:color w:val="auto"/>
              </w:rPr>
            </w:pPr>
            <w:r>
              <w:rPr>
                <w:rFonts w:ascii="Arial" w:cs="Arial" w:eastAsia="Arial" w:hAnsi="Arial"/>
                <w:sz w:val="16"/>
                <w:szCs w:val="16"/>
                <w:color w:val="auto"/>
              </w:rPr>
              <w:t>2.88</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2.62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3.53</w:t>
            </w:r>
          </w:p>
        </w:tc>
        <w:tc>
          <w:tcPr>
            <w:tcW w:w="320" w:type="dxa"/>
            <w:vAlign w:val="bottom"/>
          </w:tcPr>
          <w:p>
            <w:pPr>
              <w:ind w:left="4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24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w:t>
            </w:r>
          </w:p>
        </w:tc>
        <w:tc>
          <w:tcPr>
            <w:tcW w:w="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2.88</w:t>
            </w: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2.62</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3.08</w:t>
            </w:r>
          </w:p>
        </w:tc>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payable do not include our 30% share ($10.3 million) of the $34.4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8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right="200" w:hanging="652"/>
        <w:spacing w:after="0" w:line="303"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maximum amount drawn under our revolving credit facility was $79.5 million for the three months and year ended December 31, 2014, and the weighted average effective interest rate on borrowings under our revolving credit facility, before amortization of debt fees, was 1.07% for the three months and year ended December 31, 2014.</w:t>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6.</w:t>
      </w:r>
    </w:p>
    <w:p>
      <w:pPr>
        <w:spacing w:after="0" w:line="55"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December 31, 2014.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costs related to the early extinguishment of debt, and the portion of rent expense representing an interest factor. EBITDA includes a gain on sale of real estate of $4.4 million and $28.9 million for the year ended December 31, 2014 and 2013, respectively. Adjusted EBITDA is reconciled to net income in the Glossary of Terms.</w:t>
      </w:r>
    </w:p>
    <w:p>
      <w:pPr>
        <w:spacing w:after="0" w:line="23" w:lineRule="exact"/>
        <w:rPr>
          <w:rFonts w:ascii="Arial" w:cs="Arial" w:eastAsia="Arial" w:hAnsi="Arial"/>
          <w:sz w:val="14"/>
          <w:szCs w:val="14"/>
          <w:color w:val="auto"/>
        </w:rPr>
      </w:pPr>
    </w:p>
    <w:p>
      <w:pPr>
        <w:ind w:left="660" w:right="60" w:hanging="652"/>
        <w:spacing w:after="0" w:line="277"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Fixed charges for the three months and year ended December 31, 2014 exclude the $10.5 million early extinguishment of debt charge related to the make-whole premium paid as part of the early redemption of our 5.65% senior notes and the prepayment premium paid as part of the early payoff of our East Bay Bridge mortgage loan. Fixed charges for the three months and year ended December 31, 2013 exclude the $9.9 million and $13.3 million, respectively, early extinguishment of debt charges related to the make-whole premiums paid as part of the early redemptions of our 5.40% and 5.95% senior notes, and the prepayment premium paid as part of the early payoff of our 7.50% mortgage loans.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1"/>
              <w:spacing w:after="0"/>
              <w:rPr>
                <w:sz w:val="20"/>
                <w:szCs w:val="20"/>
                <w:color w:val="auto"/>
              </w:rPr>
            </w:pPr>
            <w:r>
              <w:rPr>
                <w:rFonts w:ascii="Arial" w:cs="Arial" w:eastAsia="Arial" w:hAnsi="Arial"/>
                <w:sz w:val="16"/>
                <w:szCs w:val="16"/>
                <w:b w:val="1"/>
                <w:bCs w:val="1"/>
                <w:color w:val="auto"/>
                <w:w w:val="98"/>
              </w:rPr>
              <w:t>Percent of Debt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340" w:type="dxa"/>
            <w:vAlign w:val="bottom"/>
          </w:tcPr>
          <w:p>
            <w:pPr>
              <w:spacing w:after="0"/>
              <w:rPr>
                <w:sz w:val="17"/>
                <w:szCs w:val="17"/>
                <w:color w:val="auto"/>
              </w:rPr>
            </w:pPr>
          </w:p>
        </w:tc>
      </w:tr>
      <w:tr>
        <w:trPr>
          <w:trHeight w:val="210"/>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0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(3)</w:t>
            </w:r>
          </w:p>
        </w:tc>
        <w:tc>
          <w:tcPr>
            <w:tcW w:w="340" w:type="dxa"/>
            <w:vAlign w:val="bottom"/>
          </w:tcPr>
          <w:p>
            <w:pPr>
              <w:spacing w:after="0"/>
              <w:rPr>
                <w:sz w:val="18"/>
                <w:szCs w:val="18"/>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8"/>
        </w:trPr>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7,988</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145,807</w:t>
            </w:r>
          </w:p>
        </w:tc>
        <w:tc>
          <w:tcPr>
            <w:tcW w:w="6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153,795</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4,210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9,400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13,610</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4,191</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416,732</w:t>
            </w:r>
          </w:p>
        </w:tc>
        <w:tc>
          <w:tcPr>
            <w:tcW w:w="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420,923</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3,361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285,502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288,863</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36.5%</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3,166</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23,326</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3,168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153,168</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43.8%</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3,091</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6,716</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1,216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367,539</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59.3%</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330,010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331,286</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301,052</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85.5%</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20,253</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330,700</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350,953</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50"/>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52,972</w:t>
            </w:r>
          </w:p>
        </w:tc>
        <w:tc>
          <w:tcPr>
            <w:tcW w:w="3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2,358,259</w:t>
            </w:r>
          </w:p>
        </w:tc>
        <w:tc>
          <w:tcPr>
            <w:tcW w:w="34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2,411,231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w w:val="91"/>
              </w:rPr>
              <w:t>(2)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wp:posOffset>
            </wp:positionV>
            <wp:extent cx="40392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3923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0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December 31, 2014, there was no balance outstanding on our revolving credit facility.</w:t>
      </w:r>
    </w:p>
    <w:p>
      <w:pPr>
        <w:spacing w:after="0" w:line="10"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and senior notes as of December 31, 2014.</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48" w:lineRule="exact"/>
        <w:rPr>
          <w:sz w:val="20"/>
          <w:szCs w:val="20"/>
          <w:color w:val="auto"/>
        </w:rPr>
      </w:pPr>
    </w:p>
    <w:p>
      <w:pPr>
        <w:ind w:left="40" w:right="260"/>
        <w:spacing w:after="0" w:line="293" w:lineRule="auto"/>
        <w:rPr>
          <w:sz w:val="20"/>
          <w:szCs w:val="20"/>
          <w:color w:val="auto"/>
        </w:rPr>
      </w:pPr>
      <w:r>
        <w:rPr>
          <w:rFonts w:ascii="Arial" w:cs="Arial" w:eastAsia="Arial" w:hAnsi="Arial"/>
          <w:sz w:val="16"/>
          <w:szCs w:val="16"/>
          <w:b w:val="1"/>
          <w:bCs w:val="1"/>
          <w:color w:val="auto"/>
        </w:rPr>
        <w:t>The following redevelopment opportunities have received or will shortly receive all necessary approvals to proceed and are actively being worked on by the Trust (1)</w:t>
      </w:r>
    </w:p>
    <w:tbl>
      <w:tblPr>
        <w:tblLayout w:type="fixed"/>
        <w:tblInd w:w="20" w:type="dxa"/>
        <w:tblCellMar>
          <w:top w:w="0" w:type="dxa"/>
          <w:left w:w="0" w:type="dxa"/>
          <w:bottom w:w="0" w:type="dxa"/>
          <w:right w:w="0" w:type="dxa"/>
        </w:tblCellMar>
      </w:tblPr>
      <w:tr>
        <w:trPr>
          <w:trHeight w:val="150"/>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Property</w:t>
            </w: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Location</w:t>
            </w:r>
          </w:p>
        </w:tc>
        <w:tc>
          <w:tcPr>
            <w:tcW w:w="482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8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Projects Stabilized in 2014</w:t>
            </w:r>
          </w:p>
        </w:tc>
        <w:tc>
          <w:tcPr>
            <w:tcW w:w="118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Arial" w:cs="Arial" w:eastAsia="Arial" w:hAnsi="Arial"/>
                <w:sz w:val="14"/>
                <w:szCs w:val="14"/>
                <w:color w:val="auto"/>
              </w:rPr>
              <w:t>Santana Row - Lot 8B</w:t>
            </w:r>
          </w:p>
        </w:tc>
        <w:tc>
          <w:tcPr>
            <w:tcW w:w="1180" w:type="dxa"/>
            <w:vAlign w:val="bottom"/>
          </w:tcPr>
          <w:p>
            <w:pPr>
              <w:spacing w:after="0"/>
              <w:rPr>
                <w:sz w:val="20"/>
                <w:szCs w:val="20"/>
                <w:color w:val="auto"/>
              </w:rPr>
            </w:pPr>
            <w:r>
              <w:rPr>
                <w:rFonts w:ascii="Arial" w:cs="Arial" w:eastAsia="Arial" w:hAnsi="Arial"/>
                <w:sz w:val="14"/>
                <w:szCs w:val="14"/>
                <w:color w:val="auto"/>
              </w:rPr>
              <w:t>San Jose, CA</w:t>
            </w:r>
          </w:p>
        </w:tc>
        <w:tc>
          <w:tcPr>
            <w:tcW w:w="4820" w:type="dxa"/>
            <w:vAlign w:val="bottom"/>
          </w:tcPr>
          <w:p>
            <w:pPr>
              <w:ind w:left="60"/>
              <w:spacing w:after="0"/>
              <w:rPr>
                <w:sz w:val="20"/>
                <w:szCs w:val="20"/>
                <w:color w:val="auto"/>
              </w:rPr>
            </w:pPr>
            <w:r>
              <w:rPr>
                <w:rFonts w:ascii="Arial" w:cs="Arial" w:eastAsia="Arial" w:hAnsi="Arial"/>
                <w:sz w:val="14"/>
                <w:szCs w:val="14"/>
                <w:color w:val="auto"/>
                <w:w w:val="99"/>
              </w:rPr>
              <w:t>Addition of a 5-story rental apartment building, which includes 212 residential</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units and associated parking</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Blvd - Petersen</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Hollywood, CA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Redevelop/retenant building including conversion of 2nd floor parking to retail</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w:t>
            </w:r>
          </w:p>
        </w:tc>
        <w:tc>
          <w:tcPr>
            <w:tcW w:w="1180" w:type="dxa"/>
            <w:vAlign w:val="bottom"/>
            <w:shd w:val="clear" w:color="auto" w:fill="CCEEFF"/>
          </w:tcPr>
          <w:p>
            <w:pPr>
              <w:spacing w:after="0"/>
              <w:rPr>
                <w:sz w:val="16"/>
                <w:szCs w:val="16"/>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space</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line="157" w:lineRule="exact"/>
              <w:rPr>
                <w:sz w:val="20"/>
                <w:szCs w:val="20"/>
                <w:color w:val="auto"/>
              </w:rPr>
            </w:pPr>
            <w:r>
              <w:rPr>
                <w:rFonts w:ascii="Arial" w:cs="Arial" w:eastAsia="Arial" w:hAnsi="Arial"/>
                <w:sz w:val="14"/>
                <w:szCs w:val="14"/>
                <w:color w:val="auto"/>
              </w:rPr>
              <w:t>Ellisburg</w:t>
            </w:r>
          </w:p>
        </w:tc>
        <w:tc>
          <w:tcPr>
            <w:tcW w:w="1180" w:type="dxa"/>
            <w:vAlign w:val="bottom"/>
          </w:tcPr>
          <w:p>
            <w:pPr>
              <w:spacing w:after="0" w:line="157" w:lineRule="exact"/>
              <w:rPr>
                <w:sz w:val="20"/>
                <w:szCs w:val="20"/>
                <w:color w:val="auto"/>
              </w:rPr>
            </w:pPr>
            <w:r>
              <w:rPr>
                <w:rFonts w:ascii="Arial" w:cs="Arial" w:eastAsia="Arial" w:hAnsi="Arial"/>
                <w:sz w:val="14"/>
                <w:szCs w:val="14"/>
                <w:color w:val="auto"/>
              </w:rPr>
              <w:t>Cherry Hill, NJ</w:t>
            </w: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rPr>
              <w:t>Property repositioning through retenanting, including new grocer and façade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18%</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renovation</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Barracks Road</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Charlottesville, VA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11,800 square foot multi-tenant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Huntington Square</w:t>
            </w:r>
          </w:p>
        </w:tc>
        <w:tc>
          <w:tcPr>
            <w:tcW w:w="1180" w:type="dxa"/>
            <w:vAlign w:val="bottom"/>
          </w:tcPr>
          <w:p>
            <w:pPr>
              <w:spacing w:after="0"/>
              <w:rPr>
                <w:sz w:val="20"/>
                <w:szCs w:val="20"/>
                <w:color w:val="auto"/>
              </w:rPr>
            </w:pPr>
            <w:r>
              <w:rPr>
                <w:rFonts w:ascii="Arial" w:cs="Arial" w:eastAsia="Arial" w:hAnsi="Arial"/>
                <w:sz w:val="14"/>
                <w:szCs w:val="14"/>
                <w:color w:val="auto"/>
                <w:w w:val="98"/>
              </w:rPr>
              <w:t>East Northport, NY</w:t>
            </w:r>
          </w:p>
        </w:tc>
        <w:tc>
          <w:tcPr>
            <w:tcW w:w="4820" w:type="dxa"/>
            <w:vAlign w:val="bottom"/>
          </w:tcPr>
          <w:p>
            <w:pPr>
              <w:ind w:left="60"/>
              <w:spacing w:after="0"/>
              <w:rPr>
                <w:sz w:val="20"/>
                <w:szCs w:val="20"/>
                <w:color w:val="auto"/>
              </w:rPr>
            </w:pPr>
            <w:r>
              <w:rPr>
                <w:rFonts w:ascii="Arial" w:cs="Arial" w:eastAsia="Arial" w:hAnsi="Arial"/>
                <w:sz w:val="14"/>
                <w:szCs w:val="14"/>
                <w:color w:val="auto"/>
              </w:rPr>
              <w:t>Infrastructure investment to create additional restaurant capacity</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80"/>
        </w:trPr>
        <w:tc>
          <w:tcPr>
            <w:tcW w:w="3140" w:type="dxa"/>
            <w:vAlign w:val="bottom"/>
            <w:tcBorders>
              <w:bottom w:val="single" w:sz="8" w:color="CCEEFF"/>
            </w:tcBorders>
            <w:gridSpan w:val="2"/>
          </w:tcPr>
          <w:p>
            <w:pPr>
              <w:spacing w:after="0"/>
              <w:rPr>
                <w:sz w:val="6"/>
                <w:szCs w:val="6"/>
                <w:color w:val="auto"/>
              </w:rPr>
            </w:pPr>
          </w:p>
        </w:tc>
        <w:tc>
          <w:tcPr>
            <w:tcW w:w="48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Projects Stabilized in 2014 (3) (4)</w:t>
            </w:r>
          </w:p>
        </w:tc>
        <w:tc>
          <w:tcPr>
            <w:tcW w:w="48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Active Redevelopment Projects</w:t>
            </w:r>
          </w:p>
        </w:tc>
        <w:tc>
          <w:tcPr>
            <w:tcW w:w="1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9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Arial" w:cs="Arial" w:eastAsia="Arial" w:hAnsi="Arial"/>
                <w:sz w:val="14"/>
                <w:szCs w:val="14"/>
                <w:color w:val="auto"/>
              </w:rPr>
              <w:t>Santana Row - Lot 11</w:t>
            </w:r>
          </w:p>
        </w:tc>
        <w:tc>
          <w:tcPr>
            <w:tcW w:w="1180" w:type="dxa"/>
            <w:vAlign w:val="bottom"/>
          </w:tcPr>
          <w:p>
            <w:pPr>
              <w:spacing w:after="0"/>
              <w:rPr>
                <w:sz w:val="20"/>
                <w:szCs w:val="20"/>
                <w:color w:val="auto"/>
              </w:rPr>
            </w:pPr>
            <w:r>
              <w:rPr>
                <w:rFonts w:ascii="Arial" w:cs="Arial" w:eastAsia="Arial" w:hAnsi="Arial"/>
                <w:sz w:val="14"/>
                <w:szCs w:val="14"/>
                <w:color w:val="auto"/>
              </w:rPr>
              <w:t>San Jose, CA</w:t>
            </w:r>
          </w:p>
        </w:tc>
        <w:tc>
          <w:tcPr>
            <w:tcW w:w="4820" w:type="dxa"/>
            <w:vAlign w:val="bottom"/>
          </w:tcPr>
          <w:p>
            <w:pPr>
              <w:ind w:left="60"/>
              <w:spacing w:after="0"/>
              <w:rPr>
                <w:sz w:val="20"/>
                <w:szCs w:val="20"/>
                <w:color w:val="auto"/>
              </w:rPr>
            </w:pPr>
            <w:r>
              <w:rPr>
                <w:rFonts w:ascii="Arial" w:cs="Arial" w:eastAsia="Arial" w:hAnsi="Arial"/>
                <w:sz w:val="14"/>
                <w:szCs w:val="14"/>
                <w:color w:val="auto"/>
              </w:rPr>
              <w:t>Addition of 6-story building with 225,500 square feet of office space, 1,500</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7.5% -</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$110 -</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square feet of retail space, and 670 parking spaces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Point</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El Segundo, CA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Addition of 90,000 square feet of retail, and 25,000 square feet of office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2015/2016</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Westgate Center</w:t>
            </w:r>
          </w:p>
        </w:tc>
        <w:tc>
          <w:tcPr>
            <w:tcW w:w="1180" w:type="dxa"/>
            <w:vAlign w:val="bottom"/>
          </w:tcPr>
          <w:p>
            <w:pPr>
              <w:spacing w:after="0"/>
              <w:rPr>
                <w:sz w:val="20"/>
                <w:szCs w:val="20"/>
                <w:color w:val="auto"/>
              </w:rPr>
            </w:pPr>
            <w:r>
              <w:rPr>
                <w:rFonts w:ascii="Arial" w:cs="Arial" w:eastAsia="Arial" w:hAnsi="Arial"/>
                <w:sz w:val="14"/>
                <w:szCs w:val="14"/>
                <w:color w:val="auto"/>
              </w:rPr>
              <w:t>San Jose, CA</w:t>
            </w:r>
          </w:p>
        </w:tc>
        <w:tc>
          <w:tcPr>
            <w:tcW w:w="4820" w:type="dxa"/>
            <w:vAlign w:val="bottom"/>
          </w:tcPr>
          <w:p>
            <w:pPr>
              <w:ind w:left="6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2014/2015</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Tower Shops</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Davie, FL</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Congressional Plaza</w:t>
            </w:r>
          </w:p>
        </w:tc>
        <w:tc>
          <w:tcPr>
            <w:tcW w:w="1180" w:type="dxa"/>
            <w:vAlign w:val="bottom"/>
          </w:tcPr>
          <w:p>
            <w:pPr>
              <w:spacing w:after="0"/>
              <w:rPr>
                <w:sz w:val="20"/>
                <w:szCs w:val="20"/>
                <w:color w:val="auto"/>
              </w:rPr>
            </w:pPr>
            <w:r>
              <w:rPr>
                <w:rFonts w:ascii="Arial" w:cs="Arial" w:eastAsia="Arial" w:hAnsi="Arial"/>
                <w:sz w:val="14"/>
                <w:szCs w:val="14"/>
                <w:color w:val="auto"/>
              </w:rPr>
              <w:t>Rockville, MD</w:t>
            </w:r>
          </w:p>
        </w:tc>
        <w:tc>
          <w:tcPr>
            <w:tcW w:w="4820" w:type="dxa"/>
            <w:vAlign w:val="bottom"/>
          </w:tcPr>
          <w:p>
            <w:pPr>
              <w:ind w:left="60"/>
              <w:spacing w:after="0"/>
              <w:rPr>
                <w:sz w:val="20"/>
                <w:szCs w:val="20"/>
                <w:color w:val="auto"/>
              </w:rPr>
            </w:pPr>
            <w:r>
              <w:rPr>
                <w:rFonts w:ascii="Arial" w:cs="Arial" w:eastAsia="Arial" w:hAnsi="Arial"/>
                <w:sz w:val="14"/>
                <w:szCs w:val="14"/>
                <w:color w:val="auto"/>
              </w:rPr>
              <w:t>New 48 unit rental apartment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Willow Lawn</w:t>
            </w:r>
          </w:p>
        </w:tc>
        <w:tc>
          <w:tcPr>
            <w:tcW w:w="1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Richmond, VA</w:t>
            </w:r>
          </w:p>
        </w:tc>
        <w:tc>
          <w:tcPr>
            <w:tcW w:w="48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7"/>
              </w:rPr>
              <w:t>Demo interior mall, relocate mall tenants, construct new exterior GLA, and gas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$13</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2014/2015</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station</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line="157" w:lineRule="exact"/>
              <w:rPr>
                <w:sz w:val="20"/>
                <w:szCs w:val="20"/>
                <w:color w:val="auto"/>
              </w:rPr>
            </w:pPr>
            <w:r>
              <w:rPr>
                <w:rFonts w:ascii="Arial" w:cs="Arial" w:eastAsia="Arial" w:hAnsi="Arial"/>
                <w:sz w:val="14"/>
                <w:szCs w:val="14"/>
                <w:color w:val="auto"/>
              </w:rPr>
              <w:t>Mercer Mall</w:t>
            </w:r>
          </w:p>
        </w:tc>
        <w:tc>
          <w:tcPr>
            <w:tcW w:w="1180" w:type="dxa"/>
            <w:vAlign w:val="bottom"/>
          </w:tcPr>
          <w:p>
            <w:pPr>
              <w:spacing w:after="0" w:line="157" w:lineRule="exact"/>
              <w:rPr>
                <w:sz w:val="20"/>
                <w:szCs w:val="20"/>
                <w:color w:val="auto"/>
              </w:rPr>
            </w:pPr>
            <w:r>
              <w:rPr>
                <w:rFonts w:ascii="Arial" w:cs="Arial" w:eastAsia="Arial" w:hAnsi="Arial"/>
                <w:sz w:val="14"/>
                <w:szCs w:val="14"/>
                <w:color w:val="auto"/>
              </w:rPr>
              <w:t>Lawrenceville, NJ</w:t>
            </w: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w w:val="97"/>
              </w:rPr>
              <w:t>Addition of 27,000 square feet of space including new in-line space, addition of</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12%</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$8</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bank pad and reconfiguration of existing pad site and anchor box</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Quince Orchard</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Gaithersburg, MD</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Property repositioning through demo of non-functional small shop space, creation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of new anchor box, rightsizing of national office products tenant, and creation of</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 visible small shop space</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line="157" w:lineRule="exact"/>
              <w:rPr>
                <w:sz w:val="20"/>
                <w:szCs w:val="20"/>
                <w:color w:val="auto"/>
              </w:rPr>
            </w:pPr>
            <w:r>
              <w:rPr>
                <w:rFonts w:ascii="Arial" w:cs="Arial" w:eastAsia="Arial" w:hAnsi="Arial"/>
                <w:sz w:val="14"/>
                <w:szCs w:val="14"/>
                <w:color w:val="auto"/>
              </w:rPr>
              <w:t>East Bay Bridge</w:t>
            </w:r>
          </w:p>
        </w:tc>
        <w:tc>
          <w:tcPr>
            <w:tcW w:w="1180" w:type="dxa"/>
            <w:vAlign w:val="bottom"/>
          </w:tcPr>
          <w:p>
            <w:pPr>
              <w:spacing w:after="0" w:line="157" w:lineRule="exact"/>
              <w:rPr>
                <w:sz w:val="20"/>
                <w:szCs w:val="20"/>
                <w:color w:val="auto"/>
              </w:rPr>
            </w:pPr>
            <w:r>
              <w:rPr>
                <w:rFonts w:ascii="Arial" w:cs="Arial" w:eastAsia="Arial" w:hAnsi="Arial"/>
                <w:sz w:val="14"/>
                <w:szCs w:val="14"/>
                <w:color w:val="auto"/>
              </w:rPr>
              <w:t>Emeryville, CA</w:t>
            </w:r>
          </w:p>
        </w:tc>
        <w:tc>
          <w:tcPr>
            <w:tcW w:w="4820" w:type="dxa"/>
            <w:vAlign w:val="bottom"/>
          </w:tcPr>
          <w:p>
            <w:pPr>
              <w:ind w:left="60"/>
              <w:spacing w:after="0" w:line="157" w:lineRule="exact"/>
              <w:rPr>
                <w:sz w:val="20"/>
                <w:szCs w:val="20"/>
                <w:color w:val="auto"/>
              </w:rPr>
            </w:pPr>
            <w:r>
              <w:rPr>
                <w:rFonts w:ascii="Arial" w:cs="Arial" w:eastAsia="Arial" w:hAnsi="Arial"/>
                <w:sz w:val="14"/>
                <w:szCs w:val="14"/>
                <w:color w:val="auto"/>
                <w:w w:val="92"/>
              </w:rPr>
              <w:t>Reconfigure two existing spaces consisting of 48,000 square feet to accommodate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Flourtown</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Flourtown, PA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The AVENUE at White Marsh</w:t>
            </w:r>
          </w:p>
        </w:tc>
        <w:tc>
          <w:tcPr>
            <w:tcW w:w="1180" w:type="dxa"/>
            <w:vAlign w:val="bottom"/>
          </w:tcPr>
          <w:p>
            <w:pPr>
              <w:spacing w:after="0"/>
              <w:rPr>
                <w:sz w:val="20"/>
                <w:szCs w:val="20"/>
                <w:color w:val="auto"/>
              </w:rPr>
            </w:pPr>
            <w:r>
              <w:rPr>
                <w:rFonts w:ascii="Arial" w:cs="Arial" w:eastAsia="Arial" w:hAnsi="Arial"/>
                <w:sz w:val="14"/>
                <w:szCs w:val="14"/>
                <w:color w:val="auto"/>
              </w:rPr>
              <w:t>White Marsh, MD</w:t>
            </w:r>
          </w:p>
        </w:tc>
        <w:tc>
          <w:tcPr>
            <w:tcW w:w="4820" w:type="dxa"/>
            <w:vAlign w:val="bottom"/>
          </w:tcPr>
          <w:p>
            <w:pPr>
              <w:ind w:left="60"/>
              <w:spacing w:after="0"/>
              <w:rPr>
                <w:sz w:val="20"/>
                <w:szCs w:val="20"/>
                <w:color w:val="auto"/>
              </w:rPr>
            </w:pPr>
            <w:r>
              <w:rPr>
                <w:rFonts w:ascii="Arial" w:cs="Arial" w:eastAsia="Arial" w:hAnsi="Arial"/>
                <w:sz w:val="14"/>
                <w:szCs w:val="14"/>
                <w:color w:val="auto"/>
                <w:w w:val="99"/>
              </w:rPr>
              <w:t>Addition of two new pad sites totaling 13,000 square feet and a drive up ATM</w:t>
            </w: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Pentagon Row</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Arlington, VA</w:t>
            </w: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Ice rink expansion and 1,500 square feet of new retail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Wynnewood</w:t>
            </w:r>
          </w:p>
        </w:tc>
        <w:tc>
          <w:tcPr>
            <w:tcW w:w="1180" w:type="dxa"/>
            <w:vAlign w:val="bottom"/>
          </w:tcPr>
          <w:p>
            <w:pPr>
              <w:spacing w:after="0"/>
              <w:rPr>
                <w:sz w:val="20"/>
                <w:szCs w:val="20"/>
                <w:color w:val="auto"/>
              </w:rPr>
            </w:pPr>
            <w:r>
              <w:rPr>
                <w:rFonts w:ascii="Arial" w:cs="Arial" w:eastAsia="Arial" w:hAnsi="Arial"/>
                <w:sz w:val="14"/>
                <w:szCs w:val="14"/>
                <w:color w:val="auto"/>
              </w:rPr>
              <w:t>Wynnewood, PA</w:t>
            </w:r>
          </w:p>
        </w:tc>
        <w:tc>
          <w:tcPr>
            <w:tcW w:w="4820" w:type="dxa"/>
            <w:vAlign w:val="bottom"/>
          </w:tcPr>
          <w:p>
            <w:pPr>
              <w:ind w:left="60"/>
              <w:spacing w:after="0"/>
              <w:rPr>
                <w:sz w:val="20"/>
                <w:szCs w:val="20"/>
                <w:color w:val="auto"/>
              </w:rPr>
            </w:pPr>
            <w:r>
              <w:rPr>
                <w:rFonts w:ascii="Arial" w:cs="Arial" w:eastAsia="Arial" w:hAnsi="Arial"/>
                <w:sz w:val="14"/>
                <w:szCs w:val="14"/>
                <w:color w:val="auto"/>
              </w:rPr>
              <w:t>Conversion of obsolete 2nd floor office space to residential</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Third Street Promenade</w:t>
            </w:r>
          </w:p>
        </w:tc>
        <w:tc>
          <w:tcPr>
            <w:tcW w:w="1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Santa Monica, CA</w:t>
            </w:r>
          </w:p>
        </w:tc>
        <w:tc>
          <w:tcPr>
            <w:tcW w:w="48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8"/>
              </w:rPr>
              <w:t>Building modified to convert second floor space to office to accommodate new</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floor retail and second floor office tenants</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Troy</w:t>
            </w:r>
          </w:p>
        </w:tc>
        <w:tc>
          <w:tcPr>
            <w:tcW w:w="1180" w:type="dxa"/>
            <w:vAlign w:val="bottom"/>
          </w:tcPr>
          <w:p>
            <w:pPr>
              <w:spacing w:after="0"/>
              <w:rPr>
                <w:sz w:val="20"/>
                <w:szCs w:val="20"/>
                <w:color w:val="auto"/>
              </w:rPr>
            </w:pPr>
            <w:r>
              <w:rPr>
                <w:rFonts w:ascii="Arial" w:cs="Arial" w:eastAsia="Arial" w:hAnsi="Arial"/>
                <w:sz w:val="14"/>
                <w:szCs w:val="14"/>
                <w:color w:val="auto"/>
              </w:rPr>
              <w:t>Parsippany, NY</w:t>
            </w:r>
          </w:p>
        </w:tc>
        <w:tc>
          <w:tcPr>
            <w:tcW w:w="4820" w:type="dxa"/>
            <w:vAlign w:val="bottom"/>
          </w:tcPr>
          <w:p>
            <w:pPr>
              <w:ind w:left="60"/>
              <w:spacing w:after="0"/>
              <w:rPr>
                <w:sz w:val="20"/>
                <w:szCs w:val="20"/>
                <w:color w:val="auto"/>
              </w:rPr>
            </w:pPr>
            <w:r>
              <w:rPr>
                <w:rFonts w:ascii="Arial" w:cs="Arial" w:eastAsia="Arial" w:hAnsi="Arial"/>
                <w:sz w:val="14"/>
                <w:szCs w:val="14"/>
                <w:color w:val="auto"/>
              </w:rPr>
              <w:t>New 4,000 square foot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Brick</w:t>
            </w: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Brick, NJ</w:t>
            </w:r>
          </w:p>
        </w:tc>
        <w:tc>
          <w:tcPr>
            <w:tcW w:w="48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New restaurant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20" w:type="dxa"/>
            <w:vAlign w:val="bottom"/>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20"/>
              <w:spacing w:after="0"/>
              <w:rPr>
                <w:sz w:val="20"/>
                <w:szCs w:val="20"/>
                <w:color w:val="auto"/>
              </w:rPr>
            </w:pPr>
            <w:r>
              <w:rPr>
                <w:rFonts w:ascii="Arial" w:cs="Arial" w:eastAsia="Arial" w:hAnsi="Arial"/>
                <w:sz w:val="14"/>
                <w:szCs w:val="14"/>
                <w:color w:val="auto"/>
              </w:rPr>
              <w:t>Finley Square</w:t>
            </w:r>
          </w:p>
        </w:tc>
        <w:tc>
          <w:tcPr>
            <w:tcW w:w="1180" w:type="dxa"/>
            <w:vAlign w:val="bottom"/>
          </w:tcPr>
          <w:p>
            <w:pPr>
              <w:spacing w:after="0"/>
              <w:rPr>
                <w:sz w:val="20"/>
                <w:szCs w:val="20"/>
                <w:color w:val="auto"/>
              </w:rPr>
            </w:pPr>
            <w:r>
              <w:rPr>
                <w:rFonts w:ascii="Arial" w:cs="Arial" w:eastAsia="Arial" w:hAnsi="Arial"/>
                <w:sz w:val="14"/>
                <w:szCs w:val="14"/>
                <w:color w:val="auto"/>
                <w:w w:val="99"/>
              </w:rPr>
              <w:t>Downers Grove, IL</w:t>
            </w:r>
          </w:p>
        </w:tc>
        <w:tc>
          <w:tcPr>
            <w:tcW w:w="4820" w:type="dxa"/>
            <w:vAlign w:val="bottom"/>
          </w:tcPr>
          <w:p>
            <w:pPr>
              <w:ind w:left="60"/>
              <w:spacing w:after="0"/>
              <w:rPr>
                <w:sz w:val="20"/>
                <w:szCs w:val="20"/>
                <w:color w:val="auto"/>
              </w:rPr>
            </w:pPr>
            <w:r>
              <w:rPr>
                <w:rFonts w:ascii="Arial" w:cs="Arial" w:eastAsia="Arial" w:hAnsi="Arial"/>
                <w:sz w:val="14"/>
                <w:szCs w:val="14"/>
                <w:color w:val="auto"/>
              </w:rPr>
              <w:t>New 2,000 square foot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80"/>
        </w:trPr>
        <w:tc>
          <w:tcPr>
            <w:tcW w:w="196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48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7" w:lineRule="exact"/>
              <w:rPr>
                <w:sz w:val="20"/>
                <w:szCs w:val="20"/>
                <w:color w:val="auto"/>
              </w:rPr>
            </w:pPr>
            <w:r>
              <w:rPr>
                <w:rFonts w:ascii="Arial" w:cs="Arial" w:eastAsia="Arial" w:hAnsi="Arial"/>
                <w:sz w:val="14"/>
                <w:szCs w:val="14"/>
                <w:b w:val="1"/>
                <w:bCs w:val="1"/>
                <w:color w:val="auto"/>
              </w:rPr>
              <w:t>$288 -</w:t>
            </w:r>
          </w:p>
        </w:tc>
        <w:tc>
          <w:tcPr>
            <w:tcW w:w="7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Active Redevelopment projects (4)</w:t>
            </w:r>
          </w:p>
        </w:tc>
        <w:tc>
          <w:tcPr>
            <w:tcW w:w="48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$298</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7"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11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24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Opportunity</w:t>
            </w: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Projected</w:t>
            </w: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w w:val="99"/>
              </w:rPr>
              <w:t>Total Cost</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Costs to</w:t>
            </w:r>
          </w:p>
        </w:tc>
        <w:tc>
          <w:tcPr>
            <w:tcW w:w="96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Anticipated</w:t>
            </w: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Expected Opening</w:t>
            </w:r>
          </w:p>
        </w:tc>
        <w:tc>
          <w:tcPr>
            <w:tcW w:w="1280" w:type="dxa"/>
            <w:vAlign w:val="bottom"/>
          </w:tcPr>
          <w:p>
            <w:pPr>
              <w:ind w:left="60"/>
              <w:spacing w:after="0"/>
              <w:rPr>
                <w:sz w:val="20"/>
                <w:szCs w:val="20"/>
                <w:color w:val="auto"/>
              </w:rPr>
            </w:pPr>
            <w:r>
              <w:rPr>
                <w:rFonts w:ascii="Arial" w:cs="Arial" w:eastAsia="Arial" w:hAnsi="Arial"/>
                <w:sz w:val="14"/>
                <w:szCs w:val="14"/>
                <w:b w:val="1"/>
                <w:bCs w:val="1"/>
                <w:color w:val="auto"/>
              </w:rPr>
              <w:t>Anchor and other</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ROI (2)</w:t>
            </w: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(3)</w:t>
            </w: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Date</w:t>
            </w:r>
          </w:p>
        </w:tc>
        <w:tc>
          <w:tcPr>
            <w:tcW w:w="9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Stabilization</w:t>
            </w: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Timeframe</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significant tenants</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w:t>
            </w:r>
          </w:p>
        </w:tc>
        <w:tc>
          <w:tcPr>
            <w:tcW w:w="118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North Bethesda,</w:t>
            </w:r>
          </w:p>
        </w:tc>
        <w:tc>
          <w:tcPr>
            <w:tcW w:w="24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Ground up mixed use development.</w:t>
            </w:r>
          </w:p>
        </w:tc>
        <w:tc>
          <w:tcPr>
            <w:tcW w:w="780" w:type="dxa"/>
            <w:vAlign w:val="bottom"/>
            <w:shd w:val="clear" w:color="auto" w:fill="CCEEFF"/>
          </w:tcPr>
          <w:p>
            <w:pPr>
              <w:jc w:val="center"/>
              <w:ind w:right="48"/>
              <w:spacing w:after="0" w:line="157" w:lineRule="exact"/>
              <w:rPr>
                <w:sz w:val="20"/>
                <w:szCs w:val="20"/>
                <w:color w:val="auto"/>
              </w:rPr>
            </w:pPr>
            <w:r>
              <w:rPr>
                <w:rFonts w:ascii="Arial" w:cs="Arial" w:eastAsia="Arial" w:hAnsi="Arial"/>
                <w:sz w:val="14"/>
                <w:szCs w:val="14"/>
                <w:color w:val="auto"/>
                <w:w w:val="94"/>
              </w:rPr>
              <w:t>7% - 8%</w:t>
            </w:r>
          </w:p>
        </w:tc>
        <w:tc>
          <w:tcPr>
            <w:tcW w:w="900" w:type="dxa"/>
            <w:vAlign w:val="bottom"/>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$255 - $265</w:t>
            </w:r>
          </w:p>
        </w:tc>
        <w:tc>
          <w:tcPr>
            <w:tcW w:w="680" w:type="dxa"/>
            <w:vAlign w:val="bottom"/>
            <w:shd w:val="clear" w:color="auto" w:fill="CCEEFF"/>
          </w:tcPr>
          <w:p>
            <w:pPr>
              <w:jc w:val="right"/>
              <w:ind w:right="148"/>
              <w:spacing w:after="0" w:line="157" w:lineRule="exact"/>
              <w:rPr>
                <w:sz w:val="20"/>
                <w:szCs w:val="20"/>
                <w:color w:val="auto"/>
              </w:rPr>
            </w:pPr>
            <w:r>
              <w:rPr>
                <w:rFonts w:ascii="Arial" w:cs="Arial" w:eastAsia="Arial" w:hAnsi="Arial"/>
                <w:sz w:val="14"/>
                <w:szCs w:val="14"/>
                <w:color w:val="auto"/>
              </w:rPr>
              <w:t>$217</w:t>
            </w:r>
          </w:p>
        </w:tc>
        <w:tc>
          <w:tcPr>
            <w:tcW w:w="960" w:type="dxa"/>
            <w:vAlign w:val="bottom"/>
            <w:shd w:val="clear" w:color="auto" w:fill="CCEEFF"/>
          </w:tcPr>
          <w:p>
            <w:pPr>
              <w:jc w:val="center"/>
              <w:ind w:left="28"/>
              <w:spacing w:after="0" w:line="157" w:lineRule="exact"/>
              <w:rPr>
                <w:sz w:val="20"/>
                <w:szCs w:val="20"/>
                <w:color w:val="auto"/>
              </w:rPr>
            </w:pPr>
            <w:r>
              <w:rPr>
                <w:rFonts w:ascii="Arial" w:cs="Arial" w:eastAsia="Arial" w:hAnsi="Arial"/>
                <w:sz w:val="14"/>
                <w:szCs w:val="14"/>
                <w:color w:val="auto"/>
                <w:w w:val="93"/>
              </w:rPr>
              <w:t>2015/2016</w:t>
            </w:r>
          </w:p>
        </w:tc>
        <w:tc>
          <w:tcPr>
            <w:tcW w:w="1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9"/>
              </w:rPr>
              <w:t>•174 unit residential building</w:t>
            </w:r>
          </w:p>
        </w:tc>
        <w:tc>
          <w:tcPr>
            <w:tcW w:w="128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iPic Theater, Sport</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MD</w:t>
            </w:r>
          </w:p>
        </w:tc>
        <w:tc>
          <w:tcPr>
            <w:tcW w:w="2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Phase I consists of 493 residential</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now open</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&amp; Health, Del</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units, 151,000 square feet of retail,</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•Grand Opening of Retail in</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Frisco's Grille,</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2"/>
              </w:rPr>
              <w:t>and 79,000 square feet of office space.</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Fall 2014</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Summer House</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•Office and 319 unit</w:t>
            </w: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residential building to deliver</w:t>
            </w: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2015</w:t>
            </w: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40"/>
              <w:spacing w:after="0" w:line="157" w:lineRule="exact"/>
              <w:rPr>
                <w:sz w:val="20"/>
                <w:szCs w:val="20"/>
                <w:color w:val="auto"/>
              </w:rPr>
            </w:pPr>
            <w:r>
              <w:rPr>
                <w:rFonts w:ascii="Arial" w:cs="Arial" w:eastAsia="Arial" w:hAnsi="Arial"/>
                <w:sz w:val="14"/>
                <w:szCs w:val="14"/>
                <w:color w:val="auto"/>
                <w:w w:val="97"/>
              </w:rPr>
              <w:t>Pike &amp; Rose - Phase II</w:t>
            </w:r>
          </w:p>
        </w:tc>
        <w:tc>
          <w:tcPr>
            <w:tcW w:w="1180" w:type="dxa"/>
            <w:vAlign w:val="bottom"/>
          </w:tcPr>
          <w:p>
            <w:pPr>
              <w:ind w:left="80"/>
              <w:spacing w:after="0" w:line="157" w:lineRule="exact"/>
              <w:rPr>
                <w:sz w:val="20"/>
                <w:szCs w:val="20"/>
                <w:color w:val="auto"/>
              </w:rPr>
            </w:pPr>
            <w:r>
              <w:rPr>
                <w:rFonts w:ascii="Arial" w:cs="Arial" w:eastAsia="Arial" w:hAnsi="Arial"/>
                <w:sz w:val="14"/>
                <w:szCs w:val="14"/>
                <w:color w:val="auto"/>
              </w:rPr>
              <w:t>North Bethesda,</w:t>
            </w:r>
          </w:p>
        </w:tc>
        <w:tc>
          <w:tcPr>
            <w:tcW w:w="2420" w:type="dxa"/>
            <w:vAlign w:val="bottom"/>
          </w:tcPr>
          <w:p>
            <w:pPr>
              <w:ind w:left="160"/>
              <w:spacing w:after="0" w:line="157" w:lineRule="exact"/>
              <w:rPr>
                <w:sz w:val="20"/>
                <w:szCs w:val="20"/>
                <w:color w:val="auto"/>
              </w:rPr>
            </w:pPr>
            <w:r>
              <w:rPr>
                <w:rFonts w:ascii="Arial" w:cs="Arial" w:eastAsia="Arial" w:hAnsi="Arial"/>
                <w:sz w:val="14"/>
                <w:szCs w:val="14"/>
                <w:color w:val="auto"/>
              </w:rPr>
              <w:t>Ground up mixed use development.</w:t>
            </w:r>
          </w:p>
        </w:tc>
        <w:tc>
          <w:tcPr>
            <w:tcW w:w="78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4"/>
              </w:rPr>
              <w:t>7% - 8%</w:t>
            </w:r>
          </w:p>
        </w:tc>
        <w:tc>
          <w:tcPr>
            <w:tcW w:w="900" w:type="dxa"/>
            <w:vAlign w:val="bottom"/>
          </w:tcPr>
          <w:p>
            <w:pPr>
              <w:jc w:val="center"/>
              <w:ind w:left="48"/>
              <w:spacing w:after="0" w:line="157" w:lineRule="exact"/>
              <w:rPr>
                <w:sz w:val="20"/>
                <w:szCs w:val="20"/>
                <w:color w:val="auto"/>
              </w:rPr>
            </w:pPr>
            <w:r>
              <w:rPr>
                <w:rFonts w:ascii="Arial" w:cs="Arial" w:eastAsia="Arial" w:hAnsi="Arial"/>
                <w:sz w:val="14"/>
                <w:szCs w:val="14"/>
                <w:color w:val="auto"/>
                <w:w w:val="93"/>
              </w:rPr>
              <w:t>$195 - $200</w:t>
            </w:r>
          </w:p>
        </w:tc>
        <w:tc>
          <w:tcPr>
            <w:tcW w:w="68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$20</w:t>
            </w:r>
          </w:p>
        </w:tc>
        <w:tc>
          <w:tcPr>
            <w:tcW w:w="960" w:type="dxa"/>
            <w:vAlign w:val="bottom"/>
          </w:tcPr>
          <w:p>
            <w:pPr>
              <w:jc w:val="center"/>
              <w:ind w:left="28"/>
              <w:spacing w:after="0" w:line="157" w:lineRule="exact"/>
              <w:rPr>
                <w:sz w:val="20"/>
                <w:szCs w:val="20"/>
                <w:color w:val="auto"/>
              </w:rPr>
            </w:pPr>
            <w:r>
              <w:rPr>
                <w:rFonts w:ascii="Arial" w:cs="Arial" w:eastAsia="Arial" w:hAnsi="Arial"/>
                <w:sz w:val="14"/>
                <w:szCs w:val="14"/>
                <w:color w:val="auto"/>
                <w:w w:val="93"/>
              </w:rPr>
              <w:t>2018/2019</w:t>
            </w:r>
          </w:p>
        </w:tc>
        <w:tc>
          <w:tcPr>
            <w:tcW w:w="1780" w:type="dxa"/>
            <w:vAlign w:val="bottom"/>
          </w:tcPr>
          <w:p>
            <w:pPr>
              <w:ind w:left="20"/>
              <w:spacing w:after="0" w:line="157" w:lineRule="exact"/>
              <w:rPr>
                <w:sz w:val="20"/>
                <w:szCs w:val="20"/>
                <w:color w:val="auto"/>
              </w:rPr>
            </w:pPr>
            <w:r>
              <w:rPr>
                <w:rFonts w:ascii="Arial" w:cs="Arial" w:eastAsia="Arial" w:hAnsi="Arial"/>
                <w:sz w:val="14"/>
                <w:szCs w:val="14"/>
                <w:color w:val="auto"/>
              </w:rPr>
              <w:t>Projected opening - 2017</w:t>
            </w:r>
          </w:p>
        </w:tc>
        <w:tc>
          <w:tcPr>
            <w:tcW w:w="1280" w:type="dxa"/>
            <w:vAlign w:val="bottom"/>
          </w:tcPr>
          <w:p>
            <w:pPr>
              <w:ind w:left="60"/>
              <w:spacing w:after="0" w:line="157" w:lineRule="exact"/>
              <w:rPr>
                <w:sz w:val="20"/>
                <w:szCs w:val="20"/>
                <w:color w:val="auto"/>
              </w:rPr>
            </w:pPr>
            <w:r>
              <w:rPr>
                <w:rFonts w:ascii="Arial" w:cs="Arial" w:eastAsia="Arial" w:hAnsi="Arial"/>
                <w:sz w:val="14"/>
                <w:szCs w:val="14"/>
                <w:color w:val="auto"/>
              </w:rPr>
              <w:t>Pinstripes, Canopy</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80" w:type="dxa"/>
            <w:vAlign w:val="bottom"/>
          </w:tcPr>
          <w:p>
            <w:pPr>
              <w:ind w:left="80"/>
              <w:spacing w:after="0" w:line="149" w:lineRule="exact"/>
              <w:rPr>
                <w:sz w:val="20"/>
                <w:szCs w:val="20"/>
                <w:color w:val="auto"/>
              </w:rPr>
            </w:pPr>
            <w:r>
              <w:rPr>
                <w:rFonts w:ascii="Arial" w:cs="Arial" w:eastAsia="Arial" w:hAnsi="Arial"/>
                <w:sz w:val="14"/>
                <w:szCs w:val="14"/>
                <w:color w:val="auto"/>
              </w:rPr>
              <w:t>MD</w:t>
            </w:r>
          </w:p>
        </w:tc>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Phase II consists of approximately</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by Hilton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185,000 square feet of retail, 264</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residential units, and a 177 room</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20" w:type="dxa"/>
            <w:vAlign w:val="bottom"/>
          </w:tcPr>
          <w:p>
            <w:pPr>
              <w:ind w:left="160"/>
              <w:spacing w:after="0"/>
              <w:rPr>
                <w:sz w:val="20"/>
                <w:szCs w:val="20"/>
                <w:color w:val="auto"/>
              </w:rPr>
            </w:pPr>
            <w:r>
              <w:rPr>
                <w:rFonts w:ascii="Arial" w:cs="Arial" w:eastAsia="Arial" w:hAnsi="Arial"/>
                <w:sz w:val="14"/>
                <w:szCs w:val="14"/>
                <w:color w:val="auto"/>
              </w:rPr>
              <w:t>hotel.</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 w:lineRule="exact"/>
        <w:rPr>
          <w:sz w:val="20"/>
          <w:szCs w:val="20"/>
          <w:color w:val="auto"/>
        </w:rPr>
      </w:pPr>
    </w:p>
    <w:p>
      <w:pPr>
        <w:ind w:left="1520"/>
        <w:spacing w:after="0"/>
        <w:tabs>
          <w:tab w:leader="none" w:pos="2760" w:val="left"/>
        </w:tabs>
        <w:rPr>
          <w:sz w:val="20"/>
          <w:szCs w:val="20"/>
          <w:color w:val="auto"/>
        </w:rPr>
      </w:pPr>
      <w:r>
        <w:rPr>
          <w:rFonts w:ascii="Arial" w:cs="Arial" w:eastAsia="Arial" w:hAnsi="Arial"/>
          <w:sz w:val="14"/>
          <w:szCs w:val="14"/>
          <w:color w:val="auto"/>
        </w:rPr>
        <w:t>North Bethesda,</w:t>
      </w:r>
      <w:r>
        <w:rPr>
          <w:sz w:val="20"/>
          <w:szCs w:val="20"/>
          <w:color w:val="auto"/>
        </w:rPr>
        <w:tab/>
      </w:r>
      <w:r>
        <w:rPr>
          <w:rFonts w:ascii="Arial" w:cs="Arial" w:eastAsia="Arial" w:hAnsi="Arial"/>
          <w:sz w:val="13"/>
          <w:szCs w:val="13"/>
          <w:color w:val="auto"/>
        </w:rPr>
        <w:t>104 for-sale condominium units</w:t>
      </w:r>
    </w:p>
    <w:p>
      <w:pPr>
        <w:ind w:left="1520"/>
        <w:spacing w:after="0"/>
        <w:rPr>
          <w:sz w:val="20"/>
          <w:szCs w:val="20"/>
          <w:color w:val="auto"/>
        </w:rPr>
      </w:pPr>
      <w:r>
        <w:rPr>
          <w:rFonts w:ascii="Arial" w:cs="Arial" w:eastAsia="Arial" w:hAnsi="Arial"/>
          <w:sz w:val="14"/>
          <w:szCs w:val="14"/>
          <w:color w:val="auto"/>
        </w:rPr>
        <w:t>MD</w:t>
      </w:r>
    </w:p>
    <w:p>
      <w:pPr>
        <w:spacing w:after="0" w:line="26"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Total Pike &amp; Rose - Initial Phases</w:t>
      </w: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2760" w:val="left"/>
        </w:tabs>
        <w:rPr>
          <w:sz w:val="20"/>
          <w:szCs w:val="20"/>
          <w:color w:val="auto"/>
        </w:rPr>
      </w:pPr>
      <w:r>
        <w:rPr>
          <w:rFonts w:ascii="Arial" w:cs="Arial" w:eastAsia="Arial" w:hAnsi="Arial"/>
          <w:sz w:val="14"/>
          <w:szCs w:val="14"/>
          <w:color w:val="auto"/>
        </w:rPr>
        <w:t>Assembly Row - Phase I Somerville, MA</w:t>
      </w:r>
      <w:r>
        <w:rPr>
          <w:sz w:val="20"/>
          <w:szCs w:val="20"/>
          <w:color w:val="auto"/>
        </w:rPr>
        <w:tab/>
      </w:r>
      <w:r>
        <w:rPr>
          <w:rFonts w:ascii="Arial" w:cs="Arial" w:eastAsia="Arial" w:hAnsi="Arial"/>
          <w:sz w:val="13"/>
          <w:szCs w:val="13"/>
          <w:color w:val="auto"/>
        </w:rPr>
        <w:t>Ground up mixed use development.</w:t>
      </w:r>
    </w:p>
    <w:p>
      <w:pPr>
        <w:ind w:left="2780"/>
        <w:spacing w:after="0" w:line="221" w:lineRule="auto"/>
        <w:rPr>
          <w:sz w:val="20"/>
          <w:szCs w:val="20"/>
          <w:color w:val="auto"/>
        </w:rPr>
      </w:pPr>
      <w:r>
        <w:rPr>
          <w:rFonts w:ascii="Arial" w:cs="Arial" w:eastAsia="Arial" w:hAnsi="Arial"/>
          <w:sz w:val="14"/>
          <w:szCs w:val="14"/>
          <w:color w:val="auto"/>
        </w:rPr>
        <w:t>Initial phase consists of 450</w:t>
      </w:r>
    </w:p>
    <w:p>
      <w:pPr>
        <w:ind w:left="2780"/>
        <w:spacing w:after="0"/>
        <w:rPr>
          <w:sz w:val="20"/>
          <w:szCs w:val="20"/>
          <w:color w:val="auto"/>
        </w:rPr>
      </w:pPr>
      <w:r>
        <w:rPr>
          <w:rFonts w:ascii="Arial" w:cs="Arial" w:eastAsia="Arial" w:hAnsi="Arial"/>
          <w:sz w:val="13"/>
          <w:szCs w:val="13"/>
          <w:color w:val="auto"/>
        </w:rPr>
        <w:t>residential units (by AvalonBay), in</w:t>
      </w:r>
    </w:p>
    <w:p>
      <w:pPr>
        <w:ind w:left="2780"/>
        <w:spacing w:after="0" w:line="221" w:lineRule="auto"/>
        <w:rPr>
          <w:sz w:val="20"/>
          <w:szCs w:val="20"/>
          <w:color w:val="auto"/>
        </w:rPr>
      </w:pPr>
      <w:r>
        <w:rPr>
          <w:rFonts w:ascii="Arial" w:cs="Arial" w:eastAsia="Arial" w:hAnsi="Arial"/>
          <w:sz w:val="14"/>
          <w:szCs w:val="14"/>
          <w:color w:val="auto"/>
        </w:rPr>
        <w:t>addition to 98,000 square feet of</w:t>
      </w:r>
    </w:p>
    <w:p>
      <w:pPr>
        <w:ind w:left="2780"/>
        <w:spacing w:after="0" w:line="221" w:lineRule="auto"/>
        <w:rPr>
          <w:sz w:val="20"/>
          <w:szCs w:val="20"/>
          <w:color w:val="auto"/>
        </w:rPr>
      </w:pPr>
      <w:r>
        <w:rPr>
          <w:rFonts w:ascii="Arial" w:cs="Arial" w:eastAsia="Arial" w:hAnsi="Arial"/>
          <w:sz w:val="14"/>
          <w:szCs w:val="14"/>
          <w:color w:val="auto"/>
        </w:rPr>
        <w:t>office space and approximately</w:t>
      </w:r>
    </w:p>
    <w:p>
      <w:pPr>
        <w:ind w:left="2780"/>
        <w:spacing w:after="0"/>
        <w:rPr>
          <w:sz w:val="20"/>
          <w:szCs w:val="20"/>
          <w:color w:val="auto"/>
        </w:rPr>
      </w:pPr>
      <w:r>
        <w:rPr>
          <w:rFonts w:ascii="Arial" w:cs="Arial" w:eastAsia="Arial" w:hAnsi="Arial"/>
          <w:sz w:val="13"/>
          <w:szCs w:val="13"/>
          <w:color w:val="auto"/>
        </w:rPr>
        <w:t>326,000 square feet of retail space</w:t>
      </w:r>
    </w:p>
    <w:p>
      <w:pPr>
        <w:ind w:left="2780"/>
        <w:spacing w:after="0"/>
        <w:rPr>
          <w:sz w:val="20"/>
          <w:szCs w:val="20"/>
          <w:color w:val="auto"/>
        </w:rPr>
      </w:pPr>
      <w:r>
        <w:rPr>
          <w:rFonts w:ascii="Arial" w:cs="Arial" w:eastAsia="Arial" w:hAnsi="Arial"/>
          <w:sz w:val="13"/>
          <w:szCs w:val="13"/>
          <w:color w:val="auto"/>
        </w:rPr>
        <w:t>(including a restaurant pad site). A</w:t>
      </w:r>
    </w:p>
    <w:p>
      <w:pPr>
        <w:ind w:left="2780"/>
        <w:spacing w:after="0"/>
        <w:rPr>
          <w:sz w:val="20"/>
          <w:szCs w:val="20"/>
          <w:color w:val="auto"/>
        </w:rPr>
      </w:pPr>
      <w:r>
        <w:rPr>
          <w:rFonts w:ascii="Arial" w:cs="Arial" w:eastAsia="Arial" w:hAnsi="Arial"/>
          <w:sz w:val="13"/>
          <w:szCs w:val="13"/>
          <w:color w:val="auto"/>
        </w:rPr>
        <w:t>new Orange Line T-Stop will also be</w:t>
      </w:r>
    </w:p>
    <w:p>
      <w:pPr>
        <w:ind w:left="2780"/>
        <w:spacing w:after="0"/>
        <w:rPr>
          <w:sz w:val="20"/>
          <w:szCs w:val="20"/>
          <w:color w:val="auto"/>
        </w:rPr>
      </w:pPr>
      <w:r>
        <w:rPr>
          <w:rFonts w:ascii="Arial" w:cs="Arial" w:eastAsia="Arial" w:hAnsi="Arial"/>
          <w:sz w:val="13"/>
          <w:szCs w:val="13"/>
          <w:color w:val="auto"/>
        </w:rPr>
        <w:t>constructed by Massachusetts Bay</w:t>
      </w:r>
    </w:p>
    <w:p>
      <w:pPr>
        <w:ind w:left="2780"/>
        <w:spacing w:after="0"/>
        <w:rPr>
          <w:sz w:val="20"/>
          <w:szCs w:val="20"/>
          <w:color w:val="auto"/>
        </w:rPr>
      </w:pPr>
      <w:r>
        <w:rPr>
          <w:rFonts w:ascii="Arial" w:cs="Arial" w:eastAsia="Arial" w:hAnsi="Arial"/>
          <w:sz w:val="13"/>
          <w:szCs w:val="13"/>
          <w:color w:val="auto"/>
        </w:rPr>
        <w:t>Transit Authority, as part of Phase I.</w:t>
      </w:r>
    </w:p>
    <w:p>
      <w:pPr>
        <w:spacing w:after="0" w:line="280"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Total Assembly Row and Pike &amp;</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Rose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jc w:val="right"/>
              <w:spacing w:after="0"/>
              <w:rPr>
                <w:sz w:val="20"/>
                <w:szCs w:val="20"/>
                <w:color w:val="auto"/>
              </w:rPr>
            </w:pPr>
            <w:r>
              <w:rPr>
                <w:rFonts w:ascii="Arial" w:cs="Arial" w:eastAsia="Arial" w:hAnsi="Arial"/>
                <w:sz w:val="14"/>
                <w:szCs w:val="14"/>
                <w:color w:val="auto"/>
              </w:rPr>
              <w:t>$50</w:t>
            </w:r>
          </w:p>
        </w:tc>
        <w:tc>
          <w:tcPr>
            <w:tcW w:w="480" w:type="dxa"/>
            <w:vAlign w:val="bottom"/>
          </w:tcPr>
          <w:p>
            <w:pPr>
              <w:ind w:left="20"/>
              <w:spacing w:after="0"/>
              <w:rPr>
                <w:sz w:val="20"/>
                <w:szCs w:val="20"/>
                <w:color w:val="auto"/>
              </w:rPr>
            </w:pPr>
            <w:r>
              <w:rPr>
                <w:rFonts w:ascii="Arial" w:cs="Arial" w:eastAsia="Arial" w:hAnsi="Arial"/>
                <w:sz w:val="14"/>
                <w:szCs w:val="14"/>
                <w:color w:val="auto"/>
              </w:rPr>
              <w:t>- $53</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7% - 8%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 $518</w:t>
            </w: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$241</w:t>
            </w:r>
          </w:p>
        </w:tc>
        <w:tc>
          <w:tcPr>
            <w:tcW w:w="2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color w:val="auto"/>
              </w:rPr>
              <w:t>2015/2016  •Opened</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60" w:type="dxa"/>
            <w:vAlign w:val="bottom"/>
          </w:tcPr>
          <w:p>
            <w:pPr>
              <w:jc w:val="center"/>
              <w:spacing w:after="0"/>
              <w:rPr>
                <w:sz w:val="20"/>
                <w:szCs w:val="20"/>
                <w:color w:val="auto"/>
              </w:rPr>
            </w:pPr>
            <w:r>
              <w:rPr>
                <w:rFonts w:ascii="Arial" w:cs="Arial" w:eastAsia="Arial" w:hAnsi="Arial"/>
                <w:sz w:val="14"/>
                <w:szCs w:val="14"/>
                <w:color w:val="auto"/>
                <w:w w:val="94"/>
              </w:rPr>
              <w:t>5% - 6%</w:t>
            </w: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$190</w:t>
            </w:r>
          </w:p>
        </w:tc>
        <w:tc>
          <w:tcPr>
            <w:tcW w:w="480" w:type="dxa"/>
            <w:vAlign w:val="bottom"/>
          </w:tcPr>
          <w:p>
            <w:pPr>
              <w:ind w:left="20"/>
              <w:spacing w:after="0"/>
              <w:rPr>
                <w:sz w:val="20"/>
                <w:szCs w:val="20"/>
                <w:color w:val="auto"/>
              </w:rPr>
            </w:pPr>
            <w:r>
              <w:rPr>
                <w:rFonts w:ascii="Arial" w:cs="Arial" w:eastAsia="Arial" w:hAnsi="Arial"/>
                <w:sz w:val="14"/>
                <w:szCs w:val="14"/>
                <w:color w:val="auto"/>
              </w:rPr>
              <w:t>- $200</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2860" w:type="dxa"/>
            <w:vAlign w:val="bottom"/>
            <w:vMerge w:val="continue"/>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4"/>
                <w:szCs w:val="14"/>
                <w:color w:val="auto"/>
              </w:rPr>
              <w:t>AMC Theatre,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ind w:left="1100"/>
              <w:spacing w:after="0" w:line="149" w:lineRule="exact"/>
              <w:rPr>
                <w:sz w:val="20"/>
                <w:szCs w:val="20"/>
                <w:color w:val="auto"/>
              </w:rPr>
            </w:pPr>
            <w:r>
              <w:rPr>
                <w:rFonts w:ascii="Arial" w:cs="Arial" w:eastAsia="Arial" w:hAnsi="Arial"/>
                <w:sz w:val="14"/>
                <w:szCs w:val="14"/>
                <w:color w:val="auto"/>
                <w:w w:val="94"/>
              </w:rPr>
              <w:t>•T Station opened September</w:t>
            </w: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rPr>
              <w:t>LEGOLAND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ind w:left="1100"/>
              <w:spacing w:after="0" w:line="149" w:lineRule="exact"/>
              <w:rPr>
                <w:sz w:val="20"/>
                <w:szCs w:val="20"/>
                <w:color w:val="auto"/>
              </w:rPr>
            </w:pPr>
            <w:r>
              <w:rPr>
                <w:rFonts w:ascii="Arial" w:cs="Arial" w:eastAsia="Arial" w:hAnsi="Arial"/>
                <w:sz w:val="14"/>
                <w:szCs w:val="14"/>
                <w:color w:val="auto"/>
              </w:rPr>
              <w:t>2014</w:t>
            </w: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w w:val="93"/>
              </w:rPr>
              <w:t>Discovery Center,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ind w:left="1100"/>
              <w:spacing w:after="0" w:line="149" w:lineRule="exact"/>
              <w:rPr>
                <w:sz w:val="20"/>
                <w:szCs w:val="20"/>
                <w:color w:val="auto"/>
              </w:rPr>
            </w:pPr>
            <w:r>
              <w:rPr>
                <w:rFonts w:ascii="Arial" w:cs="Arial" w:eastAsia="Arial" w:hAnsi="Arial"/>
                <w:sz w:val="14"/>
                <w:szCs w:val="14"/>
                <w:color w:val="auto"/>
              </w:rPr>
              <w:t>•Office to deliver in 2015</w:t>
            </w: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w w:val="91"/>
              </w:rPr>
              <w:t>Saks Fifth Avenue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rPr>
              <w:t>Off 5th, Nike,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w w:val="99"/>
              </w:rPr>
              <w:t>Brooks Brothers,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rPr>
              <w:t>Legal on the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20" w:type="dxa"/>
            <w:vAlign w:val="bottom"/>
          </w:tcPr>
          <w:p>
            <w:pPr>
              <w:ind w:left="60"/>
              <w:spacing w:after="0" w:line="149" w:lineRule="exact"/>
              <w:rPr>
                <w:sz w:val="20"/>
                <w:szCs w:val="20"/>
                <w:color w:val="auto"/>
              </w:rPr>
            </w:pPr>
            <w:r>
              <w:rPr>
                <w:rFonts w:ascii="Arial" w:cs="Arial" w:eastAsia="Arial" w:hAnsi="Arial"/>
                <w:sz w:val="14"/>
                <w:szCs w:val="14"/>
                <w:color w:val="auto"/>
              </w:rPr>
              <w:t>Mystic, Earl's,</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4"/>
                <w:szCs w:val="14"/>
                <w:color w:val="auto"/>
              </w:rPr>
              <w:t>Papagayo</w:t>
            </w:r>
          </w:p>
        </w:tc>
        <w:tc>
          <w:tcPr>
            <w:tcW w:w="0" w:type="dxa"/>
            <w:vAlign w:val="bottom"/>
          </w:tcPr>
          <w:p>
            <w:pPr>
              <w:spacing w:after="0"/>
              <w:rPr>
                <w:sz w:val="1"/>
                <w:szCs w:val="1"/>
                <w:color w:val="auto"/>
              </w:rPr>
            </w:pPr>
          </w:p>
        </w:tc>
      </w:tr>
      <w:tr>
        <w:trPr>
          <w:trHeight w:val="404"/>
        </w:trPr>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$690</w:t>
            </w: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 $718</w:t>
            </w: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$430</w:t>
            </w:r>
          </w:p>
        </w:tc>
        <w:tc>
          <w:tcPr>
            <w:tcW w:w="2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-1543050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-393700</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140"/>
            <w:col w:w="6380"/>
          </w:cols>
          <w:pgMar w:left="240" w:top="760" w:right="2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380" w:right="40" w:hanging="345"/>
        <w:spacing w:after="0" w:line="238"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development projects reflects the deal specific cash, unleveraged Property Operating Income (POI) generated by the development and is calculated as POI divided by cost.</w:t>
      </w:r>
    </w:p>
    <w:p>
      <w:pPr>
        <w:spacing w:after="0" w:line="53" w:lineRule="exact"/>
        <w:rPr>
          <w:rFonts w:ascii="Arial" w:cs="Arial" w:eastAsia="Arial" w:hAnsi="Arial"/>
          <w:sz w:val="13"/>
          <w:szCs w:val="13"/>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Condos shown at cost; the projected ROI for Phase II does not assume any incremental profit on the sale of condominium units; condominiums are assumed to be sold at cost.</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to date include amounts to be reimbursed by third parties.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297" w:lineRule="exact"/>
        <w:rPr>
          <w:sz w:val="20"/>
          <w:szCs w:val="20"/>
          <w:color w:val="auto"/>
        </w:rPr>
      </w:pPr>
    </w:p>
    <w:p>
      <w:pPr>
        <w:ind w:left="40" w:right="100"/>
        <w:spacing w:after="0" w:line="264"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41"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Bethesda,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4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04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300" w:type="dxa"/>
            <w:vAlign w:val="bottom"/>
          </w:tcPr>
          <w:p>
            <w:pPr>
              <w:ind w:left="640"/>
              <w:spacing w:after="0"/>
              <w:rPr>
                <w:sz w:val="20"/>
                <w:szCs w:val="20"/>
                <w:color w:val="auto"/>
              </w:rPr>
            </w:pPr>
            <w:r>
              <w:rPr>
                <w:rFonts w:ascii="Arial" w:cs="Arial" w:eastAsia="Arial" w:hAnsi="Arial"/>
                <w:sz w:val="16"/>
                <w:szCs w:val="16"/>
                <w:color w:val="auto"/>
              </w:rPr>
              <w:t>Dedham, MA</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Melville Mall</w:t>
            </w:r>
          </w:p>
        </w:tc>
        <w:tc>
          <w:tcPr>
            <w:tcW w:w="462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Eastgate</w:t>
            </w:r>
          </w:p>
        </w:tc>
        <w:tc>
          <w:tcPr>
            <w:tcW w:w="2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Chapel Hill, NC</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4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040" w:type="dxa"/>
            <w:vAlign w:val="bottom"/>
          </w:tcPr>
          <w:p>
            <w:pPr>
              <w:ind w:left="380"/>
              <w:spacing w:after="0"/>
              <w:rPr>
                <w:sz w:val="20"/>
                <w:szCs w:val="20"/>
                <w:color w:val="auto"/>
              </w:rPr>
            </w:pPr>
            <w:r>
              <w:rPr>
                <w:rFonts w:ascii="Arial" w:cs="Arial" w:eastAsia="Arial" w:hAnsi="Arial"/>
                <w:sz w:val="16"/>
                <w:szCs w:val="16"/>
                <w:b w:val="1"/>
                <w:bCs w:val="1"/>
                <w:color w:val="auto"/>
              </w:rPr>
              <w:t>Escondido</w:t>
            </w:r>
          </w:p>
        </w:tc>
        <w:tc>
          <w:tcPr>
            <w:tcW w:w="2300" w:type="dxa"/>
            <w:vAlign w:val="bottom"/>
          </w:tcPr>
          <w:p>
            <w:pPr>
              <w:ind w:left="640"/>
              <w:spacing w:after="0"/>
              <w:rPr>
                <w:sz w:val="20"/>
                <w:szCs w:val="20"/>
                <w:color w:val="auto"/>
              </w:rPr>
            </w:pPr>
            <w:r>
              <w:rPr>
                <w:rFonts w:ascii="Arial" w:cs="Arial" w:eastAsia="Arial" w:hAnsi="Arial"/>
                <w:sz w:val="16"/>
                <w:szCs w:val="16"/>
                <w:color w:val="auto"/>
              </w:rPr>
              <w:t>Escondido, CA</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Pan Am</w:t>
            </w:r>
          </w:p>
        </w:tc>
        <w:tc>
          <w:tcPr>
            <w:tcW w:w="462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Federal Plaza</w:t>
            </w:r>
          </w:p>
        </w:tc>
        <w:tc>
          <w:tcPr>
            <w:tcW w:w="2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Rockville,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4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237"/>
        </w:trPr>
        <w:tc>
          <w:tcPr>
            <w:tcW w:w="2040" w:type="dxa"/>
            <w:vAlign w:val="bottom"/>
          </w:tcPr>
          <w:p>
            <w:pPr>
              <w:ind w:left="380"/>
              <w:spacing w:after="0"/>
              <w:rPr>
                <w:sz w:val="20"/>
                <w:szCs w:val="20"/>
                <w:color w:val="auto"/>
              </w:rPr>
            </w:pPr>
            <w:r>
              <w:rPr>
                <w:rFonts w:ascii="Arial" w:cs="Arial" w:eastAsia="Arial" w:hAnsi="Arial"/>
                <w:sz w:val="16"/>
                <w:szCs w:val="16"/>
                <w:b w:val="1"/>
                <w:bCs w:val="1"/>
                <w:color w:val="auto"/>
              </w:rPr>
              <w:t>Flourtown</w:t>
            </w:r>
          </w:p>
        </w:tc>
        <w:tc>
          <w:tcPr>
            <w:tcW w:w="2300" w:type="dxa"/>
            <w:vAlign w:val="bottom"/>
          </w:tcPr>
          <w:p>
            <w:pPr>
              <w:ind w:left="640"/>
              <w:spacing w:after="0"/>
              <w:rPr>
                <w:sz w:val="20"/>
                <w:szCs w:val="20"/>
                <w:color w:val="auto"/>
              </w:rPr>
            </w:pPr>
            <w:r>
              <w:rPr>
                <w:rFonts w:ascii="Arial" w:cs="Arial" w:eastAsia="Arial" w:hAnsi="Arial"/>
                <w:sz w:val="16"/>
                <w:szCs w:val="16"/>
                <w:color w:val="auto"/>
              </w:rPr>
              <w:t>Flourtown, PA</w:t>
            </w:r>
          </w:p>
        </w:tc>
        <w:tc>
          <w:tcPr>
            <w:tcW w:w="24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3"/>
        </w:trPr>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30"/>
        </w:trPr>
        <w:tc>
          <w:tcPr>
            <w:tcW w:w="20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w:t>
            </w:r>
          </w:p>
        </w:tc>
        <w:tc>
          <w:tcPr>
            <w:tcW w:w="2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Somerville, MA</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Mercer Mall</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Lawrenceville, NJ</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Pr>
          <w:p>
            <w:pPr>
              <w:ind w:left="520"/>
              <w:spacing w:after="0"/>
              <w:rPr>
                <w:sz w:val="20"/>
                <w:szCs w:val="20"/>
                <w:color w:val="auto"/>
              </w:rPr>
            </w:pPr>
            <w:r>
              <w:rPr>
                <w:rFonts w:ascii="Arial" w:cs="Arial" w:eastAsia="Arial" w:hAnsi="Arial"/>
                <w:sz w:val="16"/>
                <w:szCs w:val="16"/>
                <w:color w:val="auto"/>
              </w:rPr>
              <w:t>Charlottesville, VA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Melville Mall</w:t>
            </w:r>
          </w:p>
        </w:tc>
        <w:tc>
          <w:tcPr>
            <w:tcW w:w="3920" w:type="dxa"/>
            <w:vAlign w:val="bottom"/>
          </w:tcPr>
          <w:p>
            <w:pPr>
              <w:ind w:left="80"/>
              <w:spacing w:after="0"/>
              <w:rPr>
                <w:sz w:val="20"/>
                <w:szCs w:val="20"/>
                <w:color w:val="auto"/>
              </w:rPr>
            </w:pPr>
            <w:r>
              <w:rPr>
                <w:rFonts w:ascii="Arial" w:cs="Arial" w:eastAsia="Arial" w:hAnsi="Arial"/>
                <w:sz w:val="16"/>
                <w:szCs w:val="16"/>
                <w:color w:val="auto"/>
              </w:rPr>
              <w:t>Huntington, NY</w:t>
            </w:r>
          </w:p>
        </w:tc>
      </w:tr>
      <w:tr>
        <w:trPr>
          <w:trHeight w:val="33"/>
        </w:trPr>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Bethedsa Row</w:t>
            </w:r>
          </w:p>
        </w:tc>
        <w:tc>
          <w:tcPr>
            <w:tcW w:w="2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Bethesda, MD</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Montrose Crossing</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Rockville, MD</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280" w:type="dxa"/>
            <w:vAlign w:val="bottom"/>
          </w:tcPr>
          <w:p>
            <w:pPr>
              <w:ind w:left="520"/>
              <w:spacing w:after="0"/>
              <w:rPr>
                <w:sz w:val="20"/>
                <w:szCs w:val="20"/>
                <w:color w:val="auto"/>
              </w:rPr>
            </w:pPr>
            <w:r>
              <w:rPr>
                <w:rFonts w:ascii="Arial" w:cs="Arial" w:eastAsia="Arial" w:hAnsi="Arial"/>
                <w:sz w:val="16"/>
                <w:szCs w:val="16"/>
                <w:color w:val="auto"/>
              </w:rPr>
              <w:t>Highland Park, IL</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920" w:type="dxa"/>
            <w:vAlign w:val="bottom"/>
          </w:tcPr>
          <w:p>
            <w:pPr>
              <w:ind w:left="80"/>
              <w:spacing w:after="0"/>
              <w:rPr>
                <w:sz w:val="20"/>
                <w:szCs w:val="20"/>
                <w:color w:val="auto"/>
              </w:rPr>
            </w:pPr>
            <w:r>
              <w:rPr>
                <w:rFonts w:ascii="Arial" w:cs="Arial" w:eastAsia="Arial" w:hAnsi="Arial"/>
                <w:sz w:val="16"/>
                <w:szCs w:val="16"/>
                <w:color w:val="auto"/>
              </w:rPr>
              <w:t>Santa Monica, CA</w:t>
            </w:r>
          </w:p>
        </w:tc>
      </w:tr>
      <w:tr>
        <w:trPr>
          <w:trHeight w:val="33"/>
        </w:trPr>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Darien, CT</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Bethesda, MD</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280" w:type="dxa"/>
            <w:vAlign w:val="bottom"/>
          </w:tcPr>
          <w:p>
            <w:pPr>
              <w:ind w:left="520"/>
              <w:spacing w:after="0"/>
              <w:rPr>
                <w:sz w:val="20"/>
                <w:szCs w:val="20"/>
                <w:color w:val="auto"/>
              </w:rPr>
            </w:pPr>
            <w:r>
              <w:rPr>
                <w:rFonts w:ascii="Arial" w:cs="Arial" w:eastAsia="Arial" w:hAnsi="Arial"/>
                <w:sz w:val="16"/>
                <w:szCs w:val="16"/>
                <w:color w:val="auto"/>
              </w:rPr>
              <w:t>Queens, NY</w:t>
            </w:r>
          </w:p>
        </w:tc>
        <w:tc>
          <w:tcPr>
            <w:tcW w:w="30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3"/>
        </w:trPr>
        <w:tc>
          <w:tcPr>
            <w:tcW w:w="7500" w:type="dxa"/>
            <w:vAlign w:val="bottom"/>
            <w:gridSpan w:val="3"/>
          </w:tcPr>
          <w:p>
            <w:pPr>
              <w:spacing w:after="0"/>
              <w:rPr>
                <w:sz w:val="2"/>
                <w:szCs w:val="2"/>
                <w:color w:val="auto"/>
              </w:rPr>
            </w:pPr>
          </w:p>
        </w:tc>
        <w:tc>
          <w:tcPr>
            <w:tcW w:w="3920" w:type="dxa"/>
            <w:vAlign w:val="bottom"/>
          </w:tcPr>
          <w:p>
            <w:pPr>
              <w:spacing w:after="0"/>
              <w:rPr>
                <w:sz w:val="2"/>
                <w:szCs w:val="2"/>
                <w:color w:val="auto"/>
              </w:rPr>
            </w:pPr>
          </w:p>
        </w:tc>
      </w:tr>
      <w:tr>
        <w:trPr>
          <w:trHeight w:val="230"/>
        </w:trPr>
        <w:tc>
          <w:tcPr>
            <w:tcW w:w="7500" w:type="dxa"/>
            <w:vAlign w:val="bottom"/>
            <w:gridSpan w:val="3"/>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r>
      <w:tr>
        <w:trPr>
          <w:trHeight w:val="224"/>
        </w:trPr>
        <w:tc>
          <w:tcPr>
            <w:tcW w:w="750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Residential Opportunities - Opportunity to add residential units to existing retail and mixed-use properties.</w:t>
            </w:r>
          </w:p>
        </w:tc>
        <w:tc>
          <w:tcPr>
            <w:tcW w:w="3920" w:type="dxa"/>
            <w:vAlign w:val="bottom"/>
          </w:tcPr>
          <w:p>
            <w:pPr>
              <w:spacing w:after="0"/>
              <w:rPr>
                <w:sz w:val="19"/>
                <w:szCs w:val="19"/>
                <w:color w:val="auto"/>
              </w:rPr>
            </w:pPr>
          </w:p>
        </w:tc>
      </w:tr>
      <w:tr>
        <w:trPr>
          <w:trHeight w:val="33"/>
        </w:trPr>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Charlottesville, VA</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Village at Shirlington</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Arlington, VA</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Del Mar Village</w:t>
            </w:r>
          </w:p>
        </w:tc>
        <w:tc>
          <w:tcPr>
            <w:tcW w:w="2280" w:type="dxa"/>
            <w:vAlign w:val="bottom"/>
          </w:tcPr>
          <w:p>
            <w:pPr>
              <w:ind w:left="520"/>
              <w:spacing w:after="0"/>
              <w:rPr>
                <w:sz w:val="20"/>
                <w:szCs w:val="20"/>
                <w:color w:val="auto"/>
              </w:rPr>
            </w:pPr>
            <w:r>
              <w:rPr>
                <w:rFonts w:ascii="Arial" w:cs="Arial" w:eastAsia="Arial" w:hAnsi="Arial"/>
                <w:sz w:val="16"/>
                <w:szCs w:val="16"/>
                <w:color w:val="auto"/>
              </w:rPr>
              <w:t>Boca Raton, FL</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3920" w:type="dxa"/>
            <w:vAlign w:val="bottom"/>
          </w:tcPr>
          <w:p>
            <w:pPr>
              <w:ind w:left="80"/>
              <w:spacing w:after="0"/>
              <w:rPr>
                <w:sz w:val="20"/>
                <w:szCs w:val="20"/>
                <w:color w:val="auto"/>
              </w:rPr>
            </w:pPr>
            <w:r>
              <w:rPr>
                <w:rFonts w:ascii="Arial" w:cs="Arial" w:eastAsia="Arial" w:hAnsi="Arial"/>
                <w:sz w:val="16"/>
                <w:szCs w:val="16"/>
                <w:color w:val="auto"/>
              </w:rPr>
              <w:t>Towson, MD</w:t>
            </w:r>
          </w:p>
        </w:tc>
      </w:tr>
      <w:tr>
        <w:trPr>
          <w:trHeight w:val="33"/>
        </w:trPr>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Leesburg Plaza</w:t>
            </w:r>
          </w:p>
        </w:tc>
        <w:tc>
          <w:tcPr>
            <w:tcW w:w="2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Leesburg, VA</w:t>
            </w:r>
          </w:p>
        </w:tc>
        <w:tc>
          <w:tcPr>
            <w:tcW w:w="30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r>
      <w:tr>
        <w:trPr>
          <w:trHeight w:val="230"/>
        </w:trPr>
        <w:tc>
          <w:tcPr>
            <w:tcW w:w="4440" w:type="dxa"/>
            <w:vAlign w:val="bottom"/>
            <w:gridSpan w:val="2"/>
          </w:tcPr>
          <w:p>
            <w:pPr>
              <w:spacing w:after="0"/>
              <w:rPr>
                <w:sz w:val="19"/>
                <w:szCs w:val="19"/>
                <w:color w:val="auto"/>
              </w:rPr>
            </w:pPr>
          </w:p>
        </w:tc>
        <w:tc>
          <w:tcPr>
            <w:tcW w:w="306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237"/>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306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Assembly Row (1)</w:t>
            </w:r>
          </w:p>
        </w:tc>
        <w:tc>
          <w:tcPr>
            <w:tcW w:w="2280" w:type="dxa"/>
            <w:vAlign w:val="bottom"/>
          </w:tcPr>
          <w:p>
            <w:pPr>
              <w:ind w:left="520"/>
              <w:spacing w:after="0"/>
              <w:rPr>
                <w:sz w:val="20"/>
                <w:szCs w:val="20"/>
                <w:color w:val="auto"/>
              </w:rPr>
            </w:pPr>
            <w:r>
              <w:rPr>
                <w:rFonts w:ascii="Arial" w:cs="Arial" w:eastAsia="Arial" w:hAnsi="Arial"/>
                <w:sz w:val="16"/>
                <w:szCs w:val="16"/>
                <w:color w:val="auto"/>
              </w:rPr>
              <w:t>Somerville, MA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Pike &amp; Rose (2)</w:t>
            </w:r>
          </w:p>
        </w:tc>
        <w:tc>
          <w:tcPr>
            <w:tcW w:w="3920" w:type="dxa"/>
            <w:vAlign w:val="bottom"/>
          </w:tcPr>
          <w:p>
            <w:pPr>
              <w:ind w:left="80"/>
              <w:spacing w:after="0"/>
              <w:rPr>
                <w:sz w:val="20"/>
                <w:szCs w:val="20"/>
                <w:color w:val="auto"/>
              </w:rPr>
            </w:pPr>
            <w:r>
              <w:rPr>
                <w:rFonts w:ascii="Arial" w:cs="Arial" w:eastAsia="Arial" w:hAnsi="Arial"/>
                <w:sz w:val="16"/>
                <w:szCs w:val="16"/>
                <w:color w:val="auto"/>
              </w:rPr>
              <w:t>North Bethesda, MD</w:t>
            </w:r>
          </w:p>
        </w:tc>
      </w:tr>
      <w:tr>
        <w:trPr>
          <w:trHeight w:val="33"/>
        </w:trPr>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Bala Cynwyd</w:t>
            </w:r>
          </w:p>
        </w:tc>
        <w:tc>
          <w:tcPr>
            <w:tcW w:w="2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San Jose, CA</w:t>
            </w:r>
          </w:p>
        </w:tc>
      </w:tr>
      <w:tr>
        <w:trPr>
          <w:trHeight w:val="216"/>
        </w:trPr>
        <w:tc>
          <w:tcPr>
            <w:tcW w:w="2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w w:val="95"/>
              </w:rPr>
              <w:t>Santana Row - Winchester Theater</w:t>
            </w:r>
          </w:p>
        </w:tc>
        <w:tc>
          <w:tcPr>
            <w:tcW w:w="3920" w:type="dxa"/>
            <w:vAlign w:val="bottom"/>
          </w:tcPr>
          <w:p>
            <w:pPr>
              <w:spacing w:after="0"/>
              <w:rPr>
                <w:sz w:val="18"/>
                <w:szCs w:val="18"/>
                <w:color w:val="auto"/>
              </w:rPr>
            </w:pPr>
          </w:p>
        </w:tc>
      </w:tr>
      <w:tr>
        <w:trPr>
          <w:trHeight w:val="210"/>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Pike 7</w:t>
            </w:r>
          </w:p>
        </w:tc>
        <w:tc>
          <w:tcPr>
            <w:tcW w:w="2280" w:type="dxa"/>
            <w:vAlign w:val="bottom"/>
          </w:tcPr>
          <w:p>
            <w:pPr>
              <w:ind w:left="520"/>
              <w:spacing w:after="0"/>
              <w:rPr>
                <w:sz w:val="20"/>
                <w:szCs w:val="20"/>
                <w:color w:val="auto"/>
              </w:rPr>
            </w:pPr>
            <w:r>
              <w:rPr>
                <w:rFonts w:ascii="Arial" w:cs="Arial" w:eastAsia="Arial" w:hAnsi="Arial"/>
                <w:sz w:val="16"/>
                <w:szCs w:val="16"/>
                <w:color w:val="auto"/>
              </w:rPr>
              <w:t>Vienna, VA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site</w:t>
            </w:r>
          </w:p>
        </w:tc>
        <w:tc>
          <w:tcPr>
            <w:tcW w:w="3920" w:type="dxa"/>
            <w:vAlign w:val="bottom"/>
          </w:tcPr>
          <w:p>
            <w:pPr>
              <w:ind w:left="80"/>
              <w:spacing w:after="0"/>
              <w:rPr>
                <w:sz w:val="20"/>
                <w:szCs w:val="20"/>
                <w:color w:val="auto"/>
              </w:rPr>
            </w:pPr>
            <w:r>
              <w:rPr>
                <w:rFonts w:ascii="Arial" w:cs="Arial" w:eastAsia="Arial" w:hAnsi="Arial"/>
                <w:sz w:val="16"/>
                <w:szCs w:val="16"/>
                <w:color w:val="auto"/>
              </w:rPr>
              <w:t>San Jose, CA</w:t>
            </w:r>
          </w:p>
        </w:tc>
      </w:tr>
      <w:tr>
        <w:trPr>
          <w:trHeight w:val="33"/>
        </w:trPr>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30"/>
        </w:trPr>
        <w:tc>
          <w:tcPr>
            <w:tcW w:w="21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r>
    </w:tbl>
    <w:p>
      <w:pPr>
        <w:spacing w:after="0" w:line="8"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9" w:lineRule="exact"/>
        <w:rPr>
          <w:sz w:val="20"/>
          <w:szCs w:val="20"/>
          <w:color w:val="auto"/>
        </w:rPr>
      </w:pPr>
    </w:p>
    <w:p>
      <w:pPr>
        <w:ind w:left="380" w:hanging="277"/>
        <w:spacing w:after="0"/>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Assembly Row</w:t>
      </w:r>
    </w:p>
    <w:p>
      <w:pPr>
        <w:spacing w:after="0" w:line="178" w:lineRule="exact"/>
        <w:rPr>
          <w:rFonts w:ascii="Arial" w:cs="Arial" w:eastAsia="Arial" w:hAnsi="Arial"/>
          <w:sz w:val="15"/>
          <w:szCs w:val="15"/>
          <w:color w:val="auto"/>
        </w:rPr>
      </w:pPr>
    </w:p>
    <w:p>
      <w:pPr>
        <w:ind w:left="380" w:hanging="277"/>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Pike &amp; Rose</w:t>
      </w:r>
    </w:p>
    <w:p>
      <w:pPr>
        <w:spacing w:after="0" w:line="72" w:lineRule="exact"/>
        <w:rPr>
          <w:rFonts w:ascii="Arial" w:cs="Arial" w:eastAsia="Arial" w:hAnsi="Arial"/>
          <w:sz w:val="16"/>
          <w:szCs w:val="16"/>
          <w:color w:val="auto"/>
        </w:rPr>
      </w:pPr>
    </w:p>
    <w:p>
      <w:pPr>
        <w:ind w:left="380" w:hanging="277"/>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Santana Row</w:t>
      </w:r>
    </w:p>
    <w:p>
      <w:pPr>
        <w:spacing w:after="0" w:line="20" w:lineRule="exact"/>
        <w:rPr>
          <w:sz w:val="20"/>
          <w:szCs w:val="20"/>
          <w:color w:val="auto"/>
        </w:rPr>
      </w:pPr>
      <w:r>
        <w:rPr>
          <w:sz w:val="20"/>
          <w:szCs w:val="20"/>
          <w:color w:val="auto"/>
        </w:rPr>
        <w:br w:type="column"/>
      </w:r>
    </w:p>
    <w:p>
      <w:pPr>
        <w:ind w:right="300"/>
        <w:spacing w:after="0" w:line="253" w:lineRule="auto"/>
        <w:rPr>
          <w:sz w:val="20"/>
          <w:szCs w:val="20"/>
          <w:color w:val="auto"/>
        </w:rPr>
      </w:pPr>
      <w:r>
        <w:rPr>
          <w:rFonts w:ascii="Arial" w:cs="Arial" w:eastAsia="Arial" w:hAnsi="Arial"/>
          <w:sz w:val="14"/>
          <w:szCs w:val="14"/>
          <w:color w:val="auto"/>
        </w:rPr>
        <w:t>Remaining entitlements after Phase I include approximately 3.0 million square feet of commercial-use buildings, 1,393 residential units, and a 170 room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1905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744 residential units.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Current remaining entitlements for this property include 348 residential units and 69,000 square feet of commercial space for retail and office; we are currently seeking additional entitlements.</w:t>
      </w:r>
    </w:p>
    <w:p>
      <w:pPr>
        <w:spacing w:after="0" w:line="200" w:lineRule="exact"/>
        <w:rPr>
          <w:sz w:val="20"/>
          <w:szCs w:val="20"/>
          <w:color w:val="auto"/>
        </w:rPr>
      </w:pPr>
    </w:p>
    <w:p>
      <w:pPr>
        <w:sectPr>
          <w:pgSz w:w="11900" w:h="16838" w:orient="portrait"/>
          <w:cols w:equalWidth="0" w:num="2">
            <w:col w:w="1960" w:space="720"/>
            <w:col w:w="8740"/>
          </w:cols>
          <w:pgMar w:left="240" w:top="747"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7" w:right="239"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Acquisitions and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2014 and 2015 Significant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7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Property</w:t>
            </w: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City/State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Gross Value</w:t>
            </w: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square feet)</w:t>
            </w:r>
          </w:p>
        </w:tc>
        <w:tc>
          <w:tcPr>
            <w:tcW w:w="360" w:type="dxa"/>
            <w:vAlign w:val="bottom"/>
          </w:tcPr>
          <w:p>
            <w:pPr>
              <w:spacing w:after="0"/>
              <w:rPr>
                <w:sz w:val="16"/>
                <w:szCs w:val="16"/>
                <w:color w:val="auto"/>
              </w:rPr>
            </w:pPr>
          </w:p>
        </w:tc>
        <w:tc>
          <w:tcPr>
            <w:tcW w:w="1040" w:type="dxa"/>
            <w:vAlign w:val="bottom"/>
          </w:tcPr>
          <w:p>
            <w:pPr>
              <w:jc w:val="right"/>
              <w:ind w:right="142"/>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80"/>
        </w:trPr>
        <w:tc>
          <w:tcPr>
            <w:tcW w:w="14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40" w:type="dxa"/>
            <w:vAlign w:val="bottom"/>
          </w:tcPr>
          <w:p>
            <w:pPr>
              <w:spacing w:after="0"/>
              <w:rPr>
                <w:sz w:val="6"/>
                <w:szCs w:val="6"/>
                <w:color w:val="auto"/>
              </w:rPr>
            </w:pPr>
          </w:p>
        </w:tc>
      </w:tr>
      <w:tr>
        <w:trPr>
          <w:trHeight w:val="220"/>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2014</w:t>
            </w: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The Grove at Shrewsbury/ Brook</w:t>
            </w:r>
          </w:p>
        </w:tc>
        <w:tc>
          <w:tcPr>
            <w:tcW w:w="1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Shrewsbury, NJ/ Sea</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286,000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6"/>
              </w:rPr>
              <w:t>Anthropologie / Banana Republic /</w:t>
            </w:r>
          </w:p>
        </w:tc>
      </w:tr>
      <w:tr>
        <w:trPr>
          <w:trHeight w:val="203"/>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35</w:t>
            </w:r>
          </w:p>
        </w:tc>
        <w:tc>
          <w:tcPr>
            <w:tcW w:w="1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Girt, NJ</w:t>
            </w: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Brooks Brothers / Coach / Pottery</w:t>
            </w:r>
          </w:p>
        </w:tc>
      </w:tr>
      <w:tr>
        <w:trPr>
          <w:trHeight w:val="219"/>
        </w:trPr>
        <w:tc>
          <w:tcPr>
            <w:tcW w:w="14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Barn / Williams-Sonoma</w:t>
            </w:r>
          </w:p>
        </w:tc>
      </w:tr>
      <w:tr>
        <w:trPr>
          <w:trHeight w:val="220"/>
        </w:trPr>
        <w:tc>
          <w:tcPr>
            <w:tcW w:w="1460" w:type="dxa"/>
            <w:vAlign w:val="bottom"/>
          </w:tcPr>
          <w:p>
            <w:pPr>
              <w:ind w:left="40"/>
              <w:spacing w:after="0"/>
              <w:rPr>
                <w:sz w:val="20"/>
                <w:szCs w:val="20"/>
                <w:color w:val="auto"/>
              </w:rPr>
            </w:pPr>
            <w:r>
              <w:rPr>
                <w:rFonts w:ascii="Arial" w:cs="Arial" w:eastAsia="Arial" w:hAnsi="Arial"/>
                <w:sz w:val="16"/>
                <w:szCs w:val="16"/>
                <w:color w:val="auto"/>
              </w:rPr>
              <w:t>January 2015</w:t>
            </w:r>
          </w:p>
        </w:tc>
        <w:tc>
          <w:tcPr>
            <w:tcW w:w="2700" w:type="dxa"/>
            <w:vAlign w:val="bottom"/>
          </w:tcPr>
          <w:p>
            <w:pPr>
              <w:ind w:left="420"/>
              <w:spacing w:after="0"/>
              <w:rPr>
                <w:sz w:val="20"/>
                <w:szCs w:val="20"/>
                <w:color w:val="auto"/>
              </w:rPr>
            </w:pPr>
            <w:r>
              <w:rPr>
                <w:rFonts w:ascii="Arial" w:cs="Arial" w:eastAsia="Arial" w:hAnsi="Arial"/>
                <w:sz w:val="16"/>
                <w:szCs w:val="16"/>
                <w:color w:val="auto"/>
              </w:rPr>
              <w:t>San Antonio Center</w:t>
            </w:r>
          </w:p>
        </w:tc>
        <w:tc>
          <w:tcPr>
            <w:tcW w:w="1720" w:type="dxa"/>
            <w:vAlign w:val="bottom"/>
          </w:tcPr>
          <w:p>
            <w:pPr>
              <w:ind w:left="120"/>
              <w:spacing w:after="0"/>
              <w:rPr>
                <w:sz w:val="20"/>
                <w:szCs w:val="20"/>
                <w:color w:val="auto"/>
              </w:rPr>
            </w:pPr>
            <w:r>
              <w:rPr>
                <w:rFonts w:ascii="Arial" w:cs="Arial" w:eastAsia="Arial" w:hAnsi="Arial"/>
                <w:sz w:val="16"/>
                <w:szCs w:val="16"/>
                <w:color w:val="auto"/>
              </w:rPr>
              <w:t>Mountain View, CA</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376,000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62.2</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2440" w:type="dxa"/>
            <w:vAlign w:val="bottom"/>
          </w:tcPr>
          <w:p>
            <w:pPr>
              <w:ind w:left="80"/>
              <w:spacing w:after="0"/>
              <w:rPr>
                <w:sz w:val="20"/>
                <w:szCs w:val="20"/>
                <w:color w:val="auto"/>
              </w:rPr>
            </w:pPr>
            <w:r>
              <w:rPr>
                <w:rFonts w:ascii="Arial" w:cs="Arial" w:eastAsia="Arial" w:hAnsi="Arial"/>
                <w:sz w:val="16"/>
                <w:szCs w:val="16"/>
                <w:color w:val="auto"/>
                <w:w w:val="94"/>
              </w:rPr>
              <w:t>Walmart / Kohl's / Trader Joe's / 24</w:t>
            </w:r>
          </w:p>
        </w:tc>
      </w:tr>
      <w:tr>
        <w:trPr>
          <w:trHeight w:val="206"/>
        </w:trPr>
        <w:tc>
          <w:tcPr>
            <w:tcW w:w="1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ind w:left="80"/>
              <w:spacing w:after="0"/>
              <w:rPr>
                <w:sz w:val="20"/>
                <w:szCs w:val="20"/>
                <w:color w:val="auto"/>
              </w:rPr>
            </w:pPr>
            <w:r>
              <w:rPr>
                <w:rFonts w:ascii="Arial" w:cs="Arial" w:eastAsia="Arial" w:hAnsi="Arial"/>
                <w:sz w:val="16"/>
                <w:szCs w:val="16"/>
                <w:color w:val="auto"/>
              </w:rPr>
              <w:t>Hour Fitness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200" w:right="460" w:hanging="3"/>
        <w:spacing w:after="0" w:line="293" w:lineRule="auto"/>
        <w:tabs>
          <w:tab w:leader="none" w:pos="4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economic interest approximates 84% and was funded by the assumption of our share of $68 million of mortgage debt, 632,000 downREIT operating partnership units, and $13 million of cash.</w:t>
      </w:r>
    </w:p>
    <w:p>
      <w:pPr>
        <w:spacing w:after="0" w:line="9" w:lineRule="exact"/>
        <w:rPr>
          <w:rFonts w:ascii="Arial" w:cs="Arial" w:eastAsia="Arial" w:hAnsi="Arial"/>
          <w:sz w:val="16"/>
          <w:szCs w:val="16"/>
          <w:color w:val="auto"/>
        </w:rPr>
      </w:pPr>
    </w:p>
    <w:p>
      <w:pPr>
        <w:ind w:left="200" w:right="60" w:hanging="3"/>
        <w:spacing w:after="0" w:line="278" w:lineRule="auto"/>
        <w:tabs>
          <w:tab w:leader="none" w:pos="4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interest approximates 80% and was funded by the assumption of our share of $19 million of mortgage debt, 58,000 downREIT operating partnership units, and approximately $27 million of cash ($18 million in one closing and $9 million in a second closing). The mortgage debt assumed has a stated interest rate of 5.27% and matures on January 1,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2014 Disposition - 30% Owned Joint Venture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21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Property</w:t>
            </w:r>
          </w:p>
        </w:tc>
        <w:tc>
          <w:tcPr>
            <w:tcW w:w="21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City/State</w:t>
            </w:r>
          </w:p>
        </w:tc>
        <w:tc>
          <w:tcPr>
            <w:tcW w:w="1540" w:type="dxa"/>
            <w:vAlign w:val="bottom"/>
            <w:vMerge w:val="restart"/>
          </w:tcPr>
          <w:p>
            <w:pPr>
              <w:jc w:val="center"/>
              <w:ind w:left="125"/>
              <w:spacing w:after="0"/>
              <w:rPr>
                <w:sz w:val="20"/>
                <w:szCs w:val="20"/>
                <w:color w:val="auto"/>
              </w:rPr>
            </w:pPr>
            <w:r>
              <w:rPr>
                <w:rFonts w:ascii="Arial" w:cs="Arial" w:eastAsia="Arial" w:hAnsi="Arial"/>
                <w:sz w:val="14"/>
                <w:szCs w:val="14"/>
                <w:b w:val="1"/>
                <w:bCs w:val="1"/>
                <w:color w:val="auto"/>
              </w:rPr>
              <w:t>GLA</w:t>
            </w:r>
          </w:p>
        </w:tc>
        <w:tc>
          <w:tcPr>
            <w:tcW w:w="380" w:type="dxa"/>
            <w:vAlign w:val="bottom"/>
          </w:tcPr>
          <w:p>
            <w:pPr>
              <w:spacing w:after="0"/>
              <w:rPr>
                <w:sz w:val="14"/>
                <w:szCs w:val="14"/>
                <w:color w:val="auto"/>
              </w:rPr>
            </w:pPr>
          </w:p>
        </w:tc>
        <w:tc>
          <w:tcPr>
            <w:tcW w:w="1200" w:type="dxa"/>
            <w:vAlign w:val="bottom"/>
            <w:vMerge w:val="restart"/>
          </w:tcPr>
          <w:p>
            <w:pPr>
              <w:jc w:val="center"/>
              <w:ind w:right="225"/>
              <w:spacing w:after="0"/>
              <w:rPr>
                <w:sz w:val="20"/>
                <w:szCs w:val="20"/>
                <w:color w:val="auto"/>
              </w:rPr>
            </w:pPr>
            <w:r>
              <w:rPr>
                <w:rFonts w:ascii="Arial" w:cs="Arial" w:eastAsia="Arial" w:hAnsi="Arial"/>
                <w:sz w:val="14"/>
                <w:szCs w:val="14"/>
                <w:b w:val="1"/>
                <w:bCs w:val="1"/>
                <w:color w:val="auto"/>
                <w:w w:val="88"/>
              </w:rPr>
              <w:t>Sales Price</w:t>
            </w:r>
          </w:p>
        </w:tc>
        <w:tc>
          <w:tcPr>
            <w:tcW w:w="360" w:type="dxa"/>
            <w:vAlign w:val="bottom"/>
          </w:tcPr>
          <w:p>
            <w:pPr>
              <w:spacing w:after="0"/>
              <w:rPr>
                <w:sz w:val="14"/>
                <w:szCs w:val="14"/>
                <w:color w:val="auto"/>
              </w:rPr>
            </w:pPr>
          </w:p>
        </w:tc>
        <w:tc>
          <w:tcPr>
            <w:tcW w:w="94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6"/>
              </w:rPr>
              <w:t>Total Gain</w:t>
            </w:r>
          </w:p>
        </w:tc>
        <w:tc>
          <w:tcPr>
            <w:tcW w:w="180" w:type="dxa"/>
            <w:vAlign w:val="bottom"/>
          </w:tcPr>
          <w:p>
            <w:pPr>
              <w:spacing w:after="0"/>
              <w:rPr>
                <w:sz w:val="14"/>
                <w:szCs w:val="14"/>
                <w:color w:val="auto"/>
              </w:rPr>
            </w:pPr>
          </w:p>
        </w:tc>
        <w:tc>
          <w:tcPr>
            <w:tcW w:w="1100" w:type="dxa"/>
            <w:vAlign w:val="bottom"/>
          </w:tcPr>
          <w:p>
            <w:pPr>
              <w:jc w:val="center"/>
              <w:ind w:right="66"/>
              <w:spacing w:after="0"/>
              <w:rPr>
                <w:sz w:val="20"/>
                <w:szCs w:val="20"/>
                <w:color w:val="auto"/>
              </w:rPr>
            </w:pPr>
            <w:r>
              <w:rPr>
                <w:rFonts w:ascii="Arial" w:cs="Arial" w:eastAsia="Arial" w:hAnsi="Arial"/>
                <w:sz w:val="14"/>
                <w:szCs w:val="14"/>
                <w:b w:val="1"/>
                <w:bCs w:val="1"/>
                <w:color w:val="auto"/>
                <w:w w:val="96"/>
              </w:rPr>
              <w:t>Federal Realty</w:t>
            </w:r>
          </w:p>
        </w:tc>
        <w:tc>
          <w:tcPr>
            <w:tcW w:w="0" w:type="dxa"/>
            <w:vAlign w:val="bottom"/>
          </w:tcPr>
          <w:p>
            <w:pPr>
              <w:spacing w:after="0"/>
              <w:rPr>
                <w:sz w:val="1"/>
                <w:szCs w:val="1"/>
                <w:color w:val="auto"/>
              </w:rPr>
            </w:pPr>
          </w:p>
        </w:tc>
      </w:tr>
      <w:tr>
        <w:trPr>
          <w:trHeight w:val="192"/>
        </w:trPr>
        <w:tc>
          <w:tcPr>
            <w:tcW w:w="14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Share of Gain</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40" w:type="dxa"/>
            <w:vAlign w:val="bottom"/>
          </w:tcPr>
          <w:p>
            <w:pPr>
              <w:jc w:val="center"/>
              <w:ind w:left="125"/>
              <w:spacing w:after="0"/>
              <w:rPr>
                <w:sz w:val="20"/>
                <w:szCs w:val="20"/>
                <w:color w:val="auto"/>
              </w:rPr>
            </w:pPr>
            <w:r>
              <w:rPr>
                <w:rFonts w:ascii="Arial" w:cs="Arial" w:eastAsia="Arial" w:hAnsi="Arial"/>
                <w:sz w:val="14"/>
                <w:szCs w:val="14"/>
                <w:b w:val="1"/>
                <w:bCs w:val="1"/>
                <w:color w:val="auto"/>
                <w:w w:val="93"/>
              </w:rPr>
              <w:t>(in square feet)</w:t>
            </w:r>
          </w:p>
        </w:tc>
        <w:tc>
          <w:tcPr>
            <w:tcW w:w="380" w:type="dxa"/>
            <w:vAlign w:val="bottom"/>
          </w:tcPr>
          <w:p>
            <w:pPr>
              <w:spacing w:after="0"/>
              <w:rPr>
                <w:sz w:val="16"/>
                <w:szCs w:val="16"/>
                <w:color w:val="auto"/>
              </w:rPr>
            </w:pPr>
          </w:p>
        </w:tc>
        <w:tc>
          <w:tcPr>
            <w:tcW w:w="1200" w:type="dxa"/>
            <w:vAlign w:val="bottom"/>
          </w:tcPr>
          <w:p>
            <w:pPr>
              <w:jc w:val="center"/>
              <w:ind w:right="225"/>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94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6"/>
                <w:szCs w:val="16"/>
                <w:color w:val="auto"/>
              </w:rPr>
            </w:pPr>
          </w:p>
        </w:tc>
        <w:tc>
          <w:tcPr>
            <w:tcW w:w="1100" w:type="dxa"/>
            <w:vAlign w:val="bottom"/>
          </w:tcPr>
          <w:p>
            <w:pPr>
              <w:jc w:val="center"/>
              <w:ind w:right="8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24, 2014</w:t>
            </w:r>
          </w:p>
        </w:tc>
        <w:tc>
          <w:tcPr>
            <w:tcW w:w="2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Pleasant Shops</w:t>
            </w:r>
          </w:p>
        </w:tc>
        <w:tc>
          <w:tcPr>
            <w:tcW w:w="21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Weymouth, MA</w:t>
            </w:r>
          </w:p>
        </w:tc>
        <w:tc>
          <w:tcPr>
            <w:tcW w:w="1540" w:type="dxa"/>
            <w:vAlign w:val="bottom"/>
            <w:shd w:val="clear" w:color="auto" w:fill="CCEEFF"/>
          </w:tcPr>
          <w:p>
            <w:pPr>
              <w:jc w:val="center"/>
              <w:ind w:left="125"/>
              <w:spacing w:after="0"/>
              <w:rPr>
                <w:sz w:val="20"/>
                <w:szCs w:val="20"/>
                <w:color w:val="auto"/>
              </w:rPr>
            </w:pPr>
            <w:r>
              <w:rPr>
                <w:rFonts w:ascii="Arial" w:cs="Arial" w:eastAsia="Arial" w:hAnsi="Arial"/>
                <w:sz w:val="16"/>
                <w:szCs w:val="16"/>
                <w:color w:val="auto"/>
                <w:w w:val="93"/>
              </w:rPr>
              <w:t>131,000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34.3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7"/>
        </w:trPr>
        <w:tc>
          <w:tcPr>
            <w:tcW w:w="140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58"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 PSF</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4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Year Acquired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1540" w:type="dxa"/>
            <w:vAlign w:val="bottom"/>
            <w:gridSpan w:val="2"/>
          </w:tcPr>
          <w:p>
            <w:pPr>
              <w:jc w:val="right"/>
              <w:ind w:right="37"/>
              <w:spacing w:after="0" w:line="148" w:lineRule="exact"/>
              <w:rPr>
                <w:sz w:val="20"/>
                <w:szCs w:val="20"/>
                <w:color w:val="auto"/>
              </w:rPr>
            </w:pPr>
            <w:r>
              <w:rPr>
                <w:rFonts w:ascii="Arial" w:cs="Arial" w:eastAsia="Arial" w:hAnsi="Arial"/>
                <w:sz w:val="13"/>
                <w:szCs w:val="13"/>
                <w:color w:val="auto"/>
              </w:rPr>
              <w:t>1993- $ 223,211</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$48.08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Apple Computer / Barnes &amp; Noble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w w:val="89"/>
              </w:rPr>
              <w:t>2006/2008/2010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Equinox / Landmark Theater</w:t>
            </w: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80,018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35.73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The Fresh</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Buy Buy Baby / Container Store / Last Call</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Studio by Neiman Marcus</w:t>
            </w: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580" w:type="dxa"/>
            <w:vAlign w:val="bottom"/>
          </w:tcPr>
          <w:p>
            <w:pPr>
              <w:jc w:val="right"/>
              <w:spacing w:after="0"/>
              <w:rPr>
                <w:sz w:val="20"/>
                <w:szCs w:val="20"/>
                <w:color w:val="auto"/>
              </w:rPr>
            </w:pPr>
            <w:r>
              <w:rPr>
                <w:rFonts w:ascii="Arial" w:cs="Arial" w:eastAsia="Arial" w:hAnsi="Arial"/>
                <w:sz w:val="13"/>
                <w:szCs w:val="13"/>
                <w:color w:val="auto"/>
              </w:rPr>
              <w:t>67%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23.53</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89"/>
              </w:rPr>
              <w:t>Falls Plaza/Falls Plaza-East</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12,855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33.13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Federal Plaza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1989</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65,810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33.78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95"/>
              </w:rPr>
              <w:t>TJ Maxx / Micro Center / Ross Dress For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Less</w:t>
            </w: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37,498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28.12</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w:t>
            </w: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25,782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26.55</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88"/>
              </w:rPr>
              <w:t>Bed, Bath &amp; Beyond / Ross Dress For Less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Ashley Furniture HomeStore</w:t>
            </w:r>
          </w:p>
        </w:tc>
      </w:tr>
      <w:tr>
        <w:trPr>
          <w:trHeight w:val="181"/>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33,869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1994</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16,724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45.04</w:t>
            </w:r>
          </w:p>
        </w:tc>
        <w:tc>
          <w:tcPr>
            <w:tcW w:w="600" w:type="dxa"/>
            <w:vAlign w:val="bottom"/>
          </w:tcPr>
          <w:p>
            <w:pPr>
              <w:ind w:left="60"/>
              <w:spacing w:after="0"/>
              <w:rPr>
                <w:sz w:val="20"/>
                <w:szCs w:val="20"/>
                <w:color w:val="auto"/>
              </w:rPr>
            </w:pPr>
            <w:r>
              <w:rPr>
                <w:rFonts w:ascii="Arial" w:cs="Arial" w:eastAsia="Arial" w:hAnsi="Arial"/>
                <w:sz w:val="13"/>
                <w:szCs w:val="13"/>
                <w:color w:val="auto"/>
              </w:rPr>
              <w:t>30,000</w:t>
            </w:r>
          </w:p>
        </w:tc>
        <w:tc>
          <w:tcPr>
            <w:tcW w:w="800" w:type="dxa"/>
            <w:vAlign w:val="bottom"/>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52,957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35,635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22.86</w:t>
            </w:r>
          </w:p>
        </w:tc>
        <w:tc>
          <w:tcPr>
            <w:tcW w:w="600" w:type="dxa"/>
            <w:vAlign w:val="bottom"/>
          </w:tcPr>
          <w:p>
            <w:pPr>
              <w:ind w:left="60"/>
              <w:spacing w:after="0"/>
              <w:rPr>
                <w:sz w:val="20"/>
                <w:szCs w:val="20"/>
                <w:color w:val="auto"/>
              </w:rPr>
            </w:pPr>
            <w:r>
              <w:rPr>
                <w:rFonts w:ascii="Arial" w:cs="Arial" w:eastAsia="Arial" w:hAnsi="Arial"/>
                <w:sz w:val="13"/>
                <w:szCs w:val="13"/>
                <w:color w:val="auto"/>
              </w:rPr>
              <w:t>55,000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rPr>
                <w:sz w:val="20"/>
                <w:szCs w:val="20"/>
                <w:color w:val="auto"/>
              </w:rPr>
            </w:pPr>
            <w:r>
              <w:rPr>
                <w:rFonts w:ascii="Arial" w:cs="Arial" w:eastAsia="Arial" w:hAnsi="Arial"/>
                <w:sz w:val="13"/>
                <w:szCs w:val="13"/>
                <w:color w:val="auto"/>
                <w:w w:val="99"/>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48"/>
        </w:trPr>
        <w:tc>
          <w:tcPr>
            <w:tcW w:w="15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Montrose Crossing</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2011/2013</w:t>
            </w: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153,106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75,867</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24.55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73,000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Marshalls / Sports Authority / Barnes &amp;</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Noble / A.C. Moore</w:t>
            </w: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82,270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17.23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Bed, Bath &amp; Beyond / Michaels / Home</w:t>
            </w:r>
          </w:p>
        </w:tc>
      </w:tr>
      <w:tr>
        <w:trPr>
          <w:trHeight w:val="135"/>
        </w:trPr>
        <w:tc>
          <w:tcPr>
            <w:tcW w:w="15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Valley/7770 Richmond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340" w:type="dxa"/>
            <w:vAlign w:val="bottom"/>
          </w:tcPr>
          <w:p>
            <w:pPr>
              <w:ind w:left="60"/>
              <w:spacing w:after="0" w:line="135" w:lineRule="exact"/>
              <w:rPr>
                <w:sz w:val="20"/>
                <w:szCs w:val="20"/>
                <w:color w:val="auto"/>
              </w:rPr>
            </w:pPr>
            <w:r>
              <w:rPr>
                <w:rFonts w:ascii="Arial" w:cs="Arial" w:eastAsia="Arial" w:hAnsi="Arial"/>
                <w:sz w:val="13"/>
                <w:szCs w:val="13"/>
                <w:color w:val="auto"/>
                <w:w w:val="99"/>
              </w:rPr>
              <w:t>Depot / TJ Maxx / Gold's Gym / Staples</w:t>
            </w:r>
          </w:p>
        </w:tc>
      </w:tr>
      <w:tr>
        <w:trPr>
          <w:trHeight w:val="168"/>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340" w:type="dxa"/>
            <w:vAlign w:val="bottom"/>
          </w:tcPr>
          <w:p>
            <w:pPr>
              <w:spacing w:after="0"/>
              <w:rPr>
                <w:sz w:val="14"/>
                <w:szCs w:val="14"/>
                <w:color w:val="auto"/>
              </w:rPr>
            </w:pPr>
          </w:p>
        </w:tc>
      </w:tr>
      <w:tr>
        <w:trPr>
          <w:trHeight w:val="181"/>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6,380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36.35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28,801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21.95</w:t>
            </w:r>
          </w:p>
        </w:tc>
        <w:tc>
          <w:tcPr>
            <w:tcW w:w="600" w:type="dxa"/>
            <w:vAlign w:val="bottom"/>
          </w:tcPr>
          <w:p>
            <w:pPr>
              <w:ind w:left="60"/>
              <w:spacing w:after="0"/>
              <w:rPr>
                <w:sz w:val="20"/>
                <w:szCs w:val="20"/>
                <w:color w:val="auto"/>
              </w:rPr>
            </w:pPr>
            <w:r>
              <w:rPr>
                <w:rFonts w:ascii="Arial" w:cs="Arial" w:eastAsia="Arial" w:hAnsi="Arial"/>
                <w:sz w:val="13"/>
                <w:szCs w:val="13"/>
                <w:color w:val="auto"/>
              </w:rPr>
              <w:t>65,000</w:t>
            </w:r>
          </w:p>
        </w:tc>
        <w:tc>
          <w:tcPr>
            <w:tcW w:w="800" w:type="dxa"/>
            <w:vAlign w:val="bottom"/>
          </w:tcPr>
          <w:p>
            <w:pPr>
              <w:ind w:left="80"/>
              <w:spacing w:after="0"/>
              <w:rPr>
                <w:sz w:val="20"/>
                <w:szCs w:val="20"/>
                <w:color w:val="auto"/>
              </w:rPr>
            </w:pPr>
            <w:r>
              <w:rPr>
                <w:rFonts w:ascii="Arial" w:cs="Arial" w:eastAsia="Arial" w:hAnsi="Arial"/>
                <w:sz w:val="13"/>
                <w:szCs w:val="13"/>
                <w:color w:val="auto"/>
              </w:rPr>
              <w:t>Safeway</w:t>
            </w:r>
          </w:p>
        </w:tc>
        <w:tc>
          <w:tcPr>
            <w:tcW w:w="2340" w:type="dxa"/>
            <w:vAlign w:val="bottom"/>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98,480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Harris Teeter</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L.A. Fitness / 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Pike &amp; Rose</w:t>
            </w:r>
          </w:p>
        </w:tc>
        <w:tc>
          <w:tcPr>
            <w:tcW w:w="280" w:type="dxa"/>
            <w:vAlign w:val="bottom"/>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w w:val="89"/>
              </w:rPr>
              <w:t>1982/2007/2012</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282,801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44.96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iPic Theaters / Gap / Gap Kids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36,228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42.52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33,024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84%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21.86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49,950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4,508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1971</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9,844</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22,130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12,497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Tower Shopping Center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21,403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109,000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25.04</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800" w:type="dxa"/>
            <w:vAlign w:val="bottom"/>
          </w:tcPr>
          <w:p>
            <w:pPr>
              <w:ind w:left="80"/>
              <w:spacing w:after="0"/>
              <w:rPr>
                <w:sz w:val="20"/>
                <w:szCs w:val="20"/>
                <w:color w:val="auto"/>
              </w:rPr>
            </w:pPr>
            <w:r>
              <w:rPr>
                <w:rFonts w:ascii="Arial" w:cs="Arial" w:eastAsia="Arial" w:hAnsi="Arial"/>
                <w:sz w:val="13"/>
                <w:szCs w:val="13"/>
                <w:color w:val="auto"/>
              </w:rPr>
              <w:t>L.A. Mart</w:t>
            </w:r>
          </w:p>
        </w:tc>
        <w:tc>
          <w:tcPr>
            <w:tcW w:w="2340" w:type="dxa"/>
            <w:vAlign w:val="bottom"/>
          </w:tcPr>
          <w:p>
            <w:pPr>
              <w:ind w:left="60"/>
              <w:spacing w:after="0"/>
              <w:rPr>
                <w:sz w:val="20"/>
                <w:szCs w:val="20"/>
                <w:color w:val="auto"/>
              </w:rPr>
            </w:pPr>
            <w:r>
              <w:rPr>
                <w:rFonts w:ascii="Arial" w:cs="Arial" w:eastAsia="Arial" w:hAnsi="Arial"/>
                <w:sz w:val="13"/>
                <w:szCs w:val="13"/>
                <w:color w:val="auto"/>
              </w:rPr>
              <w:t>Talbots / Total Wine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4,520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7"/>
              </w:rPr>
              <w:t>Trader Joe's</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80" w:type="dxa"/>
            <w:vAlign w:val="bottom"/>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1995</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59,933</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6,491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34.66</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4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18,526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22,420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90.51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Total Washington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1,486,883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5,383,000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31.51</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149"/>
        </w:trPr>
        <w:tc>
          <w:tcPr>
            <w:tcW w:w="4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9"/>
              </w:rPr>
              <w:t>Philadelphia Metropolitan Area</w:t>
            </w:r>
          </w:p>
        </w:tc>
        <w:tc>
          <w:tcPr>
            <w:tcW w:w="1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340" w:type="dxa"/>
            <w:vAlign w:val="bottom"/>
            <w:tcBorders>
              <w:bottom w:val="single" w:sz="8" w:color="CCEEFF"/>
            </w:tcBorders>
            <w:shd w:val="clear" w:color="auto" w:fill="CCEEFF"/>
          </w:tcPr>
          <w:p>
            <w:pPr>
              <w:spacing w:after="0"/>
              <w:rPr>
                <w:sz w:val="12"/>
                <w:szCs w:val="12"/>
                <w:color w:val="auto"/>
              </w:rPr>
            </w:pPr>
          </w:p>
        </w:tc>
      </w:tr>
      <w:tr>
        <w:trPr>
          <w:trHeight w:val="102"/>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25,653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15.64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tcPr>
          <w:p>
            <w:pPr>
              <w:spacing w:after="0"/>
              <w:rPr>
                <w:sz w:val="14"/>
                <w:szCs w:val="14"/>
                <w:color w:val="auto"/>
              </w:rPr>
            </w:pP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40,218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spacing w:after="0"/>
              <w:rPr>
                <w:sz w:val="15"/>
                <w:szCs w:val="15"/>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Ellisburg</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1992</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34,155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15.35</w:t>
            </w:r>
          </w:p>
        </w:tc>
        <w:tc>
          <w:tcPr>
            <w:tcW w:w="600" w:type="dxa"/>
            <w:vAlign w:val="bottom"/>
          </w:tcPr>
          <w:p>
            <w:pPr>
              <w:ind w:left="60"/>
              <w:spacing w:after="0"/>
              <w:rPr>
                <w:sz w:val="20"/>
                <w:szCs w:val="20"/>
                <w:color w:val="auto"/>
              </w:rPr>
            </w:pPr>
            <w:r>
              <w:rPr>
                <w:rFonts w:ascii="Arial" w:cs="Arial" w:eastAsia="Arial" w:hAnsi="Arial"/>
                <w:sz w:val="13"/>
                <w:szCs w:val="13"/>
                <w:color w:val="auto"/>
              </w:rPr>
              <w:t>47,000</w:t>
            </w:r>
          </w:p>
        </w:tc>
        <w:tc>
          <w:tcPr>
            <w:tcW w:w="800" w:type="dxa"/>
            <w:vAlign w:val="bottom"/>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14,298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20.67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21,776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15.93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Mkts.</w:t>
            </w:r>
          </w:p>
        </w:tc>
        <w:tc>
          <w:tcPr>
            <w:tcW w:w="2340" w:type="dxa"/>
            <w:vAlign w:val="bottom"/>
          </w:tcPr>
          <w:p>
            <w:pPr>
              <w:spacing w:after="0"/>
              <w:rPr>
                <w:sz w:val="14"/>
                <w:szCs w:val="14"/>
                <w:color w:val="auto"/>
              </w:rPr>
            </w:pP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31,961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25,507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w:t>
            </w: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Northeast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24,864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12.56</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96"/>
              </w:rPr>
              <w:t>Burlington Coat Factory / Home Gallery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Marshalls</w:t>
            </w: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Town Center of New</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14,631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17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1984</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29,961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19.42</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3"/>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40,622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25,994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Total Philadelphia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278,139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2,436,000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18.25</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340" w:type="dxa"/>
            <w:vAlign w:val="bottom"/>
            <w:tcBorders>
              <w:top w:val="single" w:sz="8" w:color="CCEEFF"/>
            </w:tcBorders>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88"/>
              </w:rPr>
              <w:t>Los Angeles-Long Beach,</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18,120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39.48</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CA</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81"/>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 Commons</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Ramon, CA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86,735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 / Sports Authority</w:t>
            </w:r>
          </w:p>
        </w:tc>
      </w:tr>
      <w:tr>
        <w:trPr>
          <w:trHeight w:val="43"/>
        </w:trPr>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59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595"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46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70"/>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East Bay Bridge</w:t>
            </w: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w w:val="98"/>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168,509</w:t>
            </w:r>
          </w:p>
        </w:tc>
        <w:tc>
          <w:tcPr>
            <w:tcW w:w="66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60" w:type="dxa"/>
            <w:vAlign w:val="bottom"/>
          </w:tcPr>
          <w:p>
            <w:pPr>
              <w:jc w:val="right"/>
              <w:spacing w:after="0"/>
              <w:rPr>
                <w:sz w:val="20"/>
                <w:szCs w:val="20"/>
                <w:color w:val="auto"/>
              </w:rPr>
            </w:pPr>
            <w:r>
              <w:rPr>
                <w:rFonts w:ascii="Arial" w:cs="Arial" w:eastAsia="Arial" w:hAnsi="Arial"/>
                <w:sz w:val="13"/>
                <w:szCs w:val="13"/>
                <w:color w:val="auto"/>
              </w:rPr>
              <w:t>89%</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15.71</w:t>
            </w:r>
          </w:p>
        </w:tc>
        <w:tc>
          <w:tcPr>
            <w:tcW w:w="580" w:type="dxa"/>
            <w:vAlign w:val="bottom"/>
          </w:tcPr>
          <w:p>
            <w:pPr>
              <w:ind w:left="60"/>
              <w:spacing w:after="0"/>
              <w:rPr>
                <w:sz w:val="20"/>
                <w:szCs w:val="20"/>
                <w:color w:val="auto"/>
              </w:rPr>
            </w:pPr>
            <w:r>
              <w:rPr>
                <w:rFonts w:ascii="Arial" w:cs="Arial" w:eastAsia="Arial" w:hAnsi="Arial"/>
                <w:sz w:val="13"/>
                <w:szCs w:val="13"/>
                <w:color w:val="auto"/>
              </w:rPr>
              <w:t>59,000</w:t>
            </w:r>
          </w:p>
        </w:tc>
        <w:tc>
          <w:tcPr>
            <w:tcW w:w="860" w:type="dxa"/>
            <w:vAlign w:val="bottom"/>
          </w:tcPr>
          <w:p>
            <w:pPr>
              <w:ind w:left="100"/>
              <w:spacing w:after="0"/>
              <w:rPr>
                <w:sz w:val="20"/>
                <w:szCs w:val="20"/>
                <w:color w:val="auto"/>
              </w:rPr>
            </w:pPr>
            <w:r>
              <w:rPr>
                <w:rFonts w:ascii="Arial" w:cs="Arial" w:eastAsia="Arial" w:hAnsi="Arial"/>
                <w:sz w:val="13"/>
                <w:szCs w:val="13"/>
                <w:color w:val="auto"/>
              </w:rPr>
              <w:t>Pak-N-Save</w:t>
            </w:r>
          </w:p>
        </w:tc>
        <w:tc>
          <w:tcPr>
            <w:tcW w:w="2460" w:type="dxa"/>
            <w:vAlign w:val="bottom"/>
          </w:tcPr>
          <w:p>
            <w:pPr>
              <w:ind w:left="2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 Promenade</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47,064</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23.58</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TJ Maxx / Toys R Us / Dick’s Sporting Goods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Ross Dress For Less</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Hermosa Avenue</w:t>
            </w:r>
          </w:p>
        </w:tc>
        <w:tc>
          <w:tcPr>
            <w:tcW w:w="3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5,881</w:t>
            </w:r>
          </w:p>
        </w:tc>
        <w:tc>
          <w:tcPr>
            <w:tcW w:w="6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36.92</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46,949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30.53</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4"/>
              </w:rPr>
              <w:t>Fresh &amp; Easy</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DSW / L.A. Fitness / Marshalls / La La Land</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11,608</w:t>
            </w:r>
          </w:p>
        </w:tc>
        <w:tc>
          <w:tcPr>
            <w:tcW w:w="6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31.11</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Lunardi's</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w w:val="94"/>
              </w:rPr>
              <w:t>Super Market</w:t>
            </w:r>
          </w:p>
        </w:tc>
        <w:tc>
          <w:tcPr>
            <w:tcW w:w="246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3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37,822</w:t>
            </w: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37.26</w:t>
            </w: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(5)</w:t>
            </w: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252,559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37.88</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w w:val="96"/>
              </w:rPr>
              <w:t>Whole Foods</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w w:val="95"/>
              </w:rPr>
              <w:t>Anthropologie / Best Buy / Container Store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w:t>
            </w:r>
          </w:p>
        </w:tc>
        <w:tc>
          <w:tcPr>
            <w:tcW w:w="146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w w:val="96"/>
              </w:rPr>
              <w:t>Dick's Sporting Goods / H&amp;M / HomeGoods</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693,563</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49.44</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Crate &amp; Barrel / Container Store / Best Buy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CineArts Theatre / Hotel Valencia / H&amp;M</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Third Street Promenade</w:t>
            </w:r>
          </w:p>
        </w:tc>
        <w:tc>
          <w:tcPr>
            <w:tcW w:w="3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1996-2000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78,348</w:t>
            </w:r>
          </w:p>
        </w:tc>
        <w:tc>
          <w:tcPr>
            <w:tcW w:w="6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69.57</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J. Crew / Banana Republic / Old Navy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Abercrombie &amp; Fitch</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141,881</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38,000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Walmart</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Target / Burlington Coat Factory / Ross Dress</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0"/>
              </w:rPr>
              <w:t>Neighborhood</w:t>
            </w:r>
          </w:p>
        </w:tc>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For Less / Michaels / Nordstrom Rack / Nike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Factory / J. Crew / Gap Factory Store</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150 Post Street</w:t>
            </w:r>
          </w:p>
        </w:tc>
        <w:tc>
          <w:tcPr>
            <w:tcW w:w="3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37,216</w:t>
            </w:r>
          </w:p>
        </w:tc>
        <w:tc>
          <w:tcPr>
            <w:tcW w:w="6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104,000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60" w:type="dxa"/>
            <w:vAlign w:val="bottom"/>
          </w:tcPr>
          <w:p>
            <w:pPr>
              <w:jc w:val="right"/>
              <w:spacing w:after="0"/>
              <w:rPr>
                <w:sz w:val="20"/>
                <w:szCs w:val="20"/>
                <w:color w:val="auto"/>
              </w:rPr>
            </w:pPr>
            <w:r>
              <w:rPr>
                <w:rFonts w:ascii="Arial" w:cs="Arial" w:eastAsia="Arial" w:hAnsi="Arial"/>
                <w:sz w:val="13"/>
                <w:szCs w:val="13"/>
                <w:color w:val="auto"/>
              </w:rPr>
              <w:t>97%</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44.73</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H&amp;M</w:t>
            </w:r>
          </w:p>
        </w:tc>
      </w:tr>
      <w:tr>
        <w:trPr>
          <w:trHeight w:val="97"/>
        </w:trPr>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24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1,626,255</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3,411,000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32.64</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w w:val="98"/>
              </w:rPr>
              <w:t>NY Metro / New Jersey</w:t>
            </w: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Brick Plaza</w:t>
            </w:r>
          </w:p>
        </w:tc>
        <w:tc>
          <w:tcPr>
            <w:tcW w:w="3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Monmouth-Ocean,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1989</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60,485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26,415</w:t>
            </w: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422,000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17.12</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66,000</w:t>
            </w:r>
          </w:p>
        </w:tc>
        <w:tc>
          <w:tcPr>
            <w:tcW w:w="8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A&amp;P</w:t>
            </w: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AMC Loews / Barnes &amp; Noble / Sports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Authority</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Brook 35</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(5)</w:t>
            </w: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7"/>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46,056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33.31</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Ann Taylor / Banana Republic / Coach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60" w:type="dxa"/>
            <w:vAlign w:val="bottom"/>
          </w:tcPr>
          <w:p>
            <w:pPr>
              <w:ind w:left="60"/>
              <w:spacing w:after="0" w:line="135" w:lineRule="exact"/>
              <w:rPr>
                <w:sz w:val="20"/>
                <w:szCs w:val="20"/>
                <w:color w:val="auto"/>
              </w:rPr>
            </w:pPr>
            <w:r>
              <w:rPr>
                <w:rFonts w:ascii="Arial" w:cs="Arial" w:eastAsia="Arial" w:hAnsi="Arial"/>
                <w:sz w:val="13"/>
                <w:szCs w:val="13"/>
                <w:color w:val="auto"/>
                <w:w w:val="98"/>
              </w:rPr>
              <w:t>Jersey-Long Island, NY-</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Williams-Sonoma</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NJ-PA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48,132</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28.04</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Stop &amp; Shop</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Fresh Meadows</w:t>
            </w:r>
          </w:p>
        </w:tc>
        <w:tc>
          <w:tcPr>
            <w:tcW w:w="3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79,995</w:t>
            </w:r>
          </w:p>
        </w:tc>
        <w:tc>
          <w:tcPr>
            <w:tcW w:w="6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29.56</w:t>
            </w:r>
          </w:p>
        </w:tc>
        <w:tc>
          <w:tcPr>
            <w:tcW w:w="580" w:type="dxa"/>
            <w:vAlign w:val="bottom"/>
          </w:tcPr>
          <w:p>
            <w:pPr>
              <w:ind w:left="60"/>
              <w:spacing w:after="0"/>
              <w:rPr>
                <w:sz w:val="20"/>
                <w:szCs w:val="20"/>
                <w:color w:val="auto"/>
              </w:rPr>
            </w:pPr>
            <w:r>
              <w:rPr>
                <w:rFonts w:ascii="Arial" w:cs="Arial" w:eastAsia="Arial" w:hAnsi="Arial"/>
                <w:sz w:val="13"/>
                <w:szCs w:val="13"/>
                <w:color w:val="auto"/>
              </w:rPr>
              <w:t>15,000</w:t>
            </w:r>
          </w:p>
        </w:tc>
        <w:tc>
          <w:tcPr>
            <w:tcW w:w="860" w:type="dxa"/>
            <w:vAlign w:val="bottom"/>
          </w:tcPr>
          <w:p>
            <w:pPr>
              <w:ind w:left="100"/>
              <w:spacing w:after="0"/>
              <w:rPr>
                <w:sz w:val="20"/>
                <w:szCs w:val="20"/>
                <w:color w:val="auto"/>
              </w:rPr>
            </w:pPr>
            <w:r>
              <w:rPr>
                <w:rFonts w:ascii="Arial" w:cs="Arial" w:eastAsia="Arial" w:hAnsi="Arial"/>
                <w:sz w:val="13"/>
                <w:szCs w:val="13"/>
                <w:color w:val="auto"/>
                <w:w w:val="92"/>
              </w:rPr>
              <w:t>Island of Gold</w:t>
            </w:r>
          </w:p>
        </w:tc>
        <w:tc>
          <w:tcPr>
            <w:tcW w:w="2460" w:type="dxa"/>
            <w:vAlign w:val="bottom"/>
          </w:tcPr>
          <w:p>
            <w:pPr>
              <w:ind w:left="20"/>
              <w:spacing w:after="0"/>
              <w:rPr>
                <w:sz w:val="20"/>
                <w:szCs w:val="20"/>
                <w:color w:val="auto"/>
              </w:rPr>
            </w:pPr>
            <w:r>
              <w:rPr>
                <w:rFonts w:ascii="Arial" w:cs="Arial" w:eastAsia="Arial" w:hAnsi="Arial"/>
                <w:sz w:val="13"/>
                <w:szCs w:val="13"/>
                <w:color w:val="auto"/>
              </w:rPr>
              <w:t>AMC Loews / Kohl's / Michaels / Modell's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61.00</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Hauppauge</w:t>
            </w:r>
          </w:p>
        </w:tc>
        <w:tc>
          <w:tcPr>
            <w:tcW w:w="3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28,113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13,566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134,000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60" w:type="dxa"/>
            <w:vAlign w:val="bottom"/>
          </w:tcPr>
          <w:p>
            <w:pPr>
              <w:jc w:val="right"/>
              <w:spacing w:after="0"/>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27.77</w:t>
            </w:r>
          </w:p>
        </w:tc>
        <w:tc>
          <w:tcPr>
            <w:tcW w:w="580" w:type="dxa"/>
            <w:vAlign w:val="bottom"/>
          </w:tcPr>
          <w:p>
            <w:pPr>
              <w:ind w:left="60"/>
              <w:spacing w:after="0"/>
              <w:rPr>
                <w:sz w:val="20"/>
                <w:szCs w:val="20"/>
                <w:color w:val="auto"/>
              </w:rPr>
            </w:pPr>
            <w:r>
              <w:rPr>
                <w:rFonts w:ascii="Arial" w:cs="Arial" w:eastAsia="Arial" w:hAnsi="Arial"/>
                <w:sz w:val="13"/>
                <w:szCs w:val="13"/>
                <w:color w:val="auto"/>
              </w:rPr>
              <w:t>61,000</w:t>
            </w:r>
          </w:p>
        </w:tc>
        <w:tc>
          <w:tcPr>
            <w:tcW w:w="860" w:type="dxa"/>
            <w:vAlign w:val="bottom"/>
          </w:tcPr>
          <w:p>
            <w:pPr>
              <w:ind w:left="100"/>
              <w:spacing w:after="0"/>
              <w:rPr>
                <w:sz w:val="20"/>
                <w:szCs w:val="20"/>
                <w:color w:val="auto"/>
              </w:rPr>
            </w:pPr>
            <w:r>
              <w:rPr>
                <w:rFonts w:ascii="Arial" w:cs="Arial" w:eastAsia="Arial" w:hAnsi="Arial"/>
                <w:sz w:val="13"/>
                <w:szCs w:val="13"/>
                <w:color w:val="auto"/>
              </w:rPr>
              <w:t>Shop Rite</w:t>
            </w:r>
          </w:p>
        </w:tc>
        <w:tc>
          <w:tcPr>
            <w:tcW w:w="2460" w:type="dxa"/>
            <w:vAlign w:val="bottom"/>
          </w:tcPr>
          <w:p>
            <w:pPr>
              <w:ind w:left="20"/>
              <w:spacing w:after="0"/>
              <w:rPr>
                <w:sz w:val="20"/>
                <w:szCs w:val="20"/>
                <w:color w:val="auto"/>
              </w:rPr>
            </w:pPr>
            <w:r>
              <w:rPr>
                <w:rFonts w:ascii="Arial" w:cs="Arial" w:eastAsia="Arial" w:hAnsi="Arial"/>
                <w:sz w:val="13"/>
                <w:szCs w:val="13"/>
                <w:color w:val="auto"/>
              </w:rPr>
              <w:t>A.C. Moore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3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43,763</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25.66</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Buy Buy Baby / Bed, Bath &amp; Beyond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Michaels / Nordstrom Rack</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Huntington Square</w:t>
            </w:r>
          </w:p>
        </w:tc>
        <w:tc>
          <w:tcPr>
            <w:tcW w:w="3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12,382</w:t>
            </w:r>
          </w:p>
        </w:tc>
        <w:tc>
          <w:tcPr>
            <w:tcW w:w="6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26.67</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Barnes &amp; Noble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96"/>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3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69,905</w:t>
            </w: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246,000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22.49</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Waldbaum's</w:t>
            </w: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Dick’s Sporting Goods / Marshalls</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Mercer Mall</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(8)</w:t>
            </w: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115,724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55,741</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24.25</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75,000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Shop Rite</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Bed, Bath &amp; Beyond / DSW / TJ Maxx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Raymour &amp; Flanigan</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7"/>
              </w:rPr>
              <w:t>The Grove at Shrewsbury</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New York-Northern New</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121,537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55,761</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41.94</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Lululemon / Brooks Brothers / Anthropologie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w:t>
            </w:r>
          </w:p>
        </w:tc>
        <w:tc>
          <w:tcPr>
            <w:tcW w:w="14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8"/>
              </w:rPr>
              <w:t>Jersey-Long Island, NY-</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Pottery Barn / J. Crew / Banana Republic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NJ-PA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Williams-Sonoma</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3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29,972</w:t>
            </w:r>
          </w:p>
        </w:tc>
        <w:tc>
          <w:tcPr>
            <w:tcW w:w="6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60" w:type="dxa"/>
            <w:vAlign w:val="bottom"/>
          </w:tcPr>
          <w:p>
            <w:pPr>
              <w:jc w:val="right"/>
              <w:spacing w:after="0"/>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21.17</w:t>
            </w:r>
          </w:p>
        </w:tc>
        <w:tc>
          <w:tcPr>
            <w:tcW w:w="580" w:type="dxa"/>
            <w:vAlign w:val="bottom"/>
          </w:tcPr>
          <w:p>
            <w:pPr>
              <w:ind w:left="60"/>
              <w:spacing w:after="0"/>
              <w:rPr>
                <w:sz w:val="20"/>
                <w:szCs w:val="20"/>
                <w:color w:val="auto"/>
              </w:rPr>
            </w:pPr>
            <w:r>
              <w:rPr>
                <w:rFonts w:ascii="Arial" w:cs="Arial" w:eastAsia="Arial" w:hAnsi="Arial"/>
                <w:sz w:val="13"/>
                <w:szCs w:val="13"/>
                <w:color w:val="auto"/>
              </w:rPr>
              <w:t>64,000</w:t>
            </w:r>
          </w:p>
        </w:tc>
        <w:tc>
          <w:tcPr>
            <w:tcW w:w="860" w:type="dxa"/>
            <w:vAlign w:val="bottom"/>
          </w:tcPr>
          <w:p>
            <w:pPr>
              <w:ind w:left="100"/>
              <w:spacing w:after="0"/>
              <w:rPr>
                <w:sz w:val="20"/>
                <w:szCs w:val="20"/>
                <w:color w:val="auto"/>
              </w:rPr>
            </w:pPr>
            <w:r>
              <w:rPr>
                <w:rFonts w:ascii="Arial" w:cs="Arial" w:eastAsia="Arial" w:hAnsi="Arial"/>
                <w:sz w:val="13"/>
                <w:szCs w:val="13"/>
                <w:color w:val="auto"/>
              </w:rPr>
              <w:t>Pathmark</w:t>
            </w:r>
          </w:p>
        </w:tc>
        <w:tc>
          <w:tcPr>
            <w:tcW w:w="2460" w:type="dxa"/>
            <w:vAlign w:val="bottom"/>
          </w:tcPr>
          <w:p>
            <w:pPr>
              <w:ind w:left="2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r>
      <w:tr>
        <w:trPr>
          <w:trHeight w:val="129"/>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Total NY Metro/New</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670,033</w:t>
            </w: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9"/>
              </w:rPr>
              <w:t>2,688,000</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26.42</w:t>
            </w: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Jersey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England</w:t>
            </w: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Assembly Row / Assembly</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w:t>
            </w: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2005-2011/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433,302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657,000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22.49</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AMC Theatres / LEGOLAND Discovery</w:t>
            </w:r>
          </w:p>
        </w:tc>
      </w:tr>
      <w:tr>
        <w:trPr>
          <w:trHeight w:val="135"/>
        </w:trPr>
        <w:tc>
          <w:tcPr>
            <w:tcW w:w="150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Square Marketplace</w:t>
            </w:r>
          </w:p>
        </w:tc>
        <w:tc>
          <w:tcPr>
            <w:tcW w:w="360" w:type="dxa"/>
            <w:vAlign w:val="bottom"/>
            <w:shd w:val="clear" w:color="auto" w:fill="CCEEFF"/>
          </w:tcPr>
          <w:p>
            <w:pPr>
              <w:spacing w:after="0"/>
              <w:rPr>
                <w:sz w:val="11"/>
                <w:szCs w:val="11"/>
                <w:color w:val="auto"/>
              </w:rPr>
            </w:pPr>
          </w:p>
        </w:tc>
        <w:tc>
          <w:tcPr>
            <w:tcW w:w="14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3"/>
              </w:rPr>
              <w:t>Center / Saks Fifth Avenue Off 5th / J. Crew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2"/>
              </w:rPr>
              <w:t>Nike Factory / Bed, Bath &amp; Beyond / TJ Maxx</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Legal on the Mystic</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3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42,708</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7,074</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11.41</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Sav-A-Lot</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35,039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Star Market</w:t>
            </w:r>
          </w:p>
        </w:tc>
        <w:tc>
          <w:tcPr>
            <w:tcW w:w="24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Linden Square</w:t>
            </w:r>
          </w:p>
        </w:tc>
        <w:tc>
          <w:tcPr>
            <w:tcW w:w="3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146,734</w:t>
            </w:r>
          </w:p>
        </w:tc>
        <w:tc>
          <w:tcPr>
            <w:tcW w:w="6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45.64</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Roche Bros.</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Stop &amp; Shop</w:t>
            </w:r>
          </w:p>
        </w:tc>
        <w:tc>
          <w:tcPr>
            <w:tcW w:w="24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18,050</w:t>
            </w:r>
          </w:p>
        </w:tc>
        <w:tc>
          <w:tcPr>
            <w:tcW w:w="6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16.44</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Hannaford</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TJ Maxx / HomeGoods</w:t>
            </w:r>
          </w:p>
        </w:tc>
      </w:tr>
      <w:tr>
        <w:trPr>
          <w:trHeight w:val="160"/>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6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80" w:type="dxa"/>
            <w:vAlign w:val="bottom"/>
          </w:tcPr>
          <w:p>
            <w:pPr>
              <w:spacing w:after="0"/>
              <w:rPr>
                <w:sz w:val="11"/>
                <w:szCs w:val="11"/>
                <w:color w:val="auto"/>
              </w:rPr>
            </w:pPr>
          </w:p>
        </w:tc>
      </w:tr>
      <w:tr>
        <w:trPr>
          <w:trHeight w:val="174"/>
        </w:trPr>
        <w:tc>
          <w:tcPr>
            <w:tcW w:w="15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48"/>
        </w:trPr>
        <w:tc>
          <w:tcPr>
            <w:tcW w:w="15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Saugus Plaza</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14,901</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168,000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11.66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23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Quincy, MA-NH</w:t>
            </w:r>
          </w:p>
        </w:tc>
        <w:tc>
          <w:tcPr>
            <w:tcW w:w="6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3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New England</w:t>
            </w:r>
          </w:p>
        </w:tc>
        <w:tc>
          <w:tcPr>
            <w:tcW w:w="66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700,102</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1,708,000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21.22</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80" w:type="dxa"/>
            <w:vAlign w:val="bottom"/>
            <w:tcBorders>
              <w:top w:val="single" w:sz="8" w:color="CCEEFF"/>
            </w:tcBorders>
            <w:shd w:val="clear" w:color="auto" w:fill="CCEEFF"/>
          </w:tcPr>
          <w:p>
            <w:pPr>
              <w:spacing w:after="0"/>
              <w:rPr>
                <w:sz w:val="8"/>
                <w:szCs w:val="8"/>
                <w:color w:val="auto"/>
              </w:rPr>
            </w:pP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Governor Plaza</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26,717</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242,000</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18.39</w:t>
            </w:r>
          </w:p>
        </w:tc>
        <w:tc>
          <w:tcPr>
            <w:tcW w:w="600" w:type="dxa"/>
            <w:vAlign w:val="bottom"/>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380" w:type="dxa"/>
            <w:vAlign w:val="bottom"/>
          </w:tcPr>
          <w:p>
            <w:pPr>
              <w:ind w:left="40"/>
              <w:spacing w:after="0"/>
              <w:rPr>
                <w:sz w:val="20"/>
                <w:szCs w:val="20"/>
                <w:color w:val="auto"/>
              </w:rPr>
            </w:pPr>
            <w:r>
              <w:rPr>
                <w:rFonts w:ascii="Arial" w:cs="Arial" w:eastAsia="Arial" w:hAnsi="Arial"/>
                <w:sz w:val="13"/>
                <w:szCs w:val="13"/>
                <w:color w:val="auto"/>
              </w:rPr>
              <w:t>Dick’s Sporting Goods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48"/>
        </w:trPr>
        <w:tc>
          <w:tcPr>
            <w:tcW w:w="15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Perring Plaza</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29,836</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14.23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23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Home Depot / Burlington Coat Factory / Jo-</w:t>
            </w: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3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Ann Stores / Micro Center</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80" w:type="dxa"/>
            <w:vAlign w:val="bottom"/>
            <w:shd w:val="clear" w:color="auto" w:fill="CCEEFF"/>
          </w:tcPr>
          <w:p>
            <w:pPr>
              <w:spacing w:after="0"/>
              <w:rPr>
                <w:sz w:val="15"/>
                <w:szCs w:val="15"/>
                <w:color w:val="auto"/>
              </w:rPr>
            </w:pPr>
          </w:p>
        </w:tc>
      </w:tr>
      <w:tr>
        <w:trPr>
          <w:trHeight w:val="148"/>
        </w:trPr>
        <w:tc>
          <w:tcPr>
            <w:tcW w:w="15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THE AVENUE at White</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97,628</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52,705</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298,000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24.07</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ind w:left="40"/>
              <w:spacing w:after="0" w:line="148" w:lineRule="exact"/>
              <w:rPr>
                <w:sz w:val="20"/>
                <w:szCs w:val="20"/>
                <w:color w:val="auto"/>
              </w:rPr>
            </w:pPr>
            <w:r>
              <w:rPr>
                <w:rFonts w:ascii="Arial" w:cs="Arial" w:eastAsia="Arial" w:hAnsi="Arial"/>
                <w:sz w:val="13"/>
                <w:szCs w:val="13"/>
                <w:color w:val="auto"/>
                <w:w w:val="95"/>
              </w:rPr>
              <w:t>AMC Loews / Old Navy / Barnes &amp; Noble /</w:t>
            </w:r>
          </w:p>
        </w:tc>
      </w:tr>
      <w:tr>
        <w:trPr>
          <w:trHeight w:val="168"/>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Marsh</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156"/>
        </w:trPr>
        <w:tc>
          <w:tcPr>
            <w:tcW w:w="15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w w:val="90"/>
              </w:rPr>
              <w:t>The Shoppes at Nottingham</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17,438</w:t>
            </w: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46.75</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r>
      <w:tr>
        <w:trPr>
          <w:trHeight w:val="176"/>
        </w:trPr>
        <w:tc>
          <w:tcPr>
            <w:tcW w:w="15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White Marsh Plaza</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25,139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21.70</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16"/>
        </w:trPr>
        <w:tc>
          <w:tcPr>
            <w:tcW w:w="15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White Marsh Other</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36,526</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29.62</w:t>
            </w:r>
          </w:p>
        </w:tc>
        <w:tc>
          <w:tcPr>
            <w:tcW w:w="6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Baltimore</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233,284</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1,120,000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20.30</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80" w:type="dxa"/>
            <w:vAlign w:val="bottom"/>
            <w:tcBorders>
              <w:top w:val="single" w:sz="8" w:color="CCEEFF"/>
            </w:tcBorders>
            <w:shd w:val="clear" w:color="auto" w:fill="CCEEFF"/>
          </w:tcPr>
          <w:p>
            <w:pPr>
              <w:spacing w:after="0"/>
              <w:rPr>
                <w:sz w:val="8"/>
                <w:szCs w:val="8"/>
                <w:color w:val="auto"/>
              </w:rPr>
            </w:pP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Crossroads</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31,143</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21.39</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ind w:left="40"/>
              <w:spacing w:after="0"/>
              <w:rPr>
                <w:sz w:val="20"/>
                <w:szCs w:val="20"/>
                <w:color w:val="auto"/>
              </w:rPr>
            </w:pPr>
            <w:r>
              <w:rPr>
                <w:rFonts w:ascii="Arial" w:cs="Arial" w:eastAsia="Arial" w:hAnsi="Arial"/>
                <w:sz w:val="13"/>
                <w:szCs w:val="13"/>
                <w:color w:val="auto"/>
              </w:rPr>
              <w:t>Golfsmith / Guitar Center / L.A. Fitness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48"/>
        </w:trPr>
        <w:tc>
          <w:tcPr>
            <w:tcW w:w="15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Finley Square</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Chicago, IL</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32,625</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314,000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11.58</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w:t>
            </w:r>
          </w:p>
        </w:tc>
      </w:tr>
      <w:tr>
        <w:trPr>
          <w:trHeight w:val="148"/>
        </w:trPr>
        <w:tc>
          <w:tcPr>
            <w:tcW w:w="15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Garden Market</w:t>
            </w:r>
          </w:p>
        </w:tc>
        <w:tc>
          <w:tcPr>
            <w:tcW w:w="2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12,687</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12.68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Mariano's</w:t>
            </w:r>
          </w:p>
        </w:tc>
        <w:tc>
          <w:tcPr>
            <w:tcW w:w="238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3"/>
              </w:rPr>
              <w:t>Fresh Market</w:t>
            </w:r>
          </w:p>
        </w:tc>
        <w:tc>
          <w:tcPr>
            <w:tcW w:w="2380" w:type="dxa"/>
            <w:vAlign w:val="bottom"/>
          </w:tcPr>
          <w:p>
            <w:pPr>
              <w:spacing w:after="0"/>
              <w:rPr>
                <w:sz w:val="14"/>
                <w:szCs w:val="14"/>
                <w:color w:val="auto"/>
              </w:rPr>
            </w:pPr>
          </w:p>
        </w:tc>
      </w:tr>
      <w:tr>
        <w:trPr>
          <w:trHeight w:val="224"/>
        </w:trPr>
        <w:tc>
          <w:tcPr>
            <w:tcW w:w="15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North Lake Commons</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16,570</w:t>
            </w:r>
          </w:p>
        </w:tc>
        <w:tc>
          <w:tcPr>
            <w:tcW w:w="6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12.18</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380" w:type="dxa"/>
            <w:vAlign w:val="bottom"/>
            <w:tcBorders>
              <w:bottom w:val="single" w:sz="8" w:color="CCEEFF"/>
            </w:tcBorders>
            <w:shd w:val="clear" w:color="auto" w:fill="CCEEFF"/>
          </w:tcPr>
          <w:p>
            <w:pPr>
              <w:spacing w:after="0"/>
              <w:rPr>
                <w:sz w:val="19"/>
                <w:szCs w:val="19"/>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Chicago</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93,025</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751,000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14.14</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80" w:type="dxa"/>
            <w:vAlign w:val="bottom"/>
            <w:tcBorders>
              <w:top w:val="single" w:sz="8" w:color="CCEEFF"/>
            </w:tcBorders>
            <w:shd w:val="clear" w:color="auto" w:fill="CCEEFF"/>
          </w:tcPr>
          <w:p>
            <w:pPr>
              <w:spacing w:after="0"/>
              <w:rPr>
                <w:sz w:val="8"/>
                <w:szCs w:val="8"/>
                <w:color w:val="auto"/>
              </w:rPr>
            </w:pP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Courtyard Shops</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40,738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20.62</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20" w:type="dxa"/>
            <w:vAlign w:val="bottom"/>
          </w:tcPr>
          <w:p>
            <w:pPr>
              <w:ind w:left="80"/>
              <w:spacing w:after="0"/>
              <w:rPr>
                <w:sz w:val="20"/>
                <w:szCs w:val="20"/>
                <w:color w:val="auto"/>
              </w:rPr>
            </w:pPr>
            <w:r>
              <w:rPr>
                <w:rFonts w:ascii="Arial" w:cs="Arial" w:eastAsia="Arial" w:hAnsi="Arial"/>
                <w:sz w:val="13"/>
                <w:szCs w:val="13"/>
                <w:color w:val="auto"/>
              </w:rPr>
              <w:t>Publix</w:t>
            </w:r>
          </w:p>
        </w:tc>
        <w:tc>
          <w:tcPr>
            <w:tcW w:w="23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96"/>
        </w:trPr>
        <w:tc>
          <w:tcPr>
            <w:tcW w:w="15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Del Mar Village</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Miami-Ft Lauderdale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2008/2014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59,830</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194,000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15.53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48"/>
        </w:trPr>
        <w:tc>
          <w:tcPr>
            <w:tcW w:w="15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Tower Shops</w:t>
            </w:r>
          </w:p>
        </w:tc>
        <w:tc>
          <w:tcPr>
            <w:tcW w:w="26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2011/2014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83,924</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374,000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18.83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ind w:left="40"/>
              <w:spacing w:after="0" w:line="148" w:lineRule="exact"/>
              <w:rPr>
                <w:sz w:val="20"/>
                <w:szCs w:val="20"/>
                <w:color w:val="auto"/>
              </w:rPr>
            </w:pPr>
            <w:r>
              <w:rPr>
                <w:rFonts w:ascii="Arial" w:cs="Arial" w:eastAsia="Arial" w:hAnsi="Arial"/>
                <w:sz w:val="13"/>
                <w:szCs w:val="13"/>
                <w:color w:val="auto"/>
                <w:w w:val="89"/>
              </w:rPr>
              <w:t>Best Buy / DSW / Old Navy / Ross Dress For</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Less / TJ Maxx / Ulta</w:t>
            </w: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184,492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18.44</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3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80" w:type="dxa"/>
            <w:vAlign w:val="bottom"/>
            <w:gridSpan w:val="5"/>
          </w:tcPr>
          <w:p>
            <w:pPr>
              <w:ind w:left="60"/>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48"/>
        </w:trPr>
        <w:tc>
          <w:tcPr>
            <w:tcW w:w="15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Charlottesville, VA</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60,465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35,985</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24.01</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32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Harris Teeter / Anthropologie / Bed, Bath &amp; Beyond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Barnes &amp; Noble / Old Navy / Michaels / Ulta</w:t>
            </w: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Bristol Plaza</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Hartford, CT</w:t>
            </w:r>
          </w:p>
        </w:tc>
        <w:tc>
          <w:tcPr>
            <w:tcW w:w="66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29,417</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jc w:val="right"/>
              <w:spacing w:after="0"/>
              <w:rPr>
                <w:sz w:val="20"/>
                <w:szCs w:val="20"/>
                <w:color w:val="auto"/>
              </w:rPr>
            </w:pPr>
            <w:r>
              <w:rPr>
                <w:rFonts w:ascii="Arial" w:cs="Arial" w:eastAsia="Arial" w:hAnsi="Arial"/>
                <w:sz w:val="13"/>
                <w:szCs w:val="13"/>
                <w:color w:val="auto"/>
              </w:rPr>
              <w:t>91%</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12.89</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2380" w:type="dxa"/>
            <w:vAlign w:val="bottom"/>
          </w:tcPr>
          <w:p>
            <w:pPr>
              <w:ind w:left="4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48"/>
        </w:trPr>
        <w:tc>
          <w:tcPr>
            <w:tcW w:w="15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8"/>
              </w:rPr>
              <w:t>Raleigh-Durham-Chapel</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27,712</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24.15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3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Hill, NC</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Gratiot Plaza</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Detroit, MI</w:t>
            </w:r>
          </w:p>
        </w:tc>
        <w:tc>
          <w:tcPr>
            <w:tcW w:w="66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19,218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11.59</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2380" w:type="dxa"/>
            <w:vAlign w:val="bottom"/>
          </w:tcPr>
          <w:p>
            <w:pPr>
              <w:ind w:left="4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96"/>
        </w:trPr>
        <w:tc>
          <w:tcPr>
            <w:tcW w:w="15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Houston Street</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San Antonio, TX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62,075</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172,000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24.49</w:t>
            </w:r>
          </w:p>
        </w:tc>
        <w:tc>
          <w:tcPr>
            <w:tcW w:w="6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Hotel Valencia / Walgreens</w:t>
            </w: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Lancaster</w:t>
            </w:r>
          </w:p>
        </w:tc>
        <w:tc>
          <w:tcPr>
            <w:tcW w:w="260" w:type="dxa"/>
            <w:vAlign w:val="bottom"/>
          </w:tcPr>
          <w:p>
            <w:pPr>
              <w:jc w:val="right"/>
              <w:spacing w:after="0"/>
              <w:rPr>
                <w:sz w:val="20"/>
                <w:szCs w:val="20"/>
                <w:color w:val="auto"/>
              </w:rPr>
            </w:pPr>
            <w:r>
              <w:rPr>
                <w:rFonts w:ascii="Arial" w:cs="Arial" w:eastAsia="Arial" w:hAnsi="Arial"/>
                <w:sz w:val="13"/>
                <w:szCs w:val="13"/>
                <w:color w:val="auto"/>
              </w:rPr>
              <w:t>(8)</w:t>
            </w:r>
          </w:p>
        </w:tc>
        <w:tc>
          <w:tcPr>
            <w:tcW w:w="1460" w:type="dxa"/>
            <w:vAlign w:val="bottom"/>
          </w:tcPr>
          <w:p>
            <w:pPr>
              <w:ind w:left="60"/>
              <w:spacing w:after="0"/>
              <w:rPr>
                <w:sz w:val="20"/>
                <w:szCs w:val="20"/>
                <w:color w:val="auto"/>
              </w:rPr>
            </w:pPr>
            <w:r>
              <w:rPr>
                <w:rFonts w:ascii="Arial" w:cs="Arial" w:eastAsia="Arial" w:hAnsi="Arial"/>
                <w:sz w:val="13"/>
                <w:szCs w:val="13"/>
                <w:color w:val="auto"/>
              </w:rPr>
              <w:t>Lancaster, PA</w:t>
            </w:r>
          </w:p>
        </w:tc>
        <w:tc>
          <w:tcPr>
            <w:tcW w:w="66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13,544</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17.03</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80" w:type="dxa"/>
            <w:vAlign w:val="bottom"/>
          </w:tcPr>
          <w:p>
            <w:pPr>
              <w:ind w:left="40"/>
              <w:spacing w:after="0"/>
              <w:rPr>
                <w:sz w:val="20"/>
                <w:szCs w:val="20"/>
                <w:color w:val="auto"/>
              </w:rPr>
            </w:pPr>
            <w:r>
              <w:rPr>
                <w:rFonts w:ascii="Arial" w:cs="Arial" w:eastAsia="Arial" w:hAnsi="Arial"/>
                <w:sz w:val="13"/>
                <w:szCs w:val="13"/>
                <w:color w:val="auto"/>
              </w:rPr>
              <w:t>Michaels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96"/>
        </w:trPr>
        <w:tc>
          <w:tcPr>
            <w:tcW w:w="15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29th Place</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Charlottesville, VA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40,296</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4,941</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17.31</w:t>
            </w:r>
          </w:p>
        </w:tc>
        <w:tc>
          <w:tcPr>
            <w:tcW w:w="6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7"/>
              </w:rPr>
              <w:t>DSW / HomeGoods / Staples / Stein Mart</w:t>
            </w:r>
          </w:p>
        </w:tc>
      </w:tr>
      <w:tr>
        <w:trPr>
          <w:trHeight w:val="173"/>
        </w:trPr>
        <w:tc>
          <w:tcPr>
            <w:tcW w:w="1520" w:type="dxa"/>
            <w:vAlign w:val="bottom"/>
            <w:gridSpan w:val="6"/>
          </w:tcPr>
          <w:p>
            <w:pPr>
              <w:ind w:left="40"/>
              <w:spacing w:after="0"/>
              <w:rPr>
                <w:sz w:val="20"/>
                <w:szCs w:val="20"/>
                <w:color w:val="auto"/>
              </w:rPr>
            </w:pPr>
            <w:r>
              <w:rPr>
                <w:rFonts w:ascii="Arial" w:cs="Arial" w:eastAsia="Arial" w:hAnsi="Arial"/>
                <w:sz w:val="13"/>
                <w:szCs w:val="13"/>
                <w:color w:val="auto"/>
              </w:rPr>
              <w:t>Willow Lawn</w:t>
            </w:r>
          </w:p>
        </w:tc>
        <w:tc>
          <w:tcPr>
            <w:tcW w:w="26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w w:val="91"/>
              </w:rPr>
              <w:t>Richmond-Petersburg, VA</w:t>
            </w:r>
          </w:p>
        </w:tc>
        <w:tc>
          <w:tcPr>
            <w:tcW w:w="66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84,058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445,000</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spacing w:after="0"/>
              <w:rPr>
                <w:sz w:val="20"/>
                <w:szCs w:val="20"/>
                <w:color w:val="auto"/>
              </w:rPr>
            </w:pPr>
            <w:r>
              <w:rPr>
                <w:rFonts w:ascii="Arial" w:cs="Arial" w:eastAsia="Arial" w:hAnsi="Arial"/>
                <w:sz w:val="13"/>
                <w:szCs w:val="13"/>
                <w:color w:val="auto"/>
              </w:rPr>
              <w:t>91%</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17.53</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2380" w:type="dxa"/>
            <w:vAlign w:val="bottom"/>
          </w:tcPr>
          <w:p>
            <w:pPr>
              <w:ind w:left="40"/>
              <w:spacing w:after="0"/>
              <w:rPr>
                <w:sz w:val="20"/>
                <w:szCs w:val="20"/>
                <w:color w:val="auto"/>
              </w:rPr>
            </w:pPr>
            <w:r>
              <w:rPr>
                <w:rFonts w:ascii="Arial" w:cs="Arial" w:eastAsia="Arial" w:hAnsi="Arial"/>
                <w:sz w:val="13"/>
                <w:szCs w:val="13"/>
                <w:color w:val="auto"/>
                <w:w w:val="96"/>
              </w:rPr>
              <w:t>Old Navy / Staples / Ross Dress For Less</w:t>
            </w:r>
          </w:p>
        </w:tc>
      </w:tr>
      <w:tr>
        <w:trPr>
          <w:trHeight w:val="43"/>
        </w:trPr>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38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Other</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336,785</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2,047,000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18.93</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120" w:type="dxa"/>
            <w:vAlign w:val="bottom"/>
            <w:gridSpan w:val="2"/>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380" w:type="dxa"/>
            <w:vAlign w:val="bottom"/>
            <w:shd w:val="clear" w:color="auto" w:fill="CCEEFF"/>
          </w:tcPr>
          <w:p>
            <w:pPr>
              <w:spacing w:after="0"/>
              <w:rPr>
                <w:sz w:val="7"/>
                <w:szCs w:val="7"/>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r>
      <w:tr>
        <w:trPr>
          <w:trHeight w:val="167"/>
        </w:trPr>
        <w:tc>
          <w:tcPr>
            <w:tcW w:w="1520" w:type="dxa"/>
            <w:vAlign w:val="bottom"/>
            <w:gridSpan w:val="6"/>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7"/>
              </w:rPr>
              <w:t>$ 5,608,998</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$ 626,512</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20,242,000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11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95% $ 25.59</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4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238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00" w:type="dxa"/>
            <w:vAlign w:val="bottom"/>
            <w:gridSpan w:val="2"/>
          </w:tcPr>
          <w:p>
            <w:pPr>
              <w:spacing w:after="0"/>
              <w:rPr>
                <w:sz w:val="20"/>
                <w:szCs w:val="20"/>
                <w:color w:val="auto"/>
              </w:rPr>
            </w:pPr>
            <w:r>
              <w:rPr>
                <w:rFonts w:ascii="Arial" w:cs="Arial" w:eastAsia="Arial" w:hAnsi="Arial"/>
                <w:sz w:val="13"/>
                <w:szCs w:val="13"/>
                <w:color w:val="auto"/>
              </w:rPr>
              <w:t>Notes:</w:t>
            </w:r>
          </w:p>
        </w:tc>
        <w:tc>
          <w:tcPr>
            <w:tcW w:w="10060" w:type="dxa"/>
            <w:vAlign w:val="bottom"/>
          </w:tcPr>
          <w:p>
            <w:pPr>
              <w:spacing w:after="0"/>
              <w:rPr>
                <w:sz w:val="13"/>
                <w:szCs w:val="13"/>
                <w:color w:val="auto"/>
              </w:rPr>
            </w:pPr>
          </w:p>
        </w:tc>
      </w:tr>
      <w:tr>
        <w:trPr>
          <w:trHeight w:val="194"/>
        </w:trPr>
        <w:tc>
          <w:tcPr>
            <w:tcW w:w="3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w w:val="91"/>
              </w:rPr>
              <w:t>The mortgage or capital lease obligations differ from the total reported on the consolidated balance sheet due to the unamortized discount or premium on certain mortgage payables.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(2)</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Excludes newly created redevelopment square footage not yet in service, as well as residential and hotel square footage.</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For purposes of this schedule, "occupied" refers to spaces where the lease term has commenced.</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(4)</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w w:val="99"/>
              </w:rPr>
              <w:t>Calculated as the aggregate, annualized in-place contractual (cash basis) minimum rent for all occupied spaces divided by the aggregate GLA of all occupied spaces.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(5)</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The Trust has a controlling financial interest in this property.</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Portion of property is currently under development. See further discussion in the Pike &amp; Rose and Assembly Row schedule.</w:t>
            </w:r>
          </w:p>
        </w:tc>
      </w:tr>
      <w:tr>
        <w:trPr>
          <w:trHeight w:val="164"/>
        </w:trPr>
        <w:tc>
          <w:tcPr>
            <w:tcW w:w="320" w:type="dxa"/>
            <w:vAlign w:val="bottom"/>
          </w:tcPr>
          <w:p>
            <w:pPr>
              <w:spacing w:after="0"/>
              <w:rPr>
                <w:sz w:val="20"/>
                <w:szCs w:val="20"/>
                <w:color w:val="auto"/>
              </w:rPr>
            </w:pPr>
            <w:r>
              <w:rPr>
                <w:rFonts w:ascii="Arial" w:cs="Arial" w:eastAsia="Arial" w:hAnsi="Arial"/>
                <w:sz w:val="13"/>
                <w:szCs w:val="13"/>
                <w:color w:val="auto"/>
              </w:rPr>
              <w:t>(7)</w:t>
            </w:r>
          </w:p>
        </w:tc>
        <w:tc>
          <w:tcPr>
            <w:tcW w:w="580" w:type="dxa"/>
            <w:vAlign w:val="bottom"/>
          </w:tcPr>
          <w:p>
            <w:pPr>
              <w:spacing w:after="0"/>
              <w:rPr>
                <w:sz w:val="14"/>
                <w:szCs w:val="14"/>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w w:val="89"/>
              </w:rPr>
              <w:t>All or a portion of the property is owned in a "downreit" partnership, of which a wholly owned subsidiary of the Trust is the sole general partner, with third party partners holding operating</w:t>
            </w:r>
          </w:p>
        </w:tc>
      </w:tr>
      <w:tr>
        <w:trPr>
          <w:trHeight w:val="160"/>
        </w:trPr>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partnership units.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(8)</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All or a portion of the property subject to capital lease obligation.</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(9)</w:t>
            </w:r>
          </w:p>
        </w:tc>
        <w:tc>
          <w:tcPr>
            <w:tcW w:w="580" w:type="dxa"/>
            <w:vAlign w:val="bottom"/>
          </w:tcPr>
          <w:p>
            <w:pPr>
              <w:spacing w:after="0"/>
              <w:rPr>
                <w:sz w:val="16"/>
                <w:szCs w:val="16"/>
                <w:color w:val="auto"/>
              </w:rPr>
            </w:pPr>
          </w:p>
        </w:tc>
        <w:tc>
          <w:tcPr>
            <w:tcW w:w="10060" w:type="dxa"/>
            <w:vAlign w:val="bottom"/>
          </w:tcPr>
          <w:p>
            <w:pPr>
              <w:ind w:left="580"/>
              <w:spacing w:after="0"/>
              <w:rPr>
                <w:sz w:val="20"/>
                <w:szCs w:val="20"/>
                <w:color w:val="auto"/>
              </w:rPr>
            </w:pPr>
            <w:r>
              <w:rPr>
                <w:rFonts w:ascii="Arial" w:cs="Arial" w:eastAsia="Arial" w:hAnsi="Arial"/>
                <w:sz w:val="13"/>
                <w:szCs w:val="13"/>
                <w:color w:val="auto"/>
              </w:rPr>
              <w:t>Includes a 100% owned, 8.1 acre land parcel being used for The Point redevelopment.</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2014</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2014</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306,860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33.27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1,691,334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3,414,377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11.13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2014</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372,693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35.69</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$ 31.55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1,542,966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11,381,523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30.54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2014</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536,819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34.93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2,572,606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9,774,179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18.21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2014</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328,355</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31.84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$ 27.01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1,583,057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7,815,348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23.80</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1,544,727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34.12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7,389,963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32,385,427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20.97</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2014</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125,838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$ 15.62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1,131,869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3,323,715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26.41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2014</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177,145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$ 28.85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763,753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11,087,445</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62.59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2014</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224,858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32.65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1,706,360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9,260,234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41.18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2014</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176,649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25.73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$ 22.16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629,580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7,649,978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43.31</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704,490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29.61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$ 23.60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4,231,562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31,321,372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44.46</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2014</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181,022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$ 36.19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559,465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90,662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0.50</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2014</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195,548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37.98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779,213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294,078</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2014</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311,961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36.56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866,246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513,945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1.65</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2014</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151,706</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38.95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953,477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165,370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1.09</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840,237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37.91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$ 34.15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3,158,401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1,064,055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1.27</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060" w:type="dxa"/>
            <w:vAlign w:val="bottom"/>
            <w:gridSpan w:val="11"/>
            <w:shd w:val="clear" w:color="auto" w:fill="CCEEFF"/>
          </w:tcPr>
          <w:p>
            <w:pPr>
              <w:spacing w:after="0"/>
              <w:rPr>
                <w:sz w:val="20"/>
                <w:szCs w:val="20"/>
                <w:color w:val="auto"/>
              </w:rPr>
            </w:pPr>
            <w:r>
              <w:rPr>
                <w:rFonts w:ascii="Arial" w:cs="Arial" w:eastAsia="Arial" w:hAnsi="Arial"/>
                <w:sz w:val="14"/>
                <w:szCs w:val="14"/>
                <w:b w:val="1"/>
                <w:bCs w:val="1"/>
                <w:color w:val="auto"/>
                <w:w w:val="95"/>
              </w:rPr>
              <w:t>Total Lease Summary - Comparable and Non-comparable (2) (9)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2014</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343,896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34.55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7,636,392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22.21</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2014</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434,165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36.22</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14,045,241</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32.35</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2014</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622,916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35.83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11,584,637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18.60</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2014</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364,034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31.62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8,445,438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23.20</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1,765,011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34.81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41,711,708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23.63</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vMerge w:val="restart"/>
          </w:tcPr>
          <w:p>
            <w:pPr>
              <w:spacing w:after="0"/>
              <w:rPr>
                <w:sz w:val="20"/>
                <w:szCs w:val="20"/>
                <w:color w:val="auto"/>
              </w:rPr>
            </w:pPr>
            <w:r>
              <w:rPr>
                <w:rFonts w:ascii="Arial" w:cs="Arial" w:eastAsia="Arial" w:hAnsi="Arial"/>
                <w:sz w:val="14"/>
                <w:szCs w:val="14"/>
                <w:color w:val="auto"/>
                <w:w w:val="88"/>
              </w:rPr>
              <w:t>Notes:</w:t>
            </w:r>
          </w:p>
        </w:tc>
        <w:tc>
          <w:tcPr>
            <w:tcW w:w="10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80" w:type="dxa"/>
            <w:vAlign w:val="bottom"/>
          </w:tcPr>
          <w:p>
            <w:pPr>
              <w:spacing w:after="0"/>
              <w:rPr>
                <w:sz w:val="18"/>
                <w:szCs w:val="18"/>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8"/>
              </w:rPr>
              <w:t>Leases on this report represent retail activity only; office and residential leases are not included.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6"/>
              </w:rPr>
              <w:t>Comparable leases represent those leases signed on spaces for which there was a former tenant.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1080" w:type="dxa"/>
            <w:vAlign w:val="bottom"/>
          </w:tcPr>
          <w:p>
            <w:pPr>
              <w:spacing w:after="0"/>
              <w:rPr>
                <w:sz w:val="17"/>
                <w:szCs w:val="17"/>
                <w:color w:val="auto"/>
              </w:rPr>
            </w:pPr>
          </w:p>
        </w:tc>
        <w:tc>
          <w:tcPr>
            <w:tcW w:w="6780" w:type="dxa"/>
            <w:vAlign w:val="bottom"/>
            <w:gridSpan w:val="23"/>
          </w:tcPr>
          <w:p>
            <w:pPr>
              <w:ind w:left="20"/>
              <w:spacing w:after="0"/>
              <w:rPr>
                <w:sz w:val="20"/>
                <w:szCs w:val="20"/>
                <w:color w:val="auto"/>
              </w:rPr>
            </w:pPr>
            <w:r>
              <w:rPr>
                <w:rFonts w:ascii="Arial" w:cs="Arial" w:eastAsia="Arial" w:hAnsi="Arial"/>
                <w:sz w:val="14"/>
                <w:szCs w:val="14"/>
                <w:color w:val="auto"/>
                <w:w w:val="99"/>
              </w:rPr>
              <w:t>Contractual rent represents contractual minimum rent under the new lease for the first 12 months of the term.</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(4)</w:t>
            </w:r>
          </w:p>
        </w:tc>
        <w:tc>
          <w:tcPr>
            <w:tcW w:w="1080" w:type="dxa"/>
            <w:vAlign w:val="bottom"/>
          </w:tcPr>
          <w:p>
            <w:pPr>
              <w:spacing w:after="0"/>
              <w:rPr>
                <w:sz w:val="17"/>
                <w:szCs w:val="17"/>
                <w:color w:val="auto"/>
              </w:rPr>
            </w:pPr>
          </w:p>
        </w:tc>
        <w:tc>
          <w:tcPr>
            <w:tcW w:w="7580" w:type="dxa"/>
            <w:vAlign w:val="bottom"/>
            <w:gridSpan w:val="25"/>
          </w:tcPr>
          <w:p>
            <w:pPr>
              <w:ind w:left="20"/>
              <w:spacing w:after="0"/>
              <w:rPr>
                <w:sz w:val="20"/>
                <w:szCs w:val="20"/>
                <w:color w:val="auto"/>
              </w:rPr>
            </w:pPr>
            <w:r>
              <w:rPr>
                <w:rFonts w:ascii="Arial" w:cs="Arial" w:eastAsia="Arial" w:hAnsi="Arial"/>
                <w:sz w:val="14"/>
                <w:szCs w:val="14"/>
                <w:color w:val="auto"/>
              </w:rPr>
              <w:t>Prior rent represents minimum rent and percentage rent, if any, paid by the prior tenant in the final 12 months of the term.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(5)</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5"/>
              </w:rPr>
              <w:t>Weighted average is determined on the basis of contractual rent for the first 12 months of the term.</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(6)</w:t>
            </w:r>
          </w:p>
        </w:tc>
        <w:tc>
          <w:tcPr>
            <w:tcW w:w="108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color w:val="auto"/>
              </w:rPr>
              <w:t>See Glossary of Terms.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(7)</w:t>
            </w:r>
          </w:p>
        </w:tc>
        <w:tc>
          <w:tcPr>
            <w:tcW w:w="1080" w:type="dxa"/>
            <w:vAlign w:val="bottom"/>
          </w:tcPr>
          <w:p>
            <w:pPr>
              <w:spacing w:after="0"/>
              <w:rPr>
                <w:sz w:val="14"/>
                <w:szCs w:val="14"/>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5"/>
              </w:rPr>
              <w:t>Approximately $0.4 million ($0.86 per square foot) in 4th Quarter 2014, $6.1 million ($11.89 per square foot) in 3rd Quarter 2014, $5.6 million ($7.30 per square foot)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5"/>
              </w:rPr>
              <w:t>2nd Quarter 2014, and $5.1 million ($12.38 per square foot) in 1st Quarter 2014 of the Tenant Improvements &amp; Incentives are for properties under active redevelopment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5"/>
              </w:rPr>
              <w:t>(e.g. Westgate Center, Willow Lawn, Hollywood Boulevard) and are included in the Projected Cost for those projects on the Summary of Redevelopment Opportunities.</w:t>
            </w: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(8)</w:t>
            </w:r>
          </w:p>
        </w:tc>
        <w:tc>
          <w:tcPr>
            <w:tcW w:w="1080" w:type="dxa"/>
            <w:vAlign w:val="bottom"/>
          </w:tcPr>
          <w:p>
            <w:pPr>
              <w:spacing w:after="0"/>
              <w:rPr>
                <w:sz w:val="17"/>
                <w:szCs w:val="17"/>
                <w:color w:val="auto"/>
              </w:rPr>
            </w:pPr>
          </w:p>
        </w:tc>
        <w:tc>
          <w:tcPr>
            <w:tcW w:w="8700" w:type="dxa"/>
            <w:vAlign w:val="bottom"/>
            <w:gridSpan w:val="28"/>
          </w:tcPr>
          <w:p>
            <w:pPr>
              <w:ind w:left="20"/>
              <w:spacing w:after="0"/>
              <w:rPr>
                <w:sz w:val="20"/>
                <w:szCs w:val="20"/>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(9)</w:t>
            </w:r>
          </w:p>
        </w:tc>
        <w:tc>
          <w:tcPr>
            <w:tcW w:w="1080" w:type="dxa"/>
            <w:vAlign w:val="bottom"/>
          </w:tcPr>
          <w:p>
            <w:pPr>
              <w:spacing w:after="0"/>
              <w:rPr>
                <w:sz w:val="14"/>
                <w:szCs w:val="14"/>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2"/>
              </w:rPr>
              <w:t>The Number of Leases Signed, GLA Signed, Contractual Rent Per Sq Ft and Weighted Average Lease Term columns include information for leases signed at our Assembly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3"/>
              </w:rPr>
              <w:t>Row and Pike &amp; Rose projects. The Tenant Improvements &amp; Incentives and Tenant Improvements &amp; Incentives Per Sq Ft columns do not include tenant improvements and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5"/>
              </w:rPr>
              <w:t>incentives on leases signed for those projects; these amounts for leases signed for Assembly Row and Pike &amp; Rose are included in the Projected Cost column for those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60" w:type="dxa"/>
            <w:vAlign w:val="bottom"/>
            <w:gridSpan w:val="14"/>
          </w:tcPr>
          <w:p>
            <w:pPr>
              <w:ind w:left="20"/>
              <w:spacing w:after="0"/>
              <w:rPr>
                <w:sz w:val="20"/>
                <w:szCs w:val="20"/>
                <w:color w:val="auto"/>
              </w:rPr>
            </w:pPr>
            <w:r>
              <w:rPr>
                <w:rFonts w:ascii="Arial" w:cs="Arial" w:eastAsia="Arial" w:hAnsi="Arial"/>
                <w:sz w:val="14"/>
                <w:szCs w:val="14"/>
                <w:color w:val="auto"/>
              </w:rPr>
              <w:t>projects shown on the Pike &amp; Rose and Assembly Row schedule.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60"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836,000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1,071,000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1,907,000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1,443,000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982,000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39.28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2,425,000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818,000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653,000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36.12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1,471,000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815,000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16.56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442,000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39.74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1,257,000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519,000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41.51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11,015,000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17.54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8,156,000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36.46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19,172,000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62,000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21.19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585,000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35.74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297,000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15.32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43.24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788,000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32.72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634,000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33.84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652,000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16.40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38.30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754,000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11,015,000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17.54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8,156,000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36.46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19,172,000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December 31,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6" w:name="page27"/>
    <w:bookmarkEnd w:id="26"/>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2014</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2014</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2013</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20,242,000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19,353,000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19,544,000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18,714,000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95.8%</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1,416</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1,169</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1,108</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94.8%</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2014</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2013</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2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16,866,000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16,166,000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95.8%</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16,887,000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16,176,000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70"/>
        </w:trPr>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1,058</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1,007</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95.2%</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1,058</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997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33"/>
        </w:trPr>
        <w:tc>
          <w:tcPr>
            <w:tcW w:w="34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December 31, 2014 leased percentage was 98.6% for anchor tenants and 91.8% for small shop tenants.</w:t>
      </w:r>
    </w:p>
    <w:p>
      <w:pPr>
        <w:spacing w:after="0" w:line="72" w:lineRule="exact"/>
        <w:rPr>
          <w:rFonts w:ascii="Arial" w:cs="Arial" w:eastAsia="Arial" w:hAnsi="Arial"/>
          <w:sz w:val="16"/>
          <w:szCs w:val="16"/>
          <w:color w:val="auto"/>
        </w:rPr>
      </w:pPr>
    </w:p>
    <w:p>
      <w:pPr>
        <w:ind w:left="700" w:right="100" w:hanging="665"/>
        <w:spacing w:after="0" w:line="293"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Occupied percentage was 94.7% and 95.1% at December 31, 2014 and 2013, respectively and same center occupied percentage was 95.4% and 95.3% at December 31, 2014 and 2013, respectively.</w:t>
      </w:r>
    </w:p>
    <w:p>
      <w:pPr>
        <w:spacing w:after="0" w:line="9" w:lineRule="exact"/>
        <w:rPr>
          <w:rFonts w:ascii="Arial" w:cs="Arial" w:eastAsia="Arial" w:hAnsi="Arial"/>
          <w:sz w:val="16"/>
          <w:szCs w:val="16"/>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2.60%</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10,815,000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2.20%</w:t>
            </w:r>
          </w:p>
        </w:tc>
        <w:tc>
          <w:tcPr>
            <w:tcW w:w="980" w:type="dxa"/>
            <w:vAlign w:val="bottom"/>
          </w:tcPr>
          <w:p>
            <w:pPr>
              <w:jc w:val="right"/>
              <w:spacing w:after="0"/>
              <w:rPr>
                <w:sz w:val="20"/>
                <w:szCs w:val="20"/>
                <w:color w:val="auto"/>
              </w:rPr>
            </w:pPr>
            <w:r>
              <w:rPr>
                <w:rFonts w:ascii="Arial" w:cs="Arial" w:eastAsia="Arial" w:hAnsi="Arial"/>
                <w:sz w:val="16"/>
                <w:szCs w:val="16"/>
                <w:color w:val="auto"/>
              </w:rPr>
              <w:t>321,000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1.38%</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5,435,000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980" w:type="dxa"/>
            <w:vAlign w:val="bottom"/>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5,117,000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1.04%</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4,277,000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0.87%</w:t>
            </w:r>
          </w:p>
        </w:tc>
        <w:tc>
          <w:tcPr>
            <w:tcW w:w="980" w:type="dxa"/>
            <w:vAlign w:val="bottom"/>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3,581,000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Dress Barn, Inc.,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3,194,000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143,550,000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29.24%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6,858,000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490,882,000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20,242,000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540" w:hanging="482"/>
        <w:spacing w:after="0" w:line="293"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December 31, 2014.</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2015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4,955</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18,190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19,030</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18,329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19,209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3,516</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5,678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5,506</w:t>
            </w: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11,505</w:t>
            </w: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6,703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7,704</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4,341</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18,451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4,341</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187,507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210,703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149,203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170,867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5,346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157,413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178,745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119,355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117,723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157,413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178,745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rPr>
              <w:t>Maturity</w:t>
            </w: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Stated Interest Rate as of</w:t>
            </w:r>
          </w:p>
        </w:tc>
        <w:tc>
          <w:tcPr>
            <w:tcW w:w="280" w:type="dxa"/>
            <w:vAlign w:val="bottom"/>
          </w:tcPr>
          <w:p>
            <w:pPr>
              <w:spacing w:after="0"/>
              <w:rPr>
                <w:sz w:val="14"/>
                <w:szCs w:val="14"/>
                <w:color w:val="auto"/>
              </w:rPr>
            </w:pPr>
          </w:p>
        </w:tc>
        <w:tc>
          <w:tcPr>
            <w:tcW w:w="14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91"/>
              </w:rPr>
              <w:t>December 31, 2014</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00" w:type="dxa"/>
            <w:vAlign w:val="bottom"/>
            <w:tcBorders>
              <w:bottom w:val="single" w:sz="8" w:color="CCEEFF"/>
            </w:tcBorders>
            <w:shd w:val="clear" w:color="auto" w:fill="CCEEFF"/>
          </w:tcPr>
          <w:p>
            <w:pPr>
              <w:jc w:val="center"/>
              <w:ind w:left="196"/>
              <w:spacing w:after="0"/>
              <w:rPr>
                <w:sz w:val="20"/>
                <w:szCs w:val="20"/>
                <w:color w:val="auto"/>
              </w:rPr>
            </w:pPr>
            <w:r>
              <w:rPr>
                <w:rFonts w:ascii="Arial" w:cs="Arial" w:eastAsia="Arial" w:hAnsi="Arial"/>
                <w:sz w:val="18"/>
                <w:szCs w:val="18"/>
                <w:color w:val="auto"/>
                <w:w w:val="91"/>
              </w:rPr>
              <w:t>7/1/2016</w:t>
            </w:r>
          </w:p>
        </w:tc>
        <w:tc>
          <w:tcPr>
            <w:tcW w:w="270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5.99% (a)</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00" w:type="dxa"/>
            <w:vAlign w:val="bottom"/>
          </w:tcPr>
          <w:p>
            <w:pPr>
              <w:jc w:val="center"/>
              <w:ind w:left="196"/>
              <w:spacing w:after="0"/>
              <w:rPr>
                <w:sz w:val="20"/>
                <w:szCs w:val="20"/>
                <w:color w:val="auto"/>
              </w:rPr>
            </w:pPr>
            <w:r>
              <w:rPr>
                <w:rFonts w:ascii="Arial" w:cs="Arial" w:eastAsia="Arial" w:hAnsi="Arial"/>
                <w:sz w:val="18"/>
                <w:szCs w:val="18"/>
                <w:color w:val="auto"/>
                <w:w w:val="91"/>
              </w:rPr>
              <w:t>7/1/2016</w:t>
            </w:r>
          </w:p>
        </w:tc>
        <w:tc>
          <w:tcPr>
            <w:tcW w:w="2040" w:type="dxa"/>
            <w:vAlign w:val="bottom"/>
          </w:tcPr>
          <w:p>
            <w:pPr>
              <w:ind w:left="1540"/>
              <w:spacing w:after="0"/>
              <w:rPr>
                <w:sz w:val="20"/>
                <w:szCs w:val="20"/>
                <w:color w:val="auto"/>
              </w:rPr>
            </w:pPr>
            <w:r>
              <w:rPr>
                <w:rFonts w:ascii="Arial" w:cs="Arial" w:eastAsia="Arial" w:hAnsi="Arial"/>
                <w:sz w:val="18"/>
                <w:szCs w:val="18"/>
                <w:color w:val="auto"/>
                <w:w w:val="93"/>
              </w:rPr>
              <w:t>5.90%</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Fixed Rate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34,385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Year</w:t>
            </w:r>
          </w:p>
        </w:tc>
        <w:tc>
          <w:tcPr>
            <w:tcW w:w="2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Scheduled Amortization</w:t>
            </w: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660" w:right="4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8"/>
              <w:spacing w:after="0"/>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1"/>
              </w:rPr>
              <w:t>Avg</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8"/>
              </w:rPr>
              <w:t>Estate at</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52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6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19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MSA Description</w:t>
            </w: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9"/>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2"/>
              </w:rPr>
              <w:t>Cost</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Obligation</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80" w:type="dxa"/>
            <w:vAlign w:val="bottom"/>
          </w:tcPr>
          <w:p>
            <w:pPr>
              <w:jc w:val="center"/>
              <w:ind w:right="1"/>
              <w:spacing w:after="0"/>
              <w:rPr>
                <w:sz w:val="20"/>
                <w:szCs w:val="20"/>
                <w:color w:val="auto"/>
              </w:rPr>
            </w:pPr>
            <w:r>
              <w:rPr>
                <w:rFonts w:ascii="Arial" w:cs="Arial" w:eastAsia="Arial" w:hAnsi="Arial"/>
                <w:sz w:val="11"/>
                <w:szCs w:val="11"/>
                <w:color w:val="auto"/>
                <w:w w:val="97"/>
              </w:rPr>
              <w:t>(in</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88"/>
              </w:rPr>
              <w:t>thousands)</w:t>
            </w:r>
          </w:p>
        </w:tc>
        <w:tc>
          <w:tcPr>
            <w:tcW w:w="100" w:type="dxa"/>
            <w:vAlign w:val="bottom"/>
          </w:tcPr>
          <w:p>
            <w:pPr>
              <w:spacing w:after="0"/>
              <w:rPr>
                <w:sz w:val="11"/>
                <w:szCs w:val="11"/>
                <w:color w:val="auto"/>
              </w:rPr>
            </w:pPr>
          </w:p>
        </w:tc>
        <w:tc>
          <w:tcPr>
            <w:tcW w:w="580" w:type="dxa"/>
            <w:vAlign w:val="bottom"/>
          </w:tcPr>
          <w:p>
            <w:pPr>
              <w:jc w:val="center"/>
              <w:ind w:right="41"/>
              <w:spacing w:after="0"/>
              <w:rPr>
                <w:sz w:val="20"/>
                <w:szCs w:val="20"/>
                <w:color w:val="auto"/>
              </w:rPr>
            </w:pPr>
            <w:r>
              <w:rPr>
                <w:rFonts w:ascii="Arial" w:cs="Arial" w:eastAsia="Arial" w:hAnsi="Arial"/>
                <w:sz w:val="11"/>
                <w:szCs w:val="11"/>
                <w:color w:val="auto"/>
                <w:w w:val="88"/>
              </w:rPr>
              <w:t>thousands)</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1300" w:type="dxa"/>
            <w:vAlign w:val="bottom"/>
            <w:gridSpan w:val="4"/>
          </w:tcPr>
          <w:p>
            <w:pPr>
              <w:spacing w:after="0"/>
              <w:rPr>
                <w:sz w:val="20"/>
                <w:szCs w:val="20"/>
                <w:color w:val="auto"/>
              </w:rPr>
            </w:pPr>
            <w:r>
              <w:rPr>
                <w:rFonts w:ascii="Arial" w:cs="Arial" w:eastAsia="Arial" w:hAnsi="Arial"/>
                <w:sz w:val="13"/>
                <w:szCs w:val="13"/>
                <w:color w:val="auto"/>
              </w:rPr>
              <w:t>Barcroft Plaza</w:t>
            </w: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rPr>
              <w:t>Washington, DC-MD-VA</w:t>
            </w:r>
          </w:p>
        </w:tc>
        <w:tc>
          <w:tcPr>
            <w:tcW w:w="780" w:type="dxa"/>
            <w:vAlign w:val="bottom"/>
          </w:tcPr>
          <w:p>
            <w:pPr>
              <w:ind w:left="140"/>
              <w:spacing w:after="0"/>
              <w:rPr>
                <w:sz w:val="20"/>
                <w:szCs w:val="20"/>
                <w:color w:val="auto"/>
              </w:rPr>
            </w:pPr>
            <w:r>
              <w:rPr>
                <w:rFonts w:ascii="Arial" w:cs="Arial" w:eastAsia="Arial" w:hAnsi="Arial"/>
                <w:sz w:val="13"/>
                <w:szCs w:val="13"/>
                <w:color w:val="auto"/>
                <w:w w:val="99"/>
              </w:rPr>
              <w:t>2006-2007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34,797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61"/>
              <w:spacing w:after="0"/>
              <w:rPr>
                <w:sz w:val="20"/>
                <w:szCs w:val="20"/>
                <w:color w:val="auto"/>
              </w:rPr>
            </w:pPr>
            <w:r>
              <w:rPr>
                <w:rFonts w:ascii="Arial" w:cs="Arial" w:eastAsia="Arial" w:hAnsi="Arial"/>
                <w:sz w:val="13"/>
                <w:szCs w:val="13"/>
                <w:color w:val="auto"/>
              </w:rPr>
              <w:t>20,785</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79%</w:t>
            </w:r>
          </w:p>
        </w:tc>
        <w:tc>
          <w:tcPr>
            <w:tcW w:w="600" w:type="dxa"/>
            <w:vAlign w:val="bottom"/>
          </w:tcPr>
          <w:p>
            <w:pPr>
              <w:jc w:val="right"/>
              <w:spacing w:after="0"/>
              <w:rPr>
                <w:sz w:val="20"/>
                <w:szCs w:val="20"/>
                <w:color w:val="auto"/>
              </w:rPr>
            </w:pPr>
            <w:r>
              <w:rPr>
                <w:rFonts w:ascii="Arial" w:cs="Arial" w:eastAsia="Arial" w:hAnsi="Arial"/>
                <w:sz w:val="13"/>
                <w:szCs w:val="13"/>
                <w:color w:val="auto"/>
              </w:rPr>
              <w:t>79%</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87"/>
              </w:rPr>
              <w:t>$ 24.14</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6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Free State Shopping</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8"/>
              </w:rPr>
              <w:t>TJ Maxx / Ross Dress For Less / Office</w:t>
            </w:r>
          </w:p>
        </w:tc>
      </w:tr>
      <w:tr>
        <w:trPr>
          <w:trHeight w:val="176"/>
        </w:trPr>
        <w:tc>
          <w:tcPr>
            <w:tcW w:w="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Center</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Washington, DC-MD-VA</w:t>
            </w:r>
          </w:p>
        </w:tc>
        <w:tc>
          <w:tcPr>
            <w:tcW w:w="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66,833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Plaza del Mercado</w:t>
            </w:r>
          </w:p>
        </w:tc>
        <w:tc>
          <w:tcPr>
            <w:tcW w:w="196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Washington, DC-MD-VA</w:t>
            </w:r>
          </w:p>
        </w:tc>
        <w:tc>
          <w:tcPr>
            <w:tcW w:w="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21,905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35.56</w:t>
            </w:r>
          </w:p>
        </w:tc>
        <w:tc>
          <w:tcPr>
            <w:tcW w:w="6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740" w:type="dxa"/>
            <w:vAlign w:val="bottom"/>
            <w:gridSpan w:val="3"/>
            <w:shd w:val="clear" w:color="auto" w:fill="CCEEFF"/>
          </w:tcPr>
          <w:p>
            <w:pPr>
              <w:ind w:left="280"/>
              <w:spacing w:after="0"/>
              <w:rPr>
                <w:sz w:val="20"/>
                <w:szCs w:val="20"/>
                <w:color w:val="auto"/>
              </w:rPr>
            </w:pPr>
            <w:r>
              <w:rPr>
                <w:rFonts w:ascii="Arial" w:cs="Arial" w:eastAsia="Arial" w:hAnsi="Arial"/>
                <w:sz w:val="13"/>
                <w:szCs w:val="13"/>
                <w:b w:val="1"/>
                <w:bCs w:val="1"/>
                <w:color w:val="auto"/>
              </w:rPr>
              <w:t>Total Washington Metropolitan Area</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123,535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21.15</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York / New</w:t>
            </w: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Jersey</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Greenlawn Plaza</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Nassau-Suffolk, NY</w:t>
            </w:r>
          </w:p>
        </w:tc>
        <w:tc>
          <w:tcPr>
            <w:tcW w:w="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20,761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13,600</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17.38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2"/>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2"/>
          </w:tcPr>
          <w:p>
            <w:pPr>
              <w:ind w:left="280"/>
              <w:spacing w:after="0"/>
              <w:rPr>
                <w:sz w:val="20"/>
                <w:szCs w:val="20"/>
                <w:color w:val="auto"/>
              </w:rPr>
            </w:pPr>
            <w:r>
              <w:rPr>
                <w:rFonts w:ascii="Arial" w:cs="Arial" w:eastAsia="Arial" w:hAnsi="Arial"/>
                <w:sz w:val="13"/>
                <w:szCs w:val="13"/>
                <w:b w:val="1"/>
                <w:bCs w:val="1"/>
                <w:color w:val="auto"/>
                <w:w w:val="94"/>
              </w:rPr>
              <w:t>Total New York / New Jersey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20,761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right"/>
              <w:spacing w:after="0"/>
              <w:rPr>
                <w:sz w:val="20"/>
                <w:szCs w:val="20"/>
                <w:color w:val="auto"/>
              </w:rPr>
            </w:pPr>
            <w:r>
              <w:rPr>
                <w:rFonts w:ascii="Arial" w:cs="Arial" w:eastAsia="Arial" w:hAnsi="Arial"/>
                <w:sz w:val="13"/>
                <w:szCs w:val="13"/>
                <w:color w:val="auto"/>
              </w:rPr>
              <w:t>95%</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17.38</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New England</w:t>
            </w: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w w:val="93"/>
              </w:rPr>
              <w:t>Atlantic Plaza</w:t>
            </w:r>
          </w:p>
        </w:tc>
        <w:tc>
          <w:tcPr>
            <w:tcW w:w="540" w:type="dxa"/>
            <w:vAlign w:val="bottom"/>
            <w:tcBorders>
              <w:top w:val="single" w:sz="8" w:color="CCEEFF"/>
            </w:tcBorders>
            <w:gridSpan w:val="2"/>
          </w:tcPr>
          <w:p>
            <w:pPr>
              <w:spacing w:after="0"/>
              <w:rPr>
                <w:sz w:val="12"/>
                <w:szCs w:val="12"/>
                <w:color w:val="auto"/>
              </w:rPr>
            </w:pPr>
          </w:p>
        </w:tc>
        <w:tc>
          <w:tcPr>
            <w:tcW w:w="1960" w:type="dxa"/>
            <w:vAlign w:val="bottom"/>
            <w:tcBorders>
              <w:top w:val="single" w:sz="8" w:color="CCEEFF"/>
            </w:tcBorders>
            <w:gridSpan w:val="2"/>
          </w:tcPr>
          <w:p>
            <w:pPr>
              <w:ind w:left="280"/>
              <w:spacing w:after="0" w:line="148" w:lineRule="exact"/>
              <w:rPr>
                <w:sz w:val="20"/>
                <w:szCs w:val="20"/>
                <w:color w:val="auto"/>
              </w:rPr>
            </w:pPr>
            <w:r>
              <w:rPr>
                <w:rFonts w:ascii="Arial" w:cs="Arial" w:eastAsia="Arial" w:hAnsi="Arial"/>
                <w:sz w:val="13"/>
                <w:szCs w:val="13"/>
                <w:color w:val="auto"/>
                <w:w w:val="98"/>
              </w:rPr>
              <w:t>Boston-Worcester-Lawrence-</w:t>
            </w:r>
          </w:p>
        </w:tc>
        <w:tc>
          <w:tcPr>
            <w:tcW w:w="780" w:type="dxa"/>
            <w:vAlign w:val="bottom"/>
            <w:tcBorders>
              <w:top w:val="single" w:sz="8" w:color="CCEEFF"/>
            </w:tcBorders>
          </w:tcPr>
          <w:p>
            <w:pPr>
              <w:ind w:left="140"/>
              <w:spacing w:after="0" w:line="148" w:lineRule="exact"/>
              <w:rPr>
                <w:sz w:val="20"/>
                <w:szCs w:val="20"/>
                <w:color w:val="auto"/>
              </w:rPr>
            </w:pPr>
            <w:r>
              <w:rPr>
                <w:rFonts w:ascii="Arial" w:cs="Arial" w:eastAsia="Arial" w:hAnsi="Arial"/>
                <w:sz w:val="13"/>
                <w:szCs w:val="13"/>
                <w:color w:val="auto"/>
              </w:rPr>
              <w:t>2004</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8"/>
              <w:spacing w:after="0" w:line="148" w:lineRule="exact"/>
              <w:rPr>
                <w:sz w:val="20"/>
                <w:szCs w:val="20"/>
                <w:color w:val="auto"/>
              </w:rPr>
            </w:pPr>
            <w:r>
              <w:rPr>
                <w:rFonts w:ascii="Arial" w:cs="Arial" w:eastAsia="Arial" w:hAnsi="Arial"/>
                <w:sz w:val="13"/>
                <w:szCs w:val="13"/>
                <w:color w:val="auto"/>
              </w:rPr>
              <w:t>20,182</w:t>
            </w: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w w:val="89"/>
              </w:rPr>
              <w:t>123,000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88%</w:t>
            </w:r>
          </w:p>
        </w:tc>
        <w:tc>
          <w:tcPr>
            <w:tcW w:w="6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70%</w:t>
            </w:r>
          </w:p>
        </w:tc>
        <w:tc>
          <w:tcPr>
            <w:tcW w:w="52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17.10</w:t>
            </w:r>
          </w:p>
        </w:tc>
        <w:tc>
          <w:tcPr>
            <w:tcW w:w="6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6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60" w:type="dxa"/>
            <w:vAlign w:val="bottom"/>
            <w:tcBorders>
              <w:top w:val="single" w:sz="8" w:color="CCEEFF"/>
            </w:tcBorders>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rPr>
              <w:t>Lowell-Brockton, MA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Campus Plaza</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8"/>
              </w:rPr>
              <w:t>Boston-Worcester-Lawrence-</w:t>
            </w:r>
          </w:p>
        </w:tc>
        <w:tc>
          <w:tcPr>
            <w:tcW w:w="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23,029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Lowell-Brockton, MA</w:t>
            </w:r>
          </w:p>
        </w:tc>
        <w:tc>
          <w:tcPr>
            <w:tcW w:w="7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Total New England</w:t>
            </w: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43,211</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9"/>
              </w:rPr>
              <w:t>239,000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15.74</w:t>
            </w: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r>
      <w:tr>
        <w:trPr>
          <w:trHeight w:val="264"/>
        </w:trPr>
        <w:tc>
          <w:tcPr>
            <w:tcW w:w="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Grand Totals</w:t>
            </w: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187,507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b w:val="1"/>
                <w:bCs w:val="1"/>
                <w:color w:val="auto"/>
              </w:rPr>
              <w:t>34,385</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820,000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112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83% $ 18.99</w:t>
            </w:r>
          </w:p>
        </w:tc>
        <w:tc>
          <w:tcPr>
            <w:tcW w:w="6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121" w:lineRule="exact"/>
        <w:rPr>
          <w:sz w:val="20"/>
          <w:szCs w:val="20"/>
          <w:color w:val="auto"/>
        </w:rPr>
      </w:pPr>
    </w:p>
    <w:p>
      <w:pPr>
        <w:ind w:left="200" w:hanging="171"/>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purposes of this schedule, "occupied" refers to spaces where the lease term has commenced.</w:t>
      </w:r>
    </w:p>
    <w:p>
      <w:pPr>
        <w:spacing w:after="0" w:line="39" w:lineRule="exact"/>
        <w:rPr>
          <w:rFonts w:ascii="Arial" w:cs="Arial" w:eastAsia="Arial" w:hAnsi="Arial"/>
          <w:sz w:val="13"/>
          <w:szCs w:val="13"/>
          <w:color w:val="auto"/>
        </w:rPr>
      </w:pPr>
    </w:p>
    <w:p>
      <w:pPr>
        <w:ind w:left="20" w:right="3740" w:firstLine="9"/>
        <w:spacing w:after="0" w:line="237" w:lineRule="auto"/>
        <w:tabs>
          <w:tab w:leader="none" w:pos="198"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958"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2014 and 2013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37,279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172,289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43,411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170,814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161,099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93,941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13,304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115,355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105,116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447,495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446,555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115,355</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105,116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443,094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417,700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real estate related depreciation and amortization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FFO, we have also included FFO excluding the "early extinguishment of debt" charges which relate to the early redemption of our 5.65% senior notes and East Bay Bridge mortgage loan in 2014, and our 5.40% senior notes, 5.95% senior notes, and 7.50% mortgage loans in 2013. We believe the unusual nature of these charges, being make-whole payments on the remaining principal and interest on the redeemed notes/mortgages, is worthy of separate evaluation and consequently have provided both relevant metrics.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2019-12-29T19:30:38Z</dcterms:created>
  <dcterms:modified xsi:type="dcterms:W3CDTF">2019-12-29T19:30:38Z</dcterms:modified>
</cp:coreProperties>
</file>