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Federal Realty Investment Trust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313747206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is filed:</w:t>
      </w:r>
    </w:p>
    <w:p>
      <w:pPr>
        <w:spacing w:after="0" w:line="238" w:lineRule="exact"/>
        <w:rPr>
          <w:sz w:val="24"/>
          <w:szCs w:val="24"/>
          <w:color w:val="auto"/>
        </w:rPr>
      </w:pPr>
    </w:p>
    <w:p>
      <w:pPr>
        <w:jc w:val="both"/>
        <w:ind w:left="5100" w:right="5080" w:hanging="21"/>
        <w:spacing w:after="0" w:line="598" w:lineRule="auto"/>
        <w:tabs>
          <w:tab w:leader="none" w:pos="5333"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313747206</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980" w:right="7740" w:hanging="972"/>
        <w:spacing w:after="0" w:line="440"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Nomura Asset Management Co., Ltd.</w:t>
      </w: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Tokyo, Japan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100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w:t>
            </w:r>
          </w:p>
        </w:tc>
        <w:tc>
          <w:tcPr>
            <w:tcW w:w="33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Sole Voting Power</w:t>
            </w:r>
          </w:p>
        </w:tc>
        <w:tc>
          <w:tcPr>
            <w:tcW w:w="53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3,192,224</w:t>
            </w:r>
          </w:p>
        </w:tc>
        <w:tc>
          <w:tcPr>
            <w:tcW w:w="0" w:type="dxa"/>
            <w:vAlign w:val="bottom"/>
          </w:tcPr>
          <w:p>
            <w:pPr>
              <w:spacing w:after="0"/>
              <w:rPr>
                <w:sz w:val="1"/>
                <w:szCs w:val="1"/>
                <w:color w:val="auto"/>
              </w:rPr>
            </w:pPr>
          </w:p>
        </w:tc>
      </w:tr>
      <w:tr>
        <w:trPr>
          <w:trHeight w:val="10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vMerge w:val="continue"/>
          </w:tcPr>
          <w:p>
            <w:pPr>
              <w:spacing w:after="0"/>
              <w:rPr>
                <w:sz w:val="8"/>
                <w:szCs w:val="8"/>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6.</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7"/>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000" w:type="dxa"/>
            <w:vAlign w:val="bottom"/>
            <w:gridSpan w:val="2"/>
            <w:vMerge w:val="continue"/>
          </w:tcPr>
          <w:p>
            <w:pPr>
              <w:spacing w:after="0"/>
              <w:rPr>
                <w:sz w:val="11"/>
                <w:szCs w:val="11"/>
                <w:color w:val="auto"/>
              </w:rPr>
            </w:pPr>
          </w:p>
        </w:tc>
        <w:tc>
          <w:tcPr>
            <w:tcW w:w="3380" w:type="dxa"/>
            <w:vAlign w:val="bottom"/>
            <w:vMerge w:val="continue"/>
          </w:tcPr>
          <w:p>
            <w:pPr>
              <w:spacing w:after="0"/>
              <w:rPr>
                <w:sz w:val="11"/>
                <w:szCs w:val="11"/>
                <w:color w:val="auto"/>
              </w:rPr>
            </w:pP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520" w:type="dxa"/>
            <w:vAlign w:val="bottom"/>
          </w:tcPr>
          <w:p>
            <w:pPr>
              <w:spacing w:after="0"/>
              <w:rPr>
                <w:sz w:val="16"/>
                <w:szCs w:val="16"/>
                <w:color w:val="auto"/>
              </w:rPr>
            </w:pPr>
          </w:p>
        </w:tc>
        <w:tc>
          <w:tcPr>
            <w:tcW w:w="48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7.</w:t>
            </w:r>
          </w:p>
        </w:tc>
        <w:tc>
          <w:tcPr>
            <w:tcW w:w="3380" w:type="dxa"/>
            <w:vAlign w:val="bottom"/>
          </w:tcPr>
          <w:p>
            <w:pPr>
              <w:ind w:left="340"/>
              <w:spacing w:after="0" w:line="189" w:lineRule="exact"/>
              <w:rPr>
                <w:sz w:val="20"/>
                <w:szCs w:val="20"/>
                <w:color w:val="auto"/>
              </w:rPr>
            </w:pPr>
            <w:r>
              <w:rPr>
                <w:rFonts w:ascii="Arial" w:cs="Arial" w:eastAsia="Arial" w:hAnsi="Arial"/>
                <w:sz w:val="18"/>
                <w:szCs w:val="18"/>
                <w:color w:val="auto"/>
              </w:rPr>
              <w:t>Sole Dispositive Power</w:t>
            </w:r>
          </w:p>
        </w:tc>
        <w:tc>
          <w:tcPr>
            <w:tcW w:w="5340" w:type="dxa"/>
            <w:vAlign w:val="bottom"/>
          </w:tcPr>
          <w:p>
            <w:pPr>
              <w:ind w:left="1160"/>
              <w:spacing w:after="0" w:line="189" w:lineRule="exact"/>
              <w:rPr>
                <w:sz w:val="20"/>
                <w:szCs w:val="20"/>
                <w:color w:val="auto"/>
              </w:rPr>
            </w:pPr>
            <w:r>
              <w:rPr>
                <w:rFonts w:ascii="Arial" w:cs="Arial" w:eastAsia="Arial" w:hAnsi="Arial"/>
                <w:sz w:val="18"/>
                <w:szCs w:val="18"/>
                <w:color w:val="auto"/>
              </w:rPr>
              <w:t>53,470</w:t>
            </w:r>
          </w:p>
        </w:tc>
        <w:tc>
          <w:tcPr>
            <w:tcW w:w="0" w:type="dxa"/>
            <w:vAlign w:val="bottom"/>
          </w:tcPr>
          <w:p>
            <w:pPr>
              <w:spacing w:after="0"/>
              <w:rPr>
                <w:sz w:val="1"/>
                <w:szCs w:val="1"/>
                <w:color w:val="auto"/>
              </w:rPr>
            </w:pPr>
          </w:p>
        </w:tc>
      </w:tr>
      <w:tr>
        <w:trPr>
          <w:trHeight w:val="116"/>
        </w:trPr>
        <w:tc>
          <w:tcPr>
            <w:tcW w:w="170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8.</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3,138,754</w:t>
            </w:r>
          </w:p>
        </w:tc>
        <w:tc>
          <w:tcPr>
            <w:tcW w:w="0" w:type="dxa"/>
            <w:vAlign w:val="bottom"/>
          </w:tcPr>
          <w:p>
            <w:pPr>
              <w:spacing w:after="0"/>
              <w:rPr>
                <w:sz w:val="1"/>
                <w:szCs w:val="1"/>
                <w:color w:val="auto"/>
              </w:rPr>
            </w:pPr>
          </w:p>
        </w:tc>
      </w:tr>
      <w:tr>
        <w:trPr>
          <w:trHeight w:val="150"/>
        </w:trPr>
        <w:tc>
          <w:tcPr>
            <w:tcW w:w="17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00" w:type="dxa"/>
            <w:vAlign w:val="bottom"/>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80" w:right="5640" w:hanging="972"/>
        <w:spacing w:after="0" w:line="39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3,192,224</w:t>
      </w:r>
    </w:p>
    <w:p>
      <w:pPr>
        <w:ind w:left="980" w:right="5500" w:hanging="972"/>
        <w:spacing w:after="0" w:line="39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 ]</w:t>
      </w: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5.22% based on 61,186,594 shares outstanding as of October 30, 2009.</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color w:val="auto"/>
        </w:rPr>
        <w:t>Page 3 of 6 Pages</w:t>
      </w:r>
    </w:p>
    <w:p>
      <w:pPr>
        <w:sectPr>
          <w:pgSz w:w="11900" w:h="16838" w:orient="portrait"/>
          <w:cols w:equalWidth="0" w:num="1">
            <w:col w:w="11420"/>
          </w:cols>
          <w:pgMar w:left="240" w:top="517" w:right="2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Item 1 (a)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Name of Issuer:</w:t>
      </w:r>
    </w:p>
    <w:p>
      <w:pPr>
        <w:spacing w:after="0" w:line="200" w:lineRule="exact"/>
        <w:rPr>
          <w:sz w:val="20"/>
          <w:szCs w:val="20"/>
          <w:color w:val="auto"/>
        </w:rPr>
      </w:pPr>
    </w:p>
    <w:p>
      <w:pPr>
        <w:sectPr>
          <w:pgSz w:w="11900" w:h="16838" w:orient="portrait"/>
          <w:cols w:equalWidth="0" w:num="2">
            <w:col w:w="1280" w:space="720"/>
            <w:col w:w="9420"/>
          </w:cols>
          <w:pgMar w:left="240" w:top="517" w:right="239" w:bottom="1440" w:gutter="0" w:footer="0" w:header="0"/>
          <w:type w:val="continuous"/>
        </w:sectPr>
      </w:pPr>
    </w:p>
    <w:p>
      <w:pPr>
        <w:spacing w:after="0" w:line="34"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Federal Realty Investment Trust (the “Issuer”)</w:t>
      </w:r>
    </w:p>
    <w:p>
      <w:pPr>
        <w:sectPr>
          <w:pgSz w:w="11900" w:h="16838" w:orient="portrait"/>
          <w:cols w:equalWidth="0" w:num="1">
            <w:col w:w="11420"/>
          </w:cols>
          <w:pgMar w:left="240" w:top="517"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280" w:space="720"/>
            <w:col w:w="9420"/>
          </w:cols>
          <w:pgMar w:left="240" w:top="517" w:right="239" w:bottom="1440" w:gutter="0" w:footer="0" w:header="0"/>
          <w:type w:val="continuous"/>
        </w:sectPr>
      </w:pPr>
    </w:p>
    <w:p>
      <w:pPr>
        <w:spacing w:after="0" w:line="48"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1626 East Jefferson Street, Rockville, MD 20852</w:t>
      </w:r>
    </w:p>
    <w:p>
      <w:pPr>
        <w:sectPr>
          <w:pgSz w:w="11900" w:h="16838" w:orient="portrait"/>
          <w:cols w:equalWidth="0" w:num="1">
            <w:col w:w="11420"/>
          </w:cols>
          <w:pgMar w:left="240" w:top="517"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Item 2(a)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Name of Person Filing:</w:t>
      </w:r>
    </w:p>
    <w:p>
      <w:pPr>
        <w:spacing w:after="0" w:line="200" w:lineRule="exact"/>
        <w:rPr>
          <w:sz w:val="20"/>
          <w:szCs w:val="20"/>
          <w:color w:val="auto"/>
        </w:rPr>
      </w:pPr>
    </w:p>
    <w:p>
      <w:pPr>
        <w:sectPr>
          <w:pgSz w:w="11900" w:h="16838" w:orient="portrait"/>
          <w:cols w:equalWidth="0" w:num="2">
            <w:col w:w="1280" w:space="720"/>
            <w:col w:w="9420"/>
          </w:cols>
          <w:pgMar w:left="240" w:top="517" w:right="239" w:bottom="1440" w:gutter="0" w:footer="0" w:header="0"/>
          <w:type w:val="continuous"/>
        </w:sectPr>
      </w:pPr>
    </w:p>
    <w:p>
      <w:pPr>
        <w:spacing w:after="0" w:line="48" w:lineRule="exact"/>
        <w:rPr>
          <w:sz w:val="20"/>
          <w:szCs w:val="20"/>
          <w:color w:val="auto"/>
        </w:rPr>
      </w:pPr>
    </w:p>
    <w:p>
      <w:pPr>
        <w:jc w:val="both"/>
        <w:ind w:firstLine="1459"/>
        <w:spacing w:after="0" w:line="254" w:lineRule="auto"/>
        <w:rPr>
          <w:sz w:val="20"/>
          <w:szCs w:val="20"/>
          <w:color w:val="auto"/>
        </w:rPr>
      </w:pPr>
      <w:r>
        <w:rPr>
          <w:rFonts w:ascii="Arial" w:cs="Arial" w:eastAsia="Arial" w:hAnsi="Arial"/>
          <w:sz w:val="18"/>
          <w:szCs w:val="18"/>
          <w:color w:val="auto"/>
        </w:rPr>
        <w:t>This Statement is filed on behalf of Nomura Asset Management Co., Ltd. (“NAM”). This Statement relates to Shares (as defined herein) held for the accounts of Global Equity MSCI-KOKUSAI Mother Fund (“Global Equity MSCI-KOKUSAI Mother”), Nomura US-REIT Open Mother Fund (“Nomura US-REIT Open Mother”), US-REIT Mother Fund (“US-REIT Mother”), Global REIT Mother Fund (“Global REIT Mother”), Global REIT Open Mother Fund (“Global REIT Open Mother”), International REIT Index Mother Fund (“International REIT Index Mother”), Nomura Global REIT Mother Fund (“Nomura Global REIT Mother”), Nomura World REIT Mother Fund (“Nomura World REIT Mother”), Global Equity Yen Hedged Type Mother Fund (“Global Equity Yen Hedged Type Mother”), Nomura-CBRE Global REIT Mother Fund (“Nomura-CBRE Global REIT Mother”), World REIT Index Mother Fund (“World REIT Index Mother”), Nomura LaSalle Global REIT Mother Fund (“Nomura LaSalle Global REIT Mother”) and Nomura Fund Series – North American REIT Fund (“North American REIT”).</w:t>
      </w:r>
    </w:p>
    <w:p>
      <w:pPr>
        <w:spacing w:after="0" w:line="192" w:lineRule="exact"/>
        <w:rPr>
          <w:sz w:val="20"/>
          <w:szCs w:val="20"/>
          <w:color w:val="auto"/>
        </w:rPr>
      </w:pPr>
    </w:p>
    <w:p>
      <w:pPr>
        <w:jc w:val="both"/>
        <w:ind w:firstLine="1459"/>
        <w:spacing w:after="0" w:line="272" w:lineRule="auto"/>
        <w:rPr>
          <w:sz w:val="20"/>
          <w:szCs w:val="20"/>
          <w:color w:val="auto"/>
        </w:rPr>
      </w:pPr>
      <w:r>
        <w:rPr>
          <w:rFonts w:ascii="Arial" w:cs="Arial" w:eastAsia="Arial" w:hAnsi="Arial"/>
          <w:sz w:val="17"/>
          <w:szCs w:val="17"/>
          <w:color w:val="auto"/>
        </w:rPr>
        <w:t>NAM serves as investment manager to each of the Global Equity MSCI-KOKUSAI Mother, Nomura US-REIT Open Mother, US-REIT Mother, Global REIT Mother, Global REIT Open Mother, International REIT Index Mother, Nomura Global REIT Mother, Nomura World REIT Mother, Global Equity Yen Hedged Type Mother, Nomura-CBRE Global REIT Mother, World REIT Index Mother, Nomura LaSalle Global REIT Mother and North American REIT. In such capacity, NAM may be deemed to have voting and dispositive power over the Shares held for the accounts of each of the Global Equity MSCI-KOKUSAI Mother, Nomura US-REIT Open Mother, US-REIT Mother, Global REIT Mother, Global REIT Open Mother, International REIT Index Mother, Nomura Global REIT Mother, Nomura World REIT Mother, Global Equity Yen Hedged Type Mother, Nomura-CBRE Global REIT Mother, World REIT Index Mother, Nomura LaSalle Global REIT Mother and North American REIT.</w:t>
      </w:r>
    </w:p>
    <w:p>
      <w:pPr>
        <w:spacing w:after="0" w:line="178"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Office or, if none, Residence: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address of the principal office of NAM is 1-12-1, Nihonbashi, Chuo-ku, Tokyo, Japan 103-8260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10060" w:type="dxa"/>
            <w:vAlign w:val="bottom"/>
          </w:tcPr>
          <w:p>
            <w:pPr>
              <w:ind w:left="640"/>
              <w:spacing w:after="0"/>
              <w:rPr>
                <w:sz w:val="20"/>
                <w:szCs w:val="20"/>
                <w:color w:val="auto"/>
              </w:rPr>
            </w:pPr>
            <w:r>
              <w:rPr>
                <w:rFonts w:ascii="Arial" w:cs="Arial" w:eastAsia="Arial" w:hAnsi="Arial"/>
                <w:sz w:val="18"/>
                <w:szCs w:val="18"/>
                <w:color w:val="auto"/>
              </w:rPr>
              <w:t>Citizenship:</w:t>
            </w:r>
          </w:p>
        </w:tc>
      </w:tr>
      <w:tr>
        <w:trPr>
          <w:trHeight w:val="432"/>
        </w:trPr>
        <w:tc>
          <w:tcPr>
            <w:tcW w:w="1360" w:type="dxa"/>
            <w:vAlign w:val="bottom"/>
          </w:tcPr>
          <w:p>
            <w:pPr>
              <w:spacing w:after="0"/>
              <w:rPr>
                <w:sz w:val="24"/>
                <w:szCs w:val="24"/>
                <w:color w:val="auto"/>
              </w:rPr>
            </w:pPr>
          </w:p>
        </w:tc>
        <w:tc>
          <w:tcPr>
            <w:tcW w:w="10060" w:type="dxa"/>
            <w:vAlign w:val="bottom"/>
          </w:tcPr>
          <w:p>
            <w:pPr>
              <w:ind w:left="640"/>
              <w:spacing w:after="0"/>
              <w:rPr>
                <w:sz w:val="20"/>
                <w:szCs w:val="20"/>
                <w:color w:val="auto"/>
              </w:rPr>
            </w:pPr>
            <w:r>
              <w:rPr>
                <w:rFonts w:ascii="Arial" w:cs="Arial" w:eastAsia="Arial" w:hAnsi="Arial"/>
                <w:sz w:val="18"/>
                <w:szCs w:val="18"/>
                <w:color w:val="auto"/>
              </w:rPr>
              <w:t>NAM is a Japanese corporation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10060" w:type="dxa"/>
            <w:vAlign w:val="bottom"/>
          </w:tcPr>
          <w:p>
            <w:pPr>
              <w:ind w:left="64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360" w:type="dxa"/>
            <w:vAlign w:val="bottom"/>
          </w:tcPr>
          <w:p>
            <w:pPr>
              <w:spacing w:after="0"/>
              <w:rPr>
                <w:sz w:val="24"/>
                <w:szCs w:val="24"/>
                <w:color w:val="auto"/>
              </w:rPr>
            </w:pPr>
          </w:p>
        </w:tc>
        <w:tc>
          <w:tcPr>
            <w:tcW w:w="10060" w:type="dxa"/>
            <w:vAlign w:val="bottom"/>
          </w:tcPr>
          <w:p>
            <w:pPr>
              <w:ind w:left="640"/>
              <w:spacing w:after="0"/>
              <w:rPr>
                <w:sz w:val="20"/>
                <w:szCs w:val="20"/>
                <w:color w:val="auto"/>
              </w:rPr>
            </w:pPr>
            <w:r>
              <w:rPr>
                <w:rFonts w:ascii="Arial" w:cs="Arial" w:eastAsia="Arial" w:hAnsi="Arial"/>
                <w:sz w:val="18"/>
                <w:szCs w:val="18"/>
                <w:color w:val="auto"/>
              </w:rPr>
              <w:t>Common Stock, par value $0.01 per share (the “Shares”)</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10060" w:type="dxa"/>
            <w:vAlign w:val="bottom"/>
          </w:tcPr>
          <w:p>
            <w:pPr>
              <w:ind w:left="640"/>
              <w:spacing w:after="0"/>
              <w:rPr>
                <w:sz w:val="20"/>
                <w:szCs w:val="20"/>
                <w:color w:val="auto"/>
              </w:rPr>
            </w:pPr>
            <w:r>
              <w:rPr>
                <w:rFonts w:ascii="Arial" w:cs="Arial" w:eastAsia="Arial" w:hAnsi="Arial"/>
                <w:sz w:val="18"/>
                <w:szCs w:val="18"/>
                <w:color w:val="auto"/>
              </w:rPr>
              <w:t>CUSIP Number:</w:t>
            </w:r>
          </w:p>
        </w:tc>
      </w:tr>
      <w:tr>
        <w:trPr>
          <w:trHeight w:val="432"/>
        </w:trPr>
        <w:tc>
          <w:tcPr>
            <w:tcW w:w="1360" w:type="dxa"/>
            <w:vAlign w:val="bottom"/>
          </w:tcPr>
          <w:p>
            <w:pPr>
              <w:spacing w:after="0"/>
              <w:rPr>
                <w:sz w:val="24"/>
                <w:szCs w:val="24"/>
                <w:color w:val="auto"/>
              </w:rPr>
            </w:pPr>
          </w:p>
        </w:tc>
        <w:tc>
          <w:tcPr>
            <w:tcW w:w="10060" w:type="dxa"/>
            <w:vAlign w:val="bottom"/>
          </w:tcPr>
          <w:p>
            <w:pPr>
              <w:ind w:left="640"/>
              <w:spacing w:after="0"/>
              <w:rPr>
                <w:sz w:val="20"/>
                <w:szCs w:val="20"/>
                <w:color w:val="auto"/>
              </w:rPr>
            </w:pPr>
            <w:r>
              <w:rPr>
                <w:rFonts w:ascii="Arial" w:cs="Arial" w:eastAsia="Arial" w:hAnsi="Arial"/>
                <w:sz w:val="18"/>
                <w:szCs w:val="18"/>
                <w:color w:val="auto"/>
              </w:rPr>
              <w:t>313747206</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3(e).</w:t>
            </w:r>
          </w:p>
        </w:tc>
        <w:tc>
          <w:tcPr>
            <w:tcW w:w="10060" w:type="dxa"/>
            <w:vAlign w:val="bottom"/>
          </w:tcPr>
          <w:p>
            <w:pPr>
              <w:ind w:left="640"/>
              <w:spacing w:after="0"/>
              <w:rPr>
                <w:sz w:val="20"/>
                <w:szCs w:val="20"/>
                <w:color w:val="auto"/>
              </w:rPr>
            </w:pPr>
            <w:r>
              <w:rPr>
                <w:rFonts w:ascii="Arial" w:cs="Arial" w:eastAsia="Arial" w:hAnsi="Arial"/>
                <w:sz w:val="18"/>
                <w:szCs w:val="18"/>
                <w:color w:val="auto"/>
              </w:rPr>
              <w:t>[X] An investment adviser in accordance with Rule 13d-1(b)(1)(ii)(E)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tcPr>
          <w:p>
            <w:pPr>
              <w:ind w:left="640"/>
              <w:spacing w:after="0"/>
              <w:rPr>
                <w:sz w:val="20"/>
                <w:szCs w:val="20"/>
                <w:color w:val="auto"/>
              </w:rPr>
            </w:pPr>
            <w:r>
              <w:rPr>
                <w:rFonts w:ascii="Arial" w:cs="Arial" w:eastAsia="Arial" w:hAnsi="Arial"/>
                <w:sz w:val="18"/>
                <w:szCs w:val="18"/>
                <w:color w:val="auto"/>
              </w:rPr>
              <w:t>Ownership:</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4(a)</w:t>
            </w:r>
          </w:p>
        </w:tc>
        <w:tc>
          <w:tcPr>
            <w:tcW w:w="10060" w:type="dxa"/>
            <w:vAlign w:val="bottom"/>
          </w:tcPr>
          <w:p>
            <w:pPr>
              <w:ind w:left="640"/>
              <w:spacing w:after="0"/>
              <w:rPr>
                <w:sz w:val="20"/>
                <w:szCs w:val="20"/>
                <w:color w:val="auto"/>
              </w:rPr>
            </w:pPr>
            <w:r>
              <w:rPr>
                <w:rFonts w:ascii="Arial" w:cs="Arial" w:eastAsia="Arial" w:hAnsi="Arial"/>
                <w:sz w:val="18"/>
                <w:szCs w:val="18"/>
                <w:color w:val="auto"/>
              </w:rPr>
              <w:t>Amount Beneficially Owned:</w:t>
            </w:r>
          </w:p>
        </w:tc>
      </w:tr>
      <w:tr>
        <w:trPr>
          <w:trHeight w:val="1604"/>
        </w:trPr>
        <w:tc>
          <w:tcPr>
            <w:tcW w:w="1360" w:type="dxa"/>
            <w:vAlign w:val="bottom"/>
            <w:tcBorders>
              <w:bottom w:val="single" w:sz="8" w:color="808080"/>
            </w:tcBorders>
          </w:tcPr>
          <w:p>
            <w:pPr>
              <w:spacing w:after="0"/>
              <w:rPr>
                <w:sz w:val="24"/>
                <w:szCs w:val="24"/>
                <w:color w:val="auto"/>
              </w:rPr>
            </w:pPr>
          </w:p>
        </w:tc>
        <w:tc>
          <w:tcPr>
            <w:tcW w:w="10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3" w:name="page4"/>
    <w:bookmarkEnd w:id="3"/>
    <w:p>
      <w:pPr>
        <w:ind w:left="10140"/>
        <w:spacing w:after="0"/>
        <w:rPr>
          <w:sz w:val="20"/>
          <w:szCs w:val="20"/>
          <w:color w:val="auto"/>
        </w:rPr>
      </w:pPr>
      <w:r>
        <w:rPr>
          <w:rFonts w:ascii="Arial" w:cs="Arial" w:eastAsia="Arial" w:hAnsi="Arial"/>
          <w:sz w:val="15"/>
          <w:szCs w:val="15"/>
          <w:color w:val="auto"/>
        </w:rPr>
        <w:t>Page 4 of 6 Pages</w:t>
      </w:r>
    </w:p>
    <w:p>
      <w:pPr>
        <w:spacing w:after="0" w:line="287" w:lineRule="exact"/>
        <w:rPr>
          <w:sz w:val="20"/>
          <w:szCs w:val="20"/>
          <w:color w:val="auto"/>
        </w:rPr>
      </w:pPr>
    </w:p>
    <w:p>
      <w:pPr>
        <w:jc w:val="both"/>
        <w:ind w:firstLine="1459"/>
        <w:spacing w:after="0" w:line="254" w:lineRule="auto"/>
        <w:rPr>
          <w:sz w:val="20"/>
          <w:szCs w:val="20"/>
          <w:color w:val="auto"/>
        </w:rPr>
      </w:pPr>
      <w:r>
        <w:rPr>
          <w:rFonts w:ascii="Arial" w:cs="Arial" w:eastAsia="Arial" w:hAnsi="Arial"/>
          <w:sz w:val="18"/>
          <w:szCs w:val="18"/>
          <w:color w:val="auto"/>
        </w:rPr>
        <w:t>As of December 31, 2009, NAM may be deemed to be the beneficial owner of 3,192,224 Shares. This amount consists of: (1) 6,900 Shares held for the account of Global Equity MSCI-KOKUSAI Mother, (2) 9,000 Shares held for the account of Nomura US-REIT Open Mother, (3) 458,200 Shares held for the account of US-REIT Mother, (4) 30,800 Shares held for the account of Global REIT Mother, (5) 421,700 Shares held for the account of Global REIT Open Mother, (6) 42,300 Shares held for the account of International REIT Index Mother, (7) 484,600 Shares held for the account of Nomura Global REIT Mother, (8) 18,599 Shares held for the account of Nomura World REIT Mother, (9) 1,250 Shares held for the account of Global Equity Yen Hedged Type Mother, (10) 64,126 Shares held for the account of Nomura-CBRE Global REIT Mother, (11) 3,020 Shares held for the account of World REIT Index Mother, (12) 4,760 Shares held for the account of Nomura LaSalle Global REIT Mother, and (13) 1,646,969 Shares held for the account of North American REIT.</w:t>
      </w:r>
    </w:p>
    <w:p>
      <w:pPr>
        <w:spacing w:after="0" w:line="19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4(b)</w:t>
      </w:r>
      <w:r>
        <w:rPr>
          <w:sz w:val="20"/>
          <w:szCs w:val="20"/>
          <w:color w:val="auto"/>
        </w:rPr>
        <w:tab/>
      </w:r>
      <w:r>
        <w:rPr>
          <w:rFonts w:ascii="Arial" w:cs="Arial" w:eastAsia="Arial" w:hAnsi="Arial"/>
          <w:sz w:val="16"/>
          <w:szCs w:val="16"/>
          <w:color w:val="auto"/>
        </w:rPr>
        <w:t>Percent of Class:</w:t>
      </w:r>
    </w:p>
    <w:p>
      <w:pPr>
        <w:spacing w:after="0" w:line="225" w:lineRule="exact"/>
        <w:rPr>
          <w:sz w:val="20"/>
          <w:szCs w:val="20"/>
          <w:color w:val="auto"/>
        </w:rPr>
      </w:pPr>
    </w:p>
    <w:p>
      <w:pPr>
        <w:jc w:val="both"/>
        <w:ind w:firstLine="1459"/>
        <w:spacing w:after="0" w:line="264" w:lineRule="auto"/>
        <w:rPr>
          <w:sz w:val="20"/>
          <w:szCs w:val="20"/>
          <w:color w:val="auto"/>
        </w:rPr>
      </w:pPr>
      <w:r>
        <w:rPr>
          <w:rFonts w:ascii="Arial" w:cs="Arial" w:eastAsia="Arial" w:hAnsi="Arial"/>
          <w:sz w:val="18"/>
          <w:szCs w:val="18"/>
          <w:color w:val="auto"/>
        </w:rPr>
        <w:t>The number of Shares of which NAM may be deemed to be the beneficial owner of constitutes approximately 5.22% of the total number of Shares outstanding (based upon the information provided by the issuer in its most recently-filed quarterly report on Form 10-Q, there was 61,186,594 Shares outstanding as of October 30, 2009).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Item 4(c)</w:t>
            </w:r>
          </w:p>
        </w:tc>
        <w:tc>
          <w:tcPr>
            <w:tcW w:w="6620" w:type="dxa"/>
            <w:vAlign w:val="bottom"/>
          </w:tcPr>
          <w:p>
            <w:pPr>
              <w:ind w:left="660"/>
              <w:spacing w:after="0"/>
              <w:rPr>
                <w:sz w:val="20"/>
                <w:szCs w:val="20"/>
                <w:color w:val="auto"/>
              </w:rPr>
            </w:pPr>
            <w:r>
              <w:rPr>
                <w:rFonts w:ascii="Arial" w:cs="Arial" w:eastAsia="Arial" w:hAnsi="Arial"/>
                <w:sz w:val="18"/>
                <w:szCs w:val="18"/>
                <w:color w:val="auto"/>
              </w:rPr>
              <w:t>Number of Shares of which such person has:</w:t>
            </w:r>
          </w:p>
        </w:tc>
        <w:tc>
          <w:tcPr>
            <w:tcW w:w="3460" w:type="dxa"/>
            <w:vAlign w:val="bottom"/>
          </w:tcPr>
          <w:p>
            <w:pPr>
              <w:spacing w:after="0"/>
              <w:rPr>
                <w:sz w:val="20"/>
                <w:szCs w:val="20"/>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 Sole power to vote or direct the vote:</w:t>
            </w:r>
          </w:p>
        </w:tc>
        <w:tc>
          <w:tcPr>
            <w:tcW w:w="3460" w:type="dxa"/>
            <w:vAlign w:val="bottom"/>
          </w:tcPr>
          <w:p>
            <w:pPr>
              <w:jc w:val="right"/>
              <w:spacing w:after="0"/>
              <w:rPr>
                <w:sz w:val="20"/>
                <w:szCs w:val="20"/>
                <w:color w:val="auto"/>
              </w:rPr>
            </w:pPr>
            <w:r>
              <w:rPr>
                <w:rFonts w:ascii="Arial" w:cs="Arial" w:eastAsia="Arial" w:hAnsi="Arial"/>
                <w:sz w:val="18"/>
                <w:szCs w:val="18"/>
                <w:color w:val="auto"/>
              </w:rPr>
              <w:t>3,192,224</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(ii) Shared power to vote or direct the vote:</w:t>
            </w:r>
          </w:p>
        </w:tc>
        <w:tc>
          <w:tcPr>
            <w:tcW w:w="3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3460" w:type="dxa"/>
            <w:vAlign w:val="bottom"/>
          </w:tcPr>
          <w:p>
            <w:pPr>
              <w:jc w:val="right"/>
              <w:spacing w:after="0"/>
              <w:rPr>
                <w:sz w:val="20"/>
                <w:szCs w:val="20"/>
                <w:color w:val="auto"/>
              </w:rPr>
            </w:pPr>
            <w:r>
              <w:rPr>
                <w:rFonts w:ascii="Arial" w:cs="Arial" w:eastAsia="Arial" w:hAnsi="Arial"/>
                <w:sz w:val="18"/>
                <w:szCs w:val="18"/>
                <w:color w:val="auto"/>
              </w:rPr>
              <w:t>53,470</w:t>
            </w: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3460" w:type="dxa"/>
            <w:vAlign w:val="bottom"/>
          </w:tcPr>
          <w:p>
            <w:pPr>
              <w:jc w:val="right"/>
              <w:spacing w:after="0"/>
              <w:rPr>
                <w:sz w:val="20"/>
                <w:szCs w:val="20"/>
                <w:color w:val="auto"/>
              </w:rPr>
            </w:pPr>
            <w:r>
              <w:rPr>
                <w:rFonts w:ascii="Arial" w:cs="Arial" w:eastAsia="Arial" w:hAnsi="Arial"/>
                <w:sz w:val="18"/>
                <w:szCs w:val="18"/>
                <w:color w:val="auto"/>
              </w:rPr>
              <w:t>3,138,754</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6620" w:type="dxa"/>
            <w:vAlign w:val="bottom"/>
          </w:tcPr>
          <w:p>
            <w:pPr>
              <w:ind w:left="660"/>
              <w:spacing w:after="0"/>
              <w:rPr>
                <w:sz w:val="20"/>
                <w:szCs w:val="20"/>
                <w:color w:val="auto"/>
              </w:rPr>
            </w:pPr>
            <w:r>
              <w:rPr>
                <w:rFonts w:ascii="Arial" w:cs="Arial" w:eastAsia="Arial" w:hAnsi="Arial"/>
                <w:sz w:val="18"/>
                <w:szCs w:val="18"/>
                <w:color w:val="auto"/>
              </w:rPr>
              <w:t>Ownership of 5% or Less of a Class:</w:t>
            </w:r>
          </w:p>
        </w:tc>
        <w:tc>
          <w:tcPr>
            <w:tcW w:w="3460" w:type="dxa"/>
            <w:vAlign w:val="bottom"/>
          </w:tcPr>
          <w:p>
            <w:pPr>
              <w:spacing w:after="0"/>
              <w:rPr>
                <w:sz w:val="24"/>
                <w:szCs w:val="24"/>
                <w:color w:val="auto"/>
              </w:rPr>
            </w:pPr>
          </w:p>
        </w:tc>
      </w:tr>
    </w:tbl>
    <w:p>
      <w:pPr>
        <w:spacing w:after="0" w:line="202" w:lineRule="exact"/>
        <w:rPr>
          <w:sz w:val="20"/>
          <w:szCs w:val="20"/>
          <w:color w:val="auto"/>
        </w:rPr>
      </w:pPr>
    </w:p>
    <w:p>
      <w:pPr>
        <w:jc w:val="both"/>
        <w:ind w:firstLine="331"/>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10180" w:type="dxa"/>
            <w:vAlign w:val="bottom"/>
          </w:tcPr>
          <w:p>
            <w:pPr>
              <w:ind w:left="760"/>
              <w:spacing w:after="0"/>
              <w:rPr>
                <w:sz w:val="20"/>
                <w:szCs w:val="20"/>
                <w:color w:val="auto"/>
              </w:rPr>
            </w:pPr>
            <w:r>
              <w:rPr>
                <w:rFonts w:ascii="Arial" w:cs="Arial" w:eastAsia="Arial" w:hAnsi="Arial"/>
                <w:sz w:val="18"/>
                <w:szCs w:val="18"/>
                <w:color w:val="auto"/>
              </w:rPr>
              <w:t>Ownership of More than 5% on Behalf of Another Person:</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6 is not applicable.</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10180" w:type="dxa"/>
            <w:vAlign w:val="bottom"/>
          </w:tcPr>
          <w:p>
            <w:pPr>
              <w:ind w:left="760"/>
              <w:spacing w:after="0"/>
              <w:rPr>
                <w:sz w:val="20"/>
                <w:szCs w:val="20"/>
                <w:color w:val="auto"/>
              </w:rPr>
            </w:pPr>
            <w:r>
              <w:rPr>
                <w:rFonts w:ascii="Arial" w:cs="Arial" w:eastAsia="Arial" w:hAnsi="Arial"/>
                <w:sz w:val="18"/>
                <w:szCs w:val="18"/>
                <w:color w:val="auto"/>
                <w:w w:val="98"/>
              </w:rPr>
              <w:t>Identification and Classification of the Subsidiary Which Acquired the Security Being Reported on By the Parent Holding</w:t>
            </w:r>
          </w:p>
        </w:tc>
      </w:tr>
      <w:tr>
        <w:trPr>
          <w:trHeight w:val="230"/>
        </w:trPr>
        <w:tc>
          <w:tcPr>
            <w:tcW w:w="1240" w:type="dxa"/>
            <w:vAlign w:val="bottom"/>
          </w:tcPr>
          <w:p>
            <w:pPr>
              <w:spacing w:after="0"/>
              <w:rPr>
                <w:sz w:val="20"/>
                <w:szCs w:val="20"/>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Company:</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7 is not applicable.</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10180" w:type="dxa"/>
            <w:vAlign w:val="bottom"/>
          </w:tcPr>
          <w:p>
            <w:pPr>
              <w:ind w:left="76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8 is not applicable.</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10180" w:type="dxa"/>
            <w:vAlign w:val="bottom"/>
          </w:tcPr>
          <w:p>
            <w:pPr>
              <w:ind w:left="760"/>
              <w:spacing w:after="0"/>
              <w:rPr>
                <w:sz w:val="20"/>
                <w:szCs w:val="20"/>
                <w:color w:val="auto"/>
              </w:rPr>
            </w:pPr>
            <w:r>
              <w:rPr>
                <w:rFonts w:ascii="Arial" w:cs="Arial" w:eastAsia="Arial" w:hAnsi="Arial"/>
                <w:sz w:val="18"/>
                <w:szCs w:val="18"/>
                <w:color w:val="auto"/>
              </w:rPr>
              <w:t>Notice of Dissolution of Group:</w:t>
            </w:r>
          </w:p>
        </w:tc>
      </w:tr>
      <w:tr>
        <w:trPr>
          <w:trHeight w:val="432"/>
        </w:trPr>
        <w:tc>
          <w:tcPr>
            <w:tcW w:w="1240" w:type="dxa"/>
            <w:vAlign w:val="bottom"/>
          </w:tcPr>
          <w:p>
            <w:pPr>
              <w:spacing w:after="0"/>
              <w:rPr>
                <w:sz w:val="24"/>
                <w:szCs w:val="24"/>
                <w:color w:val="auto"/>
              </w:rPr>
            </w:pPr>
          </w:p>
        </w:tc>
        <w:tc>
          <w:tcPr>
            <w:tcW w:w="10180" w:type="dxa"/>
            <w:vAlign w:val="bottom"/>
          </w:tcPr>
          <w:p>
            <w:pPr>
              <w:ind w:left="760"/>
              <w:spacing w:after="0"/>
              <w:rPr>
                <w:sz w:val="20"/>
                <w:szCs w:val="20"/>
                <w:color w:val="auto"/>
              </w:rPr>
            </w:pPr>
            <w:r>
              <w:rPr>
                <w:rFonts w:ascii="Arial" w:cs="Arial" w:eastAsia="Arial" w:hAnsi="Arial"/>
                <w:sz w:val="18"/>
                <w:szCs w:val="18"/>
                <w:color w:val="auto"/>
              </w:rPr>
              <w:t>This Item 9 is not applicable.</w:t>
            </w:r>
          </w:p>
        </w:tc>
      </w:tr>
      <w:tr>
        <w:trPr>
          <w:trHeight w:val="875"/>
        </w:trPr>
        <w:tc>
          <w:tcPr>
            <w:tcW w:w="1240" w:type="dxa"/>
            <w:vAlign w:val="bottom"/>
            <w:tcBorders>
              <w:bottom w:val="single" w:sz="8" w:color="808080"/>
            </w:tcBorders>
          </w:tcPr>
          <w:p>
            <w:pPr>
              <w:spacing w:after="0"/>
              <w:rPr>
                <w:sz w:val="24"/>
                <w:szCs w:val="24"/>
                <w:color w:val="auto"/>
              </w:rPr>
            </w:pPr>
          </w:p>
        </w:tc>
        <w:tc>
          <w:tcPr>
            <w:tcW w:w="10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6 Pages</w:t>
      </w:r>
    </w:p>
    <w:p>
      <w:pPr>
        <w:spacing w:after="0" w:line="252"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10140"/>
        <w:spacing w:after="0"/>
        <w:rPr>
          <w:sz w:val="20"/>
          <w:szCs w:val="20"/>
          <w:color w:val="auto"/>
        </w:rPr>
      </w:pPr>
      <w:r>
        <w:rPr>
          <w:rFonts w:ascii="Arial" w:cs="Arial" w:eastAsia="Arial" w:hAnsi="Arial"/>
          <w:sz w:val="15"/>
          <w:szCs w:val="15"/>
          <w:color w:val="auto"/>
        </w:rPr>
        <w:t>Page 6 of 6 Pages</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February 16, 2010</w:t>
            </w:r>
          </w:p>
        </w:tc>
        <w:tc>
          <w:tcPr>
            <w:tcW w:w="7980" w:type="dxa"/>
            <w:vAlign w:val="bottom"/>
            <w:gridSpan w:val="4"/>
          </w:tcPr>
          <w:p>
            <w:pPr>
              <w:ind w:left="1680"/>
              <w:spacing w:after="0"/>
              <w:rPr>
                <w:sz w:val="20"/>
                <w:szCs w:val="20"/>
                <w:color w:val="auto"/>
              </w:rPr>
            </w:pPr>
            <w:r>
              <w:rPr>
                <w:rFonts w:ascii="Arial" w:cs="Arial" w:eastAsia="Arial" w:hAnsi="Arial"/>
                <w:sz w:val="18"/>
                <w:szCs w:val="18"/>
                <w:color w:val="auto"/>
              </w:rPr>
              <w:t>NOMURA ASSET MANAGEMENT CO., LTD.</w:t>
            </w:r>
          </w:p>
        </w:tc>
      </w:tr>
      <w:tr>
        <w:trPr>
          <w:trHeight w:val="392"/>
        </w:trPr>
        <w:tc>
          <w:tcPr>
            <w:tcW w:w="346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600" w:type="dxa"/>
            <w:vAlign w:val="bottom"/>
            <w:gridSpan w:val="2"/>
          </w:tcPr>
          <w:p>
            <w:pPr>
              <w:ind w:left="60"/>
              <w:spacing w:after="0"/>
              <w:rPr>
                <w:sz w:val="20"/>
                <w:szCs w:val="20"/>
                <w:color w:val="auto"/>
              </w:rPr>
            </w:pPr>
            <w:r>
              <w:rPr>
                <w:rFonts w:ascii="Arial" w:cs="Arial" w:eastAsia="Arial" w:hAnsi="Arial"/>
                <w:sz w:val="18"/>
                <w:szCs w:val="18"/>
                <w:color w:val="auto"/>
              </w:rPr>
              <w:t>/s/ Kenji Kitagawa</w:t>
            </w:r>
          </w:p>
        </w:tc>
      </w:tr>
      <w:tr>
        <w:trPr>
          <w:trHeight w:val="222"/>
        </w:trPr>
        <w:tc>
          <w:tcPr>
            <w:tcW w:w="3460" w:type="dxa"/>
            <w:vAlign w:val="bottom"/>
          </w:tcPr>
          <w:p>
            <w:pPr>
              <w:spacing w:after="0"/>
              <w:rPr>
                <w:sz w:val="19"/>
                <w:szCs w:val="19"/>
                <w:color w:val="auto"/>
              </w:rPr>
            </w:pPr>
          </w:p>
        </w:tc>
        <w:tc>
          <w:tcPr>
            <w:tcW w:w="2260" w:type="dxa"/>
            <w:vAlign w:val="bottom"/>
          </w:tcPr>
          <w:p>
            <w:pPr>
              <w:ind w:left="168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Kenji Kitagawa</w:t>
            </w:r>
          </w:p>
        </w:tc>
        <w:tc>
          <w:tcPr>
            <w:tcW w:w="420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260" w:type="dxa"/>
            <w:vAlign w:val="bottom"/>
          </w:tcPr>
          <w:p>
            <w:pPr>
              <w:ind w:left="1680"/>
              <w:spacing w:after="0"/>
              <w:rPr>
                <w:sz w:val="20"/>
                <w:szCs w:val="20"/>
                <w:color w:val="auto"/>
              </w:rPr>
            </w:pPr>
            <w:r>
              <w:rPr>
                <w:rFonts w:ascii="Arial" w:cs="Arial" w:eastAsia="Arial" w:hAnsi="Arial"/>
                <w:sz w:val="18"/>
                <w:szCs w:val="18"/>
                <w:color w:val="auto"/>
              </w:rPr>
              <w:t>Title:</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Managing Director</w:t>
            </w:r>
          </w:p>
        </w:tc>
      </w:tr>
      <w:tr>
        <w:trPr>
          <w:trHeight w:val="2225"/>
        </w:trPr>
        <w:tc>
          <w:tcPr>
            <w:tcW w:w="346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lowerRoman"/>
      <w:start w:val="10"/>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2019-12-09T23:53:02Z</dcterms:created>
  <dcterms:modified xsi:type="dcterms:W3CDTF">2019-12-09T23:53:02Z</dcterms:modified>
</cp:coreProperties>
</file>